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698CC">
      <w:pPr>
        <w:jc w:val="center"/>
        <w:outlineLvl w:val="0"/>
        <w:rPr>
          <w:rFonts w:hint="eastAsia" w:ascii="仿宋" w:hAnsi="仿宋" w:eastAsia="仿宋" w:cs="仿宋"/>
          <w:b/>
          <w:color w:val="auto"/>
          <w:spacing w:val="-12"/>
          <w:sz w:val="48"/>
          <w:szCs w:val="48"/>
          <w:highlight w:val="none"/>
        </w:rPr>
      </w:pPr>
    </w:p>
    <w:p w14:paraId="3B935498">
      <w:pPr>
        <w:jc w:val="center"/>
        <w:outlineLvl w:val="0"/>
        <w:rPr>
          <w:rFonts w:hint="eastAsia" w:ascii="仿宋" w:hAnsi="仿宋" w:eastAsia="仿宋" w:cs="仿宋"/>
          <w:b/>
          <w:color w:val="auto"/>
          <w:spacing w:val="-12"/>
          <w:sz w:val="52"/>
          <w:szCs w:val="52"/>
          <w:highlight w:val="none"/>
          <w:lang w:eastAsia="zh-CN"/>
        </w:rPr>
      </w:pPr>
    </w:p>
    <w:p w14:paraId="4609431F">
      <w:pPr>
        <w:jc w:val="center"/>
        <w:outlineLvl w:val="0"/>
        <w:rPr>
          <w:rFonts w:hint="eastAsia" w:ascii="仿宋" w:hAnsi="仿宋" w:eastAsia="仿宋" w:cs="仿宋"/>
          <w:b/>
          <w:color w:val="auto"/>
          <w:spacing w:val="-12"/>
          <w:sz w:val="52"/>
          <w:szCs w:val="52"/>
          <w:highlight w:val="none"/>
          <w:lang w:eastAsia="zh-CN"/>
        </w:rPr>
      </w:pPr>
      <w:r>
        <w:rPr>
          <w:rFonts w:hint="eastAsia" w:ascii="仿宋" w:hAnsi="仿宋" w:eastAsia="仿宋" w:cs="仿宋"/>
          <w:b/>
          <w:color w:val="auto"/>
          <w:spacing w:val="-12"/>
          <w:sz w:val="52"/>
          <w:szCs w:val="52"/>
          <w:highlight w:val="none"/>
          <w:lang w:eastAsia="zh-CN"/>
        </w:rPr>
        <w:t>2027年职工电影票</w:t>
      </w:r>
    </w:p>
    <w:p w14:paraId="48BB6CC5">
      <w:pPr>
        <w:outlineLvl w:val="0"/>
        <w:rPr>
          <w:rFonts w:hint="eastAsia" w:ascii="仿宋" w:hAnsi="仿宋" w:eastAsia="仿宋" w:cs="仿宋"/>
          <w:color w:val="auto"/>
          <w:sz w:val="44"/>
          <w:highlight w:val="none"/>
        </w:rPr>
      </w:pPr>
    </w:p>
    <w:p w14:paraId="22103843">
      <w:pPr>
        <w:outlineLvl w:val="0"/>
        <w:rPr>
          <w:rFonts w:hint="eastAsia" w:ascii="仿宋" w:hAnsi="仿宋" w:eastAsia="仿宋" w:cs="仿宋"/>
          <w:color w:val="auto"/>
          <w:sz w:val="44"/>
          <w:highlight w:val="none"/>
        </w:rPr>
      </w:pPr>
    </w:p>
    <w:p w14:paraId="27C0D449">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3F0F6D6F">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7D43FAE">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69DFFAB4">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53139C81">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6097313">
      <w:pPr>
        <w:jc w:val="center"/>
        <w:outlineLvl w:val="0"/>
        <w:rPr>
          <w:rFonts w:hint="eastAsia"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77C5772A">
      <w:pPr>
        <w:outlineLvl w:val="0"/>
        <w:rPr>
          <w:rFonts w:hint="eastAsia" w:ascii="仿宋" w:hAnsi="仿宋" w:eastAsia="仿宋" w:cs="仿宋"/>
          <w:color w:val="auto"/>
          <w:sz w:val="44"/>
          <w:highlight w:val="none"/>
        </w:rPr>
      </w:pPr>
    </w:p>
    <w:p w14:paraId="0F410AA8">
      <w:pPr>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ZJHX-2026-10-04</w:t>
      </w:r>
    </w:p>
    <w:p w14:paraId="6CC78ACB">
      <w:pPr>
        <w:pStyle w:val="2"/>
        <w:rPr>
          <w:rFonts w:hint="eastAsia" w:ascii="仿宋" w:hAnsi="仿宋" w:eastAsia="仿宋" w:cs="仿宋"/>
          <w:color w:val="auto"/>
          <w:highlight w:val="none"/>
          <w:lang w:eastAsia="zh-CN"/>
        </w:rPr>
      </w:pPr>
    </w:p>
    <w:tbl>
      <w:tblPr>
        <w:tblStyle w:val="44"/>
        <w:tblW w:w="7801" w:type="dxa"/>
        <w:jc w:val="center"/>
        <w:tblLayout w:type="fixed"/>
        <w:tblCellMar>
          <w:top w:w="0" w:type="dxa"/>
          <w:left w:w="108" w:type="dxa"/>
          <w:bottom w:w="0" w:type="dxa"/>
          <w:right w:w="108" w:type="dxa"/>
        </w:tblCellMar>
      </w:tblPr>
      <w:tblGrid>
        <w:gridCol w:w="2356"/>
        <w:gridCol w:w="5445"/>
      </w:tblGrid>
      <w:tr w14:paraId="5BF8F2CB">
        <w:tblPrEx>
          <w:tblCellMar>
            <w:top w:w="0" w:type="dxa"/>
            <w:left w:w="108" w:type="dxa"/>
            <w:bottom w:w="0" w:type="dxa"/>
            <w:right w:w="108" w:type="dxa"/>
          </w:tblCellMar>
        </w:tblPrEx>
        <w:trPr>
          <w:trHeight w:val="443" w:hRule="atLeast"/>
          <w:jc w:val="center"/>
        </w:trPr>
        <w:tc>
          <w:tcPr>
            <w:tcW w:w="2356" w:type="dxa"/>
            <w:vAlign w:val="center"/>
          </w:tcPr>
          <w:p w14:paraId="02BD6FAD">
            <w:pPr>
              <w:keepNext w:val="0"/>
              <w:keepLines w:val="0"/>
              <w:pageBreakBefore w:val="0"/>
              <w:widowControl w:val="0"/>
              <w:kinsoku/>
              <w:wordWrap/>
              <w:overflowPunct/>
              <w:topLinePunct w:val="0"/>
              <w:autoSpaceDE/>
              <w:autoSpaceDN/>
              <w:bidi w:val="0"/>
              <w:adjustRightInd/>
              <w:snapToGrid/>
              <w:spacing w:after="100" w:afterAutospacing="1" w:line="400" w:lineRule="exact"/>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D497284">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绍兴市中医院</w:t>
            </w:r>
          </w:p>
          <w:p w14:paraId="1FEDAF6C">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绍兴市口腔医院</w:t>
            </w:r>
          </w:p>
        </w:tc>
      </w:tr>
      <w:tr w14:paraId="7EBE18DD">
        <w:tblPrEx>
          <w:tblCellMar>
            <w:top w:w="0" w:type="dxa"/>
            <w:left w:w="108" w:type="dxa"/>
            <w:bottom w:w="0" w:type="dxa"/>
            <w:right w:w="108" w:type="dxa"/>
          </w:tblCellMar>
        </w:tblPrEx>
        <w:trPr>
          <w:trHeight w:val="494" w:hRule="atLeast"/>
          <w:jc w:val="center"/>
        </w:trPr>
        <w:tc>
          <w:tcPr>
            <w:tcW w:w="2356" w:type="dxa"/>
          </w:tcPr>
          <w:p w14:paraId="32B47E08">
            <w:pPr>
              <w:spacing w:after="100" w:afterAutospacing="1" w:line="440" w:lineRule="exact"/>
              <w:rPr>
                <w:rFonts w:hint="eastAsia"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
              </w:rPr>
              <w:t>采购代理机构</w:t>
            </w:r>
            <w:r>
              <w:rPr>
                <w:rFonts w:hint="eastAsia" w:ascii="仿宋" w:hAnsi="仿宋" w:eastAsia="仿宋" w:cs="仿宋"/>
                <w:color w:val="auto"/>
                <w:sz w:val="28"/>
                <w:szCs w:val="28"/>
                <w:highlight w:val="none"/>
              </w:rPr>
              <w:t>：</w:t>
            </w:r>
          </w:p>
        </w:tc>
        <w:tc>
          <w:tcPr>
            <w:tcW w:w="5445" w:type="dxa"/>
          </w:tcPr>
          <w:p w14:paraId="4292C526">
            <w:pPr>
              <w:spacing w:after="100" w:afterAutospacing="1" w:line="440" w:lineRule="exac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浙江华夏工程管理有限公司</w:t>
            </w:r>
          </w:p>
        </w:tc>
      </w:tr>
      <w:tr w14:paraId="75186F67">
        <w:tblPrEx>
          <w:tblCellMar>
            <w:top w:w="0" w:type="dxa"/>
            <w:left w:w="108" w:type="dxa"/>
            <w:bottom w:w="0" w:type="dxa"/>
            <w:right w:w="108" w:type="dxa"/>
          </w:tblCellMar>
        </w:tblPrEx>
        <w:trPr>
          <w:trHeight w:val="333" w:hRule="atLeast"/>
          <w:jc w:val="center"/>
        </w:trPr>
        <w:tc>
          <w:tcPr>
            <w:tcW w:w="7801" w:type="dxa"/>
            <w:gridSpan w:val="2"/>
          </w:tcPr>
          <w:p w14:paraId="6D9D4D16">
            <w:pPr>
              <w:spacing w:after="100" w:afterAutospacing="1"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十一</w:t>
            </w:r>
            <w:r>
              <w:rPr>
                <w:rFonts w:hint="eastAsia" w:ascii="仿宋" w:hAnsi="仿宋" w:eastAsia="仿宋" w:cs="仿宋"/>
                <w:color w:val="auto"/>
                <w:sz w:val="28"/>
                <w:szCs w:val="28"/>
                <w:highlight w:val="none"/>
              </w:rPr>
              <w:t>月</w:t>
            </w:r>
          </w:p>
        </w:tc>
      </w:tr>
    </w:tbl>
    <w:p w14:paraId="2265276C">
      <w:pPr>
        <w:pageBreakBefore/>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 xml:space="preserve">  </w:t>
      </w:r>
    </w:p>
    <w:p w14:paraId="4C7C7AFC">
      <w:pPr>
        <w:jc w:val="center"/>
        <w:rPr>
          <w:rFonts w:hint="eastAsia" w:ascii="仿宋" w:hAnsi="仿宋" w:eastAsia="仿宋" w:cs="仿宋"/>
          <w:b/>
          <w:color w:val="auto"/>
          <w:sz w:val="44"/>
          <w:szCs w:val="44"/>
          <w:highlight w:val="none"/>
        </w:rPr>
      </w:pPr>
    </w:p>
    <w:p w14:paraId="50F66DCE">
      <w:pPr>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目录</w:t>
      </w:r>
    </w:p>
    <w:p w14:paraId="20C3B8B4">
      <w:pPr>
        <w:jc w:val="center"/>
        <w:rPr>
          <w:rFonts w:hint="eastAsia" w:ascii="仿宋" w:hAnsi="仿宋" w:eastAsia="仿宋" w:cs="仿宋"/>
          <w:b/>
          <w:color w:val="auto"/>
          <w:sz w:val="44"/>
          <w:szCs w:val="44"/>
          <w:highlight w:val="none"/>
        </w:rPr>
      </w:pPr>
    </w:p>
    <w:p w14:paraId="34271760">
      <w:pPr>
        <w:jc w:val="center"/>
        <w:rPr>
          <w:rFonts w:hint="eastAsia" w:ascii="仿宋" w:hAnsi="仿宋" w:eastAsia="仿宋" w:cs="仿宋"/>
          <w:color w:val="auto"/>
          <w:highlight w:val="none"/>
        </w:rPr>
      </w:pPr>
    </w:p>
    <w:p w14:paraId="36E74C42">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14E5E5E4">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 分   投标须知</w:t>
      </w:r>
    </w:p>
    <w:p w14:paraId="3ECB4217">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21C076FE">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15FD1974">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13CF0719">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5D58BD7A">
      <w:pPr>
        <w:snapToGrid w:val="0"/>
        <w:spacing w:line="480" w:lineRule="auto"/>
        <w:jc w:val="left"/>
        <w:rPr>
          <w:rFonts w:hint="eastAsia" w:ascii="仿宋" w:hAnsi="仿宋" w:eastAsia="仿宋" w:cs="仿宋"/>
          <w:color w:val="auto"/>
          <w:sz w:val="36"/>
          <w:szCs w:val="36"/>
          <w:highlight w:val="none"/>
        </w:rPr>
      </w:pPr>
    </w:p>
    <w:p w14:paraId="53923EB3">
      <w:pPr>
        <w:snapToGrid w:val="0"/>
        <w:spacing w:line="480" w:lineRule="auto"/>
        <w:jc w:val="left"/>
        <w:rPr>
          <w:rFonts w:hint="eastAsia" w:ascii="仿宋" w:hAnsi="仿宋" w:eastAsia="仿宋" w:cs="仿宋"/>
          <w:color w:val="auto"/>
          <w:sz w:val="36"/>
          <w:szCs w:val="36"/>
          <w:highlight w:val="none"/>
        </w:rPr>
      </w:pPr>
    </w:p>
    <w:p w14:paraId="316F33C3">
      <w:pPr>
        <w:snapToGrid w:val="0"/>
        <w:spacing w:line="480" w:lineRule="auto"/>
        <w:jc w:val="left"/>
        <w:rPr>
          <w:rFonts w:hint="eastAsia" w:ascii="仿宋" w:hAnsi="仿宋" w:eastAsia="仿宋" w:cs="仿宋"/>
          <w:color w:val="auto"/>
          <w:sz w:val="36"/>
          <w:szCs w:val="36"/>
          <w:highlight w:val="none"/>
        </w:rPr>
      </w:pPr>
    </w:p>
    <w:p w14:paraId="4F6B62ED">
      <w:pPr>
        <w:snapToGrid w:val="0"/>
        <w:spacing w:line="480" w:lineRule="auto"/>
        <w:jc w:val="left"/>
        <w:rPr>
          <w:rFonts w:hint="eastAsia" w:ascii="仿宋" w:hAnsi="仿宋" w:eastAsia="仿宋" w:cs="仿宋"/>
          <w:color w:val="auto"/>
          <w:sz w:val="36"/>
          <w:szCs w:val="36"/>
          <w:highlight w:val="none"/>
        </w:rPr>
      </w:pPr>
    </w:p>
    <w:p w14:paraId="798223E7">
      <w:pPr>
        <w:snapToGrid w:val="0"/>
        <w:spacing w:line="480" w:lineRule="auto"/>
        <w:jc w:val="left"/>
        <w:rPr>
          <w:rFonts w:hint="eastAsia" w:ascii="仿宋" w:hAnsi="仿宋" w:eastAsia="仿宋" w:cs="仿宋"/>
          <w:color w:val="auto"/>
          <w:sz w:val="36"/>
          <w:szCs w:val="36"/>
          <w:highlight w:val="none"/>
        </w:rPr>
      </w:pPr>
    </w:p>
    <w:p w14:paraId="498DF223">
      <w:pPr>
        <w:pageBreakBefore/>
        <w:widowControl/>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tbl>
      <w:tblPr>
        <w:tblStyle w:val="44"/>
        <w:tblW w:w="8789" w:type="dxa"/>
        <w:tblInd w:w="0" w:type="dxa"/>
        <w:tblLayout w:type="fixed"/>
        <w:tblCellMar>
          <w:top w:w="0" w:type="dxa"/>
          <w:left w:w="0" w:type="dxa"/>
          <w:bottom w:w="0" w:type="dxa"/>
          <w:right w:w="0" w:type="dxa"/>
        </w:tblCellMar>
      </w:tblPr>
      <w:tblGrid>
        <w:gridCol w:w="8789"/>
      </w:tblGrid>
      <w:tr w14:paraId="736EE681">
        <w:tblPrEx>
          <w:tblCellMar>
            <w:top w:w="0" w:type="dxa"/>
            <w:left w:w="0" w:type="dxa"/>
            <w:bottom w:w="0" w:type="dxa"/>
            <w:right w:w="0" w:type="dxa"/>
          </w:tblCellMar>
        </w:tblPrEx>
        <w:trPr>
          <w:trHeight w:val="4385" w:hRule="atLeast"/>
        </w:trPr>
        <w:tc>
          <w:tcPr>
            <w:tcW w:w="8789" w:type="dxa"/>
            <w:vAlign w:val="center"/>
          </w:tcPr>
          <w:p w14:paraId="33A934B6">
            <w:pPr>
              <w:rPr>
                <w:rFonts w:hint="eastAsia" w:ascii="仿宋" w:hAnsi="仿宋" w:eastAsia="仿宋" w:cs="仿宋"/>
                <w:color w:val="auto"/>
                <w:highlight w:val="none"/>
              </w:rPr>
            </w:pPr>
            <w:r>
              <w:rPr>
                <w:rFonts w:hint="eastAsia" w:ascii="仿宋" w:hAnsi="仿宋" w:eastAsia="仿宋" w:cs="仿宋"/>
                <w:color w:val="auto"/>
                <w:highlight w:val="none"/>
              </w:rPr>
              <w:br w:type="page"/>
            </w:r>
          </w:p>
          <w:tbl>
            <w:tblPr>
              <w:tblStyle w:val="44"/>
              <w:tblW w:w="8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2"/>
            </w:tblGrid>
            <w:tr w14:paraId="7A77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8612" w:type="dxa"/>
                </w:tcPr>
                <w:p w14:paraId="21FBBF8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项目概况：</w:t>
                  </w:r>
                </w:p>
                <w:p w14:paraId="2332D071">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eastAsia="zh-CN"/>
                    </w:rPr>
                    <w:t>2027年职工电影票</w:t>
                  </w:r>
                  <w:r>
                    <w:rPr>
                      <w:rFonts w:hint="eastAsia" w:ascii="仿宋" w:hAnsi="仿宋" w:eastAsia="仿宋" w:cs="仿宋"/>
                      <w:color w:val="auto"/>
                      <w:szCs w:val="24"/>
                      <w:highlight w:val="none"/>
                    </w:rPr>
                    <w:t>的潜在投标人</w:t>
                  </w:r>
                  <w:r>
                    <w:rPr>
                      <w:rFonts w:hint="eastAsia" w:ascii="仿宋" w:hAnsi="仿宋" w:eastAsia="仿宋" w:cs="仿宋"/>
                      <w:color w:val="auto"/>
                      <w:szCs w:val="24"/>
                      <w:highlight w:val="none"/>
                      <w:lang w:eastAsia="zh-CN"/>
                    </w:rPr>
                    <w:t>向采购代理机构</w:t>
                  </w:r>
                  <w:r>
                    <w:rPr>
                      <w:rFonts w:hint="eastAsia" w:ascii="仿宋" w:hAnsi="仿宋" w:eastAsia="仿宋" w:cs="仿宋"/>
                      <w:color w:val="auto"/>
                      <w:szCs w:val="24"/>
                      <w:highlight w:val="none"/>
                    </w:rPr>
                    <w:t>获取招标文件，并于</w:t>
                  </w:r>
                  <w:r>
                    <w:rPr>
                      <w:rFonts w:hint="eastAsia" w:ascii="仿宋" w:hAnsi="仿宋" w:eastAsia="仿宋" w:cs="仿宋"/>
                      <w:color w:val="auto"/>
                      <w:szCs w:val="24"/>
                      <w:highlight w:val="none"/>
                    </w:rPr>
                    <w:t>202</w:t>
                  </w:r>
                  <w:r>
                    <w:rPr>
                      <w:rFonts w:hint="eastAsia" w:ascii="仿宋" w:hAnsi="仿宋" w:eastAsia="仿宋" w:cs="仿宋"/>
                      <w:color w:val="auto"/>
                      <w:szCs w:val="24"/>
                      <w:highlight w:val="none"/>
                      <w:lang w:val="en-US" w:eastAsia="zh-CN"/>
                    </w:rPr>
                    <w:t>6</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日 09:</w:t>
                  </w:r>
                  <w:r>
                    <w:rPr>
                      <w:rFonts w:hint="eastAsia" w:ascii="仿宋" w:hAnsi="仿宋" w:eastAsia="仿宋" w:cs="仿宋"/>
                      <w:color w:val="auto"/>
                      <w:szCs w:val="24"/>
                      <w:highlight w:val="none"/>
                      <w:lang w:val="en-US" w:eastAsia="zh-CN"/>
                    </w:rPr>
                    <w:t>0</w:t>
                  </w:r>
                  <w:r>
                    <w:rPr>
                      <w:rFonts w:hint="eastAsia" w:ascii="仿宋" w:hAnsi="仿宋" w:eastAsia="仿宋" w:cs="仿宋"/>
                      <w:color w:val="auto"/>
                      <w:szCs w:val="24"/>
                      <w:highlight w:val="none"/>
                    </w:rPr>
                    <w:t>0</w:t>
                  </w:r>
                  <w:r>
                    <w:rPr>
                      <w:rFonts w:hint="eastAsia" w:ascii="仿宋" w:hAnsi="仿宋" w:eastAsia="仿宋" w:cs="仿宋"/>
                      <w:color w:val="auto"/>
                      <w:szCs w:val="24"/>
                      <w:highlight w:val="none"/>
                    </w:rPr>
                    <w:t>（北京时间）前递交投标文件。</w:t>
                  </w:r>
                </w:p>
              </w:tc>
            </w:tr>
          </w:tbl>
          <w:p w14:paraId="182C9DCD">
            <w:pPr>
              <w:pStyle w:val="71"/>
              <w:spacing w:afterLines="0" w:line="440" w:lineRule="exact"/>
              <w:ind w:firstLine="480"/>
              <w:jc w:val="left"/>
              <w:rPr>
                <w:rFonts w:hint="eastAsia" w:ascii="仿宋" w:hAnsi="仿宋" w:eastAsia="仿宋" w:cs="仿宋"/>
                <w:color w:val="auto"/>
                <w:szCs w:val="24"/>
                <w:highlight w:val="none"/>
              </w:rPr>
            </w:pPr>
            <w:r>
              <w:rPr>
                <w:rFonts w:hint="eastAsia" w:ascii="仿宋" w:hAnsi="仿宋" w:eastAsia="仿宋" w:cs="仿宋"/>
                <w:color w:val="auto"/>
                <w:szCs w:val="24"/>
                <w:highlight w:val="none"/>
              </w:rPr>
              <w:t>一、项目基本情况</w:t>
            </w:r>
          </w:p>
          <w:p w14:paraId="65AF226F">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项目编号：</w:t>
            </w:r>
            <w:r>
              <w:rPr>
                <w:rFonts w:hint="eastAsia" w:ascii="仿宋" w:hAnsi="仿宋" w:eastAsia="仿宋" w:cs="仿宋"/>
                <w:color w:val="auto"/>
                <w:szCs w:val="24"/>
                <w:highlight w:val="none"/>
                <w:lang w:eastAsia="zh-CN"/>
              </w:rPr>
              <w:t>ZJHX-2026-10-04</w:t>
            </w:r>
          </w:p>
          <w:p w14:paraId="538E9980">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项目名称：</w:t>
            </w:r>
            <w:r>
              <w:rPr>
                <w:rFonts w:hint="eastAsia" w:ascii="仿宋" w:hAnsi="仿宋" w:eastAsia="仿宋" w:cs="仿宋"/>
                <w:color w:val="auto"/>
                <w:szCs w:val="24"/>
                <w:highlight w:val="none"/>
                <w:lang w:eastAsia="zh-CN"/>
              </w:rPr>
              <w:t>2027年职工电影票</w:t>
            </w:r>
          </w:p>
          <w:p w14:paraId="05C408AD">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采购方式：公开招标</w:t>
            </w:r>
          </w:p>
          <w:p w14:paraId="1D22D895">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预算金额（元）：</w:t>
            </w:r>
            <w:r>
              <w:rPr>
                <w:rFonts w:hint="eastAsia" w:ascii="仿宋" w:hAnsi="仿宋" w:eastAsia="仿宋" w:cs="仿宋"/>
                <w:color w:val="auto"/>
                <w:szCs w:val="24"/>
                <w:highlight w:val="none"/>
                <w:lang w:val="en-US" w:eastAsia="zh-CN"/>
              </w:rPr>
              <w:t>330750</w:t>
            </w:r>
          </w:p>
          <w:p w14:paraId="63AB2EEC">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最高限价（元）：</w:t>
            </w:r>
            <w:r>
              <w:rPr>
                <w:rFonts w:hint="eastAsia" w:ascii="仿宋" w:hAnsi="仿宋" w:eastAsia="仿宋" w:cs="仿宋"/>
                <w:color w:val="auto"/>
                <w:szCs w:val="24"/>
                <w:highlight w:val="none"/>
                <w:lang w:val="en-US" w:eastAsia="zh-CN"/>
              </w:rPr>
              <w:t>330750</w:t>
            </w:r>
          </w:p>
          <w:p w14:paraId="4B57A75D">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采购需求：</w:t>
            </w:r>
          </w:p>
          <w:p w14:paraId="657E139A">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标项一:</w:t>
            </w:r>
          </w:p>
          <w:p w14:paraId="4F34DEBE">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标项名称:</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lang w:eastAsia="zh-CN"/>
              </w:rPr>
              <w:t>2027年职工电影票</w:t>
            </w:r>
          </w:p>
          <w:p w14:paraId="1B4FC965">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数量:</w:t>
            </w:r>
            <w:r>
              <w:rPr>
                <w:rFonts w:hint="eastAsia" w:ascii="仿宋" w:hAnsi="仿宋" w:eastAsia="仿宋" w:cs="仿宋"/>
                <w:color w:val="auto"/>
                <w:szCs w:val="24"/>
                <w:highlight w:val="none"/>
                <w:lang w:val="en-US" w:eastAsia="zh-CN"/>
              </w:rPr>
              <w:t>1323人</w:t>
            </w:r>
          </w:p>
          <w:p w14:paraId="7FF61EFE">
            <w:pPr>
              <w:pStyle w:val="71"/>
              <w:spacing w:afterLines="0" w:line="440" w:lineRule="exact"/>
              <w:ind w:firstLine="480"/>
              <w:rPr>
                <w:rFonts w:hint="default" w:ascii="仿宋" w:hAnsi="仿宋" w:eastAsia="仿宋" w:cs="仿宋"/>
                <w:color w:val="auto"/>
                <w:szCs w:val="24"/>
                <w:highlight w:val="none"/>
                <w:lang w:val="en-US" w:eastAsia="zh-CN"/>
              </w:rPr>
            </w:pPr>
            <w:r>
              <w:rPr>
                <w:rFonts w:hint="eastAsia" w:ascii="仿宋" w:hAnsi="仿宋" w:eastAsia="仿宋" w:cs="仿宋"/>
                <w:color w:val="auto"/>
                <w:szCs w:val="24"/>
                <w:highlight w:val="none"/>
              </w:rPr>
              <w:t>预算金额（元</w:t>
            </w:r>
            <w:r>
              <w:rPr>
                <w:rFonts w:hint="eastAsia" w:ascii="仿宋" w:hAnsi="仿宋" w:eastAsia="仿宋" w:cs="仿宋"/>
                <w:color w:val="auto"/>
                <w:szCs w:val="24"/>
                <w:highlight w:val="none"/>
                <w:lang w:val="en-US" w:eastAsia="zh-CN"/>
              </w:rPr>
              <w:t>/人</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250</w:t>
            </w:r>
          </w:p>
          <w:p w14:paraId="1317338A">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简要规格描述或项目基本概况介绍、用途：</w:t>
            </w:r>
            <w:r>
              <w:rPr>
                <w:rFonts w:hint="eastAsia" w:ascii="仿宋" w:hAnsi="仿宋" w:eastAsia="仿宋" w:cs="仿宋"/>
                <w:color w:val="auto"/>
                <w:szCs w:val="24"/>
                <w:highlight w:val="none"/>
                <w:lang w:eastAsia="zh-CN"/>
              </w:rPr>
              <w:t>详见招标文件</w:t>
            </w:r>
            <w:r>
              <w:rPr>
                <w:rFonts w:hint="eastAsia" w:ascii="仿宋" w:hAnsi="仿宋" w:eastAsia="仿宋" w:cs="仿宋"/>
                <w:color w:val="auto"/>
                <w:szCs w:val="24"/>
                <w:highlight w:val="none"/>
              </w:rPr>
              <w:t> </w:t>
            </w:r>
          </w:p>
          <w:p w14:paraId="30F3804B">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备注：</w:t>
            </w:r>
            <w:r>
              <w:rPr>
                <w:rFonts w:hint="eastAsia" w:ascii="仿宋" w:hAnsi="仿宋" w:eastAsia="仿宋" w:cs="仿宋"/>
                <w:color w:val="auto"/>
                <w:szCs w:val="24"/>
                <w:highlight w:val="none"/>
                <w:lang w:eastAsia="zh-CN"/>
              </w:rPr>
              <w:t>无</w:t>
            </w:r>
          </w:p>
          <w:p w14:paraId="1B62486E">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合同履约期限：按双方合同约定条款执行。</w:t>
            </w:r>
          </w:p>
          <w:p w14:paraId="1A07E7B9">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本项目（是）接受联合体投标。</w:t>
            </w:r>
          </w:p>
          <w:p w14:paraId="4E73C13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二、申请人的资格要求：</w:t>
            </w:r>
          </w:p>
          <w:p w14:paraId="1496150F">
            <w:pPr>
              <w:pStyle w:val="71"/>
              <w:keepNext w:val="0"/>
              <w:keepLines w:val="0"/>
              <w:pageBreakBefore w:val="0"/>
              <w:widowControl/>
              <w:kinsoku/>
              <w:wordWrap/>
              <w:overflowPunct/>
              <w:topLinePunct w:val="0"/>
              <w:autoSpaceDE/>
              <w:autoSpaceDN/>
              <w:bidi w:val="0"/>
              <w:adjustRightInd/>
              <w:snapToGrid w:val="0"/>
              <w:spacing w:afterLines="0" w:line="440" w:lineRule="exact"/>
              <w:ind w:firstLine="480"/>
              <w:jc w:val="left"/>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1.符合《中华人民共和国政府采购法》第二十二条的规定 ；未被“信用中国”（www.creditchina.gov.cn）、中国政府采购网（www.ccgp.gov.cn）列入失信被执行人、重大税收违法案件当事人名单、政府采购严重违法失信行为记录名单。</w:t>
            </w:r>
          </w:p>
          <w:p w14:paraId="4AA24B92">
            <w:pPr>
              <w:pStyle w:val="71"/>
              <w:keepNext w:val="0"/>
              <w:keepLines w:val="0"/>
              <w:pageBreakBefore w:val="0"/>
              <w:widowControl/>
              <w:kinsoku/>
              <w:wordWrap/>
              <w:overflowPunct/>
              <w:topLinePunct w:val="0"/>
              <w:autoSpaceDE/>
              <w:autoSpaceDN/>
              <w:bidi w:val="0"/>
              <w:adjustRightInd/>
              <w:snapToGrid w:val="0"/>
              <w:spacing w:afterLines="0" w:line="440" w:lineRule="exact"/>
              <w:ind w:firstLine="480"/>
              <w:jc w:val="left"/>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2.以联合体形式投标的，提供联合体协议（本项目不接受联合体投标或者投标人不以联合体形式投标的，则不需要提供）；</w:t>
            </w:r>
          </w:p>
          <w:p w14:paraId="60D7438C">
            <w:pPr>
              <w:pStyle w:val="71"/>
              <w:keepNext w:val="0"/>
              <w:keepLines w:val="0"/>
              <w:pageBreakBefore w:val="0"/>
              <w:widowControl/>
              <w:kinsoku/>
              <w:wordWrap/>
              <w:overflowPunct/>
              <w:topLinePunct w:val="0"/>
              <w:autoSpaceDE/>
              <w:autoSpaceDN/>
              <w:bidi w:val="0"/>
              <w:adjustRightInd/>
              <w:snapToGrid w:val="0"/>
              <w:spacing w:afterLines="0" w:line="440" w:lineRule="exact"/>
              <w:ind w:firstLine="480"/>
              <w:jc w:val="left"/>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本项目的特定资格要求：</w:t>
            </w:r>
            <w:r>
              <w:rPr>
                <w:rFonts w:hint="eastAsia" w:ascii="仿宋" w:hAnsi="仿宋" w:eastAsia="仿宋" w:cs="仿宋"/>
                <w:b/>
                <w:bCs/>
                <w:color w:val="auto"/>
                <w:szCs w:val="24"/>
                <w:highlight w:val="none"/>
                <w:lang w:val="en-US" w:eastAsia="zh-CN"/>
              </w:rPr>
              <w:t>/；</w:t>
            </w:r>
          </w:p>
          <w:p w14:paraId="7607E506">
            <w:pPr>
              <w:pStyle w:val="71"/>
              <w:numPr>
                <w:ilvl w:val="0"/>
                <w:numId w:val="6"/>
              </w:numPr>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0522000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三、获取招标文件 </w:t>
            </w:r>
          </w:p>
          <w:p w14:paraId="472EC2E2">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时间：</w:t>
            </w:r>
            <w:r>
              <w:rPr>
                <w:rFonts w:hint="eastAsia" w:ascii="仿宋" w:hAnsi="仿宋" w:eastAsia="仿宋" w:cs="仿宋"/>
                <w:color w:val="auto"/>
                <w:kern w:val="0"/>
                <w:sz w:val="24"/>
                <w:highlight w:val="none"/>
              </w:rPr>
              <w:t>202</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日至202</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日</w:t>
            </w:r>
            <w:r>
              <w:rPr>
                <w:rFonts w:hint="eastAsia" w:ascii="仿宋" w:hAnsi="仿宋" w:eastAsia="仿宋" w:cs="仿宋"/>
                <w:color w:val="auto"/>
                <w:szCs w:val="24"/>
                <w:highlight w:val="none"/>
              </w:rPr>
              <w:t>，每天上午</w:t>
            </w:r>
            <w:r>
              <w:rPr>
                <w:rFonts w:hint="eastAsia" w:ascii="仿宋" w:hAnsi="仿宋" w:eastAsia="仿宋" w:cs="仿宋"/>
                <w:color w:val="auto"/>
                <w:szCs w:val="24"/>
                <w:highlight w:val="none"/>
                <w:lang w:val="en-US" w:eastAsia="zh-CN"/>
              </w:rPr>
              <w:t>8</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0至</w:t>
            </w:r>
            <w:r>
              <w:rPr>
                <w:rFonts w:hint="eastAsia" w:ascii="仿宋" w:hAnsi="仿宋" w:eastAsia="仿宋" w:cs="仿宋"/>
                <w:color w:val="auto"/>
                <w:szCs w:val="24"/>
                <w:highlight w:val="none"/>
                <w:lang w:val="en-US" w:eastAsia="zh-CN"/>
              </w:rPr>
              <w:t>11</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0 ，下午</w:t>
            </w:r>
            <w:r>
              <w:rPr>
                <w:rFonts w:hint="eastAsia" w:ascii="仿宋" w:hAnsi="仿宋" w:eastAsia="仿宋" w:cs="仿宋"/>
                <w:color w:val="auto"/>
                <w:szCs w:val="24"/>
                <w:highlight w:val="none"/>
                <w:lang w:val="en-US" w:eastAsia="zh-CN"/>
              </w:rPr>
              <w:t>2</w:t>
            </w:r>
            <w:r>
              <w:rPr>
                <w:rFonts w:hint="eastAsia" w:ascii="仿宋" w:hAnsi="仿宋" w:eastAsia="仿宋" w:cs="仿宋"/>
                <w:color w:val="auto"/>
                <w:szCs w:val="24"/>
                <w:highlight w:val="none"/>
              </w:rPr>
              <w:t>:00至</w:t>
            </w:r>
            <w:r>
              <w:rPr>
                <w:rFonts w:hint="eastAsia" w:ascii="仿宋" w:hAnsi="仿宋" w:eastAsia="仿宋" w:cs="仿宋"/>
                <w:color w:val="auto"/>
                <w:szCs w:val="24"/>
                <w:highlight w:val="none"/>
                <w:lang w:val="en-US" w:eastAsia="zh-CN"/>
              </w:rPr>
              <w:t>4</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30</w:t>
            </w:r>
            <w:r>
              <w:rPr>
                <w:rFonts w:hint="eastAsia" w:ascii="仿宋" w:hAnsi="仿宋" w:eastAsia="仿宋" w:cs="仿宋"/>
                <w:color w:val="auto"/>
                <w:szCs w:val="24"/>
                <w:highlight w:val="none"/>
              </w:rPr>
              <w:t>（北京时间，线下获取文件法定节假日除外）</w:t>
            </w:r>
          </w:p>
          <w:p w14:paraId="7A03C556">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方</w:t>
            </w:r>
            <w:r>
              <w:rPr>
                <w:rFonts w:hint="eastAsia" w:ascii="仿宋" w:hAnsi="仿宋" w:eastAsia="仿宋" w:cs="仿宋"/>
                <w:color w:val="auto"/>
                <w:szCs w:val="24"/>
                <w:highlight w:val="none"/>
                <w:lang w:val="en-US" w:eastAsia="zh-CN"/>
              </w:rPr>
              <w:t>式：</w:t>
            </w:r>
            <w:r>
              <w:rPr>
                <w:rFonts w:hint="eastAsia" w:ascii="仿宋" w:hAnsi="仿宋" w:eastAsia="仿宋" w:cs="仿宋"/>
                <w:color w:val="auto"/>
                <w:szCs w:val="24"/>
                <w:highlight w:val="none"/>
                <w:lang w:val="en-US" w:eastAsia="zh-CN"/>
              </w:rPr>
              <w:fldChar w:fldCharType="begin"/>
            </w:r>
            <w:r>
              <w:rPr>
                <w:rFonts w:hint="eastAsia" w:ascii="仿宋" w:hAnsi="仿宋" w:eastAsia="仿宋" w:cs="仿宋"/>
                <w:color w:val="auto"/>
                <w:szCs w:val="24"/>
                <w:highlight w:val="none"/>
                <w:lang w:val="en-US" w:eastAsia="zh-CN"/>
              </w:rPr>
              <w:instrText xml:space="preserve"> HYPERLINK "mailto:网上报名，以扫描件邮件形式发至2429136371@qq.com邮箱内。（上述报名资料仅作为报名登记使用，报名时不对投标人资格是否符合作出评判）" </w:instrText>
            </w:r>
            <w:r>
              <w:rPr>
                <w:rFonts w:hint="eastAsia" w:ascii="仿宋" w:hAnsi="仿宋" w:eastAsia="仿宋" w:cs="仿宋"/>
                <w:color w:val="auto"/>
                <w:szCs w:val="24"/>
                <w:highlight w:val="none"/>
                <w:lang w:val="en-US" w:eastAsia="zh-CN"/>
              </w:rPr>
              <w:fldChar w:fldCharType="separate"/>
            </w:r>
            <w:r>
              <w:rPr>
                <w:rFonts w:hint="eastAsia" w:ascii="仿宋" w:hAnsi="仿宋" w:eastAsia="仿宋" w:cs="仿宋"/>
                <w:color w:val="auto"/>
                <w:szCs w:val="24"/>
                <w:highlight w:val="none"/>
                <w:lang w:val="en-US" w:eastAsia="zh-CN"/>
              </w:rPr>
              <w:t>网上报名，以扫描件邮件形式发至303736433@qq.com邮箱内。（上述报名资料仅作为报名登记使用，报名时不对投标人资格是否符合作出评判）</w:t>
            </w:r>
            <w:r>
              <w:rPr>
                <w:rFonts w:hint="eastAsia" w:ascii="仿宋" w:hAnsi="仿宋" w:eastAsia="仿宋" w:cs="仿宋"/>
                <w:color w:val="auto"/>
                <w:szCs w:val="24"/>
                <w:highlight w:val="none"/>
                <w:lang w:val="en-US" w:eastAsia="zh-CN"/>
              </w:rPr>
              <w:fldChar w:fldCharType="end"/>
            </w:r>
          </w:p>
          <w:p w14:paraId="3DA14122">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rPr>
              <w:t>报名资料：营业执照复印件</w:t>
            </w:r>
            <w:r>
              <w:rPr>
                <w:rFonts w:hint="eastAsia" w:ascii="仿宋" w:hAnsi="仿宋" w:eastAsia="仿宋" w:cs="仿宋"/>
                <w:color w:val="auto"/>
                <w:szCs w:val="24"/>
                <w:highlight w:val="none"/>
                <w:lang w:val="en-US" w:eastAsia="zh-CN"/>
              </w:rPr>
              <w:t>、</w:t>
            </w:r>
            <w:r>
              <w:rPr>
                <w:rFonts w:hint="eastAsia" w:ascii="仿宋" w:hAnsi="仿宋" w:eastAsia="仿宋" w:cs="仿宋"/>
                <w:color w:val="auto"/>
                <w:szCs w:val="24"/>
                <w:highlight w:val="none"/>
                <w:lang w:val="en-US"/>
              </w:rPr>
              <w:t>授权委托书或单位介绍信、授权委托人身份证复印件（备注：联系方式、邮箱）等（加盖公章）。</w:t>
            </w:r>
          </w:p>
          <w:p w14:paraId="1512F70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售价（元）：</w:t>
            </w:r>
            <w:r>
              <w:rPr>
                <w:rFonts w:hint="eastAsia" w:ascii="仿宋" w:hAnsi="仿宋" w:eastAsia="仿宋" w:cs="仿宋"/>
                <w:color w:val="auto"/>
                <w:szCs w:val="24"/>
                <w:highlight w:val="none"/>
                <w:lang w:val="en-US" w:eastAsia="zh-CN"/>
              </w:rPr>
              <w:t>200</w:t>
            </w:r>
            <w:r>
              <w:rPr>
                <w:rFonts w:hint="eastAsia" w:ascii="仿宋" w:hAnsi="仿宋" w:eastAsia="仿宋" w:cs="仿宋"/>
                <w:color w:val="auto"/>
                <w:szCs w:val="24"/>
                <w:highlight w:val="none"/>
              </w:rPr>
              <w:t> </w:t>
            </w:r>
            <w:r>
              <w:rPr>
                <w:rFonts w:hint="eastAsia" w:ascii="仿宋" w:hAnsi="仿宋" w:eastAsia="仿宋" w:cs="仿宋"/>
                <w:color w:val="auto"/>
                <w:kern w:val="0"/>
                <w:sz w:val="24"/>
                <w:highlight w:val="none"/>
              </w:rPr>
              <w:t>（售后不退）</w:t>
            </w:r>
          </w:p>
          <w:p w14:paraId="75548F29">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四、提交投标文件截止时间、开标时间和地点</w:t>
            </w:r>
          </w:p>
          <w:p w14:paraId="08B27AAF">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提交投标文件截止时间：</w:t>
            </w:r>
            <w:r>
              <w:rPr>
                <w:rFonts w:hint="eastAsia" w:ascii="仿宋" w:hAnsi="仿宋" w:eastAsia="仿宋" w:cs="仿宋"/>
                <w:color w:val="auto"/>
                <w:szCs w:val="24"/>
                <w:highlight w:val="none"/>
              </w:rPr>
              <w:t>202</w:t>
            </w:r>
            <w:r>
              <w:rPr>
                <w:rFonts w:hint="eastAsia" w:ascii="仿宋" w:hAnsi="仿宋" w:eastAsia="仿宋" w:cs="仿宋"/>
                <w:color w:val="auto"/>
                <w:szCs w:val="24"/>
                <w:highlight w:val="none"/>
                <w:lang w:val="en-US" w:eastAsia="zh-CN"/>
              </w:rPr>
              <w:t>6</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日 09:</w:t>
            </w:r>
            <w:r>
              <w:rPr>
                <w:rFonts w:hint="eastAsia" w:ascii="仿宋" w:hAnsi="仿宋" w:eastAsia="仿宋" w:cs="仿宋"/>
                <w:color w:val="auto"/>
                <w:szCs w:val="24"/>
                <w:highlight w:val="none"/>
                <w:lang w:val="en-US" w:eastAsia="zh-CN"/>
              </w:rPr>
              <w:t>0</w:t>
            </w:r>
            <w:r>
              <w:rPr>
                <w:rFonts w:hint="eastAsia" w:ascii="仿宋" w:hAnsi="仿宋" w:eastAsia="仿宋" w:cs="仿宋"/>
                <w:color w:val="auto"/>
                <w:szCs w:val="24"/>
                <w:highlight w:val="none"/>
              </w:rPr>
              <w:t>0（北京时间）</w:t>
            </w:r>
          </w:p>
          <w:p w14:paraId="0945DF23">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投标地点：</w:t>
            </w:r>
            <w:r>
              <w:rPr>
                <w:rFonts w:hint="eastAsia" w:ascii="仿宋" w:hAnsi="仿宋" w:eastAsia="仿宋" w:cs="仿宋"/>
                <w:color w:val="auto"/>
                <w:kern w:val="0"/>
                <w:sz w:val="24"/>
                <w:highlight w:val="none"/>
                <w:lang w:eastAsia="zh-CN"/>
              </w:rPr>
              <w:t>绍兴市越城区迅腾大厦1404室</w:t>
            </w:r>
          </w:p>
          <w:p w14:paraId="641F354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开标时间：</w:t>
            </w:r>
            <w:r>
              <w:rPr>
                <w:rFonts w:hint="eastAsia" w:ascii="仿宋" w:hAnsi="仿宋" w:eastAsia="仿宋" w:cs="仿宋"/>
                <w:color w:val="auto"/>
                <w:szCs w:val="24"/>
                <w:highlight w:val="none"/>
              </w:rPr>
              <w:t>202</w:t>
            </w:r>
            <w:r>
              <w:rPr>
                <w:rFonts w:hint="eastAsia" w:ascii="仿宋" w:hAnsi="仿宋" w:eastAsia="仿宋" w:cs="仿宋"/>
                <w:color w:val="auto"/>
                <w:szCs w:val="24"/>
                <w:highlight w:val="none"/>
                <w:lang w:val="en-US" w:eastAsia="zh-CN"/>
              </w:rPr>
              <w:t>6</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日 09:</w:t>
            </w:r>
            <w:r>
              <w:rPr>
                <w:rFonts w:hint="eastAsia" w:ascii="仿宋" w:hAnsi="仿宋" w:eastAsia="仿宋" w:cs="仿宋"/>
                <w:color w:val="auto"/>
                <w:szCs w:val="24"/>
                <w:highlight w:val="none"/>
                <w:lang w:val="en-US" w:eastAsia="zh-CN"/>
              </w:rPr>
              <w:t>0</w:t>
            </w:r>
            <w:r>
              <w:rPr>
                <w:rFonts w:hint="eastAsia" w:ascii="仿宋" w:hAnsi="仿宋" w:eastAsia="仿宋" w:cs="仿宋"/>
                <w:color w:val="auto"/>
                <w:szCs w:val="24"/>
                <w:highlight w:val="none"/>
              </w:rPr>
              <w:t>0</w:t>
            </w:r>
          </w:p>
          <w:p w14:paraId="64CEFC6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开标地点：</w:t>
            </w:r>
            <w:r>
              <w:rPr>
                <w:rFonts w:hint="eastAsia" w:ascii="仿宋" w:hAnsi="仿宋" w:eastAsia="仿宋" w:cs="仿宋"/>
                <w:color w:val="auto"/>
                <w:kern w:val="0"/>
                <w:sz w:val="24"/>
                <w:highlight w:val="none"/>
                <w:lang w:eastAsia="zh-CN"/>
              </w:rPr>
              <w:t>绍兴市越城区迅腾大厦1404室</w:t>
            </w:r>
            <w:r>
              <w:rPr>
                <w:rFonts w:hint="eastAsia" w:ascii="仿宋" w:hAnsi="仿宋" w:eastAsia="仿宋" w:cs="仿宋"/>
                <w:color w:val="auto"/>
                <w:szCs w:val="24"/>
                <w:highlight w:val="none"/>
              </w:rPr>
              <w:t>。  </w:t>
            </w:r>
          </w:p>
          <w:p w14:paraId="5A2C52C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五、公告期限 </w:t>
            </w:r>
          </w:p>
          <w:p w14:paraId="16AD0F19">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自本公告发布之日起5个工作日。</w:t>
            </w:r>
          </w:p>
          <w:p w14:paraId="45FF515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六、其他补充事宜</w:t>
            </w:r>
          </w:p>
          <w:p w14:paraId="4D182C22">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w:t>
            </w:r>
          </w:p>
          <w:p w14:paraId="390D78D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2.其他事项：（1）需要落实的政府采购政策：包括节约资源、保护环境、支持创新等。详见招标文件的第二部分总则。</w:t>
            </w:r>
          </w:p>
          <w:p w14:paraId="768529A6">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.采购代理机构将拒绝接受未获取招标文件供应商的投标文件。</w:t>
            </w:r>
          </w:p>
          <w:p w14:paraId="4BF8EF91">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4</w:t>
            </w:r>
            <w:r>
              <w:rPr>
                <w:rFonts w:hint="eastAsia" w:ascii="仿宋" w:hAnsi="仿宋" w:eastAsia="仿宋" w:cs="仿宋"/>
                <w:color w:val="auto"/>
                <w:szCs w:val="24"/>
                <w:highlight w:val="none"/>
              </w:rPr>
              <w:t>.招标文件的提供期限截止之日之后有潜在供应商提出获取招标文件的，采购代理机构将允许其获取。 </w:t>
            </w:r>
          </w:p>
          <w:p w14:paraId="2BFFD31E">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七、对本次采购提出询问、质疑、投诉，请按以下方式联系</w:t>
            </w:r>
          </w:p>
          <w:p w14:paraId="377F771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1.采购人信息</w:t>
            </w:r>
          </w:p>
          <w:p w14:paraId="08C83C77">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名称：绍兴市中医院 </w:t>
            </w:r>
          </w:p>
          <w:p w14:paraId="1424111F">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地址： 绍兴市越城区人民中路641号</w:t>
            </w:r>
          </w:p>
          <w:p w14:paraId="638F30C2">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传真：/</w:t>
            </w:r>
          </w:p>
          <w:p w14:paraId="7562E303">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项目联系人（询问）：</w:t>
            </w:r>
            <w:r>
              <w:rPr>
                <w:rFonts w:hint="eastAsia" w:ascii="仿宋" w:hAnsi="仿宋" w:eastAsia="仿宋" w:cs="仿宋"/>
                <w:color w:val="auto"/>
                <w:kern w:val="0"/>
                <w:sz w:val="24"/>
                <w:highlight w:val="none"/>
                <w:lang w:val="en-US" w:eastAsia="zh-CN"/>
              </w:rPr>
              <w:t>王月中</w:t>
            </w:r>
            <w:r>
              <w:rPr>
                <w:rFonts w:hint="eastAsia" w:ascii="仿宋" w:hAnsi="仿宋" w:eastAsia="仿宋" w:cs="仿宋"/>
                <w:color w:val="auto"/>
                <w:kern w:val="0"/>
                <w:sz w:val="24"/>
                <w:highlight w:val="none"/>
              </w:rPr>
              <w:t xml:space="preserve">     </w:t>
            </w:r>
          </w:p>
          <w:p w14:paraId="60AFE6C3">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项目联系方式（询问）：0575-8910</w:t>
            </w:r>
            <w:r>
              <w:rPr>
                <w:rFonts w:hint="eastAsia" w:ascii="仿宋" w:hAnsi="仿宋" w:eastAsia="仿宋" w:cs="仿宋"/>
                <w:color w:val="auto"/>
                <w:kern w:val="0"/>
                <w:sz w:val="24"/>
                <w:highlight w:val="none"/>
                <w:lang w:val="en-US" w:eastAsia="zh-CN"/>
              </w:rPr>
              <w:t>7227</w:t>
            </w:r>
          </w:p>
          <w:p w14:paraId="5D277798">
            <w:pPr>
              <w:widowControl/>
              <w:snapToGrid w:val="0"/>
              <w:spacing w:line="440" w:lineRule="exact"/>
              <w:ind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rPr>
              <w:t xml:space="preserve">质疑联系人： </w:t>
            </w:r>
            <w:r>
              <w:rPr>
                <w:rFonts w:hint="eastAsia" w:ascii="仿宋" w:hAnsi="仿宋" w:eastAsia="仿宋" w:cs="仿宋"/>
                <w:color w:val="auto"/>
                <w:kern w:val="0"/>
                <w:sz w:val="24"/>
                <w:highlight w:val="none"/>
                <w:lang w:val="en-US" w:eastAsia="zh-CN"/>
              </w:rPr>
              <w:t>王君妃</w:t>
            </w:r>
          </w:p>
          <w:p w14:paraId="1C6A0E19">
            <w:pPr>
              <w:widowControl/>
              <w:snapToGrid w:val="0"/>
              <w:spacing w:line="440" w:lineRule="exact"/>
              <w:ind w:firstLine="480" w:firstLineChars="200"/>
              <w:rPr>
                <w:rFonts w:hint="eastAsia" w:ascii="仿宋" w:hAnsi="仿宋" w:eastAsia="仿宋" w:cs="仿宋"/>
                <w:color w:val="auto"/>
                <w:szCs w:val="24"/>
                <w:highlight w:val="none"/>
              </w:rPr>
            </w:pPr>
            <w:r>
              <w:rPr>
                <w:rFonts w:hint="eastAsia" w:ascii="仿宋" w:hAnsi="仿宋" w:eastAsia="仿宋" w:cs="仿宋"/>
                <w:color w:val="auto"/>
                <w:kern w:val="0"/>
                <w:sz w:val="24"/>
                <w:highlight w:val="none"/>
              </w:rPr>
              <w:t>质疑联系方式：0575-89107189</w:t>
            </w:r>
            <w:r>
              <w:rPr>
                <w:rFonts w:hint="eastAsia" w:ascii="仿宋" w:hAnsi="仿宋" w:eastAsia="仿宋" w:cs="仿宋"/>
                <w:color w:val="auto"/>
                <w:szCs w:val="24"/>
                <w:highlight w:val="none"/>
              </w:rPr>
              <w:t xml:space="preserve"> </w:t>
            </w:r>
          </w:p>
          <w:p w14:paraId="052BD5A1">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2.采购代理机构信息       </w:t>
            </w:r>
          </w:p>
          <w:p w14:paraId="7C75E0C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名称：</w:t>
            </w:r>
            <w:r>
              <w:rPr>
                <w:rFonts w:hint="eastAsia" w:ascii="仿宋" w:hAnsi="仿宋" w:eastAsia="仿宋" w:cs="仿宋"/>
                <w:color w:val="auto"/>
                <w:szCs w:val="24"/>
                <w:highlight w:val="none"/>
                <w:lang w:eastAsia="zh-CN"/>
              </w:rPr>
              <w:t>浙江华夏工程管理有限公司</w:t>
            </w:r>
            <w:r>
              <w:rPr>
                <w:rFonts w:hint="eastAsia" w:ascii="仿宋" w:hAnsi="仿宋" w:eastAsia="仿宋" w:cs="仿宋"/>
                <w:color w:val="auto"/>
                <w:szCs w:val="24"/>
                <w:highlight w:val="none"/>
              </w:rPr>
              <w:t>       </w:t>
            </w:r>
          </w:p>
          <w:p w14:paraId="33D5FB48">
            <w:pPr>
              <w:widowControl/>
              <w:snapToGrid w:val="0"/>
              <w:spacing w:line="440" w:lineRule="exact"/>
              <w:ind w:firstLine="480" w:firstLineChars="2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地址：</w:t>
            </w:r>
            <w:r>
              <w:rPr>
                <w:rFonts w:hint="eastAsia" w:ascii="仿宋" w:hAnsi="仿宋" w:eastAsia="仿宋" w:cs="仿宋"/>
                <w:color w:val="auto"/>
                <w:kern w:val="0"/>
                <w:sz w:val="24"/>
                <w:highlight w:val="none"/>
                <w:lang w:eastAsia="zh-CN"/>
              </w:rPr>
              <w:t>绍兴市越城区迅腾大厦1404室</w:t>
            </w:r>
          </w:p>
          <w:p w14:paraId="3914D2F5">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传真：/</w:t>
            </w:r>
          </w:p>
          <w:p w14:paraId="0C6181A3">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项目联系人（询问）：</w:t>
            </w:r>
            <w:r>
              <w:rPr>
                <w:rFonts w:hint="eastAsia" w:ascii="仿宋" w:hAnsi="仿宋" w:eastAsia="仿宋" w:cs="仿宋"/>
                <w:color w:val="auto"/>
                <w:kern w:val="0"/>
                <w:sz w:val="24"/>
                <w:highlight w:val="none"/>
                <w:lang w:val="en-US" w:eastAsia="zh-CN"/>
              </w:rPr>
              <w:t>张峰</w:t>
            </w:r>
            <w:r>
              <w:rPr>
                <w:rFonts w:hint="eastAsia" w:ascii="仿宋" w:hAnsi="仿宋" w:eastAsia="仿宋" w:cs="仿宋"/>
                <w:color w:val="auto"/>
                <w:kern w:val="0"/>
                <w:sz w:val="24"/>
                <w:highlight w:val="none"/>
              </w:rPr>
              <w:t xml:space="preserve">        </w:t>
            </w:r>
          </w:p>
          <w:p w14:paraId="27E74CF4">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项目联系方式（询问）：</w:t>
            </w:r>
            <w:r>
              <w:rPr>
                <w:rFonts w:hint="eastAsia" w:ascii="仿宋" w:hAnsi="仿宋" w:eastAsia="仿宋" w:cs="仿宋"/>
                <w:color w:val="auto"/>
                <w:kern w:val="0"/>
                <w:sz w:val="24"/>
                <w:highlight w:val="none"/>
                <w:lang w:val="en-US" w:eastAsia="zh-CN"/>
              </w:rPr>
              <w:t>13625856780</w:t>
            </w:r>
            <w:r>
              <w:rPr>
                <w:rFonts w:hint="eastAsia" w:ascii="仿宋" w:hAnsi="仿宋" w:eastAsia="仿宋" w:cs="仿宋"/>
                <w:color w:val="auto"/>
                <w:kern w:val="0"/>
                <w:sz w:val="24"/>
                <w:highlight w:val="none"/>
              </w:rPr>
              <w:t xml:space="preserve"> </w:t>
            </w:r>
          </w:p>
          <w:p w14:paraId="4DAD4337">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质疑联系人：</w:t>
            </w:r>
            <w:r>
              <w:rPr>
                <w:rFonts w:hint="eastAsia" w:ascii="仿宋" w:hAnsi="仿宋" w:eastAsia="仿宋" w:cs="仿宋"/>
                <w:color w:val="auto"/>
                <w:kern w:val="0"/>
                <w:sz w:val="24"/>
                <w:highlight w:val="none"/>
                <w:lang w:val="en-US" w:eastAsia="zh-CN"/>
              </w:rPr>
              <w:t>俞洪波</w:t>
            </w:r>
            <w:r>
              <w:rPr>
                <w:rFonts w:hint="eastAsia" w:ascii="仿宋" w:hAnsi="仿宋" w:eastAsia="仿宋" w:cs="仿宋"/>
                <w:color w:val="auto"/>
                <w:kern w:val="0"/>
                <w:sz w:val="24"/>
                <w:highlight w:val="none"/>
              </w:rPr>
              <w:t xml:space="preserve">    </w:t>
            </w:r>
          </w:p>
          <w:p w14:paraId="56916F0F">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kern w:val="0"/>
                <w:sz w:val="24"/>
                <w:highlight w:val="none"/>
              </w:rPr>
              <w:t>质疑联系方式：</w:t>
            </w:r>
            <w:r>
              <w:rPr>
                <w:rFonts w:hint="eastAsia" w:ascii="仿宋" w:hAnsi="仿宋" w:eastAsia="仿宋" w:cs="仿宋"/>
                <w:color w:val="auto"/>
                <w:kern w:val="0"/>
                <w:sz w:val="24"/>
                <w:highlight w:val="none"/>
                <w:lang w:eastAsia="zh-CN"/>
              </w:rPr>
              <w:t>18106849337</w:t>
            </w:r>
            <w:r>
              <w:rPr>
                <w:rFonts w:hint="eastAsia" w:ascii="仿宋" w:hAnsi="仿宋" w:eastAsia="仿宋" w:cs="仿宋"/>
                <w:color w:val="auto"/>
                <w:szCs w:val="24"/>
                <w:highlight w:val="none"/>
              </w:rPr>
              <w:t> 　　　　　　         </w:t>
            </w:r>
          </w:p>
        </w:tc>
      </w:tr>
      <w:tr w14:paraId="2719148B">
        <w:tblPrEx>
          <w:tblCellMar>
            <w:top w:w="0" w:type="dxa"/>
            <w:left w:w="0" w:type="dxa"/>
            <w:bottom w:w="0" w:type="dxa"/>
            <w:right w:w="0" w:type="dxa"/>
          </w:tblCellMar>
        </w:tblPrEx>
        <w:tc>
          <w:tcPr>
            <w:tcW w:w="8789" w:type="dxa"/>
            <w:vAlign w:val="center"/>
          </w:tcPr>
          <w:p w14:paraId="7CFBF86F">
            <w:pPr>
              <w:rPr>
                <w:rFonts w:hint="eastAsia" w:ascii="仿宋" w:hAnsi="仿宋" w:eastAsia="仿宋" w:cs="仿宋"/>
                <w:color w:val="auto"/>
                <w:highlight w:val="none"/>
              </w:rPr>
            </w:pPr>
            <w:r>
              <w:rPr>
                <w:rFonts w:hint="eastAsia" w:ascii="仿宋" w:hAnsi="仿宋" w:eastAsia="仿宋" w:cs="仿宋"/>
                <w:color w:val="auto"/>
                <w:highlight w:val="none"/>
              </w:rPr>
              <w:t>·</w:t>
            </w:r>
          </w:p>
        </w:tc>
      </w:tr>
    </w:tbl>
    <w:p w14:paraId="0E3234A9">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highlight w:val="none"/>
        </w:rPr>
        <w:br w:type="page"/>
      </w:r>
    </w:p>
    <w:p w14:paraId="1B923082">
      <w:pPr>
        <w:pageBreakBefore/>
        <w:ind w:left="238"/>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第二部分 投标须知</w:t>
      </w:r>
    </w:p>
    <w:p w14:paraId="3CA7F52A">
      <w:pPr>
        <w:ind w:left="238"/>
        <w:jc w:val="center"/>
        <w:rPr>
          <w:rFonts w:hint="eastAsia" w:ascii="仿宋" w:hAnsi="仿宋" w:eastAsia="仿宋" w:cs="仿宋"/>
          <w:b/>
          <w:color w:val="auto"/>
          <w:sz w:val="30"/>
          <w:szCs w:val="36"/>
          <w:highlight w:val="none"/>
        </w:rPr>
      </w:pPr>
      <w:bookmarkStart w:id="0" w:name="_Hlk47616320"/>
      <w:r>
        <w:rPr>
          <w:rFonts w:hint="eastAsia" w:ascii="仿宋" w:hAnsi="仿宋" w:eastAsia="仿宋" w:cs="仿宋"/>
          <w:b/>
          <w:color w:val="auto"/>
          <w:sz w:val="30"/>
          <w:szCs w:val="36"/>
          <w:highlight w:val="none"/>
        </w:rPr>
        <w:t>前附表</w:t>
      </w:r>
    </w:p>
    <w:tbl>
      <w:tblPr>
        <w:tblStyle w:val="44"/>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1723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70" w:type="dxa"/>
            <w:vAlign w:val="center"/>
          </w:tcPr>
          <w:p w14:paraId="0B00E3A4">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5C5515D1">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5045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14:paraId="6B8DF380">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0448EB36">
            <w:pPr>
              <w:snapToGrid w:val="0"/>
              <w:spacing w:line="400" w:lineRule="exact"/>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投标人按照项目要求特许资格、资信证明文件（如果有）：</w:t>
            </w:r>
          </w:p>
          <w:p w14:paraId="5E77E230">
            <w:pPr>
              <w:spacing w:line="40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3A5C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14:paraId="0E46D2E2">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1C1E014A">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388CF8D9">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671DFFD6">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6E1F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870" w:type="dxa"/>
            <w:vAlign w:val="center"/>
          </w:tcPr>
          <w:p w14:paraId="48D7097F">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33E684A5">
            <w:pPr>
              <w:autoSpaceDE w:val="0"/>
              <w:autoSpaceDN w:val="0"/>
              <w:spacing w:line="400" w:lineRule="exact"/>
              <w:textAlignment w:val="bottom"/>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7EC3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14:paraId="266A3D11">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0E4E1187">
            <w:pPr>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7A6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14:paraId="1FACE9BB">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06F10C01">
            <w:pPr>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同意将非主体、非关键性的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工作分包。</w:t>
            </w:r>
          </w:p>
          <w:p w14:paraId="5A997B92">
            <w:pPr>
              <w:spacing w:line="400" w:lineRule="exact"/>
              <w:ind w:firstLine="720" w:firstLineChars="300"/>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rPr>
              <w:sym w:font="Wingdings" w:char="F0FE"/>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不同意分包。</w:t>
            </w:r>
          </w:p>
        </w:tc>
      </w:tr>
      <w:tr w14:paraId="49A9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70" w:type="dxa"/>
            <w:vAlign w:val="center"/>
          </w:tcPr>
          <w:p w14:paraId="29B0B8B5">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28853750">
            <w:pPr>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正本一份、副本四份</w:t>
            </w:r>
          </w:p>
        </w:tc>
      </w:tr>
      <w:tr w14:paraId="6C90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70" w:type="dxa"/>
            <w:vAlign w:val="center"/>
          </w:tcPr>
          <w:p w14:paraId="4D9509F0">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32795870">
            <w:pPr>
              <w:snapToGrid w:val="0"/>
              <w:spacing w:line="400" w:lineRule="exact"/>
              <w:rPr>
                <w:rFonts w:hint="eastAsia" w:ascii="仿宋" w:hAnsi="仿宋" w:eastAsia="仿宋" w:cs="仿宋"/>
                <w:bCs/>
                <w:color w:val="auto"/>
                <w:sz w:val="24"/>
                <w:highlight w:val="none"/>
              </w:rPr>
            </w:pPr>
            <w:r>
              <w:rPr>
                <w:rFonts w:hint="eastAsia" w:ascii="仿宋" w:hAnsi="仿宋" w:eastAsia="仿宋" w:cs="仿宋"/>
                <w:b/>
                <w:color w:val="auto"/>
                <w:sz w:val="24"/>
                <w:highlight w:val="none"/>
              </w:rPr>
              <w:t>开标前现场考察：</w:t>
            </w:r>
          </w:p>
          <w:p w14:paraId="730E12BC">
            <w:pPr>
              <w:spacing w:line="40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1263220618"/>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F0FE"/>
                </w:r>
              </w:sdtContent>
            </w:sdt>
            <w:r>
              <w:rPr>
                <w:rFonts w:hint="eastAsia" w:ascii="仿宋" w:hAnsi="仿宋" w:eastAsia="仿宋" w:cs="仿宋"/>
                <w:color w:val="auto"/>
                <w:kern w:val="0"/>
                <w:sz w:val="24"/>
                <w:highlight w:val="none"/>
              </w:rPr>
              <w:t xml:space="preserve"> A</w:t>
            </w:r>
            <w:r>
              <w:rPr>
                <w:rFonts w:hint="eastAsia" w:ascii="仿宋" w:hAnsi="仿宋" w:eastAsia="仿宋" w:cs="仿宋"/>
                <w:color w:val="auto"/>
                <w:sz w:val="24"/>
                <w:highlight w:val="none"/>
              </w:rPr>
              <w:t>不组织。</w:t>
            </w:r>
          </w:p>
          <w:p w14:paraId="4A5549E3">
            <w:pPr>
              <w:autoSpaceDE w:val="0"/>
              <w:autoSpaceDN w:val="0"/>
              <w:spacing w:line="400" w:lineRule="exact"/>
              <w:textAlignment w:val="bottom"/>
              <w:rPr>
                <w:rFonts w:hint="eastAsia" w:ascii="仿宋" w:hAnsi="仿宋" w:eastAsia="仿宋" w:cs="仿宋"/>
                <w:b/>
                <w:color w:val="auto"/>
                <w:sz w:val="24"/>
                <w:highlight w:val="none"/>
              </w:rPr>
            </w:pPr>
            <w:sdt>
              <w:sdtPr>
                <w:rPr>
                  <w:rFonts w:hint="eastAsia" w:ascii="仿宋" w:hAnsi="仿宋" w:eastAsia="仿宋" w:cs="仿宋"/>
                  <w:color w:val="auto"/>
                  <w:kern w:val="0"/>
                  <w:sz w:val="24"/>
                  <w:highlight w:val="none"/>
                </w:rPr>
                <w:id w:val="-940066905"/>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,地点：</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，联系人：</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，联系方式：</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szCs w:val="20"/>
                <w:highlight w:val="none"/>
              </w:rPr>
              <w:t>。（该日后获取招标文件的投标人如需现场考察的，请在开标前采购人的工作时间进行联系）</w:t>
            </w:r>
          </w:p>
        </w:tc>
      </w:tr>
      <w:tr w14:paraId="3202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70" w:type="dxa"/>
            <w:vAlign w:val="center"/>
          </w:tcPr>
          <w:p w14:paraId="24479642">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2053A68C">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样品提供：</w:t>
            </w:r>
            <w:r>
              <w:rPr>
                <w:rFonts w:hint="eastAsia" w:ascii="仿宋" w:hAnsi="仿宋" w:eastAsia="仿宋" w:cs="仿宋"/>
                <w:b/>
                <w:color w:val="auto"/>
                <w:sz w:val="24"/>
                <w:highlight w:val="none"/>
                <w:lang w:val="en-US" w:eastAsia="zh-CN"/>
              </w:rPr>
              <w:t>/</w:t>
            </w:r>
          </w:p>
        </w:tc>
      </w:tr>
      <w:tr w14:paraId="4774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0" w:type="dxa"/>
            <w:vAlign w:val="center"/>
          </w:tcPr>
          <w:p w14:paraId="6BF185B3">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194FB2B7">
            <w:pPr>
              <w:spacing w:line="400" w:lineRule="exact"/>
              <w:rPr>
                <w:rFonts w:hint="eastAsia" w:ascii="仿宋" w:hAnsi="仿宋" w:eastAsia="仿宋" w:cs="仿宋"/>
                <w:color w:val="auto"/>
                <w:sz w:val="24"/>
                <w:highlight w:val="none"/>
                <w:lang w:val="en-US" w:eastAsia="zh-CN"/>
              </w:rPr>
            </w:pPr>
            <w:r>
              <w:rPr>
                <w:rFonts w:hint="eastAsia" w:ascii="仿宋" w:hAnsi="仿宋" w:eastAsia="仿宋" w:cs="仿宋"/>
                <w:b/>
                <w:color w:val="auto"/>
                <w:sz w:val="24"/>
                <w:highlight w:val="none"/>
              </w:rPr>
              <w:t>讲解演示：</w:t>
            </w:r>
            <w:r>
              <w:rPr>
                <w:rFonts w:hint="eastAsia" w:ascii="仿宋" w:hAnsi="仿宋" w:eastAsia="仿宋" w:cs="仿宋"/>
                <w:b/>
                <w:color w:val="auto"/>
                <w:sz w:val="24"/>
                <w:highlight w:val="none"/>
                <w:lang w:eastAsia="zh-CN"/>
              </w:rPr>
              <w:t>无</w:t>
            </w:r>
          </w:p>
        </w:tc>
      </w:tr>
      <w:tr w14:paraId="1462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14:paraId="3995DE4E">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7424ED73">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3C3D23F9">
            <w:pPr>
              <w:spacing w:line="400" w:lineRule="exact"/>
              <w:rPr>
                <w:rFonts w:hint="eastAsia" w:ascii="仿宋" w:hAnsi="仿宋" w:eastAsia="仿宋" w:cs="仿宋"/>
                <w:color w:val="auto"/>
                <w:kern w:val="0"/>
                <w:sz w:val="24"/>
                <w:highlight w:val="none"/>
              </w:rPr>
            </w:pPr>
            <w:sdt>
              <w:sdtPr>
                <w:rPr>
                  <w:rFonts w:hint="eastAsia" w:ascii="仿宋" w:hAnsi="仿宋" w:eastAsia="仿宋" w:cs="仿宋"/>
                  <w:color w:val="auto"/>
                  <w:kern w:val="0"/>
                  <w:sz w:val="24"/>
                  <w:highlight w:val="none"/>
                </w:rPr>
                <w:id w:val="-751813434"/>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F0FE"/>
                </w:r>
              </w:sdtContent>
            </w:sdt>
            <w:r>
              <w:rPr>
                <w:rFonts w:hint="eastAsia" w:ascii="仿宋" w:hAnsi="仿宋" w:eastAsia="仿宋" w:cs="仿宋"/>
                <w:color w:val="auto"/>
                <w:kern w:val="0"/>
                <w:sz w:val="24"/>
                <w:highlight w:val="none"/>
              </w:rPr>
              <w:t>本项目不允许采购进口产品。</w:t>
            </w:r>
          </w:p>
          <w:p w14:paraId="276BBF7F">
            <w:pPr>
              <w:snapToGrid w:val="0"/>
              <w:spacing w:line="400" w:lineRule="exact"/>
              <w:rPr>
                <w:rFonts w:hint="eastAsia" w:ascii="仿宋" w:hAnsi="仿宋" w:eastAsia="仿宋" w:cs="仿宋"/>
                <w:b/>
                <w:color w:val="auto"/>
                <w:sz w:val="24"/>
                <w:highlight w:val="none"/>
              </w:rPr>
            </w:pPr>
            <w:sdt>
              <w:sdtPr>
                <w:rPr>
                  <w:rFonts w:hint="eastAsia" w:ascii="仿宋" w:hAnsi="仿宋" w:eastAsia="仿宋" w:cs="仿宋"/>
                  <w:color w:val="auto"/>
                  <w:kern w:val="0"/>
                  <w:sz w:val="24"/>
                  <w:highlight w:val="none"/>
                </w:rPr>
                <w:id w:val="-833212847"/>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6366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14:paraId="37822987">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565BB5E1">
            <w:pPr>
              <w:snapToGrid w:val="0"/>
              <w:spacing w:line="400" w:lineRule="exact"/>
              <w:ind w:left="-3" w:leftChars="-8" w:right="-50" w:rightChars="-24" w:hanging="14" w:hangingChars="7"/>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1B7EC946">
            <w:pPr>
              <w:spacing w:line="40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118727868"/>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kern w:val="0"/>
                      <w:sz w:val="24"/>
                      <w:highlight w:val="none"/>
                    </w:rPr>
                    <w:id w:val="8287135"/>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szCs w:val="21"/>
                          <w:highlight w:val="none"/>
                        </w:rPr>
                        <w:id w:val="4900522"/>
                      </w:sdtPr>
                      <w:sdtEndPr>
                        <w:rPr>
                          <w:rFonts w:hint="eastAsia" w:ascii="仿宋" w:hAnsi="仿宋" w:eastAsia="仿宋" w:cs="仿宋"/>
                          <w:color w:val="auto"/>
                          <w:szCs w:val="21"/>
                          <w:highlight w:val="none"/>
                        </w:rPr>
                      </w:sdtEndPr>
                      <w:sdtContent>
                        <w:r>
                          <w:rPr>
                            <w:rFonts w:hint="eastAsia" w:ascii="仿宋" w:hAnsi="仿宋" w:eastAsia="仿宋" w:cs="仿宋"/>
                            <w:color w:val="auto"/>
                            <w:highlight w:val="none"/>
                          </w:rPr>
                          <w:sym w:font="Wingdings" w:char="00FE"/>
                        </w:r>
                      </w:sdtContent>
                    </w:sdt>
                  </w:sdtContent>
                </w:sdt>
              </w:sdtContent>
            </w:sdt>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0704294">
            <w:pPr>
              <w:snapToGrid w:val="0"/>
              <w:spacing w:line="40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474885559"/>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kern w:val="0"/>
                      <w:sz w:val="24"/>
                      <w:highlight w:val="none"/>
                    </w:rPr>
                    <w:id w:val="4701934"/>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00A8"/>
                    </w:r>
                  </w:sdtContent>
                </w:sdt>
              </w:sdtContent>
            </w:sdt>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1E30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restart"/>
            <w:vAlign w:val="center"/>
          </w:tcPr>
          <w:p w14:paraId="3F293E9C">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2</w:t>
            </w:r>
          </w:p>
        </w:tc>
        <w:tc>
          <w:tcPr>
            <w:tcW w:w="855" w:type="dxa"/>
            <w:vMerge w:val="restart"/>
            <w:vAlign w:val="center"/>
          </w:tcPr>
          <w:p w14:paraId="2BCE8E1C">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549219A9">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E99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14:paraId="708B69D7">
            <w:pPr>
              <w:spacing w:line="400" w:lineRule="exact"/>
              <w:jc w:val="center"/>
              <w:rPr>
                <w:rFonts w:hint="eastAsia" w:ascii="仿宋" w:hAnsi="仿宋" w:eastAsia="仿宋" w:cs="仿宋"/>
                <w:color w:val="auto"/>
                <w:sz w:val="24"/>
                <w:highlight w:val="none"/>
              </w:rPr>
            </w:pPr>
          </w:p>
        </w:tc>
        <w:tc>
          <w:tcPr>
            <w:tcW w:w="855" w:type="dxa"/>
            <w:vMerge w:val="continue"/>
            <w:vAlign w:val="center"/>
          </w:tcPr>
          <w:p w14:paraId="3749B522">
            <w:pPr>
              <w:snapToGrid w:val="0"/>
              <w:spacing w:line="400" w:lineRule="exact"/>
              <w:rPr>
                <w:rFonts w:hint="eastAsia" w:ascii="仿宋" w:hAnsi="仿宋" w:eastAsia="仿宋" w:cs="仿宋"/>
                <w:b/>
                <w:color w:val="auto"/>
                <w:sz w:val="24"/>
                <w:highlight w:val="none"/>
              </w:rPr>
            </w:pPr>
          </w:p>
        </w:tc>
        <w:tc>
          <w:tcPr>
            <w:tcW w:w="7515" w:type="dxa"/>
            <w:vAlign w:val="center"/>
          </w:tcPr>
          <w:p w14:paraId="578D35EB">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6952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14:paraId="4B00E6A6">
            <w:pPr>
              <w:spacing w:line="400" w:lineRule="exact"/>
              <w:jc w:val="center"/>
              <w:rPr>
                <w:rFonts w:hint="eastAsia" w:ascii="仿宋" w:hAnsi="仿宋" w:eastAsia="仿宋" w:cs="仿宋"/>
                <w:color w:val="auto"/>
                <w:sz w:val="24"/>
                <w:highlight w:val="none"/>
              </w:rPr>
            </w:pPr>
          </w:p>
        </w:tc>
        <w:tc>
          <w:tcPr>
            <w:tcW w:w="855" w:type="dxa"/>
            <w:vMerge w:val="continue"/>
            <w:vAlign w:val="center"/>
          </w:tcPr>
          <w:p w14:paraId="7E32F62B">
            <w:pPr>
              <w:snapToGrid w:val="0"/>
              <w:spacing w:line="400" w:lineRule="exact"/>
              <w:rPr>
                <w:rFonts w:hint="eastAsia" w:ascii="仿宋" w:hAnsi="仿宋" w:eastAsia="仿宋" w:cs="仿宋"/>
                <w:b/>
                <w:color w:val="auto"/>
                <w:sz w:val="24"/>
                <w:highlight w:val="none"/>
              </w:rPr>
            </w:pPr>
          </w:p>
        </w:tc>
        <w:tc>
          <w:tcPr>
            <w:tcW w:w="7515" w:type="dxa"/>
            <w:vAlign w:val="center"/>
          </w:tcPr>
          <w:p w14:paraId="6F7A9416">
            <w:pPr>
              <w:snapToGrid w:val="0"/>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经查询列入失信被执行人名单、重大税收违法案件当事人名单、政府采购严重违法失信行为记录名单的投标人将被拒绝参与政府采购活动。</w:t>
            </w:r>
          </w:p>
          <w:p w14:paraId="297DD0A8">
            <w:pPr>
              <w:snapToGrid w:val="0"/>
              <w:spacing w:line="40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6E72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870" w:type="dxa"/>
            <w:vAlign w:val="center"/>
          </w:tcPr>
          <w:p w14:paraId="74F03599">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3</w:t>
            </w:r>
          </w:p>
        </w:tc>
        <w:tc>
          <w:tcPr>
            <w:tcW w:w="8370" w:type="dxa"/>
            <w:gridSpan w:val="2"/>
            <w:vAlign w:val="center"/>
          </w:tcPr>
          <w:p w14:paraId="14B96417">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扰乱公共资源交易市场秩序行为：</w:t>
            </w:r>
          </w:p>
          <w:p w14:paraId="686B2D6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不诚信参加公共资源交易活动，扰乱市场秩序，被绍兴市公共资源交易平台责令整改、暂停交易的投标人，在此期间将被拒绝参与政府采购活动。</w:t>
            </w:r>
          </w:p>
        </w:tc>
      </w:tr>
      <w:tr w14:paraId="4096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870" w:type="dxa"/>
            <w:vAlign w:val="center"/>
          </w:tcPr>
          <w:p w14:paraId="4BA4B7D1">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4</w:t>
            </w:r>
          </w:p>
        </w:tc>
        <w:tc>
          <w:tcPr>
            <w:tcW w:w="8370" w:type="dxa"/>
            <w:gridSpan w:val="2"/>
            <w:vAlign w:val="center"/>
          </w:tcPr>
          <w:p w14:paraId="6809411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需要落实的政府采购政策：包括保护环境、节约能源等。详见招标文件第二部分总则。</w:t>
            </w:r>
          </w:p>
        </w:tc>
      </w:tr>
      <w:tr w14:paraId="0D9D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Align w:val="center"/>
          </w:tcPr>
          <w:p w14:paraId="62B3E947">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5</w:t>
            </w:r>
          </w:p>
        </w:tc>
        <w:tc>
          <w:tcPr>
            <w:tcW w:w="8370" w:type="dxa"/>
            <w:gridSpan w:val="2"/>
            <w:vAlign w:val="center"/>
          </w:tcPr>
          <w:p w14:paraId="369A571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6A76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Align w:val="center"/>
          </w:tcPr>
          <w:p w14:paraId="6A9249DC">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                                                                                                                                                                                                                                                                                                                                                                                                                                                                                                                                                                                                                                                                                                                                                                                                                                                                                                                                                                                                                                                                                                                                                                                                                                                                                                                                        </w:t>
            </w:r>
          </w:p>
        </w:tc>
        <w:tc>
          <w:tcPr>
            <w:tcW w:w="8370" w:type="dxa"/>
            <w:gridSpan w:val="2"/>
            <w:vAlign w:val="center"/>
          </w:tcPr>
          <w:p w14:paraId="277E7F2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7F02BEB5">
            <w:pPr>
              <w:snapToGrid w:val="0"/>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1.本项目采用纸质投标文件。若供应商参与投标，自行承担投标一切费用。投标文件允许投标单位通过邮寄快递方式送达（建议采用EMS或顺丰快递。邮寄送达地址：</w:t>
            </w:r>
            <w:r>
              <w:rPr>
                <w:rFonts w:hint="eastAsia" w:ascii="仿宋" w:hAnsi="仿宋" w:eastAsia="仿宋" w:cs="仿宋"/>
                <w:b/>
                <w:bCs/>
                <w:color w:val="auto"/>
                <w:sz w:val="24"/>
                <w:highlight w:val="none"/>
                <w:lang w:eastAsia="zh-CN"/>
              </w:rPr>
              <w:t>绍兴市越城区迅腾大厦1404室浙江华夏工程管理有限公司</w:t>
            </w:r>
            <w:r>
              <w:rPr>
                <w:rFonts w:hint="eastAsia" w:ascii="仿宋" w:hAnsi="仿宋" w:eastAsia="仿宋" w:cs="仿宋"/>
                <w:b/>
                <w:bCs/>
                <w:color w:val="auto"/>
                <w:sz w:val="24"/>
                <w:highlight w:val="none"/>
              </w:rPr>
              <w:t>招标代理部（</w:t>
            </w:r>
            <w:r>
              <w:rPr>
                <w:rFonts w:hint="eastAsia" w:ascii="仿宋" w:hAnsi="仿宋" w:eastAsia="仿宋" w:cs="仿宋"/>
                <w:b/>
                <w:bCs/>
                <w:color w:val="auto"/>
                <w:sz w:val="24"/>
                <w:highlight w:val="none"/>
                <w:lang w:eastAsia="zh-CN"/>
              </w:rPr>
              <w:t>浙江华夏工程管理有限公司</w:t>
            </w:r>
            <w:r>
              <w:rPr>
                <w:rFonts w:hint="eastAsia" w:ascii="仿宋" w:hAnsi="仿宋" w:eastAsia="仿宋" w:cs="仿宋"/>
                <w:b/>
                <w:bCs/>
                <w:color w:val="auto"/>
                <w:sz w:val="24"/>
                <w:highlight w:val="none"/>
              </w:rPr>
              <w:t>，接收人：</w:t>
            </w:r>
            <w:r>
              <w:rPr>
                <w:rFonts w:hint="eastAsia" w:ascii="仿宋" w:hAnsi="仿宋" w:eastAsia="仿宋" w:cs="仿宋"/>
                <w:b/>
                <w:bCs/>
                <w:color w:val="auto"/>
                <w:sz w:val="24"/>
                <w:highlight w:val="none"/>
                <w:lang w:val="en-US" w:eastAsia="zh-CN"/>
              </w:rPr>
              <w:t>张峰</w:t>
            </w:r>
            <w:r>
              <w:rPr>
                <w:rFonts w:hint="eastAsia" w:ascii="仿宋" w:hAnsi="仿宋" w:eastAsia="仿宋" w:cs="仿宋"/>
                <w:b/>
                <w:bCs/>
                <w:color w:val="auto"/>
                <w:sz w:val="24"/>
                <w:highlight w:val="none"/>
              </w:rPr>
              <w:t>，联系方式：</w:t>
            </w:r>
            <w:r>
              <w:rPr>
                <w:rFonts w:hint="eastAsia" w:ascii="仿宋" w:hAnsi="仿宋" w:eastAsia="仿宋" w:cs="仿宋"/>
                <w:b/>
                <w:bCs/>
                <w:color w:val="auto"/>
                <w:sz w:val="24"/>
                <w:highlight w:val="none"/>
                <w:lang w:val="en-US" w:eastAsia="zh-CN"/>
              </w:rPr>
              <w:t>13625856780</w:t>
            </w:r>
            <w:r>
              <w:rPr>
                <w:rFonts w:hint="eastAsia" w:ascii="仿宋" w:hAnsi="仿宋" w:eastAsia="仿宋" w:cs="仿宋"/>
                <w:b/>
                <w:bCs/>
                <w:color w:val="auto"/>
                <w:sz w:val="24"/>
                <w:highlight w:val="none"/>
              </w:rPr>
              <w:t>。快递寄出后，请将快递底单照片发送邮件至</w:t>
            </w:r>
            <w:r>
              <w:rPr>
                <w:rFonts w:hint="eastAsia" w:ascii="仿宋" w:hAnsi="仿宋" w:eastAsia="仿宋" w:cs="仿宋"/>
                <w:b/>
                <w:bCs/>
                <w:color w:val="auto"/>
                <w:sz w:val="24"/>
                <w:highlight w:val="none"/>
                <w:lang w:eastAsia="zh-CN"/>
              </w:rPr>
              <w:t>303736433@qq.com</w:t>
            </w:r>
            <w:r>
              <w:rPr>
                <w:rFonts w:hint="eastAsia" w:ascii="仿宋" w:hAnsi="仿宋" w:eastAsia="仿宋" w:cs="仿宋"/>
                <w:b/>
                <w:bCs/>
                <w:color w:val="auto"/>
                <w:sz w:val="24"/>
                <w:highlight w:val="none"/>
              </w:rPr>
              <w:t>，邮件名称为公司名称+联系人姓名+手机号，以便及时查收）。同时请充分考虑快递时间，确保在投标截止时间前送达。投标文件递交的时间以招标代理机构签收时间为准，除邮寄外包装外，投标文件仍需要按采购文件要求封包，但在邮寄过程中发生的包封缺损或保管过程中发生的一切事宜均由投标人自行承担。</w:t>
            </w:r>
          </w:p>
          <w:p w14:paraId="5958AF81">
            <w:pPr>
              <w:snapToGrid w:val="0"/>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 同时允许投标单位现场送达（即交即走）的方式，在投标截止时间前将投标文件递交至</w:t>
            </w:r>
            <w:r>
              <w:rPr>
                <w:rFonts w:hint="eastAsia" w:ascii="仿宋" w:hAnsi="仿宋" w:eastAsia="仿宋" w:cs="仿宋"/>
                <w:b/>
                <w:bCs/>
                <w:color w:val="auto"/>
                <w:sz w:val="24"/>
                <w:highlight w:val="none"/>
                <w:lang w:eastAsia="zh-CN"/>
              </w:rPr>
              <w:t>绍兴市越城区迅腾大厦1404室</w:t>
            </w:r>
            <w:r>
              <w:rPr>
                <w:rFonts w:hint="eastAsia" w:ascii="仿宋" w:hAnsi="仿宋" w:eastAsia="仿宋" w:cs="仿宋"/>
                <w:b/>
                <w:bCs/>
                <w:color w:val="auto"/>
                <w:sz w:val="24"/>
                <w:highlight w:val="none"/>
              </w:rPr>
              <w:t>（</w:t>
            </w:r>
            <w:r>
              <w:rPr>
                <w:rFonts w:hint="eastAsia" w:ascii="仿宋" w:hAnsi="仿宋" w:eastAsia="仿宋" w:cs="仿宋"/>
                <w:b/>
                <w:bCs/>
                <w:color w:val="auto"/>
                <w:sz w:val="24"/>
                <w:highlight w:val="none"/>
                <w:lang w:eastAsia="zh-CN"/>
              </w:rPr>
              <w:t>浙江华夏工程管理有限公司</w:t>
            </w:r>
            <w:r>
              <w:rPr>
                <w:rFonts w:hint="eastAsia" w:ascii="仿宋" w:hAnsi="仿宋" w:eastAsia="仿宋" w:cs="仿宋"/>
                <w:b/>
                <w:bCs/>
                <w:color w:val="auto"/>
                <w:sz w:val="24"/>
                <w:highlight w:val="none"/>
              </w:rPr>
              <w:t>）</w:t>
            </w:r>
            <w:r>
              <w:rPr>
                <w:rFonts w:hint="eastAsia" w:ascii="仿宋" w:hAnsi="仿宋" w:eastAsia="仿宋" w:cs="仿宋"/>
                <w:b/>
                <w:bCs/>
                <w:color w:val="auto"/>
                <w:sz w:val="24"/>
                <w:highlight w:val="none"/>
                <w:lang w:eastAsia="zh-CN"/>
              </w:rPr>
              <w:t>评标室</w:t>
            </w:r>
            <w:r>
              <w:rPr>
                <w:rFonts w:hint="eastAsia" w:ascii="仿宋" w:hAnsi="仿宋" w:eastAsia="仿宋" w:cs="仿宋"/>
                <w:b/>
                <w:bCs/>
                <w:color w:val="auto"/>
                <w:sz w:val="24"/>
                <w:highlight w:val="none"/>
              </w:rPr>
              <w:t>。</w:t>
            </w:r>
          </w:p>
          <w:p w14:paraId="4B2E8A9D">
            <w:pPr>
              <w:snapToGrid w:val="0"/>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3161B15B">
            <w:pPr>
              <w:snapToGrid w:val="0"/>
              <w:spacing w:line="400" w:lineRule="exact"/>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4.本项目招标文件内对开标现场原件核验不作要求，采购人有权在标后对中标候选人进行原件核验。投标人对所提供的全部资料的真实性承担法律责任。</w:t>
            </w:r>
          </w:p>
        </w:tc>
      </w:tr>
      <w:tr w14:paraId="3713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restart"/>
            <w:vAlign w:val="center"/>
          </w:tcPr>
          <w:p w14:paraId="7EAE10CF">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7</w:t>
            </w:r>
          </w:p>
        </w:tc>
        <w:tc>
          <w:tcPr>
            <w:tcW w:w="8370" w:type="dxa"/>
            <w:gridSpan w:val="2"/>
            <w:vAlign w:val="center"/>
          </w:tcPr>
          <w:p w14:paraId="16E172FD">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2D00EB95">
            <w:pPr>
              <w:spacing w:line="400" w:lineRule="exact"/>
              <w:rPr>
                <w:rFonts w:hint="eastAsia"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2941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continue"/>
            <w:vAlign w:val="center"/>
          </w:tcPr>
          <w:p w14:paraId="01075B9A">
            <w:pPr>
              <w:spacing w:line="400" w:lineRule="exact"/>
              <w:jc w:val="center"/>
              <w:rPr>
                <w:rFonts w:hint="eastAsia" w:ascii="仿宋" w:hAnsi="仿宋" w:eastAsia="仿宋" w:cs="仿宋"/>
                <w:color w:val="auto"/>
                <w:sz w:val="24"/>
                <w:highlight w:val="none"/>
              </w:rPr>
            </w:pPr>
          </w:p>
        </w:tc>
        <w:tc>
          <w:tcPr>
            <w:tcW w:w="8370" w:type="dxa"/>
            <w:gridSpan w:val="2"/>
            <w:vAlign w:val="center"/>
          </w:tcPr>
          <w:p w14:paraId="11D20A1B">
            <w:pPr>
              <w:adjustRightInd w:val="0"/>
              <w:spacing w:line="400" w:lineRule="exact"/>
              <w:rPr>
                <w:rFonts w:hint="eastAsia" w:ascii="仿宋" w:hAnsi="仿宋" w:eastAsia="仿宋" w:cs="仿宋"/>
                <w:snapToGrid w:val="0"/>
                <w:color w:val="auto"/>
                <w:kern w:val="28"/>
                <w:sz w:val="24"/>
                <w:highlight w:val="none"/>
              </w:rPr>
            </w:pPr>
            <w:sdt>
              <w:sdtPr>
                <w:rPr>
                  <w:rFonts w:hint="eastAsia" w:ascii="仿宋" w:hAnsi="仿宋" w:eastAsia="仿宋" w:cs="仿宋"/>
                  <w:color w:val="auto"/>
                  <w:kern w:val="0"/>
                  <w:sz w:val="24"/>
                  <w:szCs w:val="21"/>
                  <w:highlight w:val="none"/>
                </w:rPr>
                <w:id w:val="-1816336663"/>
              </w:sdtPr>
              <w:sdtEndPr>
                <w:rPr>
                  <w:rFonts w:hint="eastAsia" w:ascii="仿宋" w:hAnsi="仿宋" w:eastAsia="仿宋" w:cs="仿宋"/>
                  <w:color w:val="auto"/>
                  <w:kern w:val="0"/>
                  <w:sz w:val="24"/>
                  <w:szCs w:val="21"/>
                  <w:highlight w:val="none"/>
                </w:rPr>
              </w:sdtEndPr>
              <w:sdtContent>
                <w:sdt>
                  <w:sdtPr>
                    <w:rPr>
                      <w:rFonts w:hint="eastAsia" w:ascii="仿宋" w:hAnsi="仿宋" w:eastAsia="仿宋" w:cs="仿宋"/>
                      <w:color w:val="auto"/>
                      <w:kern w:val="0"/>
                      <w:sz w:val="24"/>
                      <w:szCs w:val="21"/>
                      <w:highlight w:val="none"/>
                    </w:rPr>
                    <w:id w:val="-232311894"/>
                  </w:sdtPr>
                  <w:sdtEndPr>
                    <w:rPr>
                      <w:rFonts w:hint="eastAsia" w:ascii="仿宋" w:hAnsi="仿宋" w:eastAsia="仿宋" w:cs="仿宋"/>
                      <w:color w:val="auto"/>
                      <w:kern w:val="0"/>
                      <w:sz w:val="24"/>
                      <w:szCs w:val="21"/>
                      <w:highlight w:val="none"/>
                    </w:rPr>
                  </w:sdtEndPr>
                  <w:sdtContent>
                    <w:r>
                      <w:rPr>
                        <w:rFonts w:hint="eastAsia" w:ascii="仿宋" w:hAnsi="仿宋" w:eastAsia="仿宋" w:cs="仿宋"/>
                        <w:color w:val="auto"/>
                        <w:kern w:val="0"/>
                        <w:sz w:val="24"/>
                        <w:highlight w:val="none"/>
                      </w:rPr>
                      <w:sym w:font="Wingdings" w:char="F0FE"/>
                    </w:r>
                  </w:sdtContent>
                </w:sdt>
              </w:sdtContent>
            </w:sdt>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42050B0B">
            <w:pPr>
              <w:spacing w:line="400" w:lineRule="exact"/>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DB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Align w:val="center"/>
          </w:tcPr>
          <w:p w14:paraId="75996A87">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w:t>
            </w:r>
          </w:p>
        </w:tc>
        <w:tc>
          <w:tcPr>
            <w:tcW w:w="8370" w:type="dxa"/>
            <w:gridSpan w:val="2"/>
            <w:vAlign w:val="center"/>
          </w:tcPr>
          <w:p w14:paraId="2EF0FD4C">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采购代理服务费：</w:t>
            </w:r>
          </w:p>
          <w:p w14:paraId="15EE7E37">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中标人须向采购代理机构按如下标准和规定交纳代理服务费，并在投标报价中自行考虑：</w:t>
            </w:r>
          </w:p>
          <w:p w14:paraId="43E34A75">
            <w:pPr>
              <w:keepNext w:val="0"/>
              <w:keepLines w:val="0"/>
              <w:pageBreakBefore w:val="0"/>
              <w:widowControl w:val="0"/>
              <w:kinsoku/>
              <w:wordWrap/>
              <w:overflowPunct/>
              <w:topLinePunct w:val="0"/>
              <w:bidi w:val="0"/>
              <w:adjustRightInd w:val="0"/>
              <w:spacing w:line="440" w:lineRule="exact"/>
              <w:ind w:left="0" w:leftChars="0" w:right="0" w:rightChars="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（1）以中标通知中确定的中标总金额作为代理服务费的计算基数，具体比例参照根据项目的中标金额，采用差额定率累进法进行计算，</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具体费率标准如下：中标金额在100万元以下部分货物、服务招标均为1.5%；100-500万部分，货物招标收取1.1%，服务招标收取0.8%</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费率标准</w:t>
            </w:r>
            <w:r>
              <w:rPr>
                <w:rFonts w:hint="eastAsia" w:ascii="仿宋" w:hAnsi="仿宋" w:eastAsia="仿宋" w:cs="仿宋"/>
                <w:color w:val="auto"/>
                <w:sz w:val="24"/>
                <w:highlight w:val="none"/>
                <w:lang w:val="en-US" w:eastAsia="zh-CN"/>
              </w:rPr>
              <w:t>*55</w:t>
            </w:r>
            <w:r>
              <w:rPr>
                <w:rFonts w:hint="eastAsia" w:ascii="仿宋" w:hAnsi="仿宋" w:eastAsia="仿宋" w:cs="仿宋"/>
                <w:color w:val="auto"/>
                <w:sz w:val="24"/>
                <w:highlight w:val="none"/>
              </w:rPr>
              <w:t>%执行。</w:t>
            </w:r>
            <w:r>
              <w:rPr>
                <w:rFonts w:hint="eastAsia" w:ascii="仿宋" w:hAnsi="仿宋" w:eastAsia="仿宋" w:cs="仿宋"/>
                <w:snapToGrid w:val="0"/>
                <w:color w:val="auto"/>
                <w:kern w:val="28"/>
                <w:sz w:val="24"/>
                <w:highlight w:val="none"/>
              </w:rPr>
              <w:t>服务费不到2000元按照2000元收取。</w:t>
            </w:r>
            <w:r>
              <w:rPr>
                <w:rFonts w:hint="eastAsia" w:ascii="仿宋" w:hAnsi="仿宋" w:eastAsia="仿宋" w:cs="仿宋"/>
                <w:snapToGrid w:val="0"/>
                <w:color w:val="auto"/>
                <w:kern w:val="28"/>
                <w:sz w:val="24"/>
                <w:highlight w:val="none"/>
                <w:lang w:val="en-US" w:eastAsia="zh-CN"/>
              </w:rPr>
              <w:t>该费用由中标人均摊。</w:t>
            </w:r>
          </w:p>
          <w:p w14:paraId="7A9A884B">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（2）代理服务费的交纳方式：</w:t>
            </w:r>
          </w:p>
          <w:p w14:paraId="6A420C80">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用银行支票、汇票、电汇、现金等付款方式直接交纳代理服务费。</w:t>
            </w:r>
          </w:p>
          <w:p w14:paraId="11F8483E">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公司名称：浙江华夏工程管理有限公司绍兴分公司</w:t>
            </w:r>
          </w:p>
          <w:p w14:paraId="289030FD">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1211018109200094088</w:t>
            </w:r>
          </w:p>
          <w:p w14:paraId="1E7FFAE7">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工商银行城东新区支行</w:t>
            </w:r>
          </w:p>
          <w:p w14:paraId="692C9C47">
            <w:pPr>
              <w:numPr>
                <w:ilvl w:val="255"/>
                <w:numId w:val="0"/>
              </w:num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（3）领取中标通知书前交纳。</w:t>
            </w:r>
          </w:p>
        </w:tc>
      </w:tr>
      <w:tr w14:paraId="7349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3"/>
            <w:vAlign w:val="center"/>
          </w:tcPr>
          <w:p w14:paraId="7E3595F4">
            <w:pPr>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解释：凡涉及本招标文件的解释权属于采购人和</w:t>
            </w:r>
            <w:r>
              <w:rPr>
                <w:rFonts w:hint="eastAsia" w:ascii="仿宋" w:hAnsi="仿宋" w:eastAsia="仿宋" w:cs="仿宋"/>
                <w:color w:val="auto"/>
                <w:sz w:val="24"/>
                <w:highlight w:val="none"/>
                <w:lang w:eastAsia="zh-CN"/>
              </w:rPr>
              <w:t>采购代理机构</w:t>
            </w:r>
            <w:r>
              <w:rPr>
                <w:rFonts w:hint="eastAsia" w:ascii="仿宋" w:hAnsi="仿宋" w:eastAsia="仿宋" w:cs="仿宋"/>
                <w:color w:val="auto"/>
                <w:sz w:val="24"/>
                <w:highlight w:val="none"/>
              </w:rPr>
              <w:t>。</w:t>
            </w:r>
          </w:p>
        </w:tc>
      </w:tr>
      <w:tr w14:paraId="3243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3"/>
            <w:vAlign w:val="center"/>
          </w:tcPr>
          <w:p w14:paraId="15D6BD59">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0"/>
    </w:tbl>
    <w:p w14:paraId="07D2CB42">
      <w:pPr>
        <w:pageBreakBefore/>
        <w:snapToGrid w:val="0"/>
        <w:spacing w:line="30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一、总则</w:t>
      </w:r>
    </w:p>
    <w:p w14:paraId="4DD874DD">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 项目说明</w:t>
      </w:r>
    </w:p>
    <w:p w14:paraId="789DF016">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1.1本招标文件适用于该项目的招标、投标、开标、资格审查及信用信息查询、评标、定标、合同、验收等行为（法律、法规另有规定的，从其规定）。</w:t>
      </w:r>
    </w:p>
    <w:p w14:paraId="736173AD">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1.2投标人一旦参与本次招标活动，即被视为接受了本招标文件的所有内容，如有任何异议，均应在法定时间内提出。</w:t>
      </w:r>
    </w:p>
    <w:p w14:paraId="7CFA8FC9">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投标人须对所投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4FFF6942">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1.4本招标文件所称公章是指单位法定名称章或者冠以法定名称的投标业务专用章或单位法定名称公章。</w:t>
      </w:r>
    </w:p>
    <w:p w14:paraId="62DB4B8B">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定义</w:t>
      </w:r>
    </w:p>
    <w:p w14:paraId="06CA1F2E">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2.1政府采购当事人及监管部门</w:t>
      </w:r>
    </w:p>
    <w:p w14:paraId="3B4E5E23">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2.1.1“采购人”系指采购公告中载明的本项目的采购人，即</w:t>
      </w: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（合同中的甲方）。</w:t>
      </w:r>
    </w:p>
    <w:p w14:paraId="2DA40DA5">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2.1.2“采购代理机构”系指采购公告中载明的本项目的采购机构，即</w:t>
      </w:r>
      <w:r>
        <w:rPr>
          <w:rFonts w:hint="eastAsia" w:ascii="仿宋" w:hAnsi="仿宋" w:eastAsia="仿宋" w:cs="仿宋"/>
          <w:color w:val="auto"/>
          <w:sz w:val="24"/>
          <w:highlight w:val="none"/>
          <w:lang w:eastAsia="zh-CN"/>
        </w:rPr>
        <w:t>浙江华夏工程管理有限公司</w:t>
      </w:r>
      <w:r>
        <w:rPr>
          <w:rFonts w:hint="eastAsia" w:ascii="仿宋" w:hAnsi="仿宋" w:eastAsia="仿宋" w:cs="仿宋"/>
          <w:color w:val="auto"/>
          <w:sz w:val="24"/>
          <w:highlight w:val="none"/>
        </w:rPr>
        <w:t>。</w:t>
      </w:r>
    </w:p>
    <w:p w14:paraId="4C6F55B6">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2.1.3“供应商”系指响应招标、参加投标竞争的法人、其他组织或者自然人为投标人，或经评审产生的中标候选人，或发布中标公告后并签订合同的中标人（合同中的乙方），</w:t>
      </w:r>
    </w:p>
    <w:p w14:paraId="79AF5412">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2.2“产品”系指供方按招标文件规定，经合法途径取得的，须向采购人提供的一切产品、保险、税金、安装、施工、调试、备品备件、工具、手册及其它有关技术资料和材料。</w:t>
      </w:r>
    </w:p>
    <w:p w14:paraId="5F41FCF1">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2.3“服务”系指招标文件规定投标人须承担的安装、调试、技术协助、校准、培训、技术指导以及其他类似的义务。</w:t>
      </w:r>
    </w:p>
    <w:p w14:paraId="06FF28CA">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2.4“项目”系指投标人按招标文件规定向采购人提供的产品和服务。</w:t>
      </w:r>
    </w:p>
    <w:p w14:paraId="41E573B7">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2.5“授权代表”系指法定代表人的被授权委托人。</w:t>
      </w:r>
    </w:p>
    <w:p w14:paraId="4CEC91E4">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 “★”系指实质性指标要求条款，“▲” 系指主要性能指标要求条款。如任意一条打“★”的指标出现负偏离视为实质性不响应招标文件要求，作无效投标处理；如任意一条打“▲”的指标出现负偏离按评分标准作扣分处理。“</w:t>
      </w:r>
      <w:sdt>
        <w:sdtPr>
          <w:rPr>
            <w:rFonts w:hint="eastAsia" w:ascii="仿宋" w:hAnsi="仿宋" w:eastAsia="仿宋" w:cs="仿宋"/>
            <w:color w:val="auto"/>
            <w:kern w:val="0"/>
            <w:sz w:val="24"/>
            <w:highlight w:val="none"/>
          </w:rPr>
          <w:id w:val="512970236"/>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sz w:val="24"/>
          <w:highlight w:val="none"/>
        </w:rPr>
        <w:t>” 系指适用本项目的要求，“</w:t>
      </w:r>
      <w:sdt>
        <w:sdtPr>
          <w:rPr>
            <w:rFonts w:hint="eastAsia" w:ascii="仿宋" w:hAnsi="仿宋" w:eastAsia="仿宋" w:cs="仿宋"/>
            <w:color w:val="auto"/>
            <w:kern w:val="0"/>
            <w:sz w:val="24"/>
            <w:highlight w:val="none"/>
          </w:rPr>
          <w:id w:val="404888855"/>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sz w:val="24"/>
          <w:highlight w:val="none"/>
        </w:rPr>
        <w:t>”系指不适用本项目的要求。</w:t>
      </w:r>
    </w:p>
    <w:p w14:paraId="7DA79897">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因特殊原因需要使用冠以法定名称的业务专用章的，投标时须提供《业务专用章使用说明函》(详见附件)。</w:t>
      </w:r>
    </w:p>
    <w:p w14:paraId="7273C796">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3.采购项目需要落实的政府采购政策</w:t>
      </w:r>
    </w:p>
    <w:p w14:paraId="63785D48">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14:paraId="6532BB7C">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11FF9E5E">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0F4347E7">
      <w:pPr>
        <w:spacing w:line="44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04365C82">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3.2.3 修缮、装修类项目采购建材的，采购人应将绿色建筑和绿色建材性能、指标等作为实质性条件纳入招标文件和合同。</w:t>
      </w:r>
    </w:p>
    <w:p w14:paraId="56FEE045">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4580B123">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val="en-US" w:eastAsia="zh-CN"/>
        </w:rPr>
        <w:t>3</w:t>
      </w:r>
      <w:r>
        <w:rPr>
          <w:rFonts w:hint="eastAsia" w:ascii="仿宋" w:hAnsi="仿宋" w:eastAsia="仿宋" w:cs="仿宋"/>
          <w:bCs/>
          <w:color w:val="auto"/>
          <w:sz w:val="24"/>
          <w:highlight w:val="none"/>
        </w:rPr>
        <w:t>支持科技创新创新发展</w:t>
      </w:r>
    </w:p>
    <w:p w14:paraId="2FE3D1B0">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1D7FE3F7">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5DBB4A86">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4.1供应商投标所使用的资格、信誉、荣誉、业绩与企业认证必须为投标单位所拥有。供应商投标所使用的采购项目实施人员必须为投标单位正式员工。</w:t>
      </w:r>
    </w:p>
    <w:p w14:paraId="0497FF0B">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0473114D">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763E07D9">
      <w:pPr>
        <w:snapToGrid w:val="0"/>
        <w:spacing w:beforeLines="50" w:afterLines="50"/>
        <w:jc w:val="center"/>
        <w:rPr>
          <w:rFonts w:hint="eastAsia" w:ascii="仿宋" w:hAnsi="仿宋" w:eastAsia="仿宋" w:cs="仿宋"/>
          <w:color w:val="auto"/>
          <w:sz w:val="24"/>
          <w:highlight w:val="none"/>
        </w:rPr>
      </w:pPr>
      <w:r>
        <w:rPr>
          <w:rFonts w:hint="eastAsia" w:ascii="仿宋" w:hAnsi="仿宋" w:eastAsia="仿宋" w:cs="仿宋"/>
          <w:b/>
          <w:color w:val="auto"/>
          <w:sz w:val="36"/>
          <w:szCs w:val="36"/>
          <w:highlight w:val="none"/>
        </w:rPr>
        <w:t>二、招标文件</w:t>
      </w:r>
    </w:p>
    <w:p w14:paraId="5C9D1E01">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16ABA193">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w:t>
      </w:r>
      <w:r>
        <w:rPr>
          <w:rFonts w:hint="eastAsia" w:ascii="仿宋" w:hAnsi="仿宋" w:eastAsia="仿宋" w:cs="仿宋"/>
          <w:b/>
          <w:color w:val="auto"/>
          <w:kern w:val="0"/>
          <w:sz w:val="24"/>
          <w:highlight w:val="none"/>
        </w:rPr>
        <w:t>公开招标</w:t>
      </w:r>
      <w:r>
        <w:rPr>
          <w:rFonts w:hint="eastAsia" w:ascii="仿宋" w:hAnsi="仿宋" w:eastAsia="仿宋" w:cs="仿宋"/>
          <w:color w:val="auto"/>
          <w:sz w:val="24"/>
          <w:highlight w:val="none"/>
        </w:rPr>
        <w:t>方式进行。</w:t>
      </w:r>
    </w:p>
    <w:p w14:paraId="2A63AB87">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166B4031">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3C892FBB">
      <w:pPr>
        <w:pStyle w:val="7"/>
        <w:snapToGrid w:val="0"/>
        <w:spacing w:after="0" w:line="440" w:lineRule="exact"/>
        <w:ind w:left="0" w:leftChars="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2.授权委托</w:t>
      </w:r>
    </w:p>
    <w:p w14:paraId="6942AE14">
      <w:pPr>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本项目为现场送达（即交即走）</w:t>
      </w:r>
      <w:r>
        <w:rPr>
          <w:rFonts w:hint="eastAsia" w:ascii="仿宋" w:hAnsi="仿宋" w:eastAsia="仿宋" w:cs="仿宋"/>
          <w:color w:val="auto"/>
          <w:sz w:val="24"/>
          <w:highlight w:val="none"/>
          <w:lang w:eastAsia="zh-CN"/>
        </w:rPr>
        <w:t>或邮寄</w:t>
      </w:r>
      <w:r>
        <w:rPr>
          <w:rFonts w:hint="eastAsia" w:ascii="仿宋" w:hAnsi="仿宋" w:eastAsia="仿宋" w:cs="仿宋"/>
          <w:color w:val="auto"/>
          <w:sz w:val="24"/>
          <w:highlight w:val="none"/>
        </w:rPr>
        <w:t>的方式递交投标文件，投标人的法定代表人或其授权代表或个体工商户不需要参加现场投标和开标。</w:t>
      </w:r>
    </w:p>
    <w:p w14:paraId="0DED21BF">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投标费用</w:t>
      </w:r>
    </w:p>
    <w:p w14:paraId="6389088F">
      <w:pPr>
        <w:pStyle w:val="16"/>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投标人应自行承担编制投标文件及参加本次投标所涉及的一切费用。不管投标结果如何，招标人对上述费用不负任何责任。对中标人免收政府采购代理服务费。</w:t>
      </w:r>
    </w:p>
    <w:p w14:paraId="6A7BCB72">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 招标文件的修改</w:t>
      </w:r>
    </w:p>
    <w:p w14:paraId="6FB3085E">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4.1 </w:t>
      </w:r>
      <w:r>
        <w:rPr>
          <w:rFonts w:hint="eastAsia" w:ascii="仿宋" w:hAnsi="仿宋" w:eastAsia="仿宋" w:cs="仿宋"/>
          <w:bCs/>
          <w:color w:val="auto"/>
          <w:sz w:val="24"/>
          <w:highlight w:val="none"/>
        </w:rPr>
        <w:t>招标文件包括本招标文件及所有的招标答疑记录（澄清、修改）和发出的补充通知</w:t>
      </w:r>
      <w:r>
        <w:rPr>
          <w:rFonts w:hint="eastAsia" w:ascii="仿宋" w:hAnsi="仿宋" w:eastAsia="仿宋" w:cs="仿宋"/>
          <w:color w:val="auto"/>
          <w:sz w:val="24"/>
          <w:highlight w:val="none"/>
        </w:rPr>
        <w:t>。</w:t>
      </w:r>
    </w:p>
    <w:p w14:paraId="7001B4A9">
      <w:pPr>
        <w:pStyle w:val="16"/>
        <w:widowControl w:val="0"/>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 xml:space="preserve">4.2招标文件的澄清 </w:t>
      </w:r>
    </w:p>
    <w:p w14:paraId="4ACC01EC">
      <w:pPr>
        <w:pStyle w:val="16"/>
        <w:widowControl w:val="0"/>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3B4013D5">
      <w:pPr>
        <w:pStyle w:val="16"/>
        <w:widowControl w:val="0"/>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4.3招标文件的修改</w:t>
      </w:r>
    </w:p>
    <w:p w14:paraId="64BFBE77">
      <w:pPr>
        <w:pStyle w:val="16"/>
        <w:widowControl w:val="0"/>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63E023CB">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48F46D62">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6F66E115">
      <w:pPr>
        <w:snapToGrid w:val="0"/>
        <w:spacing w:line="44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推荐品牌范围内的，需提供加盖原厂商公章的产品性能指标详细材料和证明其产品与推荐品牌同档次、具有可比性,且品牌、型号性能相当或高于、服务条款相等或高于、符合招标方实际业务需求同档次优质品牌的说明书，无法在投标文件中提供的，其投标可能会被拒绝（或作无效投标）。</w:t>
      </w:r>
    </w:p>
    <w:p w14:paraId="7F3FF748">
      <w:pPr>
        <w:snapToGrid w:val="0"/>
        <w:spacing w:line="8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三、投标文件</w:t>
      </w:r>
    </w:p>
    <w:p w14:paraId="2B5F4C0A">
      <w:pPr>
        <w:numPr>
          <w:ilvl w:val="0"/>
          <w:numId w:val="7"/>
        </w:num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投标文件的语言、计量单位、形式及效力</w:t>
      </w:r>
    </w:p>
    <w:p w14:paraId="57E04121">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1664ADE5">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1E22DE18">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2FB23788">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09909844">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投标文件的组成</w:t>
      </w:r>
    </w:p>
    <w:p w14:paraId="05D73F53">
      <w:pPr>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投标文件由“报价文件资料”、“商务技术（资信）文件资料”两部分组成</w:t>
      </w:r>
      <w:r>
        <w:rPr>
          <w:rFonts w:hint="eastAsia" w:ascii="仿宋" w:hAnsi="仿宋" w:eastAsia="仿宋" w:cs="仿宋"/>
          <w:color w:val="auto"/>
          <w:sz w:val="24"/>
          <w:highlight w:val="none"/>
          <w:lang w:eastAsia="zh-CN"/>
        </w:rPr>
        <w:t>：</w:t>
      </w:r>
    </w:p>
    <w:p w14:paraId="761461E9">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 “报价文件资料”应包含以下内容：</w:t>
      </w:r>
    </w:p>
    <w:p w14:paraId="34336DFB">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2.1.1投标响应函（格式见第六部分附件）； </w:t>
      </w:r>
    </w:p>
    <w:p w14:paraId="010E4E13">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2.1.2开标一览表（格式见第六部分附件）；</w:t>
      </w:r>
    </w:p>
    <w:p w14:paraId="71639524">
      <w:pPr>
        <w:tabs>
          <w:tab w:val="left" w:pos="3870"/>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以上文件组成“报价文件资料”。投标人在“报价文件资料”中应对招标文件作实质性响应，该项内容将作为评标重要指标。</w:t>
      </w:r>
    </w:p>
    <w:p w14:paraId="0B357C11">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 “商务技术（资信）文件资料”应包括以下内容（正本用原件）：</w:t>
      </w:r>
    </w:p>
    <w:p w14:paraId="66605279">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2.2.1法定代表人授权委托书(格式见第六部分附件)；</w:t>
      </w:r>
    </w:p>
    <w:p w14:paraId="5C2F1258">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2.2.2授权代表社保证明（格式见第六部分附件）；</w:t>
      </w:r>
    </w:p>
    <w:p w14:paraId="38F6DE18">
      <w:pPr>
        <w:snapToGrid w:val="0"/>
        <w:spacing w:line="440" w:lineRule="exact"/>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2.2.3</w:t>
      </w:r>
      <w:r>
        <w:rPr>
          <w:rFonts w:hint="eastAsia" w:ascii="仿宋" w:hAnsi="仿宋" w:eastAsia="仿宋" w:cs="仿宋"/>
          <w:color w:val="auto"/>
          <w:sz w:val="24"/>
          <w:highlight w:val="none"/>
        </w:rPr>
        <w:t>法定代表人及其授权代表的身份证（复印件）</w:t>
      </w:r>
      <w:r>
        <w:rPr>
          <w:rFonts w:hint="eastAsia" w:ascii="仿宋" w:hAnsi="仿宋" w:eastAsia="仿宋" w:cs="仿宋"/>
          <w:color w:val="auto"/>
          <w:sz w:val="24"/>
          <w:highlight w:val="none"/>
          <w:lang w:eastAsia="zh-CN"/>
        </w:rPr>
        <w:t>；</w:t>
      </w:r>
    </w:p>
    <w:p w14:paraId="3AAD98F6">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法定代表人身份证明书（格式见第六部分附件）；</w:t>
      </w:r>
    </w:p>
    <w:p w14:paraId="15BF95F6">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5</w:t>
      </w:r>
      <w:r>
        <w:rPr>
          <w:rFonts w:hint="eastAsia" w:ascii="仿宋" w:hAnsi="仿宋" w:eastAsia="仿宋" w:cs="仿宋"/>
          <w:color w:val="auto"/>
          <w:kern w:val="0"/>
          <w:sz w:val="24"/>
          <w:highlight w:val="none"/>
        </w:rPr>
        <w:t>供应商基本资格条件</w:t>
      </w:r>
      <w:r>
        <w:rPr>
          <w:rFonts w:hint="eastAsia" w:ascii="仿宋" w:hAnsi="仿宋" w:eastAsia="仿宋" w:cs="仿宋"/>
          <w:color w:val="auto"/>
          <w:sz w:val="24"/>
          <w:highlight w:val="none"/>
        </w:rPr>
        <w:t>书面承诺函（格式见第六部分附件）</w:t>
      </w:r>
      <w:r>
        <w:rPr>
          <w:rFonts w:hint="eastAsia" w:ascii="仿宋" w:hAnsi="仿宋" w:eastAsia="仿宋" w:cs="仿宋"/>
          <w:color w:val="auto"/>
          <w:kern w:val="0"/>
          <w:sz w:val="24"/>
          <w:highlight w:val="none"/>
        </w:rPr>
        <w:t>；</w:t>
      </w:r>
    </w:p>
    <w:p w14:paraId="086B024C">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2.2.</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供应商</w:t>
      </w:r>
      <w:r>
        <w:rPr>
          <w:rFonts w:hint="eastAsia" w:ascii="仿宋" w:hAnsi="仿宋" w:eastAsia="仿宋" w:cs="仿宋"/>
          <w:color w:val="auto"/>
          <w:sz w:val="24"/>
          <w:highlight w:val="none"/>
        </w:rPr>
        <w:t>特定资格条件（如项目要求）的有关证明材料（复印件）；</w:t>
      </w:r>
    </w:p>
    <w:p w14:paraId="75723D86">
      <w:pPr>
        <w:snapToGrid w:val="0"/>
        <w:spacing w:line="440" w:lineRule="exact"/>
        <w:rPr>
          <w:rFonts w:hint="default" w:ascii="仿宋" w:hAnsi="仿宋" w:eastAsia="仿宋" w:cs="仿宋"/>
          <w:color w:val="auto"/>
          <w:sz w:val="24"/>
          <w:highlight w:val="none"/>
          <w:lang w:val="en-US" w:eastAsia="zh-CN"/>
        </w:rPr>
      </w:pPr>
      <w:bookmarkStart w:id="1" w:name="_Hlt68403820"/>
      <w:bookmarkEnd w:id="1"/>
      <w:bookmarkStart w:id="2" w:name="_Hlt68073093"/>
      <w:bookmarkEnd w:id="2"/>
      <w:bookmarkStart w:id="3" w:name="_Hlt68072998"/>
      <w:bookmarkEnd w:id="3"/>
      <w:r>
        <w:rPr>
          <w:rFonts w:hint="eastAsia" w:ascii="仿宋" w:hAnsi="仿宋" w:eastAsia="仿宋" w:cs="仿宋"/>
          <w:color w:val="auto"/>
          <w:sz w:val="24"/>
          <w:highlight w:val="none"/>
          <w:lang w:val="en-US" w:eastAsia="zh-CN"/>
        </w:rPr>
        <w:t>2.2.7</w:t>
      </w:r>
      <w:r>
        <w:rPr>
          <w:rFonts w:hint="eastAsia" w:ascii="仿宋" w:hAnsi="仿宋" w:eastAsia="仿宋" w:cs="仿宋"/>
          <w:color w:val="auto"/>
          <w:highlight w:val="none"/>
          <w:lang w:val="zh-CN"/>
        </w:rPr>
        <w:t>主要业绩证明；</w:t>
      </w:r>
    </w:p>
    <w:p w14:paraId="1D7A74FC">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lang w:val="zh-CN"/>
        </w:rPr>
        <w:t>2.2.</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lang w:val="zh-CN"/>
        </w:rPr>
        <w:t>廉政承诺书</w:t>
      </w:r>
      <w:r>
        <w:rPr>
          <w:rFonts w:hint="eastAsia" w:ascii="仿宋" w:hAnsi="仿宋" w:eastAsia="仿宋" w:cs="仿宋"/>
          <w:color w:val="auto"/>
          <w:sz w:val="24"/>
          <w:highlight w:val="none"/>
        </w:rPr>
        <w:t>（格式见第六部分附件）；</w:t>
      </w:r>
    </w:p>
    <w:p w14:paraId="129A4981">
      <w:pPr>
        <w:pStyle w:val="20"/>
        <w:tabs>
          <w:tab w:val="left" w:pos="1854"/>
          <w:tab w:val="clear" w:pos="482"/>
        </w:tabs>
        <w:spacing w:afterLines="0" w:line="440" w:lineRule="exact"/>
        <w:ind w:left="0" w:firstLine="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2.2.9</w:t>
      </w:r>
      <w:r>
        <w:rPr>
          <w:rFonts w:hint="eastAsia" w:ascii="仿宋" w:hAnsi="仿宋" w:eastAsia="仿宋" w:cs="仿宋"/>
          <w:color w:val="auto"/>
          <w:kern w:val="0"/>
          <w:sz w:val="24"/>
          <w:highlight w:val="none"/>
        </w:rPr>
        <w:t>技术偏离说明表</w:t>
      </w:r>
      <w:r>
        <w:rPr>
          <w:rFonts w:hint="eastAsia" w:ascii="仿宋" w:hAnsi="仿宋" w:eastAsia="仿宋" w:cs="仿宋"/>
          <w:color w:val="auto"/>
          <w:kern w:val="0"/>
          <w:sz w:val="24"/>
          <w:highlight w:val="none"/>
          <w:lang w:eastAsia="zh-CN"/>
        </w:rPr>
        <w:t>；</w:t>
      </w:r>
    </w:p>
    <w:p w14:paraId="5ABF8899">
      <w:pPr>
        <w:pStyle w:val="20"/>
        <w:tabs>
          <w:tab w:val="left" w:pos="1854"/>
          <w:tab w:val="clear" w:pos="482"/>
        </w:tabs>
        <w:spacing w:afterLines="0" w:line="440" w:lineRule="exact"/>
        <w:ind w:left="0" w:firstLine="0"/>
        <w:rPr>
          <w:rFonts w:hint="default" w:ascii="仿宋" w:hAnsi="仿宋" w:eastAsia="仿宋" w:cs="仿宋"/>
          <w:color w:val="auto"/>
          <w:kern w:val="0"/>
          <w:sz w:val="24"/>
          <w:highlight w:val="none"/>
          <w:lang w:val="en-US" w:eastAsia="zh-CN"/>
        </w:rPr>
      </w:pPr>
      <w:r>
        <w:rPr>
          <w:rFonts w:hint="eastAsia" w:ascii="仿宋" w:hAnsi="仿宋" w:eastAsia="仿宋" w:cs="仿宋"/>
          <w:color w:val="auto"/>
          <w:highlight w:val="none"/>
          <w:lang w:val="en-US" w:eastAsia="zh-CN"/>
        </w:rPr>
        <w:t>2.2.10投标人</w:t>
      </w:r>
      <w:r>
        <w:rPr>
          <w:rFonts w:hint="eastAsia" w:ascii="仿宋" w:hAnsi="仿宋" w:eastAsia="仿宋" w:cs="仿宋"/>
          <w:color w:val="auto"/>
          <w:kern w:val="0"/>
          <w:sz w:val="24"/>
          <w:highlight w:val="none"/>
          <w:lang w:val="zh-CN"/>
        </w:rPr>
        <w:t>认为需要的其他商务技术（资信）文件或说明</w:t>
      </w:r>
      <w:r>
        <w:rPr>
          <w:rFonts w:hint="eastAsia" w:ascii="仿宋" w:hAnsi="仿宋" w:eastAsia="仿宋" w:cs="仿宋"/>
          <w:color w:val="auto"/>
          <w:highlight w:val="none"/>
        </w:rPr>
        <w:t>（格式自拟）</w:t>
      </w:r>
      <w:r>
        <w:rPr>
          <w:rFonts w:hint="eastAsia" w:ascii="仿宋" w:hAnsi="仿宋" w:eastAsia="仿宋" w:cs="仿宋"/>
          <w:color w:val="auto"/>
          <w:kern w:val="0"/>
          <w:sz w:val="24"/>
          <w:highlight w:val="none"/>
          <w:lang w:val="zh-CN"/>
        </w:rPr>
        <w:t>；</w:t>
      </w:r>
    </w:p>
    <w:p w14:paraId="44599F99">
      <w:pPr>
        <w:pStyle w:val="20"/>
        <w:tabs>
          <w:tab w:val="left" w:pos="1854"/>
          <w:tab w:val="clear" w:pos="482"/>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2.2.</w:t>
      </w: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联合协议（如有）；</w:t>
      </w:r>
    </w:p>
    <w:p w14:paraId="14434206">
      <w:pPr>
        <w:pStyle w:val="20"/>
        <w:tabs>
          <w:tab w:val="left" w:pos="1854"/>
          <w:tab w:val="clear" w:pos="482"/>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2.2.</w:t>
      </w: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分包意向协议（如有）；</w:t>
      </w:r>
    </w:p>
    <w:p w14:paraId="712B8FE0">
      <w:pPr>
        <w:snapToGrid w:val="0"/>
        <w:spacing w:line="440" w:lineRule="exac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2.2.</w:t>
      </w:r>
      <w:r>
        <w:rPr>
          <w:rFonts w:hint="eastAsia" w:ascii="仿宋" w:hAnsi="仿宋" w:eastAsia="仿宋" w:cs="仿宋"/>
          <w:b/>
          <w:bCs/>
          <w:color w:val="auto"/>
          <w:sz w:val="24"/>
          <w:highlight w:val="none"/>
          <w:lang w:val="en-US" w:eastAsia="zh-CN"/>
        </w:rPr>
        <w:t>13</w:t>
      </w:r>
      <w:r>
        <w:rPr>
          <w:rFonts w:hint="eastAsia" w:ascii="仿宋" w:hAnsi="仿宋" w:eastAsia="仿宋" w:cs="仿宋"/>
          <w:b/>
          <w:bCs/>
          <w:color w:val="auto"/>
          <w:sz w:val="24"/>
          <w:highlight w:val="none"/>
          <w:u w:val="wave"/>
        </w:rPr>
        <w:t>未尽事宜请各投标单位按评分标准和相对应标项相关要求制作</w:t>
      </w:r>
      <w:r>
        <w:rPr>
          <w:rFonts w:hint="eastAsia" w:ascii="仿宋" w:hAnsi="仿宋" w:eastAsia="仿宋" w:cs="仿宋"/>
          <w:b/>
          <w:bCs/>
          <w:color w:val="auto"/>
          <w:sz w:val="24"/>
          <w:highlight w:val="none"/>
        </w:rPr>
        <w:t>；</w:t>
      </w:r>
    </w:p>
    <w:p w14:paraId="033D0B5F">
      <w:pPr>
        <w:tabs>
          <w:tab w:val="left" w:pos="3870"/>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以上文件组成“商务技术（资信）文件资料”。投标人在“商务技术（资信）文件资料”中应对招标文件作实质性响应，该项内容将作为评标重要指标。</w:t>
      </w:r>
    </w:p>
    <w:p w14:paraId="47B33DEE">
      <w:pPr>
        <w:pStyle w:val="20"/>
        <w:tabs>
          <w:tab w:val="left" w:pos="1854"/>
          <w:tab w:val="clear" w:pos="482"/>
        </w:tabs>
        <w:spacing w:afterLines="0" w:line="440" w:lineRule="exact"/>
        <w:ind w:left="0" w:right="-78" w:rightChars="-37" w:firstLine="480" w:firstLineChars="200"/>
        <w:rPr>
          <w:rFonts w:hint="eastAsia" w:ascii="仿宋" w:hAnsi="仿宋" w:eastAsia="仿宋" w:cs="仿宋"/>
          <w:b/>
          <w:color w:val="auto"/>
          <w:highlight w:val="none"/>
        </w:rPr>
      </w:pPr>
      <w:r>
        <w:rPr>
          <w:rFonts w:hint="eastAsia" w:ascii="仿宋" w:hAnsi="仿宋" w:eastAsia="仿宋" w:cs="仿宋"/>
          <w:color w:val="auto"/>
          <w:highlight w:val="none"/>
        </w:rPr>
        <w:t>投标人不按招标文件的要求提供的投标文件，可能会被评标委员会视为未实质性响应，其风险应由投标人自行承担。</w:t>
      </w:r>
    </w:p>
    <w:p w14:paraId="445B33F3">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投标报价</w:t>
      </w:r>
    </w:p>
    <w:p w14:paraId="4BDAD820">
      <w:pPr>
        <w:pStyle w:val="24"/>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3.1投标人应按招标文件中《开标一览表》等附表要求填写。</w:t>
      </w:r>
    </w:p>
    <w:p w14:paraId="353EE9AA">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3.2报价为采购人可以合格使用产品的价格，包括货款、包装、运输、保险、货到就位以及安装、调试、培训、保修及产品知识产权等一切费用。</w:t>
      </w:r>
    </w:p>
    <w:p w14:paraId="0D37E376">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3.3招标文件未列明，而投标人认为必需的费用也需列入报价。</w:t>
      </w:r>
    </w:p>
    <w:p w14:paraId="595BF2BA">
      <w:pPr>
        <w:tabs>
          <w:tab w:val="left" w:pos="52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
          <w:color w:val="auto"/>
          <w:sz w:val="24"/>
          <w:highlight w:val="none"/>
        </w:rPr>
        <w:t>投标报价只允许有一个报价，有选择的报价将不予接受（除指定外）。</w:t>
      </w:r>
    </w:p>
    <w:p w14:paraId="09A19C2B">
      <w:pPr>
        <w:pStyle w:val="16"/>
        <w:widowControl w:val="0"/>
        <w:tabs>
          <w:tab w:val="clear" w:pos="454"/>
        </w:tabs>
        <w:spacing w:afterLines="0" w:line="440" w:lineRule="atLeast"/>
        <w:ind w:left="0" w:firstLine="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4.投标文件的有效期</w:t>
      </w:r>
    </w:p>
    <w:p w14:paraId="01957856">
      <w:pPr>
        <w:pStyle w:val="16"/>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4.1</w:t>
      </w:r>
      <w:r>
        <w:rPr>
          <w:rFonts w:hint="eastAsia" w:ascii="仿宋" w:hAnsi="仿宋" w:eastAsia="仿宋" w:cs="仿宋"/>
          <w:color w:val="auto"/>
          <w:highlight w:val="none"/>
        </w:rPr>
        <w:t>投标有效期为从提交投标文件的截止之日起90天。</w:t>
      </w:r>
      <w:r>
        <w:rPr>
          <w:rFonts w:hint="eastAsia" w:ascii="仿宋" w:hAnsi="仿宋" w:eastAsia="仿宋" w:cs="仿宋"/>
          <w:b/>
          <w:color w:val="auto"/>
          <w:highlight w:val="none"/>
        </w:rPr>
        <w:t>投标人的投标文件中承</w:t>
      </w:r>
      <w:r>
        <w:rPr>
          <w:rFonts w:hint="eastAsia" w:ascii="仿宋" w:hAnsi="仿宋" w:eastAsia="仿宋" w:cs="仿宋"/>
          <w:b/>
          <w:color w:val="auto"/>
          <w:szCs w:val="21"/>
          <w:highlight w:val="none"/>
        </w:rPr>
        <w:t>诺的投标有效期少于招标文件中载明的投标有效期的，投标无效。</w:t>
      </w:r>
    </w:p>
    <w:p w14:paraId="316B0928">
      <w:pPr>
        <w:pStyle w:val="16"/>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4.2在特殊情况下，招标人可与投标人协商延长投标书的有效期，这种要求和答复均以书面形式进行。</w:t>
      </w:r>
    </w:p>
    <w:p w14:paraId="4787EFEB">
      <w:pPr>
        <w:pStyle w:val="16"/>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4.3投标人可拒绝接受延期要求。同意延长有效期的投标人不能修改投标文件。</w:t>
      </w:r>
    </w:p>
    <w:p w14:paraId="2DAE5B14">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5.投标文件的份数和规定</w:t>
      </w:r>
    </w:p>
    <w:p w14:paraId="4E25A8D2">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5.1投标文件的正本需打印或用不褪色的墨水填写，不允许行间插字，并注明“正本”字样，投标文件正本除本招标须知中规定的可提供复印件外均须提供原件。副本为正本的复印件。</w:t>
      </w:r>
    </w:p>
    <w:p w14:paraId="3DE5554C">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5.2投标文件由“商务技术（资信）文件资料”和“报价文件资料”两部分文件组成，应按统一格式填写，装订成册。并在封面处明确注明“商务技术（资信）文件资料”或“报价文件资料”。</w:t>
      </w:r>
    </w:p>
    <w:p w14:paraId="1732E6D9">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5.3投标文件一式五份，其中正本一份，副本四份。</w:t>
      </w:r>
    </w:p>
    <w:p w14:paraId="001F224D">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5.4投标文件须由投标人在规定位置盖章并由法定代表人或其授权代表签署，投标人应写全称。</w:t>
      </w:r>
    </w:p>
    <w:p w14:paraId="4F848105">
      <w:pPr>
        <w:pStyle w:val="24"/>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5.5投标文件不得涂改，若有修改错漏处，须加盖单位公章或者法定代表人或其授权代表签字或盖章。</w:t>
      </w:r>
    </w:p>
    <w:p w14:paraId="57864B5E">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5.6投标文件因字迹潦草或表达不清所引起的后果由投标人负责。</w:t>
      </w:r>
    </w:p>
    <w:p w14:paraId="0949B399">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5.7投标人应认真阅读招标文件中所有的内容。如果投标人编制的投标文件实质上不响应招标文件的要求，其投标文件将被招标人拒绝。</w:t>
      </w:r>
    </w:p>
    <w:p w14:paraId="18884CAF">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5.8投标文件建议采用A4幅面，按顺序统一编目编码装订成册。</w:t>
      </w:r>
      <w:r>
        <w:rPr>
          <w:rFonts w:hint="eastAsia" w:ascii="仿宋" w:hAnsi="仿宋" w:eastAsia="仿宋" w:cs="仿宋"/>
          <w:b/>
          <w:color w:val="auto"/>
          <w:sz w:val="24"/>
          <w:highlight w:val="none"/>
        </w:rPr>
        <w:t>提倡双面打印</w:t>
      </w:r>
      <w:r>
        <w:rPr>
          <w:rFonts w:hint="eastAsia" w:ascii="仿宋" w:hAnsi="仿宋" w:eastAsia="仿宋" w:cs="仿宋"/>
          <w:color w:val="auto"/>
          <w:sz w:val="24"/>
          <w:highlight w:val="none"/>
        </w:rPr>
        <w:t>。</w:t>
      </w:r>
    </w:p>
    <w:p w14:paraId="443E2273">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 投标文件的密封、盖章和签署</w:t>
      </w:r>
    </w:p>
    <w:p w14:paraId="6AE2AEEA">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“商务技术（资信）文件资料”和“报价文件资料”</w:t>
      </w:r>
      <w:r>
        <w:rPr>
          <w:rFonts w:hint="eastAsia" w:ascii="仿宋" w:hAnsi="仿宋" w:eastAsia="仿宋" w:cs="仿宋"/>
          <w:b/>
          <w:color w:val="auto"/>
          <w:sz w:val="24"/>
          <w:highlight w:val="none"/>
        </w:rPr>
        <w:t>应分两部份分别密封封装</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没有密封包装的投标文件，将被拒收。</w:t>
      </w:r>
    </w:p>
    <w:p w14:paraId="2933DAA8">
      <w:pPr>
        <w:snapToGrid w:val="0"/>
        <w:spacing w:line="44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投标文件的装订采用胶订或线订形式，不采用活页装订方式（胶订或线订以外装订形式视为活页装订）。</w:t>
      </w:r>
    </w:p>
    <w:p w14:paraId="66585EE7">
      <w:pPr>
        <w:widowControl/>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color w:val="auto"/>
          <w:sz w:val="24"/>
          <w:highlight w:val="none"/>
        </w:rPr>
        <w:t>各投标人在编制投标文件时请按照招标文件第六部分规定的格式进行，混乱的编排导致投标文件被误读或评标委员会查找不到有效文件是投标人的风险。并明确注明“商务技术（资信）文件资料或报价文件资料、项目名称、投标人名</w:t>
      </w:r>
      <w:r>
        <w:rPr>
          <w:rFonts w:hint="eastAsia" w:ascii="仿宋" w:hAnsi="仿宋" w:eastAsia="仿宋" w:cs="仿宋"/>
          <w:b w:val="0"/>
          <w:bCs/>
          <w:color w:val="auto"/>
          <w:kern w:val="0"/>
          <w:sz w:val="24"/>
          <w:highlight w:val="none"/>
        </w:rPr>
        <w:t>称”字样，同时封口处加盖骑缝单位公章。</w:t>
      </w:r>
    </w:p>
    <w:p w14:paraId="4EE45456">
      <w:pPr>
        <w:widowControl/>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7、投标文件的提交</w:t>
      </w:r>
    </w:p>
    <w:p w14:paraId="4B31C58F">
      <w:pPr>
        <w:widowControl/>
        <w:snapToGrid w:val="0"/>
        <w:spacing w:line="440" w:lineRule="exact"/>
        <w:ind w:firstLine="480" w:firstLineChars="200"/>
        <w:rPr>
          <w:rFonts w:hint="eastAsia" w:ascii="仿宋" w:hAnsi="仿宋" w:eastAsia="仿宋" w:cs="仿宋"/>
          <w:b w:val="0"/>
          <w:bCs/>
          <w:color w:val="auto"/>
          <w:sz w:val="24"/>
          <w:highlight w:val="none"/>
        </w:rPr>
      </w:pPr>
      <w:r>
        <w:rPr>
          <w:rFonts w:hint="eastAsia" w:ascii="仿宋" w:hAnsi="仿宋" w:eastAsia="仿宋" w:cs="仿宋"/>
          <w:b w:val="0"/>
          <w:bCs/>
          <w:color w:val="auto"/>
          <w:kern w:val="0"/>
          <w:sz w:val="24"/>
          <w:highlight w:val="none"/>
        </w:rPr>
        <w:t>投标人应按“招标公告”规定的时间、地点将</w:t>
      </w:r>
      <w:r>
        <w:rPr>
          <w:rFonts w:hint="eastAsia" w:ascii="仿宋" w:hAnsi="仿宋" w:eastAsia="仿宋" w:cs="仿宋"/>
          <w:b w:val="0"/>
          <w:bCs/>
          <w:color w:val="auto"/>
          <w:sz w:val="24"/>
          <w:highlight w:val="none"/>
        </w:rPr>
        <w:t>投标文件提交给采购机构，采购机构将拒绝接受逾期送达的投标文件。</w:t>
      </w:r>
    </w:p>
    <w:p w14:paraId="4CF79901">
      <w:pPr>
        <w:widowControl/>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8．</w:t>
      </w:r>
      <w:r>
        <w:rPr>
          <w:rFonts w:hint="eastAsia" w:ascii="仿宋" w:hAnsi="仿宋" w:eastAsia="仿宋" w:cs="仿宋"/>
          <w:b/>
          <w:color w:val="auto"/>
          <w:kern w:val="0"/>
          <w:sz w:val="24"/>
          <w:highlight w:val="none"/>
        </w:rPr>
        <w:t>投标文件的补充和修改</w:t>
      </w:r>
    </w:p>
    <w:p w14:paraId="30D31086">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投标截止时间前，投标人可以书面形式向招标人提出对投标文件进行补充和修改，相应部分以最后的补充和修改为准。该书面材料应密封，</w:t>
      </w:r>
      <w:r>
        <w:rPr>
          <w:rFonts w:hint="eastAsia" w:ascii="仿宋" w:hAnsi="仿宋" w:eastAsia="仿宋" w:cs="仿宋"/>
          <w:color w:val="auto"/>
          <w:sz w:val="24"/>
          <w:highlight w:val="none"/>
        </w:rPr>
        <w:t>并明确注明“</w:t>
      </w:r>
      <w:r>
        <w:rPr>
          <w:rFonts w:hint="eastAsia" w:ascii="仿宋" w:hAnsi="仿宋" w:eastAsia="仿宋" w:cs="仿宋"/>
          <w:color w:val="auto"/>
          <w:kern w:val="0"/>
          <w:sz w:val="24"/>
          <w:highlight w:val="none"/>
        </w:rPr>
        <w:t>修改（或补充）商务技术（资信）文件资料或报价文件资料、项目名称、投标人名称</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字样</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同时</w:t>
      </w:r>
      <w:r>
        <w:rPr>
          <w:rFonts w:hint="eastAsia" w:ascii="仿宋" w:hAnsi="仿宋" w:eastAsia="仿宋" w:cs="仿宋"/>
          <w:color w:val="auto"/>
          <w:sz w:val="24"/>
          <w:highlight w:val="none"/>
        </w:rPr>
        <w:t>封口处</w:t>
      </w:r>
      <w:r>
        <w:rPr>
          <w:rFonts w:hint="eastAsia" w:ascii="仿宋" w:hAnsi="仿宋" w:eastAsia="仿宋" w:cs="仿宋"/>
          <w:color w:val="auto"/>
          <w:kern w:val="0"/>
          <w:sz w:val="24"/>
          <w:highlight w:val="none"/>
        </w:rPr>
        <w:t>由</w:t>
      </w:r>
      <w:r>
        <w:rPr>
          <w:rFonts w:hint="eastAsia" w:ascii="仿宋" w:hAnsi="仿宋" w:eastAsia="仿宋" w:cs="仿宋"/>
          <w:color w:val="auto"/>
          <w:sz w:val="24"/>
          <w:highlight w:val="none"/>
        </w:rPr>
        <w:t>法定代表人或其授权代表签字或盖章</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投标人应于投标截止以前将该书面材料以现场送达（即交即走）</w:t>
      </w:r>
      <w:r>
        <w:rPr>
          <w:rFonts w:hint="eastAsia" w:ascii="仿宋" w:hAnsi="仿宋" w:eastAsia="仿宋" w:cs="仿宋"/>
          <w:color w:val="auto"/>
          <w:sz w:val="24"/>
          <w:highlight w:val="none"/>
          <w:lang w:eastAsia="zh-CN"/>
        </w:rPr>
        <w:t>或邮寄</w:t>
      </w:r>
      <w:r>
        <w:rPr>
          <w:rFonts w:hint="eastAsia" w:ascii="仿宋" w:hAnsi="仿宋" w:eastAsia="仿宋" w:cs="仿宋"/>
          <w:color w:val="auto"/>
          <w:sz w:val="24"/>
          <w:highlight w:val="none"/>
        </w:rPr>
        <w:t>的方式递交。</w:t>
      </w:r>
    </w:p>
    <w:p w14:paraId="0180869A">
      <w:pPr>
        <w:spacing w:line="44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四、开标和评标</w:t>
      </w:r>
    </w:p>
    <w:p w14:paraId="062D2803">
      <w:pPr>
        <w:snapToGrid w:val="0"/>
        <w:spacing w:line="48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1．开标大会程序</w:t>
      </w:r>
    </w:p>
    <w:p w14:paraId="5C4818CF">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1.1主持人宣布开标会开始。</w:t>
      </w:r>
    </w:p>
    <w:p w14:paraId="3972FAB4">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1.2检查投标文件密封情况。</w:t>
      </w:r>
    </w:p>
    <w:p w14:paraId="67F3BC91">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1.3启封投标文件商务技术（资信）资料。</w:t>
      </w:r>
    </w:p>
    <w:p w14:paraId="0AFF7086">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1.4评标委员会对商务技术（资信）文件进行评审。</w:t>
      </w:r>
    </w:p>
    <w:p w14:paraId="5E54585B">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1.5主持人宣布商务技术得分及无效（废）投标情形（如有），宣读经商务技术（资信）评审符合招标文件要求的投标人名单及其商务技术得分。</w:t>
      </w:r>
    </w:p>
    <w:p w14:paraId="32DABF6C">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1.6启封报价文件资料，由唱读人当众宣读投标人名称、投标价格和投标文件的其他内容。未宣读的投标报价和招标文件未允许提供的备选投标方案等实质性内容，评标时不予承认。</w:t>
      </w:r>
    </w:p>
    <w:p w14:paraId="185B2763">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1.7评标委员会对投标文件报价文件资料进行评审，核准投标报价及计算价格分，汇总商务技术分、价格分，根据得分排序确定中标候选人并出具评审报告。</w:t>
      </w:r>
    </w:p>
    <w:p w14:paraId="64345D8E">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1.8主持人向投标单位公布评审结果。</w:t>
      </w:r>
    </w:p>
    <w:p w14:paraId="66781530">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2．评标</w:t>
      </w:r>
    </w:p>
    <w:p w14:paraId="32002A31">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2.1评标委员会由招标采购单位依法组建，负责评标活动。评标委员会遵循公开、公平、公正、科学合理、竞争择优的原则。</w:t>
      </w:r>
    </w:p>
    <w:p w14:paraId="72A00403">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2.2评标委员会由采购人代表和有关方面的专家组成，成员人数为三人以上单数。</w:t>
      </w:r>
    </w:p>
    <w:p w14:paraId="5D696210">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2.3评标委员会负责对投标人资格的最终审定。</w:t>
      </w:r>
    </w:p>
    <w:p w14:paraId="1273285A">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2.4评标委员会可以要求投标人对其投标文件中含义不明确的内容作必要的澄清或者说明，但澄清或者说明不得超过投标文件的范围或者改变投标文件的实质性内容。</w:t>
      </w:r>
    </w:p>
    <w:p w14:paraId="337F0BDB">
      <w:pPr>
        <w:widowControl/>
        <w:snapToGrid w:val="0"/>
        <w:spacing w:line="48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2.5</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对投标文件的判定，只依据投标文件和招标文件内容本身，不依据任何外来证明。</w:t>
      </w:r>
    </w:p>
    <w:p w14:paraId="57EFF311">
      <w:pPr>
        <w:widowControl/>
        <w:snapToGrid w:val="0"/>
        <w:spacing w:line="48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2.6评标委员会不向落标方解释落标的原因，不退还投标文件。</w:t>
      </w:r>
    </w:p>
    <w:p w14:paraId="5A07B3FB">
      <w:pPr>
        <w:snapToGrid w:val="0"/>
        <w:spacing w:line="48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3．投标文件的初审鉴定</w:t>
      </w:r>
    </w:p>
    <w:p w14:paraId="7D031E7A">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3.1资格性审查</w:t>
      </w:r>
    </w:p>
    <w:p w14:paraId="08882D0D">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3.1.1依据法律、法规和招标文件规定，评标委员会对投标人进行资格审查，以确定投标人是否具备投标资格。</w:t>
      </w:r>
    </w:p>
    <w:p w14:paraId="6C936BDF">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3.2符合性审查</w:t>
      </w:r>
    </w:p>
    <w:p w14:paraId="06CFC2BB">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28012042">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3.3如果投标文件实质不响应招标文件的各项要求，评标委员会将予以拒绝，并且不允许投标人通过修改或撤销其不符合要求的差异或保留，使之成为具有实质性响应的投标。</w:t>
      </w:r>
    </w:p>
    <w:p w14:paraId="237478BA">
      <w:pPr>
        <w:spacing w:line="48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4. </w:t>
      </w:r>
      <w:r>
        <w:rPr>
          <w:rFonts w:hint="eastAsia" w:ascii="仿宋" w:hAnsi="仿宋" w:eastAsia="仿宋" w:cs="仿宋"/>
          <w:b/>
          <w:color w:val="auto"/>
          <w:sz w:val="24"/>
          <w:highlight w:val="none"/>
        </w:rPr>
        <w:t>投标文件报价出现前后不一致的，按照下列规定修正：</w:t>
      </w:r>
    </w:p>
    <w:p w14:paraId="744D7672">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4.1投标文件中开标一览表（报价表）内容与投标文件中相应内容不一致的，以开标一览表（报价表）为准；</w:t>
      </w:r>
    </w:p>
    <w:p w14:paraId="48253A8C">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4.2大写金额和小写金额不一致的，以大写金额为准；</w:t>
      </w:r>
    </w:p>
    <w:p w14:paraId="5D367D48">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4.3单价金额小数点或者百分比有明显错位的，以开标一览表的总价为准，并修改单价；</w:t>
      </w:r>
    </w:p>
    <w:p w14:paraId="56DB9E11">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4.4总价金额与按单价汇总金额不一致的，以单价金额计算结果为准。</w:t>
      </w:r>
    </w:p>
    <w:p w14:paraId="0EC0ED8A">
      <w:pPr>
        <w:spacing w:line="440" w:lineRule="exact"/>
        <w:ind w:firstLine="48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w:t>
      </w:r>
      <w:r>
        <w:rPr>
          <w:rFonts w:hint="eastAsia" w:ascii="仿宋" w:hAnsi="仿宋" w:eastAsia="仿宋" w:cs="仿宋"/>
          <w:bCs/>
          <w:color w:val="auto"/>
          <w:sz w:val="24"/>
          <w:highlight w:val="none"/>
        </w:rPr>
        <w:t>修正后的报价按照财政部公布第87号令《政府采购货物和服务招标投标管理办法》</w:t>
      </w:r>
      <w:r>
        <w:rPr>
          <w:rFonts w:hint="eastAsia" w:ascii="仿宋" w:hAnsi="仿宋" w:eastAsia="仿宋" w:cs="仿宋"/>
          <w:color w:val="auto"/>
          <w:sz w:val="24"/>
          <w:highlight w:val="none"/>
        </w:rPr>
        <w:t>第五十一条第二款的规定经投标人确认后产生约束力，投标人不确认的，其投标无效。</w:t>
      </w:r>
    </w:p>
    <w:p w14:paraId="3340348B">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5.投标文件的评审、比较和否决</w:t>
      </w:r>
    </w:p>
    <w:p w14:paraId="473DE098">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5.1评标委员会将对在实质上响应招标文件要求的投标文件进行评估和比较。</w:t>
      </w:r>
    </w:p>
    <w:p w14:paraId="2F4FF625">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5.2在评审过程中，评标委员会可以书面形式要求投标人就投标文件含义不明确的内容进行书面说明并提供相关材料，但不得超过投标文件的范围或者改变投标文件的实质性内容。</w:t>
      </w:r>
    </w:p>
    <w:p w14:paraId="3C46FC0E">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5.3在评标过程中，如发现与招标文件要求相偏离的，评标委员会可对其偏离情形进行必要的核实。</w:t>
      </w:r>
    </w:p>
    <w:p w14:paraId="1E266A2A">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5.4在评审过程中，如属于实质性偏离或符合无效响应条件的，应当询问相关投标人，并可对其进行书面确认，但不允许对偏离条款进行补充、修正或撤回。</w:t>
      </w:r>
    </w:p>
    <w:p w14:paraId="41286D2C">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5.5比较与评价。评标委员会应当按照评标标准，对符合性审查合格的投标文件进行商务和技术评估，综合比较与评价。</w:t>
      </w:r>
    </w:p>
    <w:p w14:paraId="73ED29F4">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5.6汇总（商务技术得分情况）。评标委员会各成员应当独立对每个投标人的商务技术（资信）文件资料文件进行评价，并汇总商务技术得分情况。</w:t>
      </w:r>
    </w:p>
    <w:p w14:paraId="0FE406E9">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5.7 报价审核。对符合采购需求且通过商务技术（资信）评审的投标人的报价的合理性、准确性等进行审查核实。</w:t>
      </w:r>
    </w:p>
    <w:p w14:paraId="6F7FEB02">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.7.1政府采购异常低价审查：</w:t>
      </w:r>
    </w:p>
    <w:p w14:paraId="209825A6">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.7.1.1政府采购评审中出现下列情形之一的，评审委员会应当启动异常低价投标（响应）审查程序：</w:t>
      </w:r>
    </w:p>
    <w:p w14:paraId="18205731">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1.投标（响应）报价低于全部通过符合性审查供应商投标（响应）报价平均值50%的，即投标（响应）报价&lt;全部通过符合性审查供应商投标（响应）报价平均值×50%；</w:t>
      </w:r>
    </w:p>
    <w:p w14:paraId="50C49E9E">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2.投标（响应）报价低于通过符合性审查的次低报价供应商投标（响应）报价50%的，即投标（响应）报价&lt;通过符合性审查的次低报价供应商投标（响应）报价×50%；</w:t>
      </w:r>
    </w:p>
    <w:p w14:paraId="726090BA">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3.投标（响应）报价低于采购项目最高限价45%的，即投标（响应）报价&lt;采购项目最高限价×45%；</w:t>
      </w:r>
    </w:p>
    <w:p w14:paraId="77AA5A35">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4.评审委员会基于专业判断，认为供应商报价过低，有可能影响产品质量或者不能诚信履约的其他情形。</w:t>
      </w:r>
    </w:p>
    <w:p w14:paraId="2A833FC7">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相关法律法规对供应商报价有规定的，从其规定。</w:t>
      </w:r>
    </w:p>
    <w:p w14:paraId="060BBBD9">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7.1.2评审委员会启动异常低价投标（响应）审查后，属于前述第1项至第4项情形的，应当要求相关供应商在评审现场合理的时间内通过政采云平台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679A6EF">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9FDAB28">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657984E2">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5.7.</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如需投标价格修正，按财政部87号令第五十九条的规定对投标价格进行修正。</w:t>
      </w:r>
    </w:p>
    <w:p w14:paraId="5CAB29CB">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5.8评标委员会依据招标文件规定的评标标准和方法，对投标文件进行评审和比较后，向采购代理机构提供书面评标报告，并按得分高低排序推荐中标候选供应商。</w:t>
      </w:r>
    </w:p>
    <w:p w14:paraId="7BD73517">
      <w:pPr>
        <w:pStyle w:val="16"/>
        <w:tabs>
          <w:tab w:val="clear" w:pos="454"/>
        </w:tabs>
        <w:spacing w:afterLines="0" w:line="440" w:lineRule="exact"/>
        <w:ind w:left="0" w:firstLine="0"/>
        <w:rPr>
          <w:rFonts w:hint="eastAsia" w:ascii="仿宋" w:hAnsi="仿宋" w:eastAsia="仿宋" w:cs="仿宋"/>
          <w:b/>
          <w:color w:val="auto"/>
          <w:highlight w:val="none"/>
        </w:rPr>
      </w:pPr>
      <w:r>
        <w:rPr>
          <w:rFonts w:hint="eastAsia" w:ascii="仿宋" w:hAnsi="仿宋" w:eastAsia="仿宋" w:cs="仿宋"/>
          <w:b/>
          <w:color w:val="auto"/>
          <w:highlight w:val="none"/>
        </w:rPr>
        <w:t>6.投标文件的澄清</w:t>
      </w:r>
    </w:p>
    <w:p w14:paraId="10AFCC20">
      <w:pPr>
        <w:pStyle w:val="16"/>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要求投标人作书面澄清；投标人的书面澄清，应由法定代表人或授权代表签字，作为投标文件的补充部分，但澄清的内容不得改变投标文件的实质性内容。</w:t>
      </w:r>
    </w:p>
    <w:p w14:paraId="5536C2E7">
      <w:pPr>
        <w:pStyle w:val="24"/>
        <w:snapToGrid w:val="0"/>
        <w:spacing w:line="440" w:lineRule="exact"/>
        <w:jc w:val="left"/>
        <w:rPr>
          <w:rFonts w:hint="eastAsia" w:ascii="仿宋" w:hAnsi="仿宋" w:eastAsia="仿宋" w:cs="仿宋"/>
          <w:b/>
          <w:color w:val="auto"/>
          <w:sz w:val="24"/>
          <w:szCs w:val="24"/>
          <w:highlight w:val="none"/>
        </w:rPr>
      </w:pPr>
      <w:bookmarkStart w:id="4" w:name="_Toc81372953"/>
      <w:bookmarkStart w:id="5" w:name="_Toc84325929"/>
      <w:bookmarkStart w:id="6" w:name="_Toc81372776"/>
      <w:r>
        <w:rPr>
          <w:rFonts w:hint="eastAsia" w:ascii="仿宋" w:hAnsi="仿宋" w:eastAsia="仿宋" w:cs="仿宋"/>
          <w:b/>
          <w:color w:val="auto"/>
          <w:sz w:val="24"/>
          <w:szCs w:val="24"/>
          <w:highlight w:val="none"/>
        </w:rPr>
        <w:t>7．无效投标的情形</w:t>
      </w:r>
    </w:p>
    <w:p w14:paraId="65B8DF09">
      <w:pPr>
        <w:tabs>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7A476FAB">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7.1未按照招标文件规定要求密封封装、签署、盖章的；</w:t>
      </w:r>
    </w:p>
    <w:p w14:paraId="032A87E8">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7.2单位负责人为同一人或者存在直接控股、管理关系的不同供应商参加同一合同项下的政府采购活动的（均无效）；</w:t>
      </w:r>
    </w:p>
    <w:p w14:paraId="3D86B563">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7.3为采购项目提供整体设计、规范编制或者项目管理、监理、检测等服务的供应商再参加该采购项目的其他采购活动的；</w:t>
      </w:r>
    </w:p>
    <w:p w14:paraId="24ABD3F1">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7.4投标人不具备招标文件中规定的资格要求的（投标人未提供有效的资格证明文件的，视为投标人不具备招标文件中规定的资格要求）；</w:t>
      </w:r>
    </w:p>
    <w:p w14:paraId="4E380DFB">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7.5</w:t>
      </w:r>
      <w:r>
        <w:rPr>
          <w:rFonts w:hint="eastAsia" w:ascii="仿宋" w:hAnsi="仿宋" w:eastAsia="仿宋" w:cs="仿宋"/>
          <w:b/>
          <w:color w:val="auto"/>
          <w:kern w:val="0"/>
          <w:sz w:val="24"/>
          <w:highlight w:val="none"/>
        </w:rPr>
        <w:t>《法定代表人身份证明书》与提供的身份证复印件信息不符的；《法定代表人授权委托书》与提供的身份证复印件信息不符的；</w:t>
      </w:r>
    </w:p>
    <w:p w14:paraId="17448DF5">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7.6《法定代表人授权委托书》或《法定代表人身份证明书》填写不全、错误、未加盖公章(《法定代表人授权委托书》要求“公章”和“签字或盖章”缺一不可）的；</w:t>
      </w:r>
    </w:p>
    <w:p w14:paraId="073BDE59">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7.7授权代表非投标单位正式职工的（以社保证明为准，如授权代表为离退休返聘人员的，需提供退休证明及单位聘用证明）；</w:t>
      </w:r>
    </w:p>
    <w:p w14:paraId="2391AF0D">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7.8投标文件中的投标函未加盖投标人的企业公章或填写不全的；</w:t>
      </w:r>
    </w:p>
    <w:p w14:paraId="75BD26E2">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7.9</w:t>
      </w:r>
      <w:r>
        <w:rPr>
          <w:rFonts w:hint="eastAsia" w:ascii="仿宋" w:hAnsi="仿宋" w:eastAsia="仿宋" w:cs="仿宋"/>
          <w:b/>
          <w:color w:val="auto"/>
          <w:sz w:val="24"/>
          <w:highlight w:val="none"/>
        </w:rPr>
        <w:t>投标人递交两份或两份以上内容不同的投标书，且未声明哪一份有效的；</w:t>
      </w:r>
    </w:p>
    <w:p w14:paraId="68F0A8D2">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7.10</w:t>
      </w:r>
      <w:r>
        <w:rPr>
          <w:rFonts w:hint="eastAsia" w:ascii="仿宋" w:hAnsi="仿宋" w:eastAsia="仿宋" w:cs="仿宋"/>
          <w:b/>
          <w:color w:val="auto"/>
          <w:sz w:val="24"/>
          <w:highlight w:val="none"/>
        </w:rPr>
        <w:t>报价一经涂改，未在涂改处加盖投标单位公章或者未经法定代表人或其授权代表签字或盖章的；</w:t>
      </w:r>
    </w:p>
    <w:p w14:paraId="28FB0499">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7.11</w:t>
      </w:r>
      <w:r>
        <w:rPr>
          <w:rFonts w:hint="eastAsia" w:ascii="仿宋" w:hAnsi="仿宋" w:eastAsia="仿宋" w:cs="仿宋"/>
          <w:b/>
          <w:color w:val="auto"/>
          <w:sz w:val="24"/>
          <w:highlight w:val="none"/>
        </w:rPr>
        <w:t>因未按招标文件规定的格式填写，或</w:t>
      </w:r>
      <w:r>
        <w:rPr>
          <w:rFonts w:hint="eastAsia" w:ascii="仿宋" w:hAnsi="仿宋" w:eastAsia="仿宋" w:cs="仿宋"/>
          <w:b/>
          <w:color w:val="auto"/>
          <w:sz w:val="24"/>
          <w:szCs w:val="20"/>
          <w:highlight w:val="none"/>
        </w:rPr>
        <w:t>对招标</w:t>
      </w:r>
      <w:r>
        <w:rPr>
          <w:rFonts w:hint="eastAsia" w:ascii="仿宋" w:hAnsi="仿宋" w:eastAsia="仿宋" w:cs="仿宋"/>
          <w:b/>
          <w:color w:val="auto"/>
          <w:sz w:val="24"/>
          <w:highlight w:val="none"/>
        </w:rPr>
        <w:t>服务或技术或产品等要求</w:t>
      </w:r>
      <w:r>
        <w:rPr>
          <w:rFonts w:hint="eastAsia" w:ascii="仿宋" w:hAnsi="仿宋" w:eastAsia="仿宋" w:cs="仿宋"/>
          <w:b/>
          <w:color w:val="auto"/>
          <w:sz w:val="24"/>
          <w:szCs w:val="20"/>
          <w:highlight w:val="none"/>
        </w:rPr>
        <w:t>未详细应答或应答</w:t>
      </w:r>
      <w:r>
        <w:rPr>
          <w:rFonts w:hint="eastAsia" w:ascii="仿宋" w:hAnsi="仿宋" w:eastAsia="仿宋" w:cs="仿宋"/>
          <w:b/>
          <w:color w:val="auto"/>
          <w:sz w:val="24"/>
          <w:highlight w:val="none"/>
        </w:rPr>
        <w:t>内容不全、有缺失的,经评标委员会认定为无法评审的；</w:t>
      </w:r>
    </w:p>
    <w:p w14:paraId="66FA9C36">
      <w:pPr>
        <w:pStyle w:val="24"/>
        <w:snapToGrid w:val="0"/>
        <w:spacing w:line="44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7.12出现同一标的物或本次招标产品(服务)内的主要产品(重要组成部分)出现</w:t>
      </w:r>
      <w:r>
        <w:rPr>
          <w:rFonts w:hint="eastAsia" w:ascii="仿宋" w:hAnsi="仿宋" w:eastAsia="仿宋" w:cs="仿宋"/>
          <w:b/>
          <w:color w:val="auto"/>
          <w:sz w:val="24"/>
          <w:highlight w:val="none"/>
        </w:rPr>
        <w:t>商务技术（资信）文件资料</w:t>
      </w:r>
      <w:r>
        <w:rPr>
          <w:rFonts w:hint="eastAsia" w:ascii="仿宋" w:hAnsi="仿宋" w:eastAsia="仿宋" w:cs="仿宋"/>
          <w:b/>
          <w:color w:val="auto"/>
          <w:sz w:val="24"/>
          <w:szCs w:val="24"/>
          <w:highlight w:val="none"/>
        </w:rPr>
        <w:t>、</w:t>
      </w:r>
      <w:r>
        <w:rPr>
          <w:rFonts w:hint="eastAsia" w:ascii="仿宋" w:hAnsi="仿宋" w:eastAsia="仿宋" w:cs="仿宋"/>
          <w:b/>
          <w:color w:val="auto"/>
          <w:sz w:val="24"/>
          <w:highlight w:val="none"/>
        </w:rPr>
        <w:t>报价文件资料</w:t>
      </w:r>
      <w:r>
        <w:rPr>
          <w:rFonts w:hint="eastAsia" w:ascii="仿宋" w:hAnsi="仿宋" w:eastAsia="仿宋" w:cs="仿宋"/>
          <w:b/>
          <w:color w:val="auto"/>
          <w:sz w:val="24"/>
          <w:szCs w:val="24"/>
          <w:highlight w:val="none"/>
        </w:rPr>
        <w:t>描述不一致或前后描述不一致，经评标委员会认定后为无法评审的；</w:t>
      </w:r>
    </w:p>
    <w:p w14:paraId="7C4EACFB">
      <w:pPr>
        <w:pStyle w:val="24"/>
        <w:snapToGrid w:val="0"/>
        <w:spacing w:line="44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7.13《</w:t>
      </w:r>
      <w:r>
        <w:rPr>
          <w:rFonts w:hint="eastAsia" w:ascii="仿宋" w:hAnsi="仿宋" w:eastAsia="仿宋" w:cs="仿宋"/>
          <w:b/>
          <w:color w:val="auto"/>
          <w:sz w:val="24"/>
          <w:highlight w:val="none"/>
        </w:rPr>
        <w:t>技术偏离说明表</w:t>
      </w:r>
      <w:r>
        <w:rPr>
          <w:rFonts w:hint="eastAsia" w:ascii="仿宋" w:hAnsi="仿宋" w:eastAsia="仿宋" w:cs="仿宋"/>
          <w:b/>
          <w:color w:val="auto"/>
          <w:sz w:val="24"/>
          <w:szCs w:val="24"/>
          <w:highlight w:val="none"/>
        </w:rPr>
        <w:t>》</w:t>
      </w:r>
      <w:r>
        <w:rPr>
          <w:rFonts w:hint="eastAsia" w:ascii="仿宋" w:hAnsi="仿宋" w:eastAsia="仿宋" w:cs="仿宋"/>
          <w:b/>
          <w:color w:val="auto"/>
          <w:sz w:val="24"/>
          <w:highlight w:val="none"/>
        </w:rPr>
        <w:t>不真实填写或弄虚作假的；</w:t>
      </w:r>
    </w:p>
    <w:p w14:paraId="43F0AF40">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7.14</w:t>
      </w:r>
      <w:r>
        <w:rPr>
          <w:rFonts w:hint="eastAsia" w:ascii="仿宋" w:hAnsi="仿宋" w:eastAsia="仿宋" w:cs="仿宋"/>
          <w:b/>
          <w:color w:val="auto"/>
          <w:kern w:val="0"/>
          <w:sz w:val="24"/>
          <w:highlight w:val="none"/>
        </w:rPr>
        <w:t>投标文件含有采购人不能接受的附加条件；</w:t>
      </w:r>
    </w:p>
    <w:p w14:paraId="03B0AE3D">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7.15</w:t>
      </w:r>
      <w:r>
        <w:rPr>
          <w:rFonts w:hint="eastAsia" w:ascii="仿宋" w:hAnsi="仿宋" w:eastAsia="仿宋" w:cs="仿宋"/>
          <w:b/>
          <w:color w:val="auto"/>
          <w:sz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w:t>
      </w:r>
    </w:p>
    <w:p w14:paraId="0A3D35D4">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7.16报价超过招标文件中规定的预算金额或最高限价的；</w:t>
      </w:r>
    </w:p>
    <w:p w14:paraId="098C7647">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7.17投标文件“商务技术（资信）文件资料”部分中出现《开标一览表》相关内容的；</w:t>
      </w:r>
    </w:p>
    <w:p w14:paraId="7C31D936">
      <w:pPr>
        <w:tabs>
          <w:tab w:val="left" w:pos="3870"/>
          <w:tab w:val="left" w:pos="4085"/>
        </w:tabs>
        <w:snapToGrid w:val="0"/>
        <w:spacing w:line="440" w:lineRule="exact"/>
        <w:jc w:val="left"/>
        <w:rPr>
          <w:rFonts w:hint="eastAsia" w:ascii="仿宋" w:hAnsi="仿宋" w:eastAsia="仿宋" w:cs="仿宋"/>
          <w:b/>
          <w:color w:val="auto"/>
          <w:sz w:val="24"/>
          <w:szCs w:val="21"/>
          <w:highlight w:val="none"/>
        </w:rPr>
      </w:pPr>
      <w:r>
        <w:rPr>
          <w:rFonts w:hint="eastAsia" w:ascii="仿宋" w:hAnsi="仿宋" w:eastAsia="仿宋" w:cs="仿宋"/>
          <w:b/>
          <w:color w:val="auto"/>
          <w:sz w:val="24"/>
          <w:szCs w:val="21"/>
          <w:highlight w:val="none"/>
        </w:rPr>
        <w:t>7.18采购人拟采购的产品属于政府强制采购的节能产品品目清单范围的，投标人未按招标文件要求提供国家确定的认证机构出具的、处于有效期之内的节能产品认证证书的；</w:t>
      </w:r>
    </w:p>
    <w:p w14:paraId="10AFBE73">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7.19《开标一览表》填写不完整或字迹不能辨认或有漏项的，经评标委员会认定属于重大偏差的；</w:t>
      </w:r>
    </w:p>
    <w:p w14:paraId="2F745A71">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7.20投标人对根据修正原则修正后的报价不确认的；</w:t>
      </w:r>
    </w:p>
    <w:p w14:paraId="0B723616">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7.21投标人提供虚假材料投标的（包括但不限于以下情节）；</w:t>
      </w:r>
    </w:p>
    <w:p w14:paraId="27FCAE5E">
      <w:pPr>
        <w:tabs>
          <w:tab w:val="left" w:pos="3870"/>
          <w:tab w:val="left" w:pos="4085"/>
        </w:tabs>
        <w:snapToGrid w:val="0"/>
        <w:spacing w:line="44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7.21.1使用伪造、变造的许可证件；</w:t>
      </w:r>
    </w:p>
    <w:p w14:paraId="29C71748">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7.21.2提供虚假的财务状况或者业绩；</w:t>
      </w:r>
    </w:p>
    <w:p w14:paraId="09C4E141">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7.21.3提供虚假的项目负责人或者主要技术人员简历、劳动关系证明；</w:t>
      </w:r>
    </w:p>
    <w:p w14:paraId="7E566FEE">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7.21.4提供虚假的信用状况；</w:t>
      </w:r>
    </w:p>
    <w:p w14:paraId="5708E288">
      <w:pPr>
        <w:tabs>
          <w:tab w:val="left" w:pos="3870"/>
          <w:tab w:val="left" w:pos="4085"/>
        </w:tabs>
        <w:snapToGrid w:val="0"/>
        <w:spacing w:line="440" w:lineRule="exact"/>
        <w:ind w:firstLine="48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7.21.5其他弄虚作假的行为。</w:t>
      </w:r>
    </w:p>
    <w:p w14:paraId="71A943C1">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7.22有下列情形之一的，视为投标人串通投标，其投标无效：</w:t>
      </w:r>
    </w:p>
    <w:p w14:paraId="79E396C6">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7.22.1不同投标人的投标文件由同一单位或者个人编制；</w:t>
      </w:r>
    </w:p>
    <w:p w14:paraId="3FC11DDF">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7.22.2不同投标人委托同一单位或者个人办理投标事宜；</w:t>
      </w:r>
    </w:p>
    <w:p w14:paraId="0BDD2768">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7.22.3不同投标人的投标文件载明的项目管理成员或者联系人员为同一人；</w:t>
      </w:r>
    </w:p>
    <w:p w14:paraId="0A09E92E">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7.22.4不同投标人的投标文件异常一致或者投标报价呈规律性差异；</w:t>
      </w:r>
    </w:p>
    <w:p w14:paraId="49220900">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7.22.5不同投标人的投标文件相互混装；</w:t>
      </w:r>
    </w:p>
    <w:p w14:paraId="11E7AFBF">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7.23有下列情形之一的，属于恶意串通，其投标无效：</w:t>
      </w:r>
    </w:p>
    <w:p w14:paraId="22931D1C">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7.23.1供应商直接或者间接从采购人或者采购机构处获得其他供应商的相关情况并修改其投标文件或者响应文件；</w:t>
      </w:r>
    </w:p>
    <w:p w14:paraId="2A9C3FAB">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7.23.2供应商按照采购人或者采购机构的授意撤换、修改投标文件或者响应文件；</w:t>
      </w:r>
    </w:p>
    <w:p w14:paraId="4DADCAE6">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7.23.3供应商之间协商报价、技术方案等投标文件或者响应文件的实质性内容；</w:t>
      </w:r>
    </w:p>
    <w:p w14:paraId="239AE820">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7.23.4属于同一集团、协会、商会等组织成员的供应商按照该组织要求协同参加政府采购活动；</w:t>
      </w:r>
    </w:p>
    <w:p w14:paraId="3BD291F8">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7.23.5供应商之间事先约定由某一特定供应商中标、成交；</w:t>
      </w:r>
    </w:p>
    <w:p w14:paraId="37DE4261">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7.23.6供应商之间商定部分供应商放弃参加政府采购活动或者放弃中标、成交；</w:t>
      </w:r>
    </w:p>
    <w:p w14:paraId="53FCCC0A">
      <w:pPr>
        <w:tabs>
          <w:tab w:val="left" w:pos="3870"/>
          <w:tab w:val="left" w:pos="4085"/>
        </w:tabs>
        <w:snapToGrid w:val="0"/>
        <w:spacing w:line="440" w:lineRule="exact"/>
        <w:ind w:firstLine="480" w:firstLineChars="200"/>
        <w:jc w:val="left"/>
        <w:rPr>
          <w:rFonts w:hint="eastAsia" w:ascii="仿宋" w:hAnsi="仿宋" w:eastAsia="仿宋" w:cs="仿宋"/>
          <w:b/>
          <w:color w:val="auto"/>
          <w:sz w:val="24"/>
          <w:highlight w:val="none"/>
        </w:rPr>
      </w:pPr>
      <w:r>
        <w:rPr>
          <w:rFonts w:hint="eastAsia" w:ascii="仿宋" w:hAnsi="仿宋" w:eastAsia="仿宋" w:cs="仿宋"/>
          <w:color w:val="auto"/>
          <w:sz w:val="24"/>
          <w:szCs w:val="21"/>
          <w:highlight w:val="none"/>
        </w:rPr>
        <w:t>7.23.7供应商与采购人或者采购机构之间、供应商相互之间，为谋求特定供应商中标、成交或者排斥其他供应商的其他串通行为。</w:t>
      </w:r>
    </w:p>
    <w:p w14:paraId="54AADA05">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szCs w:val="21"/>
          <w:highlight w:val="none"/>
        </w:rPr>
        <w:t>7.24</w:t>
      </w:r>
      <w:r>
        <w:rPr>
          <w:rFonts w:hint="eastAsia" w:ascii="仿宋" w:hAnsi="仿宋" w:eastAsia="仿宋" w:cs="仿宋"/>
          <w:b/>
          <w:color w:val="auto"/>
          <w:sz w:val="24"/>
          <w:highlight w:val="none"/>
        </w:rPr>
        <w:t>评标委员会认定有重大偏差或实质性不响应招标文件要求的；</w:t>
      </w:r>
    </w:p>
    <w:p w14:paraId="6911A062">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7.25报价文件中出现2个(含)以上的报价或方案的；</w:t>
      </w:r>
    </w:p>
    <w:p w14:paraId="192627BF">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7.26其他违反法律、法规的情形。</w:t>
      </w:r>
    </w:p>
    <w:p w14:paraId="0460DAB9">
      <w:pPr>
        <w:numPr>
          <w:ilvl w:val="0"/>
          <w:numId w:val="8"/>
        </w:numPr>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评标过程保密</w:t>
      </w:r>
    </w:p>
    <w:p w14:paraId="45E51731">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353E5B59">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022D2039">
      <w:pPr>
        <w:pStyle w:val="24"/>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五、授予合同</w:t>
      </w:r>
    </w:p>
    <w:bookmarkEnd w:id="4"/>
    <w:bookmarkEnd w:id="5"/>
    <w:bookmarkEnd w:id="6"/>
    <w:p w14:paraId="285A5039">
      <w:pPr>
        <w:pStyle w:val="16"/>
        <w:tabs>
          <w:tab w:val="clear" w:pos="454"/>
        </w:tabs>
        <w:spacing w:afterLines="0" w:line="440" w:lineRule="exact"/>
        <w:ind w:left="0" w:firstLine="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1F5D2B44">
      <w:pPr>
        <w:pStyle w:val="16"/>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1.1投标文件基本符合招标文件要求；</w:t>
      </w:r>
    </w:p>
    <w:p w14:paraId="1C818781">
      <w:pPr>
        <w:pStyle w:val="16"/>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1.2投标人有很好的执行合同的能力；</w:t>
      </w:r>
    </w:p>
    <w:p w14:paraId="7F0D0BE8">
      <w:pPr>
        <w:pStyle w:val="16"/>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1.3实施方案最合理并对招标人最为有利，最大限度满足招标文件的要求；</w:t>
      </w:r>
    </w:p>
    <w:p w14:paraId="1240F8EB">
      <w:pPr>
        <w:pStyle w:val="16"/>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1.4投标人能够提供质量技术、商务经济占综合优势的系统及服务。</w:t>
      </w:r>
    </w:p>
    <w:p w14:paraId="36E883A0">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10B537F5">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4ECF9242">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2078B2D8">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084F70AA">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2496484A">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36F308CA">
      <w:pPr>
        <w:pStyle w:val="155"/>
        <w:tabs>
          <w:tab w:val="left" w:pos="0"/>
        </w:tabs>
        <w:spacing w:before="0" w:line="440" w:lineRule="exact"/>
        <w:ind w:firstLine="0" w:firstLineChars="0"/>
        <w:rPr>
          <w:rFonts w:hint="eastAsia" w:ascii="仿宋" w:hAnsi="仿宋" w:eastAsia="仿宋" w:cs="仿宋"/>
          <w:color w:val="auto"/>
          <w:szCs w:val="24"/>
          <w:highlight w:val="none"/>
        </w:rPr>
      </w:pPr>
      <w:r>
        <w:rPr>
          <w:rFonts w:hint="eastAsia" w:ascii="仿宋" w:hAnsi="仿宋" w:eastAsia="仿宋" w:cs="仿宋"/>
          <w:color w:val="auto"/>
          <w:szCs w:val="24"/>
          <w:highlight w:val="none"/>
        </w:rPr>
        <w:t>3.1</w:t>
      </w:r>
      <w:r>
        <w:rPr>
          <w:rFonts w:hint="eastAsia" w:ascii="仿宋" w:hAnsi="仿宋" w:eastAsia="仿宋" w:cs="仿宋"/>
          <w:color w:val="auto"/>
          <w:kern w:val="0"/>
          <w:highlight w:val="none"/>
        </w:rPr>
        <w:t>采购代理机构</w:t>
      </w:r>
      <w:r>
        <w:rPr>
          <w:rFonts w:hint="eastAsia" w:ascii="仿宋" w:hAnsi="仿宋" w:eastAsia="仿宋" w:cs="仿宋"/>
          <w:color w:val="auto"/>
          <w:highlight w:val="none"/>
        </w:rPr>
        <w:t>对中标结果在指定媒体</w:t>
      </w:r>
      <w:r>
        <w:rPr>
          <w:rFonts w:hint="eastAsia" w:ascii="仿宋" w:hAnsi="仿宋" w:eastAsia="仿宋" w:cs="仿宋"/>
          <w:color w:val="auto"/>
          <w:kern w:val="0"/>
          <w:highlight w:val="none"/>
        </w:rPr>
        <w:t>发布中标公告，中标公告期限为1个工作日。</w:t>
      </w:r>
    </w:p>
    <w:p w14:paraId="49C56273">
      <w:pPr>
        <w:tabs>
          <w:tab w:val="left" w:pos="0"/>
        </w:tabs>
        <w:spacing w:line="440" w:lineRule="exact"/>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rPr>
        <w:t>3.2采购机构发送纸质中标通知书。在采购代理机构发出中标通知书前，中标供应商如有违反有关法律法规和本项目要求行为的，则取消该投标人的中标资格</w:t>
      </w:r>
      <w:r>
        <w:rPr>
          <w:rFonts w:hint="eastAsia" w:ascii="仿宋" w:hAnsi="仿宋" w:eastAsia="仿宋" w:cs="仿宋"/>
          <w:color w:val="auto"/>
          <w:kern w:val="0"/>
          <w:sz w:val="24"/>
          <w:highlight w:val="none"/>
          <w:lang w:val="zh-CN"/>
        </w:rPr>
        <w:t>。</w:t>
      </w:r>
    </w:p>
    <w:p w14:paraId="796E2385">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7F9DF898">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56306762">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4.1采购人在签订合同时，按合同法规定可向中标人收取不高于中标额的</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％的履约保证金，采购人不得以供应商事先提交履约保证金作为签订合同的条件。鼓励采购人根据项目特点、供应商诚信等情况免收履约保证金或降低缴纳比例。</w:t>
      </w:r>
    </w:p>
    <w:p w14:paraId="05A1038C">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4.2供应商在履行完合同约定事项后，采购人应及时退还履约保证金。</w:t>
      </w:r>
    </w:p>
    <w:p w14:paraId="1163EDA6">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59B8D54C">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5．合同备案</w:t>
      </w:r>
    </w:p>
    <w:p w14:paraId="339E4746">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w:t>
      </w:r>
      <w:r>
        <w:rPr>
          <w:rFonts w:hint="eastAsia" w:ascii="仿宋" w:hAnsi="仿宋" w:eastAsia="仿宋" w:cs="仿宋"/>
          <w:b/>
          <w:color w:val="auto"/>
          <w:sz w:val="24"/>
          <w:highlight w:val="none"/>
        </w:rPr>
        <w:t>3个工作日内</w:t>
      </w:r>
      <w:r>
        <w:rPr>
          <w:rFonts w:hint="eastAsia" w:ascii="仿宋" w:hAnsi="仿宋" w:eastAsia="仿宋" w:cs="仿宋"/>
          <w:color w:val="auto"/>
          <w:sz w:val="24"/>
          <w:highlight w:val="none"/>
        </w:rPr>
        <w:t>，将</w:t>
      </w:r>
      <w:r>
        <w:rPr>
          <w:rFonts w:hint="eastAsia" w:ascii="仿宋" w:hAnsi="仿宋" w:eastAsia="仿宋" w:cs="仿宋"/>
          <w:b/>
          <w:color w:val="auto"/>
          <w:sz w:val="24"/>
          <w:highlight w:val="none"/>
        </w:rPr>
        <w:t>采购合同原件</w:t>
      </w:r>
      <w:r>
        <w:rPr>
          <w:rFonts w:hint="eastAsia" w:ascii="仿宋" w:hAnsi="仿宋" w:eastAsia="仿宋" w:cs="仿宋"/>
          <w:color w:val="auto"/>
          <w:sz w:val="24"/>
          <w:highlight w:val="none"/>
        </w:rPr>
        <w:t>报采购代理机构备案。</w:t>
      </w:r>
    </w:p>
    <w:p w14:paraId="06BBC601">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5.2未领取中标通知书，采购双方自行签订的合同不予备案。</w:t>
      </w:r>
    </w:p>
    <w:p w14:paraId="764ABB50">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6F6FEDFD">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489C19BD">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6C4885C6">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28D31B8">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 售后服务考核</w:t>
      </w:r>
    </w:p>
    <w:p w14:paraId="495663CA">
      <w:pPr>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机构将联合政府采购监管部门不定期对合同的履约情况进行检查，发现未按合同规定进行履约的，有弄虚作假，偷工减料，以次充好等情形，达不到国家、行业有关标准和商务技术（资信）文件规定的，一经查实，由政府采购监督管理部门给予相应处罚。</w:t>
      </w:r>
    </w:p>
    <w:p w14:paraId="46D65D56">
      <w:pPr>
        <w:snapToGrid w:val="0"/>
        <w:spacing w:line="800" w:lineRule="exact"/>
        <w:jc w:val="center"/>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六、质疑与投诉</w:t>
      </w:r>
    </w:p>
    <w:p w14:paraId="670C6E11">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中华人民共和国政府采购法》、《中华人民共和国政府采购法实施条例》（国务院第658号令）、《政府采购质疑和投诉办法》（财政部第94号令）、《财政部关于加强政府采购供应商投诉受理审查工作的通知》(财库〔2007〕1号)和《浙江省政府采购供应商质疑处理办法》（浙财采监[2012]18号）的规定，政府采购供应商可以依法提起质疑和投诉。</w:t>
      </w:r>
    </w:p>
    <w:p w14:paraId="61A25E84">
      <w:pPr>
        <w:autoSpaceDE w:val="0"/>
        <w:autoSpaceDN w:val="0"/>
        <w:spacing w:line="360" w:lineRule="auto"/>
        <w:ind w:firstLine="472" w:firstLineChars="196"/>
        <w:jc w:val="left"/>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1.供应商询问</w:t>
      </w:r>
    </w:p>
    <w:p w14:paraId="0E0D4EFF">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供应商对政府采购活动事项有疑问的，可以向采购机构提出询问，采购机构将对供应商依法提出的询问作出答复，但答复的内容不得涉及商业秘密。</w:t>
      </w:r>
    </w:p>
    <w:p w14:paraId="1AC556A6">
      <w:pPr>
        <w:autoSpaceDE w:val="0"/>
        <w:autoSpaceDN w:val="0"/>
        <w:spacing w:line="360" w:lineRule="auto"/>
        <w:ind w:firstLine="472" w:firstLineChars="196"/>
        <w:jc w:val="left"/>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2.供应商质疑</w:t>
      </w:r>
    </w:p>
    <w:p w14:paraId="7990433B">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2.1供应商认为采购文件、采购过程和成交结果使自己的权益受到损害的，可以在知道或者应知其权益受到损害之日起七个工作日内，可以以书面邮寄的方式向采购机构提出质疑，否则，采购机构不予受理：</w:t>
      </w:r>
    </w:p>
    <w:p w14:paraId="768E0648">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采购文件提出质疑的，质疑期限为供应商获得采购文件之日或者采购文件公告期限届满之日（即供应商报名截止之日）起计算，但采购文件在报名截止之日后获得的，应当自截止之日起计算，且应当在采购响应截止时间之前提出。</w:t>
      </w:r>
    </w:p>
    <w:p w14:paraId="061BE12C">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（2）对采购过程提出质疑的，质疑期限为各采购程序环节结束之日起计算。</w:t>
      </w:r>
    </w:p>
    <w:p w14:paraId="5B6F8BD6">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（3）对采购结果提出质疑的，质疑期限自采购结果公告（包括公示、预公告、结果变更公告等）期限届满之日起计算。</w:t>
      </w:r>
    </w:p>
    <w:p w14:paraId="6DB6F543">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（4）供应商应在法定质疑期内一次性提出针对同一采购程序环节的质疑。</w:t>
      </w:r>
    </w:p>
    <w:p w14:paraId="6E4C5B51">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3.供应商提交提出质疑应当提交质疑书和必要的证明材料，质疑书需一式三份，质疑书至少应包括下列主要内容：</w:t>
      </w:r>
    </w:p>
    <w:p w14:paraId="7E8CCCA1">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（1）质疑人的名称、地址、邮政编码、联系人、联系电话，以及被质疑人名称及联系方式；</w:t>
      </w:r>
    </w:p>
    <w:p w14:paraId="5809D1DC">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（2）被质疑采购项目名称、编号及采购内容；</w:t>
      </w:r>
    </w:p>
    <w:p w14:paraId="0921DE26">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（3）具体、明确的质疑事项和与质疑事项相关的请求</w:t>
      </w:r>
    </w:p>
    <w:p w14:paraId="5DB91723">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（4）事实依据；</w:t>
      </w:r>
    </w:p>
    <w:p w14:paraId="7AD02980">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（5）必要的法律依据；</w:t>
      </w:r>
    </w:p>
    <w:p w14:paraId="7909DD88">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（6）认为自己合法权益受到损害或可能受到损害的相关证据材料；</w:t>
      </w:r>
    </w:p>
    <w:p w14:paraId="39DFE1A8">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（7）提出质疑的日期。</w:t>
      </w:r>
    </w:p>
    <w:p w14:paraId="43284846">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 质疑书应当署名。质疑人为自然人的，应当由本人签字并附有效身份证明；质疑人为法人或其他组织的，应当由法定代表人或主要负责人签字（或盖章）并加盖单位公章。</w:t>
      </w:r>
    </w:p>
    <w:p w14:paraId="53EA7457">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 质疑人因故不能自行办理质疑事项的，可以委托代理人办理质疑事宜，但应当向被质疑人提交授权委托书，并载明委托代理的具体权限和事项。</w:t>
      </w:r>
    </w:p>
    <w:p w14:paraId="750B0138">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（10）质疑人提供的相关材料中有外文资料的，应当将与质疑相关的外文资料完整、客观、真实地翻译为中文，并注明翻译人员姓名、工作单位、联系方式等信息。</w:t>
      </w:r>
    </w:p>
    <w:p w14:paraId="77DEEEAA">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原则上由采购人回复的质疑：</w:t>
      </w:r>
    </w:p>
    <w:p w14:paraId="46A08EF1">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（1）对采购文件中特定资格条件、采购需求、评分办法提出的质疑；</w:t>
      </w:r>
    </w:p>
    <w:p w14:paraId="6F3469F1">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（2）对采购过程中有关现场考察或开标前答疑会事项提出的质疑。</w:t>
      </w:r>
    </w:p>
    <w:p w14:paraId="5D46D793">
      <w:pPr>
        <w:pStyle w:val="24"/>
        <w:spacing w:line="360" w:lineRule="auto"/>
        <w:ind w:firstLine="720" w:firstLineChars="300"/>
        <w:rPr>
          <w:rFonts w:hint="eastAsia" w:ascii="仿宋" w:hAnsi="仿宋" w:eastAsia="仿宋" w:cs="仿宋"/>
          <w:color w:val="auto"/>
          <w:sz w:val="24"/>
          <w:highlight w:val="none"/>
        </w:rPr>
      </w:pPr>
      <w:r>
        <w:rPr>
          <w:rFonts w:hint="eastAsia" w:ascii="仿宋" w:hAnsi="仿宋" w:eastAsia="仿宋" w:cs="仿宋"/>
          <w:color w:val="auto"/>
          <w:sz w:val="24"/>
          <w:highlight w:val="none"/>
        </w:rPr>
        <w:t>原则上由采购代理机构回复的质疑：</w:t>
      </w:r>
    </w:p>
    <w:p w14:paraId="5592B6BE">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（1）除特定资格条件、采购需求、评分办法外，对采购文件中其他内容提出的质疑；</w:t>
      </w:r>
    </w:p>
    <w:p w14:paraId="38C7BE2F">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（2）除有关现场考察或开标前答疑会事项外，对采购过程中其它事项提出的质疑；</w:t>
      </w:r>
    </w:p>
    <w:p w14:paraId="5341165D">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（3）对采购结果提出的质疑。</w:t>
      </w:r>
    </w:p>
    <w:p w14:paraId="69363408">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5.采购机构应当在收到供应商的书面质疑后七个工作日内作出答复，并以书面形式通知质疑供应商和其他与质疑处理结果有利害关系的政府采购当事人，但答复的内容不得涉及商业秘密。</w:t>
      </w:r>
    </w:p>
    <w:p w14:paraId="1D64A7F7">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6.询问或者质疑事项可能影响采购结果的，采购人应当暂停签订合同，已经签订合同的，应当中止履行合同。</w:t>
      </w:r>
    </w:p>
    <w:p w14:paraId="1230C650">
      <w:pPr>
        <w:pStyle w:val="24"/>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7.质疑函范本、投诉书范本请到浙江政府采购网下载专区下载。</w:t>
      </w:r>
    </w:p>
    <w:p w14:paraId="25632D51">
      <w:pPr>
        <w:pageBreakBefore/>
        <w:snapToGrid w:val="0"/>
        <w:spacing w:line="8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tbl>
      <w:tblPr>
        <w:tblStyle w:val="44"/>
        <w:tblW w:w="9338" w:type="dxa"/>
        <w:jc w:val="center"/>
        <w:tblLayout w:type="autofit"/>
        <w:tblCellMar>
          <w:top w:w="0" w:type="dxa"/>
          <w:left w:w="0" w:type="dxa"/>
          <w:bottom w:w="0" w:type="dxa"/>
          <w:right w:w="0" w:type="dxa"/>
        </w:tblCellMar>
      </w:tblPr>
      <w:tblGrid>
        <w:gridCol w:w="680"/>
        <w:gridCol w:w="3689"/>
        <w:gridCol w:w="680"/>
        <w:gridCol w:w="1642"/>
        <w:gridCol w:w="1323"/>
        <w:gridCol w:w="1324"/>
      </w:tblGrid>
      <w:tr w14:paraId="6A2FEE42">
        <w:tblPrEx>
          <w:tblCellMar>
            <w:top w:w="0" w:type="dxa"/>
            <w:left w:w="0" w:type="dxa"/>
            <w:bottom w:w="0" w:type="dxa"/>
            <w:right w:w="0" w:type="dxa"/>
          </w:tblCellMar>
        </w:tblPrEx>
        <w:trPr>
          <w:trHeight w:val="393"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5AB4A">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bookmarkStart w:id="7" w:name="_Toc81372787"/>
            <w:bookmarkStart w:id="8" w:name="_Toc81372964"/>
            <w:bookmarkStart w:id="9" w:name="_Toc84325981"/>
            <w:bookmarkStart w:id="10" w:name="_Toc80157775"/>
            <w:r>
              <w:rPr>
                <w:rFonts w:hint="eastAsia" w:ascii="仿宋" w:hAnsi="仿宋" w:eastAsia="仿宋" w:cs="仿宋"/>
                <w:color w:val="auto"/>
                <w:kern w:val="0"/>
                <w:sz w:val="24"/>
                <w:szCs w:val="24"/>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7537D">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产品名称</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8B28D">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品牌</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69097">
            <w:pPr>
              <w:widowControl/>
              <w:spacing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年参考用量</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43568">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参考单价</w:t>
            </w:r>
          </w:p>
        </w:tc>
        <w:tc>
          <w:tcPr>
            <w:tcW w:w="13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B2730">
            <w:pPr>
              <w:widowControl/>
              <w:spacing w:line="240" w:lineRule="auto"/>
              <w:ind w:left="0" w:leftChars="0" w:right="0" w:rightChars="0" w:firstLine="0" w:firstLineChars="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bidi="ar"/>
              </w:rPr>
              <w:t>预算金额</w:t>
            </w:r>
          </w:p>
        </w:tc>
      </w:tr>
      <w:tr w14:paraId="473452C3">
        <w:tblPrEx>
          <w:tblCellMar>
            <w:top w:w="0" w:type="dxa"/>
            <w:left w:w="0" w:type="dxa"/>
            <w:bottom w:w="0" w:type="dxa"/>
            <w:right w:w="0" w:type="dxa"/>
          </w:tblCellMar>
        </w:tblPrEx>
        <w:trPr>
          <w:trHeight w:val="393"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1AA94">
            <w:pPr>
              <w:widowControl/>
              <w:spacing w:line="240" w:lineRule="auto"/>
              <w:ind w:left="0" w:leftChars="0" w:right="0" w:rightChars="0" w:firstLine="0" w:firstLineChars="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0622F">
            <w:pPr>
              <w:spacing w:line="240" w:lineRule="auto"/>
              <w:ind w:left="0" w:leftChars="0" w:right="0" w:rightChars="0" w:firstLine="0" w:firstLineChars="0"/>
              <w:jc w:val="left"/>
              <w:rPr>
                <w:rFonts w:hint="eastAsia" w:ascii="仿宋" w:hAnsi="仿宋" w:eastAsia="仿宋" w:cs="仿宋"/>
                <w:color w:val="auto"/>
                <w:sz w:val="18"/>
                <w:szCs w:val="18"/>
                <w:highlight w:val="none"/>
                <w:lang w:val="en-US"/>
              </w:rPr>
            </w:pPr>
            <w:r>
              <w:rPr>
                <w:rFonts w:hint="eastAsia" w:ascii="仿宋" w:hAnsi="仿宋" w:eastAsia="仿宋" w:cs="仿宋"/>
                <w:color w:val="auto"/>
                <w:szCs w:val="21"/>
                <w:highlight w:val="none"/>
                <w:lang w:eastAsia="zh-CN"/>
              </w:rPr>
              <w:t>职工职工电影票（</w:t>
            </w:r>
            <w:r>
              <w:rPr>
                <w:rFonts w:hint="eastAsia" w:ascii="仿宋" w:hAnsi="仿宋" w:eastAsia="仿宋" w:cs="仿宋"/>
                <w:color w:val="auto"/>
                <w:highlight w:val="none"/>
                <w:lang w:val="en-US" w:eastAsia="zh-CN"/>
              </w:rPr>
              <w:t>中医院）</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614A1">
            <w:pPr>
              <w:spacing w:line="240" w:lineRule="auto"/>
              <w:ind w:left="0" w:leftChars="0" w:right="0" w:rightChars="0" w:firstLine="0" w:firstLineChars="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eastAsia="zh-CN"/>
              </w:rPr>
              <w:t>自选</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A771B">
            <w:pPr>
              <w:spacing w:line="240" w:lineRule="auto"/>
              <w:ind w:left="0" w:leftChars="0" w:right="0" w:rightChars="0" w:firstLine="0" w:firstLineChars="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1070人</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261D22">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rPr>
            </w:pPr>
            <w:r>
              <w:rPr>
                <w:rFonts w:hint="eastAsia" w:ascii="仿宋" w:hAnsi="仿宋" w:eastAsia="仿宋" w:cs="仿宋"/>
                <w:color w:val="auto"/>
                <w:sz w:val="18"/>
                <w:szCs w:val="18"/>
                <w:highlight w:val="none"/>
                <w:lang w:val="en-US" w:eastAsia="zh-CN"/>
              </w:rPr>
              <w:t>250元/人</w:t>
            </w:r>
          </w:p>
        </w:tc>
        <w:tc>
          <w:tcPr>
            <w:tcW w:w="13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8B952">
            <w:pPr>
              <w:spacing w:line="240" w:lineRule="auto"/>
              <w:ind w:left="0" w:leftChars="0" w:right="0" w:righ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267500元</w:t>
            </w:r>
          </w:p>
        </w:tc>
      </w:tr>
      <w:tr w14:paraId="74CD3E97">
        <w:tblPrEx>
          <w:tblCellMar>
            <w:top w:w="0" w:type="dxa"/>
            <w:left w:w="0" w:type="dxa"/>
            <w:bottom w:w="0" w:type="dxa"/>
            <w:right w:w="0" w:type="dxa"/>
          </w:tblCellMar>
        </w:tblPrEx>
        <w:trPr>
          <w:trHeight w:val="393"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8A42A">
            <w:pPr>
              <w:widowControl/>
              <w:spacing w:line="240" w:lineRule="auto"/>
              <w:ind w:left="0" w:leftChars="0" w:right="0" w:rightChars="0" w:firstLine="0" w:firstLineChars="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89A1F">
            <w:pPr>
              <w:spacing w:line="240" w:lineRule="auto"/>
              <w:ind w:left="0" w:leftChars="0" w:right="0" w:rightChars="0" w:firstLine="0" w:firstLineChars="0"/>
              <w:jc w:val="left"/>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Cs w:val="21"/>
                <w:highlight w:val="none"/>
                <w:lang w:eastAsia="zh-CN"/>
              </w:rPr>
              <w:t>职工职工电影票（</w:t>
            </w:r>
            <w:r>
              <w:rPr>
                <w:rFonts w:hint="eastAsia" w:ascii="仿宋" w:hAnsi="仿宋" w:eastAsia="仿宋" w:cs="仿宋"/>
                <w:color w:val="auto"/>
                <w:highlight w:val="none"/>
                <w:lang w:val="en-US" w:eastAsia="zh-CN"/>
              </w:rPr>
              <w:t>口腔医院）</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BA1BC">
            <w:pPr>
              <w:spacing w:line="240" w:lineRule="auto"/>
              <w:ind w:left="0" w:leftChars="0" w:right="0" w:rightChars="0" w:firstLine="0" w:firstLineChars="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 w:val="18"/>
                <w:szCs w:val="18"/>
                <w:highlight w:val="none"/>
                <w:lang w:eastAsia="zh-CN"/>
              </w:rPr>
              <w:t>自选</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4B0F6">
            <w:pPr>
              <w:spacing w:line="240" w:lineRule="auto"/>
              <w:ind w:left="0" w:leftChars="0" w:right="0" w:rightChars="0" w:firstLine="0" w:firstLineChars="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 w:val="18"/>
                <w:szCs w:val="18"/>
                <w:highlight w:val="none"/>
                <w:lang w:val="en-US" w:eastAsia="zh-CN"/>
              </w:rPr>
              <w:t>253人</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191F0">
            <w:pPr>
              <w:spacing w:line="240" w:lineRule="auto"/>
              <w:ind w:left="0" w:leftChars="0" w:right="0" w:rightChars="0" w:firstLine="0" w:firstLineChars="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 w:val="18"/>
                <w:szCs w:val="18"/>
                <w:highlight w:val="none"/>
                <w:lang w:val="en-US" w:eastAsia="zh-CN"/>
              </w:rPr>
              <w:t>250元/人</w:t>
            </w:r>
          </w:p>
        </w:tc>
        <w:tc>
          <w:tcPr>
            <w:tcW w:w="13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8E09D">
            <w:pPr>
              <w:spacing w:line="240" w:lineRule="auto"/>
              <w:ind w:left="0" w:leftChars="0" w:right="0" w:righ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63250元</w:t>
            </w:r>
          </w:p>
        </w:tc>
      </w:tr>
      <w:tr w14:paraId="36988874">
        <w:tblPrEx>
          <w:tblCellMar>
            <w:top w:w="0" w:type="dxa"/>
            <w:left w:w="0" w:type="dxa"/>
            <w:bottom w:w="0" w:type="dxa"/>
            <w:right w:w="0" w:type="dxa"/>
          </w:tblCellMar>
        </w:tblPrEx>
        <w:trPr>
          <w:trHeight w:val="403" w:hRule="atLeast"/>
          <w:jc w:val="center"/>
        </w:trPr>
        <w:tc>
          <w:tcPr>
            <w:tcW w:w="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1BF57">
            <w:pPr>
              <w:spacing w:line="240" w:lineRule="auto"/>
              <w:ind w:left="0" w:leftChars="0" w:right="0" w:rightChars="0" w:firstLine="0" w:firstLineChars="0"/>
              <w:jc w:val="center"/>
              <w:rPr>
                <w:rFonts w:hint="eastAsia" w:ascii="仿宋" w:hAnsi="仿宋" w:eastAsia="仿宋" w:cs="仿宋"/>
                <w:color w:val="auto"/>
                <w:sz w:val="18"/>
                <w:szCs w:val="18"/>
                <w:highlight w:val="none"/>
              </w:rPr>
            </w:pPr>
          </w:p>
        </w:tc>
        <w:tc>
          <w:tcPr>
            <w:tcW w:w="36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FEDC5">
            <w:pPr>
              <w:widowControl/>
              <w:spacing w:line="240" w:lineRule="auto"/>
              <w:ind w:left="0" w:leftChars="0" w:right="0" w:rightChars="0" w:firstLine="0" w:firstLineChars="0"/>
              <w:jc w:val="center"/>
              <w:textAlignment w:val="center"/>
              <w:rPr>
                <w:rFonts w:hint="eastAsia" w:ascii="仿宋" w:hAnsi="仿宋" w:eastAsia="仿宋" w:cs="仿宋"/>
                <w:color w:val="auto"/>
                <w:sz w:val="18"/>
                <w:szCs w:val="18"/>
                <w:highlight w:val="none"/>
              </w:rPr>
            </w:pPr>
            <w:r>
              <w:rPr>
                <w:rFonts w:hint="eastAsia" w:ascii="仿宋" w:hAnsi="仿宋" w:eastAsia="仿宋" w:cs="仿宋"/>
                <w:color w:val="auto"/>
                <w:kern w:val="0"/>
                <w:sz w:val="18"/>
                <w:szCs w:val="18"/>
                <w:highlight w:val="none"/>
                <w:lang w:bidi="ar"/>
              </w:rPr>
              <w:t>合  计</w:t>
            </w:r>
          </w:p>
        </w:tc>
        <w:tc>
          <w:tcPr>
            <w:tcW w:w="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DCFB4">
            <w:pPr>
              <w:spacing w:line="240" w:lineRule="auto"/>
              <w:ind w:left="0" w:leftChars="0" w:right="0" w:rightChars="0" w:firstLine="0" w:firstLineChars="0"/>
              <w:jc w:val="center"/>
              <w:rPr>
                <w:rFonts w:hint="eastAsia" w:ascii="仿宋" w:hAnsi="仿宋" w:eastAsia="仿宋" w:cs="仿宋"/>
                <w:color w:val="auto"/>
                <w:sz w:val="18"/>
                <w:szCs w:val="18"/>
                <w:highlight w:val="none"/>
              </w:rPr>
            </w:pPr>
          </w:p>
        </w:tc>
        <w:tc>
          <w:tcPr>
            <w:tcW w:w="16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BDC09">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1323人</w:t>
            </w:r>
          </w:p>
        </w:tc>
        <w:tc>
          <w:tcPr>
            <w:tcW w:w="13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8A4CC">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250</w:t>
            </w:r>
            <w:r>
              <w:rPr>
                <w:rFonts w:hint="eastAsia" w:ascii="仿宋" w:hAnsi="仿宋" w:eastAsia="仿宋" w:cs="仿宋"/>
                <w:color w:val="auto"/>
                <w:sz w:val="18"/>
                <w:szCs w:val="18"/>
                <w:highlight w:val="none"/>
                <w:lang w:val="en-US" w:eastAsia="zh-CN"/>
              </w:rPr>
              <w:t>元/人</w:t>
            </w:r>
          </w:p>
        </w:tc>
        <w:tc>
          <w:tcPr>
            <w:tcW w:w="13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7B4A9C">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330750元</w:t>
            </w:r>
          </w:p>
        </w:tc>
      </w:tr>
    </w:tbl>
    <w:p w14:paraId="3A415A0D">
      <w:pPr>
        <w:keepNext w:val="0"/>
        <w:keepLines w:val="0"/>
        <w:pageBreakBefore w:val="0"/>
        <w:widowControl w:val="0"/>
        <w:numPr>
          <w:ilvl w:val="0"/>
          <w:numId w:val="0"/>
        </w:numPr>
        <w:kinsoku/>
        <w:wordWrap/>
        <w:overflowPunct/>
        <w:topLinePunct w:val="0"/>
        <w:autoSpaceDE/>
        <w:autoSpaceDN/>
        <w:bidi w:val="0"/>
        <w:spacing w:line="360" w:lineRule="auto"/>
        <w:ind w:left="8" w:leftChars="0" w:right="-817" w:rightChars="-389" w:firstLine="360" w:firstLineChars="150"/>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1.中标单位2家，采购数量根据招标人职工个人需求确定。招标人不承诺最低采购数量。</w:t>
      </w:r>
    </w:p>
    <w:p w14:paraId="1ED7B103">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票卡形式与使用：电影票（卡）可采用储值卡或兑换券形式，可分次使用；储值卡余额可多次消费，享受与普通现金消费者同等的购票权利及会员权益（如有），不得设置不合理的消费限制。有效期自发放之日起不少于一年</w:t>
      </w:r>
      <w:bookmarkStart w:id="168" w:name="_GoBack"/>
      <w:bookmarkEnd w:id="168"/>
      <w:r>
        <w:rPr>
          <w:rFonts w:hint="eastAsia" w:ascii="仿宋" w:hAnsi="仿宋" w:eastAsia="仿宋" w:cs="仿宋"/>
          <w:bCs/>
          <w:color w:val="auto"/>
          <w:sz w:val="24"/>
          <w:szCs w:val="24"/>
          <w:highlight w:val="none"/>
          <w:lang w:val="en-US" w:eastAsia="zh-CN"/>
        </w:rPr>
        <w:t>。</w:t>
      </w:r>
    </w:p>
    <w:p w14:paraId="771A961A">
      <w:pPr>
        <w:keepNext w:val="0"/>
        <w:keepLines w:val="0"/>
        <w:pageBreakBefore w:val="0"/>
        <w:widowControl w:val="0"/>
        <w:numPr>
          <w:ilvl w:val="0"/>
          <w:numId w:val="0"/>
        </w:numPr>
        <w:kinsoku/>
        <w:wordWrap/>
        <w:overflowPunct/>
        <w:topLinePunct w:val="0"/>
        <w:autoSpaceDE/>
        <w:autoSpaceDN/>
        <w:bidi w:val="0"/>
        <w:spacing w:line="360" w:lineRule="auto"/>
        <w:ind w:left="17" w:leftChars="8" w:right="-817" w:rightChars="-389" w:firstLine="398" w:firstLineChars="166"/>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▲3.在线选座：须支持在线选座购票，并明确购票渠道（官方APP、小程序、公众号或指定第三方平台）、操作方式及客服联系方式。</w:t>
      </w:r>
    </w:p>
    <w:p w14:paraId="6CF9B26D">
      <w:pPr>
        <w:keepNext w:val="0"/>
        <w:keepLines w:val="0"/>
        <w:pageBreakBefore w:val="0"/>
        <w:widowControl w:val="0"/>
        <w:numPr>
          <w:ilvl w:val="0"/>
          <w:numId w:val="0"/>
        </w:numPr>
        <w:kinsoku/>
        <w:wordWrap/>
        <w:overflowPunct/>
        <w:topLinePunct w:val="0"/>
        <w:autoSpaceDE/>
        <w:autoSpaceDN/>
        <w:bidi w:val="0"/>
        <w:spacing w:line="360" w:lineRule="auto"/>
        <w:ind w:left="17" w:leftChars="8" w:right="-817" w:rightChars="-389" w:firstLine="398" w:firstLineChars="166"/>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4.适用范围明示：投标人须在投标文件中列明可兑换影院清单、可兑换场次/影片/影厅范围，以及节假日、特殊厅、限价片等是否可用或需补差价等情况，并在票卡或购票平台显著位置公示；清单内影院须均可正常兑换。</w:t>
      </w:r>
    </w:p>
    <w:p w14:paraId="6D4182D5">
      <w:pPr>
        <w:keepNext w:val="0"/>
        <w:keepLines w:val="0"/>
        <w:pageBreakBefore w:val="0"/>
        <w:widowControl w:val="0"/>
        <w:numPr>
          <w:ilvl w:val="0"/>
          <w:numId w:val="0"/>
        </w:numPr>
        <w:kinsoku/>
        <w:wordWrap/>
        <w:overflowPunct/>
        <w:topLinePunct w:val="0"/>
        <w:autoSpaceDE/>
        <w:autoSpaceDN/>
        <w:bidi w:val="0"/>
        <w:spacing w:line="360" w:lineRule="auto"/>
        <w:ind w:leftChars="199" w:right="-817" w:rightChars="-389"/>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★5. 服务能力：投标人须为实体影院，提供营业执照、电影放映许可证等证明材料。</w:t>
      </w:r>
    </w:p>
    <w:p w14:paraId="4375F239">
      <w:pPr>
        <w:keepNext w:val="0"/>
        <w:keepLines w:val="0"/>
        <w:pageBreakBefore w:val="0"/>
        <w:widowControl w:val="0"/>
        <w:numPr>
          <w:ilvl w:val="0"/>
          <w:numId w:val="0"/>
        </w:numPr>
        <w:kinsoku/>
        <w:wordWrap/>
        <w:overflowPunct/>
        <w:topLinePunct w:val="0"/>
        <w:autoSpaceDE/>
        <w:autoSpaceDN/>
        <w:bidi w:val="0"/>
        <w:spacing w:line="360" w:lineRule="auto"/>
        <w:ind w:left="17" w:leftChars="8" w:right="-817" w:rightChars="-389" w:firstLine="398" w:firstLineChars="166"/>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6.售后服务：因供应商原因导致出票失败、影院无法兑换或票卡无法正常使用的，供应商须第一时间免费更换或退款，并承担相应责任；须提供有效客服渠道及响应时限。</w:t>
      </w:r>
    </w:p>
    <w:p w14:paraId="6A859630">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7.报价口径：投标报价须明确为每人份充值金额或票卡面值，并与商务评分口径一致；票卡面值、使用规则及限制条件须在投标文件中一并说明。</w:t>
      </w:r>
    </w:p>
    <w:p w14:paraId="20DBCC84">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8.付款方式：具体以与各采购人签订的合同为准。（绍兴市中医院付款方式：财务入账后，一个月内首付60%，以后每半年各支付20%。实际采购金额小于10000元的，一次性付款。发票章单位名称必须与投标时公章名称相符合，否则医院有权拒付相关款项。）</w:t>
      </w:r>
    </w:p>
    <w:p w14:paraId="2DBE005C">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9.合同期限：自合同签订之日起至2027年12月31日止。</w:t>
      </w:r>
    </w:p>
    <w:p w14:paraId="6991B883">
      <w:pPr>
        <w:pStyle w:val="24"/>
        <w:pageBreakBefore/>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40D880B3">
      <w:pPr>
        <w:rPr>
          <w:rFonts w:hint="eastAsia" w:ascii="仿宋" w:hAnsi="仿宋" w:eastAsia="仿宋" w:cs="仿宋"/>
          <w:color w:val="auto"/>
          <w:sz w:val="24"/>
          <w:highlight w:val="none"/>
        </w:rPr>
      </w:pPr>
    </w:p>
    <w:p w14:paraId="5C63EFC2">
      <w:pP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合同编号：</w:t>
      </w:r>
      <w:r>
        <w:rPr>
          <w:rFonts w:hint="eastAsia" w:ascii="仿宋" w:hAnsi="仿宋" w:eastAsia="仿宋" w:cs="仿宋"/>
          <w:color w:val="auto"/>
          <w:sz w:val="24"/>
          <w:highlight w:val="none"/>
          <w:u w:val="single"/>
        </w:rPr>
        <w:t xml:space="preserve">           </w:t>
      </w:r>
    </w:p>
    <w:p w14:paraId="1103510E">
      <w:pPr>
        <w:spacing w:line="480" w:lineRule="auto"/>
        <w:jc w:val="center"/>
        <w:rPr>
          <w:rFonts w:hint="eastAsia" w:ascii="仿宋" w:hAnsi="仿宋" w:eastAsia="仿宋" w:cs="仿宋"/>
          <w:b/>
          <w:color w:val="auto"/>
          <w:sz w:val="28"/>
          <w:szCs w:val="28"/>
          <w:highlight w:val="none"/>
        </w:rPr>
      </w:pPr>
    </w:p>
    <w:p w14:paraId="1717C1B9">
      <w:pPr>
        <w:spacing w:line="480" w:lineRule="auto"/>
        <w:jc w:val="center"/>
        <w:rPr>
          <w:rFonts w:hint="eastAsia" w:ascii="仿宋" w:hAnsi="仿宋" w:eastAsia="仿宋" w:cs="仿宋"/>
          <w:b/>
          <w:color w:val="auto"/>
          <w:sz w:val="24"/>
          <w:highlight w:val="none"/>
        </w:rPr>
      </w:pPr>
    </w:p>
    <w:p w14:paraId="0FB49A80">
      <w:pPr>
        <w:spacing w:line="480" w:lineRule="auto"/>
        <w:jc w:val="center"/>
        <w:rPr>
          <w:rFonts w:hint="eastAsia" w:ascii="仿宋" w:hAnsi="仿宋" w:eastAsia="仿宋" w:cs="仿宋"/>
          <w:b/>
          <w:color w:val="auto"/>
          <w:sz w:val="24"/>
          <w:highlight w:val="none"/>
        </w:rPr>
      </w:pPr>
    </w:p>
    <w:p w14:paraId="2AA64A59">
      <w:pPr>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政府采购合同参考范本</w:t>
      </w:r>
    </w:p>
    <w:p w14:paraId="59479891">
      <w:pPr>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（货物类）</w:t>
      </w:r>
    </w:p>
    <w:p w14:paraId="27D121D7">
      <w:pPr>
        <w:pStyle w:val="285"/>
        <w:rPr>
          <w:rFonts w:hint="eastAsia" w:ascii="仿宋" w:hAnsi="仿宋" w:eastAsia="仿宋" w:cs="仿宋"/>
          <w:color w:val="auto"/>
          <w:szCs w:val="24"/>
          <w:highlight w:val="none"/>
        </w:rPr>
      </w:pPr>
    </w:p>
    <w:p w14:paraId="6E493FD3">
      <w:pPr>
        <w:pStyle w:val="285"/>
        <w:rPr>
          <w:rFonts w:hint="eastAsia" w:ascii="仿宋" w:hAnsi="仿宋" w:eastAsia="仿宋" w:cs="仿宋"/>
          <w:color w:val="auto"/>
          <w:szCs w:val="24"/>
          <w:highlight w:val="none"/>
        </w:rPr>
      </w:pPr>
    </w:p>
    <w:p w14:paraId="1D55D924">
      <w:pPr>
        <w:pStyle w:val="285"/>
        <w:jc w:val="center"/>
        <w:rPr>
          <w:rFonts w:hint="eastAsia" w:ascii="仿宋" w:hAnsi="仿宋" w:eastAsia="仿宋" w:cs="仿宋"/>
          <w:color w:val="auto"/>
          <w:szCs w:val="24"/>
          <w:highlight w:val="none"/>
        </w:rPr>
      </w:pPr>
    </w:p>
    <w:p w14:paraId="252FE0C5">
      <w:pPr>
        <w:pStyle w:val="285"/>
        <w:ind w:firstLine="2843" w:firstLineChars="118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2B9BE45E">
      <w:pPr>
        <w:pStyle w:val="285"/>
        <w:rPr>
          <w:rFonts w:hint="eastAsia" w:ascii="仿宋" w:hAnsi="仿宋" w:eastAsia="仿宋" w:cs="仿宋"/>
          <w:color w:val="auto"/>
          <w:szCs w:val="24"/>
          <w:highlight w:val="none"/>
        </w:rPr>
      </w:pPr>
    </w:p>
    <w:p w14:paraId="3923D749">
      <w:pPr>
        <w:pStyle w:val="285"/>
        <w:rPr>
          <w:rFonts w:hint="eastAsia" w:ascii="仿宋" w:hAnsi="仿宋" w:eastAsia="仿宋" w:cs="仿宋"/>
          <w:color w:val="auto"/>
          <w:szCs w:val="24"/>
          <w:highlight w:val="none"/>
        </w:rPr>
      </w:pPr>
    </w:p>
    <w:p w14:paraId="4DE9241F">
      <w:pPr>
        <w:spacing w:before="120" w:line="22" w:lineRule="atLeast"/>
        <w:rPr>
          <w:rFonts w:hint="eastAsia" w:ascii="仿宋" w:hAnsi="仿宋" w:eastAsia="仿宋" w:cs="仿宋"/>
          <w:color w:val="auto"/>
          <w:sz w:val="24"/>
          <w:highlight w:val="none"/>
        </w:rPr>
      </w:pPr>
    </w:p>
    <w:p w14:paraId="02101130">
      <w:pPr>
        <w:spacing w:before="120" w:line="22" w:lineRule="atLeast"/>
        <w:ind w:left="96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63C3362E">
      <w:pPr>
        <w:pStyle w:val="284"/>
        <w:spacing w:before="120" w:line="22" w:lineRule="atLeast"/>
        <w:rPr>
          <w:rFonts w:hint="eastAsia" w:ascii="仿宋" w:hAnsi="仿宋" w:eastAsia="仿宋" w:cs="仿宋"/>
          <w:color w:val="auto"/>
          <w:szCs w:val="24"/>
          <w:highlight w:val="none"/>
        </w:rPr>
      </w:pPr>
    </w:p>
    <w:p w14:paraId="2AAD8CAE">
      <w:pPr>
        <w:pStyle w:val="284"/>
        <w:spacing w:before="120" w:line="22" w:lineRule="atLeast"/>
        <w:rPr>
          <w:rFonts w:hint="eastAsia" w:ascii="仿宋" w:hAnsi="仿宋" w:eastAsia="仿宋" w:cs="仿宋"/>
          <w:color w:val="auto"/>
          <w:szCs w:val="24"/>
          <w:highlight w:val="none"/>
        </w:rPr>
      </w:pPr>
    </w:p>
    <w:p w14:paraId="05AAA579">
      <w:pPr>
        <w:rPr>
          <w:rFonts w:hint="eastAsia" w:ascii="仿宋" w:hAnsi="仿宋" w:eastAsia="仿宋" w:cs="仿宋"/>
          <w:color w:val="auto"/>
          <w:sz w:val="24"/>
          <w:highlight w:val="none"/>
        </w:rPr>
      </w:pPr>
    </w:p>
    <w:p w14:paraId="1361EB7E">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0F5AF515">
      <w:pPr>
        <w:spacing w:before="120" w:line="22" w:lineRule="atLeast"/>
        <w:rPr>
          <w:rFonts w:hint="eastAsia" w:ascii="仿宋" w:hAnsi="仿宋" w:eastAsia="仿宋" w:cs="仿宋"/>
          <w:color w:val="auto"/>
          <w:sz w:val="24"/>
          <w:highlight w:val="none"/>
        </w:rPr>
      </w:pPr>
    </w:p>
    <w:p w14:paraId="12086C6B">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483C1871">
      <w:pPr>
        <w:spacing w:before="120" w:line="22" w:lineRule="atLeast"/>
        <w:rPr>
          <w:rFonts w:hint="eastAsia" w:ascii="仿宋" w:hAnsi="仿宋" w:eastAsia="仿宋" w:cs="仿宋"/>
          <w:color w:val="auto"/>
          <w:sz w:val="24"/>
          <w:highlight w:val="none"/>
        </w:rPr>
      </w:pPr>
    </w:p>
    <w:p w14:paraId="285D4149">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3D69DB41">
      <w:pPr>
        <w:spacing w:before="120" w:line="22" w:lineRule="atLeast"/>
        <w:rPr>
          <w:rFonts w:hint="eastAsia" w:ascii="仿宋" w:hAnsi="仿宋" w:eastAsia="仿宋" w:cs="仿宋"/>
          <w:color w:val="auto"/>
          <w:sz w:val="24"/>
          <w:highlight w:val="none"/>
        </w:rPr>
      </w:pPr>
    </w:p>
    <w:p w14:paraId="1CE16253">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13D4F323">
      <w:pPr>
        <w:widowControl/>
        <w:jc w:val="left"/>
        <w:rPr>
          <w:rFonts w:hint="eastAsia" w:ascii="仿宋" w:hAnsi="仿宋" w:eastAsia="仿宋" w:cs="仿宋"/>
          <w:color w:val="auto"/>
          <w:kern w:val="0"/>
          <w:sz w:val="24"/>
          <w:highlight w:val="none"/>
        </w:rPr>
        <w:sectPr>
          <w:headerReference r:id="rId3" w:type="default"/>
          <w:footerReference r:id="rId4" w:type="default"/>
          <w:pgSz w:w="11907" w:h="16840"/>
          <w:pgMar w:top="1474" w:right="1473" w:bottom="1474" w:left="1814" w:header="851" w:footer="851" w:gutter="0"/>
          <w:cols w:space="720" w:num="1"/>
          <w:titlePg/>
          <w:docGrid w:linePitch="286" w:charSpace="0"/>
        </w:sectPr>
      </w:pPr>
    </w:p>
    <w:p w14:paraId="4433967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（政府采购方式）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（同前页项目名称）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（中标供应商名称）</w:t>
      </w:r>
      <w:r>
        <w:rPr>
          <w:rFonts w:hint="eastAsia" w:ascii="仿宋" w:hAnsi="仿宋" w:eastAsia="仿宋" w:cs="仿宋"/>
          <w:color w:val="auto"/>
          <w:sz w:val="24"/>
          <w:highlight w:val="none"/>
        </w:rPr>
        <w:t>为该项目中标供应商。现于中标通知书发出之日起三十日内，按照采购文件确定的事项签订本合同。</w:t>
      </w:r>
    </w:p>
    <w:p w14:paraId="590C475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根据《中华人民共和国民法典》、《中华人民共和国政府采购法》等相关法律法规之规定，按照平等、自愿、公平、诚实信用和绿色的原则，经</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0C0FEEBD">
      <w:pPr>
        <w:spacing w:line="560" w:lineRule="exact"/>
        <w:ind w:firstLine="482" w:firstLineChars="200"/>
        <w:outlineLvl w:val="0"/>
        <w:rPr>
          <w:rFonts w:hint="eastAsia" w:ascii="仿宋" w:hAnsi="仿宋" w:eastAsia="仿宋" w:cs="仿宋"/>
          <w:b/>
          <w:color w:val="auto"/>
          <w:sz w:val="24"/>
          <w:highlight w:val="none"/>
        </w:rPr>
      </w:pPr>
      <w:bookmarkStart w:id="11" w:name="_Toc3029"/>
      <w:bookmarkStart w:id="12" w:name="_Toc2232"/>
      <w:bookmarkStart w:id="13" w:name="_Toc24059"/>
      <w:r>
        <w:rPr>
          <w:rFonts w:hint="eastAsia" w:ascii="仿宋" w:hAnsi="仿宋" w:eastAsia="仿宋" w:cs="仿宋"/>
          <w:b/>
          <w:color w:val="auto"/>
          <w:sz w:val="24"/>
          <w:highlight w:val="none"/>
        </w:rPr>
        <w:t>1.1 合同组成部分</w:t>
      </w:r>
      <w:bookmarkEnd w:id="11"/>
      <w:bookmarkEnd w:id="12"/>
      <w:bookmarkEnd w:id="13"/>
    </w:p>
    <w:p w14:paraId="19DEE0A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457EEEE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626C390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1.1.2 中标通知书；</w:t>
      </w:r>
    </w:p>
    <w:p w14:paraId="42A2AAC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1.1.3 投标文件（含澄清或者说明文件）；</w:t>
      </w:r>
    </w:p>
    <w:p w14:paraId="771E145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1.1.4 招标文件（含澄清或者修改文件）；</w:t>
      </w:r>
    </w:p>
    <w:p w14:paraId="3D36E01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410ED339">
      <w:pPr>
        <w:spacing w:line="560" w:lineRule="exact"/>
        <w:ind w:firstLine="482" w:firstLineChars="200"/>
        <w:outlineLvl w:val="0"/>
        <w:rPr>
          <w:rFonts w:hint="eastAsia" w:ascii="仿宋" w:hAnsi="仿宋" w:eastAsia="仿宋" w:cs="仿宋"/>
          <w:b/>
          <w:color w:val="auto"/>
          <w:sz w:val="24"/>
          <w:highlight w:val="none"/>
        </w:rPr>
      </w:pPr>
      <w:bookmarkStart w:id="14" w:name="_Toc24300"/>
      <w:bookmarkStart w:id="15" w:name="_Toc21295"/>
      <w:bookmarkStart w:id="16" w:name="_Toc27126"/>
      <w:r>
        <w:rPr>
          <w:rFonts w:hint="eastAsia" w:ascii="仿宋" w:hAnsi="仿宋" w:eastAsia="仿宋" w:cs="仿宋"/>
          <w:b/>
          <w:color w:val="auto"/>
          <w:sz w:val="24"/>
          <w:highlight w:val="none"/>
        </w:rPr>
        <w:t>1.2 货物</w:t>
      </w:r>
      <w:bookmarkEnd w:id="14"/>
      <w:bookmarkEnd w:id="15"/>
      <w:bookmarkEnd w:id="16"/>
    </w:p>
    <w:p w14:paraId="26CDB6F1">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货物名称：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0674D15">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货物数量：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6FDBDA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5605B19A">
      <w:pPr>
        <w:spacing w:line="560" w:lineRule="exact"/>
        <w:ind w:firstLine="482" w:firstLineChars="200"/>
        <w:outlineLvl w:val="0"/>
        <w:rPr>
          <w:rFonts w:hint="eastAsia" w:ascii="仿宋" w:hAnsi="仿宋" w:eastAsia="仿宋" w:cs="仿宋"/>
          <w:b/>
          <w:color w:val="auto"/>
          <w:sz w:val="24"/>
          <w:highlight w:val="none"/>
        </w:rPr>
      </w:pPr>
      <w:bookmarkStart w:id="17" w:name="_Toc21551"/>
      <w:bookmarkStart w:id="18" w:name="_Toc21631"/>
      <w:bookmarkStart w:id="19" w:name="_Toc23292"/>
      <w:r>
        <w:rPr>
          <w:rFonts w:hint="eastAsia" w:ascii="仿宋" w:hAnsi="仿宋" w:eastAsia="仿宋" w:cs="仿宋"/>
          <w:b/>
          <w:color w:val="auto"/>
          <w:sz w:val="24"/>
          <w:highlight w:val="none"/>
        </w:rPr>
        <w:t>1.3 价款</w:t>
      </w:r>
      <w:bookmarkEnd w:id="17"/>
      <w:bookmarkEnd w:id="18"/>
      <w:bookmarkEnd w:id="19"/>
    </w:p>
    <w:p w14:paraId="2AB124B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本合同总价为：￥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633A4926">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44"/>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6F59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6A2DB24F">
            <w:pPr>
              <w:pStyle w:val="182"/>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5C5A1C8E">
            <w:pPr>
              <w:pStyle w:val="182"/>
              <w:spacing w:line="560" w:lineRule="exact"/>
              <w:ind w:firstLine="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67A7F570">
            <w:pPr>
              <w:pStyle w:val="182"/>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515A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C333057">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C372A12">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6EE468D9">
            <w:pPr>
              <w:pStyle w:val="182"/>
              <w:spacing w:line="560" w:lineRule="exact"/>
              <w:ind w:firstLine="200"/>
              <w:jc w:val="center"/>
              <w:rPr>
                <w:rFonts w:hint="eastAsia" w:ascii="仿宋" w:hAnsi="仿宋" w:eastAsia="仿宋" w:cs="仿宋"/>
                <w:color w:val="auto"/>
                <w:sz w:val="24"/>
                <w:szCs w:val="24"/>
                <w:highlight w:val="none"/>
              </w:rPr>
            </w:pPr>
          </w:p>
        </w:tc>
      </w:tr>
      <w:tr w14:paraId="4BC7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1AC3F8C">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7DF84F8">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28CCEEEE">
            <w:pPr>
              <w:pStyle w:val="182"/>
              <w:spacing w:line="560" w:lineRule="exact"/>
              <w:ind w:firstLine="200"/>
              <w:jc w:val="center"/>
              <w:rPr>
                <w:rFonts w:hint="eastAsia" w:ascii="仿宋" w:hAnsi="仿宋" w:eastAsia="仿宋" w:cs="仿宋"/>
                <w:color w:val="auto"/>
                <w:sz w:val="24"/>
                <w:szCs w:val="24"/>
                <w:highlight w:val="none"/>
              </w:rPr>
            </w:pPr>
          </w:p>
        </w:tc>
      </w:tr>
      <w:tr w14:paraId="7D5B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850256F">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5004759F">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3A5C8380">
            <w:pPr>
              <w:pStyle w:val="182"/>
              <w:spacing w:line="560" w:lineRule="exact"/>
              <w:ind w:firstLine="200"/>
              <w:jc w:val="center"/>
              <w:rPr>
                <w:rFonts w:hint="eastAsia" w:ascii="仿宋" w:hAnsi="仿宋" w:eastAsia="仿宋" w:cs="仿宋"/>
                <w:color w:val="auto"/>
                <w:sz w:val="24"/>
                <w:szCs w:val="24"/>
                <w:highlight w:val="none"/>
              </w:rPr>
            </w:pPr>
          </w:p>
        </w:tc>
      </w:tr>
      <w:tr w14:paraId="4AD9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486A60A">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852EE71">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129A4754">
            <w:pPr>
              <w:pStyle w:val="182"/>
              <w:spacing w:line="560" w:lineRule="exact"/>
              <w:ind w:firstLine="200"/>
              <w:jc w:val="center"/>
              <w:rPr>
                <w:rFonts w:hint="eastAsia" w:ascii="仿宋" w:hAnsi="仿宋" w:eastAsia="仿宋" w:cs="仿宋"/>
                <w:color w:val="auto"/>
                <w:sz w:val="24"/>
                <w:szCs w:val="24"/>
                <w:highlight w:val="none"/>
              </w:rPr>
            </w:pPr>
          </w:p>
        </w:tc>
      </w:tr>
      <w:tr w14:paraId="3D7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0FF65E3C">
            <w:pPr>
              <w:pStyle w:val="182"/>
              <w:spacing w:line="560" w:lineRule="exact"/>
              <w:ind w:firstLine="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33047140">
            <w:pPr>
              <w:pStyle w:val="182"/>
              <w:spacing w:line="560" w:lineRule="exact"/>
              <w:ind w:firstLine="200"/>
              <w:jc w:val="center"/>
              <w:rPr>
                <w:rFonts w:hint="eastAsia" w:ascii="仿宋" w:hAnsi="仿宋" w:eastAsia="仿宋" w:cs="仿宋"/>
                <w:color w:val="auto"/>
                <w:sz w:val="24"/>
                <w:szCs w:val="24"/>
                <w:highlight w:val="none"/>
              </w:rPr>
            </w:pPr>
          </w:p>
        </w:tc>
      </w:tr>
    </w:tbl>
    <w:p w14:paraId="50E5CB7C">
      <w:pPr>
        <w:spacing w:line="440" w:lineRule="exact"/>
        <w:ind w:firstLine="482" w:firstLineChars="200"/>
        <w:outlineLvl w:val="0"/>
        <w:rPr>
          <w:rFonts w:hint="eastAsia" w:ascii="仿宋" w:hAnsi="仿宋" w:eastAsia="仿宋" w:cs="仿宋"/>
          <w:b/>
          <w:color w:val="auto"/>
          <w:sz w:val="24"/>
          <w:highlight w:val="none"/>
        </w:rPr>
      </w:pPr>
      <w:bookmarkStart w:id="20" w:name="_Toc1814"/>
      <w:bookmarkStart w:id="21" w:name="_Toc10340"/>
      <w:bookmarkStart w:id="22" w:name="_Toc22618"/>
      <w:r>
        <w:rPr>
          <w:rFonts w:hint="eastAsia" w:ascii="仿宋" w:hAnsi="仿宋" w:eastAsia="仿宋" w:cs="仿宋"/>
          <w:b/>
          <w:color w:val="auto"/>
          <w:sz w:val="24"/>
          <w:highlight w:val="none"/>
        </w:rPr>
        <w:t>1.4 付款</w:t>
      </w:r>
      <w:bookmarkEnd w:id="20"/>
      <w:bookmarkEnd w:id="21"/>
      <w:bookmarkEnd w:id="22"/>
      <w:r>
        <w:rPr>
          <w:rFonts w:hint="eastAsia" w:ascii="仿宋" w:hAnsi="仿宋" w:eastAsia="仿宋" w:cs="仿宋"/>
          <w:b/>
          <w:color w:val="auto"/>
          <w:sz w:val="24"/>
          <w:highlight w:val="none"/>
        </w:rPr>
        <w:t>方式、时间和条件</w:t>
      </w:r>
    </w:p>
    <w:p w14:paraId="2FBBDD41">
      <w:pPr>
        <w:pStyle w:val="286"/>
        <w:spacing w:before="0" w:beforeAutospacing="0" w:after="0" w:afterAutospacing="0" w:line="440" w:lineRule="exact"/>
        <w:ind w:firstLine="480"/>
        <w:rPr>
          <w:rFonts w:hint="eastAsia" w:ascii="仿宋" w:hAnsi="仿宋" w:eastAsia="仿宋" w:cs="仿宋"/>
          <w:color w:val="auto"/>
          <w:highlight w:val="none"/>
        </w:rPr>
      </w:pPr>
      <w:r>
        <w:rPr>
          <w:rFonts w:hint="eastAsia" w:ascii="仿宋" w:hAnsi="仿宋" w:eastAsia="仿宋" w:cs="仿宋"/>
          <w:color w:val="auto"/>
          <w:highlight w:val="none"/>
        </w:rPr>
        <w:t>1.4.1甲方应严格履行合同，及时组织验收，验收合格后及时将合同款支付完毕。对于满足合同约定支付条件的，甲方自收到发票后5个工作日内将资金支付到合同约定的乙方账户，有条件的甲方可以即时支付。甲方不得以机构变动、人员更替、政策调整、单位放假等为由延迟付款。</w:t>
      </w:r>
    </w:p>
    <w:p w14:paraId="4E4A7B78">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1.4.2付款方式按《浙江省财政厅关于坚决打赢疫情防控阻击战进一步做好政府采购资金支持企业发展工作的通知》（浙财采监〔2020〕3号）和《浙江省财政厅关于进一步发挥政府采购政策 功能全力推动经济稳进提质的通知》（浙财采监〔2022〕3号）文件要求执行，具体付款方式由双方协商后在合同中明确。</w:t>
      </w:r>
    </w:p>
    <w:p w14:paraId="03FA924C">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1.4.3甲方迟延支付乙方款项的，向乙方支付逾期利息。双方可以在合同专用条款中约定逾期利率，约定利率不得低于合同订立时1年期贷款市场报价利率；未作约定的，按照每日利率万分之五支付逾期利息。</w:t>
      </w:r>
    </w:p>
    <w:p w14:paraId="1CA6125B">
      <w:pPr>
        <w:spacing w:line="440" w:lineRule="exact"/>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1.4.4资金支付的方式、时间和条件详见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0E1BF13">
      <w:pPr>
        <w:spacing w:line="440" w:lineRule="exact"/>
        <w:ind w:firstLine="482" w:firstLineChars="200"/>
        <w:outlineLvl w:val="0"/>
        <w:rPr>
          <w:rFonts w:hint="eastAsia" w:ascii="仿宋" w:hAnsi="仿宋" w:eastAsia="仿宋" w:cs="仿宋"/>
          <w:b/>
          <w:color w:val="auto"/>
          <w:sz w:val="24"/>
          <w:highlight w:val="none"/>
        </w:rPr>
      </w:pPr>
      <w:bookmarkStart w:id="23" w:name="_Toc2846"/>
      <w:bookmarkStart w:id="24" w:name="_Toc32071"/>
      <w:bookmarkStart w:id="25" w:name="_Toc19304"/>
      <w:r>
        <w:rPr>
          <w:rFonts w:hint="eastAsia" w:ascii="仿宋" w:hAnsi="仿宋" w:eastAsia="仿宋" w:cs="仿宋"/>
          <w:b/>
          <w:color w:val="auto"/>
          <w:sz w:val="24"/>
          <w:highlight w:val="none"/>
        </w:rPr>
        <w:t>1.5 货物交付期限、地点和方式</w:t>
      </w:r>
      <w:bookmarkEnd w:id="23"/>
      <w:bookmarkEnd w:id="24"/>
      <w:bookmarkEnd w:id="25"/>
    </w:p>
    <w:p w14:paraId="4314D74B">
      <w:pPr>
        <w:spacing w:line="44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26D5A45">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F52788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52F1086">
      <w:pPr>
        <w:spacing w:line="560" w:lineRule="exact"/>
        <w:ind w:firstLine="482" w:firstLineChars="200"/>
        <w:outlineLvl w:val="0"/>
        <w:rPr>
          <w:rFonts w:hint="eastAsia" w:ascii="仿宋" w:hAnsi="仿宋" w:eastAsia="仿宋" w:cs="仿宋"/>
          <w:b/>
          <w:color w:val="auto"/>
          <w:sz w:val="24"/>
          <w:highlight w:val="none"/>
        </w:rPr>
      </w:pPr>
      <w:bookmarkStart w:id="26" w:name="_Toc19554"/>
      <w:bookmarkStart w:id="27" w:name="_Toc27250"/>
      <w:bookmarkStart w:id="28" w:name="_Toc21423"/>
      <w:r>
        <w:rPr>
          <w:rFonts w:hint="eastAsia" w:ascii="仿宋" w:hAnsi="仿宋" w:eastAsia="仿宋" w:cs="仿宋"/>
          <w:b/>
          <w:color w:val="auto"/>
          <w:sz w:val="24"/>
          <w:highlight w:val="none"/>
        </w:rPr>
        <w:t>1.6 违约责任</w:t>
      </w:r>
      <w:bookmarkEnd w:id="26"/>
      <w:bookmarkEnd w:id="27"/>
      <w:bookmarkEnd w:id="28"/>
    </w:p>
    <w:p w14:paraId="473DA6C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 除不可抗力外，如果乙方没有按照本合同约定的期限、地点和方式交付货物，那么甲方可要求乙方支付违约金，违约金按每迟延交付货物一日的应交付而未交付货物价格的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%；迟延交付货物的违约金计算数额达到前述最高限额之日起，甲方有权在要求乙方支付违约金的同时，书面通知乙方解除本合同；</w:t>
      </w:r>
    </w:p>
    <w:p w14:paraId="1DCF4ED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1.6.2 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14A2B96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31CD17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24EE4A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4B2F70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1.6.6 如果出现政府采购监督管理部门在处理投诉事项期间，书面通知甲方暂停采购活动的情形，或者询问或质疑事项可能影响中标结果的，导致甲方中止履行合同的情形，均不视为甲方违约。</w:t>
      </w:r>
    </w:p>
    <w:p w14:paraId="487CB2EF">
      <w:pPr>
        <w:spacing w:line="560" w:lineRule="exact"/>
        <w:ind w:left="-420" w:leftChars="-200" w:right="-420" w:rightChars="-200" w:firstLine="960" w:firstLineChars="400"/>
        <w:rPr>
          <w:rFonts w:hint="eastAsia" w:ascii="仿宋" w:hAnsi="仿宋" w:eastAsia="仿宋" w:cs="仿宋"/>
          <w:color w:val="auto"/>
          <w:highlight w:val="none"/>
        </w:rPr>
      </w:pPr>
      <w:r>
        <w:rPr>
          <w:rFonts w:hint="eastAsia" w:ascii="仿宋" w:hAnsi="仿宋" w:eastAsia="仿宋" w:cs="仿宋"/>
          <w:color w:val="auto"/>
          <w:sz w:val="24"/>
          <w:highlight w:val="none"/>
        </w:rPr>
        <w:t>1.6.7违约责任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p w14:paraId="5D900811">
      <w:pPr>
        <w:spacing w:line="560" w:lineRule="exact"/>
        <w:ind w:firstLine="482" w:firstLineChars="200"/>
        <w:outlineLvl w:val="0"/>
        <w:rPr>
          <w:rFonts w:hint="eastAsia" w:ascii="仿宋" w:hAnsi="仿宋" w:eastAsia="仿宋" w:cs="仿宋"/>
          <w:b/>
          <w:color w:val="auto"/>
          <w:sz w:val="24"/>
          <w:highlight w:val="none"/>
        </w:rPr>
      </w:pPr>
      <w:bookmarkStart w:id="29" w:name="_Toc15583"/>
      <w:bookmarkStart w:id="30" w:name="_Toc16021"/>
      <w:bookmarkStart w:id="31" w:name="_Toc28375"/>
      <w:r>
        <w:rPr>
          <w:rFonts w:hint="eastAsia" w:ascii="仿宋" w:hAnsi="仿宋" w:eastAsia="仿宋" w:cs="仿宋"/>
          <w:b/>
          <w:color w:val="auto"/>
          <w:sz w:val="24"/>
          <w:highlight w:val="none"/>
        </w:rPr>
        <w:t>1.7 合同争议的解决</w:t>
      </w:r>
      <w:bookmarkEnd w:id="29"/>
      <w:bookmarkEnd w:id="30"/>
      <w:bookmarkEnd w:id="31"/>
    </w:p>
    <w:p w14:paraId="6E758CE8">
      <w:pPr>
        <w:spacing w:line="560" w:lineRule="exact"/>
        <w:ind w:left="-61" w:leftChars="-29" w:right="-420" w:rightChars="-200"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本合同履行过程中发生的任何争议，双方当事人均可通过和解或者调解解决；不愿和解、调解或者和解、调解不成的，可以选择以下第</w:t>
      </w:r>
      <w:r>
        <w:rPr>
          <w:rFonts w:hint="eastAsia" w:ascii="仿宋" w:hAnsi="仿宋" w:eastAsia="仿宋" w:cs="仿宋"/>
          <w:b/>
          <w:i/>
          <w:color w:val="auto"/>
          <w:sz w:val="24"/>
          <w:highlight w:val="none"/>
          <w:u w:val="single"/>
        </w:rPr>
        <w:t xml:space="preserve"> 合同专用条款  </w:t>
      </w:r>
      <w:r>
        <w:rPr>
          <w:rFonts w:hint="eastAsia" w:ascii="仿宋" w:hAnsi="仿宋" w:eastAsia="仿宋" w:cs="仿宋"/>
          <w:color w:val="auto"/>
          <w:sz w:val="24"/>
          <w:highlight w:val="none"/>
        </w:rPr>
        <w:t>条款规定的方式解决：</w:t>
      </w:r>
    </w:p>
    <w:p w14:paraId="65A44F2A">
      <w:pPr>
        <w:spacing w:line="560" w:lineRule="exact"/>
        <w:ind w:left="-420" w:leftChars="-200" w:right="-420" w:rightChars="-200" w:firstLine="600" w:firstLineChars="250"/>
        <w:rPr>
          <w:rFonts w:hint="eastAsia" w:ascii="仿宋" w:hAnsi="仿宋" w:eastAsia="仿宋" w:cs="仿宋"/>
          <w:color w:val="auto"/>
          <w:sz w:val="24"/>
          <w:highlight w:val="none"/>
        </w:rPr>
      </w:pPr>
      <w:r>
        <w:rPr>
          <w:rFonts w:hint="eastAsia" w:ascii="仿宋" w:hAnsi="仿宋" w:eastAsia="仿宋" w:cs="仿宋"/>
          <w:color w:val="auto"/>
          <w:sz w:val="24"/>
          <w:highlight w:val="none"/>
        </w:rPr>
        <w:t>1.7.1 将争议提交</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仲裁委员会依申请仲裁时其现行有效的仲裁规则裁决；</w:t>
      </w:r>
    </w:p>
    <w:p w14:paraId="1916C90E">
      <w:pPr>
        <w:spacing w:line="560" w:lineRule="exact"/>
        <w:ind w:left="-420" w:leftChars="-200" w:right="-420" w:rightChars="-200" w:firstLine="600" w:firstLineChars="250"/>
        <w:rPr>
          <w:rFonts w:hint="eastAsia" w:ascii="仿宋" w:hAnsi="仿宋" w:eastAsia="仿宋" w:cs="仿宋"/>
          <w:color w:val="auto"/>
          <w:sz w:val="24"/>
          <w:highlight w:val="none"/>
        </w:rPr>
      </w:pPr>
      <w:r>
        <w:rPr>
          <w:rFonts w:hint="eastAsia" w:ascii="仿宋" w:hAnsi="仿宋" w:eastAsia="仿宋" w:cs="仿宋"/>
          <w:color w:val="auto"/>
          <w:sz w:val="24"/>
          <w:highlight w:val="none"/>
        </w:rPr>
        <w:t>1.7.2 向</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人民法院起诉。</w:t>
      </w:r>
    </w:p>
    <w:p w14:paraId="5149D851">
      <w:pPr>
        <w:spacing w:line="560" w:lineRule="exact"/>
        <w:ind w:firstLine="482" w:firstLineChars="200"/>
        <w:outlineLvl w:val="0"/>
        <w:rPr>
          <w:rFonts w:hint="eastAsia" w:ascii="仿宋" w:hAnsi="仿宋" w:eastAsia="仿宋" w:cs="仿宋"/>
          <w:b/>
          <w:color w:val="auto"/>
          <w:sz w:val="24"/>
          <w:highlight w:val="none"/>
        </w:rPr>
      </w:pPr>
      <w:bookmarkStart w:id="32" w:name="_Toc15322"/>
      <w:bookmarkStart w:id="33" w:name="_Toc7245"/>
      <w:bookmarkStart w:id="34" w:name="_Toc11173"/>
      <w:r>
        <w:rPr>
          <w:rFonts w:hint="eastAsia" w:ascii="仿宋" w:hAnsi="仿宋" w:eastAsia="仿宋" w:cs="仿宋"/>
          <w:b/>
          <w:color w:val="auto"/>
          <w:sz w:val="24"/>
          <w:highlight w:val="none"/>
        </w:rPr>
        <w:t>1.8 合同生效</w:t>
      </w:r>
      <w:bookmarkEnd w:id="32"/>
      <w:bookmarkEnd w:id="33"/>
      <w:bookmarkEnd w:id="34"/>
    </w:p>
    <w:p w14:paraId="58A985ED">
      <w:pPr>
        <w:spacing w:line="56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本合同自双方当事人盖章或者签字时生效。</w:t>
      </w:r>
    </w:p>
    <w:p w14:paraId="3579A4D9">
      <w:pPr>
        <w:autoSpaceDE w:val="0"/>
        <w:autoSpaceDN w:val="0"/>
        <w:spacing w:line="240" w:lineRule="exact"/>
        <w:rPr>
          <w:rFonts w:hint="eastAsia" w:ascii="仿宋" w:hAnsi="仿宋" w:eastAsia="仿宋" w:cs="仿宋"/>
          <w:color w:val="auto"/>
          <w:sz w:val="24"/>
          <w:highlight w:val="none"/>
          <w:lang w:val="zh-CN"/>
        </w:rPr>
      </w:pPr>
    </w:p>
    <w:p w14:paraId="465BFE3B">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3A06AF34">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2E8B5DAF">
      <w:pPr>
        <w:autoSpaceDE w:val="0"/>
        <w:autoSpaceDN w:val="0"/>
        <w:spacing w:line="240" w:lineRule="exact"/>
        <w:rPr>
          <w:rFonts w:hint="eastAsia" w:ascii="仿宋" w:hAnsi="仿宋" w:eastAsia="仿宋" w:cs="仿宋"/>
          <w:color w:val="auto"/>
          <w:sz w:val="24"/>
          <w:highlight w:val="none"/>
          <w:lang w:val="zh-CN"/>
        </w:rPr>
      </w:pPr>
    </w:p>
    <w:p w14:paraId="761C0E13">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6404D21F">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w:t>
      </w:r>
    </w:p>
    <w:p w14:paraId="6C387086">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或授权代表（签字）: </w:t>
      </w:r>
    </w:p>
    <w:p w14:paraId="70CEC73F">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2BEF1D2D">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47ED79DD">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6310C264">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69163FB8">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0E3CA3C4">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7D456864">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143AEDCB">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7077F18E">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3F3DACD8">
      <w:pPr>
        <w:rPr>
          <w:rFonts w:hint="eastAsia" w:ascii="仿宋" w:hAnsi="仿宋" w:eastAsia="仿宋" w:cs="仿宋"/>
          <w:color w:val="auto"/>
          <w:sz w:val="24"/>
          <w:highlight w:val="none"/>
          <w:u w:val="single"/>
        </w:rPr>
      </w:pPr>
    </w:p>
    <w:p w14:paraId="6BA5595B">
      <w:pPr>
        <w:pStyle w:val="285"/>
        <w:pageBreakBefore/>
        <w:spacing w:line="560" w:lineRule="exact"/>
        <w:ind w:firstLine="723"/>
        <w:jc w:val="center"/>
        <w:rPr>
          <w:rFonts w:hint="eastAsia" w:ascii="仿宋" w:hAnsi="仿宋" w:eastAsia="仿宋" w:cs="仿宋"/>
          <w:b/>
          <w:color w:val="auto"/>
          <w:sz w:val="36"/>
          <w:szCs w:val="36"/>
          <w:highlight w:val="none"/>
        </w:rPr>
      </w:pPr>
      <w:bookmarkStart w:id="35" w:name="_Toc331685783"/>
      <w:r>
        <w:rPr>
          <w:rFonts w:hint="eastAsia" w:ascii="仿宋" w:hAnsi="仿宋" w:eastAsia="仿宋" w:cs="仿宋"/>
          <w:b/>
          <w:color w:val="auto"/>
          <w:sz w:val="36"/>
          <w:szCs w:val="36"/>
          <w:highlight w:val="none"/>
        </w:rPr>
        <w:t>第二部分合同一般条款</w:t>
      </w:r>
      <w:bookmarkEnd w:id="35"/>
    </w:p>
    <w:p w14:paraId="5AF99C4B">
      <w:pPr>
        <w:spacing w:line="560" w:lineRule="exact"/>
        <w:ind w:firstLine="482" w:firstLineChars="200"/>
        <w:outlineLvl w:val="0"/>
        <w:rPr>
          <w:rFonts w:hint="eastAsia" w:ascii="仿宋" w:hAnsi="仿宋" w:eastAsia="仿宋" w:cs="仿宋"/>
          <w:b/>
          <w:color w:val="auto"/>
          <w:sz w:val="24"/>
          <w:highlight w:val="none"/>
        </w:rPr>
      </w:pPr>
      <w:bookmarkStart w:id="36" w:name="_Toc279701240"/>
      <w:bookmarkStart w:id="37" w:name="_Ref467378499"/>
      <w:bookmarkStart w:id="38" w:name="_Toc19614"/>
      <w:bookmarkStart w:id="39" w:name="_Ref467379094"/>
      <w:bookmarkStart w:id="40" w:name="_Ref467379205"/>
      <w:bookmarkStart w:id="41" w:name="_Ref467379195"/>
      <w:bookmarkStart w:id="42" w:name="_Ref467378404"/>
      <w:bookmarkStart w:id="43" w:name="_Toc259093669"/>
      <w:bookmarkStart w:id="44" w:name="_Ref467379109"/>
      <w:bookmarkStart w:id="45" w:name="_Toc487900349"/>
      <w:bookmarkStart w:id="46" w:name="_Toc16917"/>
      <w:bookmarkStart w:id="47" w:name="_Ref467379214"/>
      <w:bookmarkStart w:id="48" w:name="_Toc28763"/>
      <w:bookmarkStart w:id="49" w:name="_Ref467379225"/>
      <w:bookmarkStart w:id="50" w:name="_Ref467378463"/>
      <w:bookmarkStart w:id="51" w:name="_Ref467379101"/>
      <w:r>
        <w:rPr>
          <w:rFonts w:hint="eastAsia" w:ascii="仿宋" w:hAnsi="仿宋" w:eastAsia="仿宋" w:cs="仿宋"/>
          <w:b/>
          <w:color w:val="auto"/>
          <w:sz w:val="24"/>
          <w:highlight w:val="none"/>
        </w:rPr>
        <w:t>2.1 定义</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6A523C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6367273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“合同”系指采购人和中标供应商签订的载明双方当事人所达成的协议，并包括所有的附件、附录和构成合同的其他文件。</w:t>
      </w:r>
    </w:p>
    <w:p w14:paraId="3C518A5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“合同价”系指根据合同约定，中标供应商在完全履行合同义务后，采购人应支付给中标供应商的价格。</w:t>
      </w:r>
    </w:p>
    <w:p w14:paraId="597418C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“货物”系指中标供应商根据合同约定应向采购人交付的一切各种形态和种类的物品，包括原材料、燃料、设备、机械、仪表、备件、计算机软件、产品等，并包括工具、手册等其他相关资料。</w:t>
      </w:r>
    </w:p>
    <w:p w14:paraId="1F40FA7C">
      <w:pPr>
        <w:spacing w:line="560" w:lineRule="exact"/>
        <w:ind w:firstLine="480" w:firstLineChars="200"/>
        <w:rPr>
          <w:rFonts w:hint="eastAsia" w:ascii="仿宋" w:hAnsi="仿宋" w:eastAsia="仿宋" w:cs="仿宋"/>
          <w:color w:val="auto"/>
          <w:sz w:val="24"/>
          <w:highlight w:val="none"/>
        </w:rPr>
      </w:pPr>
      <w:bookmarkStart w:id="52" w:name="_Ref467378840"/>
      <w:r>
        <w:rPr>
          <w:rFonts w:hint="eastAsia" w:ascii="仿宋" w:hAnsi="仿宋" w:eastAsia="仿宋" w:cs="仿宋"/>
          <w:color w:val="auto"/>
          <w:sz w:val="24"/>
          <w:highlight w:val="none"/>
        </w:rPr>
        <w:t>2.1.4 “甲方”系指与中标供应商签署合同的采购人</w:t>
      </w:r>
      <w:bookmarkEnd w:id="52"/>
      <w:r>
        <w:rPr>
          <w:rFonts w:hint="eastAsia" w:ascii="仿宋" w:hAnsi="仿宋" w:eastAsia="仿宋" w:cs="仿宋"/>
          <w:color w:val="auto"/>
          <w:sz w:val="24"/>
          <w:highlight w:val="none"/>
        </w:rPr>
        <w:t>。</w:t>
      </w:r>
    </w:p>
    <w:p w14:paraId="0338FC49">
      <w:pPr>
        <w:spacing w:line="560" w:lineRule="exact"/>
        <w:ind w:firstLine="480" w:firstLineChars="200"/>
        <w:rPr>
          <w:rFonts w:hint="eastAsia" w:ascii="仿宋" w:hAnsi="仿宋" w:eastAsia="仿宋" w:cs="仿宋"/>
          <w:color w:val="auto"/>
          <w:sz w:val="24"/>
          <w:highlight w:val="none"/>
        </w:rPr>
      </w:pPr>
      <w:bookmarkStart w:id="53" w:name="_Ref467379400"/>
      <w:r>
        <w:rPr>
          <w:rFonts w:hint="eastAsia" w:ascii="仿宋" w:hAnsi="仿宋" w:eastAsia="仿宋" w:cs="仿宋"/>
          <w:color w:val="auto"/>
          <w:sz w:val="24"/>
          <w:highlight w:val="none"/>
        </w:rPr>
        <w:t>2.1.5 “乙方”系指根据合同约定交付货物的中标供应商</w:t>
      </w:r>
      <w:bookmarkEnd w:id="53"/>
      <w:r>
        <w:rPr>
          <w:rFonts w:hint="eastAsia" w:ascii="仿宋" w:hAnsi="仿宋" w:eastAsia="仿宋" w:cs="仿宋"/>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37D904C2">
      <w:pPr>
        <w:spacing w:line="560" w:lineRule="exact"/>
        <w:ind w:firstLine="480" w:firstLineChars="200"/>
        <w:rPr>
          <w:rFonts w:hint="eastAsia" w:ascii="仿宋" w:hAnsi="仿宋" w:eastAsia="仿宋" w:cs="仿宋"/>
          <w:color w:val="auto"/>
          <w:sz w:val="24"/>
          <w:highlight w:val="none"/>
        </w:rPr>
      </w:pPr>
      <w:bookmarkStart w:id="54" w:name="_Ref467379436"/>
      <w:r>
        <w:rPr>
          <w:rFonts w:hint="eastAsia" w:ascii="仿宋" w:hAnsi="仿宋" w:eastAsia="仿宋" w:cs="仿宋"/>
          <w:color w:val="auto"/>
          <w:sz w:val="24"/>
          <w:highlight w:val="none"/>
        </w:rPr>
        <w:t>2.1.6 “现场”系指合同约定货物将要运至或者安装的地点。</w:t>
      </w:r>
      <w:bookmarkEnd w:id="54"/>
    </w:p>
    <w:p w14:paraId="419C5324">
      <w:pPr>
        <w:spacing w:line="560" w:lineRule="exact"/>
        <w:ind w:firstLine="482" w:firstLineChars="200"/>
        <w:outlineLvl w:val="0"/>
        <w:rPr>
          <w:rFonts w:hint="eastAsia" w:ascii="仿宋" w:hAnsi="仿宋" w:eastAsia="仿宋" w:cs="仿宋"/>
          <w:b/>
          <w:color w:val="auto"/>
          <w:sz w:val="24"/>
          <w:highlight w:val="none"/>
        </w:rPr>
      </w:pPr>
      <w:bookmarkStart w:id="55" w:name="_Toc279701241"/>
      <w:bookmarkStart w:id="56" w:name="_Toc27635"/>
      <w:bookmarkStart w:id="57" w:name="_Toc32504"/>
      <w:bookmarkStart w:id="58" w:name="_Toc13336"/>
      <w:bookmarkStart w:id="59" w:name="_Toc259093670"/>
      <w:bookmarkStart w:id="60" w:name="_Toc487900350"/>
      <w:r>
        <w:rPr>
          <w:rFonts w:hint="eastAsia" w:ascii="仿宋" w:hAnsi="仿宋" w:eastAsia="仿宋" w:cs="仿宋"/>
          <w:b/>
          <w:color w:val="auto"/>
          <w:sz w:val="24"/>
          <w:highlight w:val="none"/>
        </w:rPr>
        <w:t>2.2 技术规范</w:t>
      </w:r>
      <w:bookmarkEnd w:id="55"/>
      <w:bookmarkEnd w:id="56"/>
      <w:bookmarkEnd w:id="57"/>
      <w:bookmarkEnd w:id="58"/>
      <w:bookmarkEnd w:id="59"/>
      <w:bookmarkEnd w:id="60"/>
    </w:p>
    <w:p w14:paraId="259248A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A219272">
      <w:pPr>
        <w:spacing w:line="560" w:lineRule="exact"/>
        <w:ind w:firstLine="482" w:firstLineChars="200"/>
        <w:outlineLvl w:val="0"/>
        <w:rPr>
          <w:rFonts w:hint="eastAsia" w:ascii="仿宋" w:hAnsi="仿宋" w:eastAsia="仿宋" w:cs="仿宋"/>
          <w:b/>
          <w:color w:val="auto"/>
          <w:sz w:val="24"/>
          <w:highlight w:val="none"/>
        </w:rPr>
      </w:pPr>
      <w:bookmarkStart w:id="61" w:name="_Toc279701242"/>
      <w:bookmarkStart w:id="62" w:name="_Toc259093671"/>
      <w:bookmarkStart w:id="63" w:name="_Toc487900351"/>
      <w:bookmarkStart w:id="64" w:name="_Toc9829"/>
      <w:bookmarkStart w:id="65" w:name="_Toc27853"/>
      <w:bookmarkStart w:id="66" w:name="_Toc31634"/>
      <w:r>
        <w:rPr>
          <w:rFonts w:hint="eastAsia" w:ascii="仿宋" w:hAnsi="仿宋" w:eastAsia="仿宋" w:cs="仿宋"/>
          <w:b/>
          <w:color w:val="auto"/>
          <w:sz w:val="24"/>
          <w:highlight w:val="none"/>
        </w:rPr>
        <w:t>2.3 知识产权</w:t>
      </w:r>
      <w:bookmarkEnd w:id="61"/>
      <w:bookmarkEnd w:id="62"/>
      <w:bookmarkEnd w:id="63"/>
      <w:bookmarkEnd w:id="64"/>
      <w:bookmarkEnd w:id="65"/>
      <w:bookmarkEnd w:id="66"/>
    </w:p>
    <w:p w14:paraId="3491E91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548658D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2.3.2具有知识产权的计算机软件等货物的知识产权归属，详见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0D43681">
      <w:pPr>
        <w:spacing w:line="560" w:lineRule="exact"/>
        <w:ind w:firstLine="482" w:firstLineChars="200"/>
        <w:outlineLvl w:val="0"/>
        <w:rPr>
          <w:rFonts w:hint="eastAsia" w:ascii="仿宋" w:hAnsi="仿宋" w:eastAsia="仿宋" w:cs="仿宋"/>
          <w:b/>
          <w:color w:val="auto"/>
          <w:sz w:val="24"/>
          <w:highlight w:val="none"/>
        </w:rPr>
      </w:pPr>
      <w:bookmarkStart w:id="67" w:name="_Toc11932"/>
      <w:bookmarkStart w:id="68" w:name="_Toc29149"/>
      <w:bookmarkStart w:id="69" w:name="_Toc4194"/>
      <w:r>
        <w:rPr>
          <w:rFonts w:hint="eastAsia" w:ascii="仿宋" w:hAnsi="仿宋" w:eastAsia="仿宋" w:cs="仿宋"/>
          <w:b/>
          <w:color w:val="auto"/>
          <w:sz w:val="24"/>
          <w:highlight w:val="none"/>
        </w:rPr>
        <w:t>2.4 包装和装运</w:t>
      </w:r>
      <w:bookmarkEnd w:id="67"/>
      <w:bookmarkEnd w:id="68"/>
      <w:bookmarkEnd w:id="69"/>
    </w:p>
    <w:p w14:paraId="2DFEAE4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2.4.1除</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01D142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273B9C6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装运货物的要求和通知，详见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8EE91C6">
      <w:pPr>
        <w:spacing w:line="560" w:lineRule="exact"/>
        <w:ind w:firstLine="482" w:firstLineChars="200"/>
        <w:outlineLvl w:val="0"/>
        <w:rPr>
          <w:rFonts w:hint="eastAsia" w:ascii="仿宋" w:hAnsi="仿宋" w:eastAsia="仿宋" w:cs="仿宋"/>
          <w:b/>
          <w:color w:val="auto"/>
          <w:sz w:val="24"/>
          <w:highlight w:val="none"/>
        </w:rPr>
      </w:pPr>
      <w:bookmarkStart w:id="70" w:name="_Ref467379536"/>
      <w:bookmarkStart w:id="71" w:name="_Ref467379527"/>
      <w:bookmarkStart w:id="72" w:name="_Ref467379542"/>
      <w:bookmarkStart w:id="73" w:name="_Toc259093674"/>
      <w:bookmarkStart w:id="74" w:name="_Toc279701245"/>
      <w:bookmarkStart w:id="75" w:name="_Ref467378541"/>
      <w:bookmarkStart w:id="76" w:name="_Toc487900354"/>
      <w:bookmarkStart w:id="77" w:name="_Ref467378591"/>
      <w:bookmarkStart w:id="78" w:name="_Toc30272"/>
      <w:bookmarkStart w:id="79" w:name="_Toc19074"/>
      <w:bookmarkStart w:id="80" w:name="_Toc26182"/>
      <w:r>
        <w:rPr>
          <w:rFonts w:hint="eastAsia" w:ascii="仿宋" w:hAnsi="仿宋" w:eastAsia="仿宋" w:cs="仿宋"/>
          <w:b/>
          <w:color w:val="auto"/>
          <w:sz w:val="24"/>
          <w:highlight w:val="none"/>
        </w:rPr>
        <w:t>2.</w:t>
      </w:r>
      <w:bookmarkEnd w:id="70"/>
      <w:bookmarkEnd w:id="71"/>
      <w:bookmarkEnd w:id="72"/>
      <w:bookmarkEnd w:id="73"/>
      <w:bookmarkEnd w:id="74"/>
      <w:bookmarkEnd w:id="75"/>
      <w:bookmarkEnd w:id="76"/>
      <w:bookmarkEnd w:id="77"/>
      <w:r>
        <w:rPr>
          <w:rFonts w:hint="eastAsia" w:ascii="仿宋" w:hAnsi="仿宋" w:eastAsia="仿宋" w:cs="仿宋"/>
          <w:b/>
          <w:color w:val="auto"/>
          <w:sz w:val="24"/>
          <w:highlight w:val="none"/>
        </w:rPr>
        <w:t>5 履约检查和问题反馈</w:t>
      </w:r>
      <w:bookmarkEnd w:id="78"/>
      <w:bookmarkEnd w:id="79"/>
      <w:bookmarkEnd w:id="80"/>
    </w:p>
    <w:p w14:paraId="7A291DD7">
      <w:pPr>
        <w:spacing w:line="560" w:lineRule="exact"/>
        <w:ind w:firstLine="480" w:firstLineChars="200"/>
        <w:rPr>
          <w:rFonts w:hint="eastAsia" w:ascii="仿宋" w:hAnsi="仿宋" w:eastAsia="仿宋" w:cs="仿宋"/>
          <w:color w:val="auto"/>
          <w:sz w:val="24"/>
          <w:highlight w:val="none"/>
        </w:rPr>
      </w:pPr>
      <w:bookmarkStart w:id="81" w:name="_Ref467379657"/>
      <w:r>
        <w:rPr>
          <w:rFonts w:hint="eastAsia" w:ascii="仿宋" w:hAnsi="仿宋" w:eastAsia="仿宋" w:cs="仿宋"/>
          <w:color w:val="auto"/>
          <w:sz w:val="24"/>
          <w:highlight w:val="none"/>
        </w:rPr>
        <w:t>2.5.1</w:t>
      </w:r>
      <w:bookmarkEnd w:id="81"/>
      <w:bookmarkStart w:id="82" w:name="_Toc186431854"/>
      <w:bookmarkStart w:id="83" w:name="_Toc487900357"/>
      <w:bookmarkStart w:id="84" w:name="_Toc279701247"/>
      <w:bookmarkStart w:id="85" w:name="_Ref467379807"/>
      <w:bookmarkStart w:id="86" w:name="_Toc259093676"/>
      <w:bookmarkStart w:id="87" w:name="_Ref467379793"/>
      <w:r>
        <w:rPr>
          <w:rFonts w:hint="eastAsia" w:ascii="仿宋" w:hAnsi="仿宋" w:eastAsia="仿宋" w:cs="仿宋"/>
          <w:color w:val="auto"/>
          <w:sz w:val="24"/>
          <w:highlight w:val="none"/>
        </w:rPr>
        <w:t>甲方有权在其认为必要时，对乙方是否能够按照合同约定交付货物进行履约检查，以确保乙方所交付的货物能够依约满足甲方之项目需求，但不得因履约检查妨碍乙方的正常工作，乙方应予积极配合；</w:t>
      </w:r>
    </w:p>
    <w:p w14:paraId="231F955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2.5.2 合同履行期间，甲方有权将履行过程中出现的问题反馈给乙方，双方当事人应以书面形式约定需要完善和改进的内容</w:t>
      </w:r>
      <w:bookmarkEnd w:id="82"/>
      <w:bookmarkStart w:id="88" w:name="_Toc186431855"/>
      <w:r>
        <w:rPr>
          <w:rFonts w:hint="eastAsia" w:ascii="仿宋" w:hAnsi="仿宋" w:eastAsia="仿宋" w:cs="仿宋"/>
          <w:color w:val="auto"/>
          <w:sz w:val="24"/>
          <w:highlight w:val="none"/>
        </w:rPr>
        <w:t>。</w:t>
      </w:r>
    </w:p>
    <w:bookmarkEnd w:id="83"/>
    <w:bookmarkEnd w:id="84"/>
    <w:bookmarkEnd w:id="85"/>
    <w:bookmarkEnd w:id="86"/>
    <w:bookmarkEnd w:id="87"/>
    <w:bookmarkEnd w:id="88"/>
    <w:p w14:paraId="0C6DB7CB">
      <w:pPr>
        <w:spacing w:line="560" w:lineRule="exact"/>
        <w:ind w:firstLine="482" w:firstLineChars="200"/>
        <w:outlineLvl w:val="0"/>
        <w:rPr>
          <w:rFonts w:hint="eastAsia" w:ascii="仿宋" w:hAnsi="仿宋" w:eastAsia="仿宋" w:cs="仿宋"/>
          <w:b/>
          <w:color w:val="auto"/>
          <w:sz w:val="24"/>
          <w:highlight w:val="none"/>
        </w:rPr>
      </w:pPr>
      <w:bookmarkStart w:id="89" w:name="_Toc487900358"/>
      <w:bookmarkStart w:id="90" w:name="_Ref467379863"/>
      <w:bookmarkStart w:id="91" w:name="_Toc279701248"/>
      <w:bookmarkStart w:id="92" w:name="_Ref467379923"/>
      <w:bookmarkStart w:id="93" w:name="_Ref467379852"/>
      <w:bookmarkStart w:id="94" w:name="_Toc259093677"/>
      <w:bookmarkStart w:id="95" w:name="_Toc16110"/>
      <w:bookmarkStart w:id="96" w:name="_Toc3225"/>
      <w:bookmarkStart w:id="97" w:name="_Toc774"/>
      <w:r>
        <w:rPr>
          <w:rFonts w:hint="eastAsia" w:ascii="仿宋" w:hAnsi="仿宋" w:eastAsia="仿宋" w:cs="仿宋"/>
          <w:b/>
          <w:color w:val="auto"/>
          <w:sz w:val="24"/>
          <w:highlight w:val="none"/>
        </w:rPr>
        <w:t>2.6 技术资料</w:t>
      </w:r>
      <w:bookmarkEnd w:id="89"/>
      <w:bookmarkEnd w:id="90"/>
      <w:bookmarkEnd w:id="91"/>
      <w:bookmarkEnd w:id="92"/>
      <w:bookmarkEnd w:id="93"/>
      <w:bookmarkEnd w:id="94"/>
      <w:r>
        <w:rPr>
          <w:rFonts w:hint="eastAsia" w:ascii="仿宋" w:hAnsi="仿宋" w:eastAsia="仿宋" w:cs="仿宋"/>
          <w:b/>
          <w:color w:val="auto"/>
          <w:sz w:val="24"/>
          <w:highlight w:val="none"/>
        </w:rPr>
        <w:t>和保密义务</w:t>
      </w:r>
      <w:bookmarkEnd w:id="95"/>
      <w:bookmarkEnd w:id="96"/>
      <w:bookmarkEnd w:id="97"/>
    </w:p>
    <w:p w14:paraId="3735273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09AE831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2B25723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56743239">
      <w:pPr>
        <w:spacing w:line="560" w:lineRule="exact"/>
        <w:ind w:firstLine="482" w:firstLineChars="200"/>
        <w:outlineLvl w:val="0"/>
        <w:rPr>
          <w:rFonts w:hint="eastAsia" w:ascii="仿宋" w:hAnsi="仿宋" w:eastAsia="仿宋" w:cs="仿宋"/>
          <w:b/>
          <w:color w:val="auto"/>
          <w:sz w:val="24"/>
          <w:highlight w:val="none"/>
        </w:rPr>
      </w:pPr>
      <w:bookmarkStart w:id="98" w:name="_Toc7860"/>
      <w:r>
        <w:rPr>
          <w:rFonts w:hint="eastAsia" w:ascii="仿宋" w:hAnsi="仿宋" w:eastAsia="仿宋" w:cs="仿宋"/>
          <w:b/>
          <w:color w:val="auto"/>
          <w:sz w:val="24"/>
          <w:highlight w:val="none"/>
        </w:rPr>
        <w:t>2.7 质量保证</w:t>
      </w:r>
      <w:bookmarkEnd w:id="98"/>
    </w:p>
    <w:p w14:paraId="3200C25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349CE97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74F54B43">
      <w:pPr>
        <w:spacing w:line="560" w:lineRule="exact"/>
        <w:ind w:firstLine="482" w:firstLineChars="200"/>
        <w:outlineLvl w:val="0"/>
        <w:rPr>
          <w:rFonts w:hint="eastAsia" w:ascii="仿宋" w:hAnsi="仿宋" w:eastAsia="仿宋" w:cs="仿宋"/>
          <w:b/>
          <w:color w:val="auto"/>
          <w:sz w:val="24"/>
          <w:highlight w:val="none"/>
        </w:rPr>
      </w:pPr>
      <w:bookmarkStart w:id="99" w:name="_Toc17244"/>
      <w:bookmarkStart w:id="100" w:name="_Toc279701252"/>
      <w:bookmarkStart w:id="101" w:name="_Toc487900362"/>
      <w:bookmarkStart w:id="102" w:name="_Toc259093681"/>
      <w:r>
        <w:rPr>
          <w:rFonts w:hint="eastAsia" w:ascii="仿宋" w:hAnsi="仿宋" w:eastAsia="仿宋" w:cs="仿宋"/>
          <w:b/>
          <w:color w:val="auto"/>
          <w:sz w:val="24"/>
          <w:highlight w:val="none"/>
        </w:rPr>
        <w:t>2.8 货物的风险负担</w:t>
      </w:r>
      <w:bookmarkEnd w:id="99"/>
    </w:p>
    <w:p w14:paraId="7720A54C">
      <w:pPr>
        <w:spacing w:line="56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货物或者在途货物或者交付给第一承运人后的货物毁损、灭失的风险负担详见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50562A8A">
      <w:pPr>
        <w:spacing w:line="560" w:lineRule="exact"/>
        <w:ind w:firstLine="482" w:firstLineChars="200"/>
        <w:outlineLvl w:val="0"/>
        <w:rPr>
          <w:rFonts w:hint="eastAsia" w:ascii="仿宋" w:hAnsi="仿宋" w:eastAsia="仿宋" w:cs="仿宋"/>
          <w:b/>
          <w:color w:val="auto"/>
          <w:sz w:val="24"/>
          <w:highlight w:val="none"/>
        </w:rPr>
      </w:pPr>
      <w:bookmarkStart w:id="103" w:name="_Toc14055"/>
      <w:r>
        <w:rPr>
          <w:rFonts w:hint="eastAsia" w:ascii="仿宋" w:hAnsi="仿宋" w:eastAsia="仿宋" w:cs="仿宋"/>
          <w:b/>
          <w:color w:val="auto"/>
          <w:sz w:val="24"/>
          <w:highlight w:val="none"/>
        </w:rPr>
        <w:t>2.9 延迟交货</w:t>
      </w:r>
      <w:bookmarkEnd w:id="100"/>
      <w:bookmarkEnd w:id="101"/>
      <w:bookmarkEnd w:id="102"/>
      <w:bookmarkEnd w:id="103"/>
    </w:p>
    <w:p w14:paraId="7B71493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合同履行过程中，如果乙方遇到不能按时交付货物的情况，应及时以书面形式将不能按时交付货物的理由、预期延误时间通知甲方；甲方收到乙方通知后，认为其理由正当的，可以书面形式酌情同意乙方可以延长交货的具体时间。</w:t>
      </w:r>
    </w:p>
    <w:p w14:paraId="24CF13E8">
      <w:pPr>
        <w:spacing w:line="560" w:lineRule="exact"/>
        <w:ind w:firstLine="482" w:firstLineChars="200"/>
        <w:outlineLvl w:val="0"/>
        <w:rPr>
          <w:rFonts w:hint="eastAsia" w:ascii="仿宋" w:hAnsi="仿宋" w:eastAsia="仿宋" w:cs="仿宋"/>
          <w:b/>
          <w:color w:val="auto"/>
          <w:sz w:val="24"/>
          <w:highlight w:val="none"/>
        </w:rPr>
      </w:pPr>
      <w:bookmarkStart w:id="104" w:name="_Toc7502"/>
      <w:bookmarkStart w:id="105" w:name="_Toc259093683"/>
      <w:bookmarkStart w:id="106" w:name="_Toc487900364"/>
      <w:bookmarkStart w:id="107" w:name="_Toc279701254"/>
      <w:bookmarkStart w:id="108" w:name="_Ref467378121"/>
      <w:r>
        <w:rPr>
          <w:rFonts w:hint="eastAsia" w:ascii="仿宋" w:hAnsi="仿宋" w:eastAsia="仿宋" w:cs="仿宋"/>
          <w:b/>
          <w:color w:val="auto"/>
          <w:sz w:val="24"/>
          <w:highlight w:val="none"/>
        </w:rPr>
        <w:t>2.10 合同变更</w:t>
      </w:r>
      <w:bookmarkEnd w:id="104"/>
    </w:p>
    <w:p w14:paraId="0515CA5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09" w:name="_Toc279701259"/>
      <w:bookmarkStart w:id="110" w:name="_Toc259093688"/>
      <w:bookmarkStart w:id="111" w:name="_Toc487900369"/>
    </w:p>
    <w:p w14:paraId="4BB837F2">
      <w:pPr>
        <w:spacing w:line="560" w:lineRule="exact"/>
        <w:ind w:firstLine="482" w:firstLineChars="200"/>
        <w:outlineLvl w:val="0"/>
        <w:rPr>
          <w:rFonts w:hint="eastAsia" w:ascii="仿宋" w:hAnsi="仿宋" w:eastAsia="仿宋" w:cs="仿宋"/>
          <w:b/>
          <w:color w:val="auto"/>
          <w:sz w:val="24"/>
          <w:highlight w:val="none"/>
        </w:rPr>
      </w:pPr>
      <w:bookmarkStart w:id="112" w:name="_Toc15237"/>
      <w:bookmarkStart w:id="113" w:name="_Toc10366"/>
      <w:bookmarkStart w:id="114" w:name="_Toc22955"/>
      <w:r>
        <w:rPr>
          <w:rFonts w:hint="eastAsia" w:ascii="仿宋" w:hAnsi="仿宋" w:eastAsia="仿宋" w:cs="仿宋"/>
          <w:b/>
          <w:color w:val="auto"/>
          <w:sz w:val="24"/>
          <w:highlight w:val="none"/>
        </w:rPr>
        <w:t>2.11 合同转让</w:t>
      </w:r>
      <w:bookmarkEnd w:id="109"/>
      <w:bookmarkEnd w:id="110"/>
      <w:bookmarkEnd w:id="111"/>
      <w:r>
        <w:rPr>
          <w:rFonts w:hint="eastAsia" w:ascii="仿宋" w:hAnsi="仿宋" w:eastAsia="仿宋" w:cs="仿宋"/>
          <w:b/>
          <w:color w:val="auto"/>
          <w:sz w:val="24"/>
          <w:highlight w:val="none"/>
        </w:rPr>
        <w:t>和分包</w:t>
      </w:r>
      <w:bookmarkEnd w:id="112"/>
      <w:bookmarkEnd w:id="113"/>
      <w:bookmarkEnd w:id="114"/>
      <w:r>
        <w:rPr>
          <w:rFonts w:hint="eastAsia" w:ascii="仿宋" w:hAnsi="仿宋" w:eastAsia="仿宋" w:cs="仿宋"/>
          <w:b/>
          <w:color w:val="auto"/>
          <w:sz w:val="24"/>
          <w:highlight w:val="none"/>
        </w:rPr>
        <w:t>（如有）</w:t>
      </w:r>
    </w:p>
    <w:p w14:paraId="2825CCA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32473A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2.11.2乙方采取分包方式履行合同的，甲方可直接向分包供应商支付款项。</w:t>
      </w:r>
    </w:p>
    <w:p w14:paraId="793C4BCF">
      <w:pPr>
        <w:spacing w:line="560" w:lineRule="exact"/>
        <w:ind w:firstLine="482" w:firstLineChars="200"/>
        <w:outlineLvl w:val="0"/>
        <w:rPr>
          <w:rFonts w:hint="eastAsia" w:ascii="仿宋" w:hAnsi="仿宋" w:eastAsia="仿宋" w:cs="仿宋"/>
          <w:b/>
          <w:color w:val="auto"/>
          <w:sz w:val="24"/>
          <w:highlight w:val="none"/>
        </w:rPr>
      </w:pPr>
      <w:bookmarkStart w:id="115" w:name="_Toc14066"/>
      <w:bookmarkStart w:id="116" w:name="_Toc16508"/>
      <w:bookmarkStart w:id="117" w:name="_Toc13566"/>
      <w:r>
        <w:rPr>
          <w:rFonts w:hint="eastAsia" w:ascii="仿宋" w:hAnsi="仿宋" w:eastAsia="仿宋" w:cs="仿宋"/>
          <w:b/>
          <w:color w:val="auto"/>
          <w:sz w:val="24"/>
          <w:highlight w:val="none"/>
        </w:rPr>
        <w:t>2.12 不可抗力</w:t>
      </w:r>
      <w:bookmarkEnd w:id="115"/>
      <w:bookmarkEnd w:id="116"/>
      <w:bookmarkEnd w:id="117"/>
    </w:p>
    <w:p w14:paraId="0377F38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2.12.1如果任何一方遭遇法律规定的不可抗力，致使合同履行受阻时，履行合同的期限应予延长，延长的期限应相当于不可抗力所影响的时间；</w:t>
      </w:r>
    </w:p>
    <w:p w14:paraId="1F8D6D3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2.12.2 因不可抗力致使不能实现合同目的的，当事人可以解除合同；</w:t>
      </w:r>
    </w:p>
    <w:p w14:paraId="204A1B9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5756615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6741DF4E">
      <w:pPr>
        <w:spacing w:line="560" w:lineRule="exact"/>
        <w:ind w:firstLine="482" w:firstLineChars="200"/>
        <w:outlineLvl w:val="0"/>
        <w:rPr>
          <w:rFonts w:hint="eastAsia" w:ascii="仿宋" w:hAnsi="仿宋" w:eastAsia="仿宋" w:cs="仿宋"/>
          <w:b/>
          <w:color w:val="auto"/>
          <w:sz w:val="24"/>
          <w:highlight w:val="none"/>
        </w:rPr>
      </w:pPr>
      <w:bookmarkStart w:id="118" w:name="_Toc689"/>
      <w:bookmarkStart w:id="119" w:name="_Toc259093684"/>
      <w:bookmarkStart w:id="120" w:name="_Toc6969"/>
      <w:bookmarkStart w:id="121" w:name="_Toc487900365"/>
      <w:bookmarkStart w:id="122" w:name="_Toc30676"/>
      <w:bookmarkStart w:id="123" w:name="_Toc279701255"/>
      <w:r>
        <w:rPr>
          <w:rFonts w:hint="eastAsia" w:ascii="仿宋" w:hAnsi="仿宋" w:eastAsia="仿宋" w:cs="仿宋"/>
          <w:b/>
          <w:color w:val="auto"/>
          <w:sz w:val="24"/>
          <w:highlight w:val="none"/>
        </w:rPr>
        <w:t>2.13 税费</w:t>
      </w:r>
      <w:bookmarkEnd w:id="118"/>
      <w:bookmarkEnd w:id="119"/>
      <w:bookmarkEnd w:id="120"/>
      <w:bookmarkEnd w:id="121"/>
      <w:bookmarkEnd w:id="122"/>
      <w:bookmarkEnd w:id="123"/>
    </w:p>
    <w:p w14:paraId="05AF0A5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w:t>
      </w:r>
    </w:p>
    <w:p w14:paraId="3D37DED0">
      <w:pPr>
        <w:spacing w:line="560" w:lineRule="exact"/>
        <w:ind w:firstLine="482" w:firstLineChars="200"/>
        <w:outlineLvl w:val="0"/>
        <w:rPr>
          <w:rFonts w:hint="eastAsia" w:ascii="仿宋" w:hAnsi="仿宋" w:eastAsia="仿宋" w:cs="仿宋"/>
          <w:b/>
          <w:color w:val="auto"/>
          <w:sz w:val="24"/>
          <w:highlight w:val="none"/>
        </w:rPr>
      </w:pPr>
      <w:bookmarkStart w:id="124" w:name="_Toc16959"/>
      <w:bookmarkStart w:id="125" w:name="_Toc487900368"/>
      <w:bookmarkStart w:id="126" w:name="_Toc259093687"/>
      <w:bookmarkStart w:id="127" w:name="_Toc8298"/>
      <w:bookmarkStart w:id="128" w:name="_Toc7102"/>
      <w:bookmarkStart w:id="129" w:name="_Toc279701258"/>
      <w:r>
        <w:rPr>
          <w:rFonts w:hint="eastAsia" w:ascii="仿宋" w:hAnsi="仿宋" w:eastAsia="仿宋" w:cs="仿宋"/>
          <w:b/>
          <w:color w:val="auto"/>
          <w:sz w:val="24"/>
          <w:highlight w:val="none"/>
        </w:rPr>
        <w:t>2.14乙方破产</w:t>
      </w:r>
      <w:bookmarkEnd w:id="124"/>
      <w:bookmarkEnd w:id="125"/>
      <w:bookmarkEnd w:id="126"/>
      <w:bookmarkEnd w:id="127"/>
      <w:bookmarkEnd w:id="128"/>
      <w:bookmarkEnd w:id="129"/>
    </w:p>
    <w:p w14:paraId="5037423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83E75C7">
      <w:pPr>
        <w:spacing w:line="560" w:lineRule="exact"/>
        <w:ind w:firstLine="482" w:firstLineChars="200"/>
        <w:outlineLvl w:val="0"/>
        <w:rPr>
          <w:rFonts w:hint="eastAsia" w:ascii="仿宋" w:hAnsi="仿宋" w:eastAsia="仿宋" w:cs="仿宋"/>
          <w:b/>
          <w:color w:val="auto"/>
          <w:sz w:val="24"/>
          <w:highlight w:val="none"/>
        </w:rPr>
      </w:pPr>
      <w:bookmarkStart w:id="130" w:name="_Toc6134"/>
      <w:bookmarkStart w:id="131" w:name="_Toc15387"/>
      <w:bookmarkStart w:id="132" w:name="_Toc29333"/>
      <w:r>
        <w:rPr>
          <w:rFonts w:hint="eastAsia" w:ascii="仿宋" w:hAnsi="仿宋" w:eastAsia="仿宋" w:cs="仿宋"/>
          <w:b/>
          <w:color w:val="auto"/>
          <w:sz w:val="24"/>
          <w:highlight w:val="none"/>
        </w:rPr>
        <w:t>2.15 合同中止、终止</w:t>
      </w:r>
      <w:bookmarkEnd w:id="130"/>
      <w:bookmarkEnd w:id="131"/>
      <w:bookmarkEnd w:id="132"/>
    </w:p>
    <w:p w14:paraId="64315EC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2.15.1 双方当事人不得擅自中止或者终止合同；</w:t>
      </w:r>
    </w:p>
    <w:p w14:paraId="598561F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7DBBB242">
      <w:pPr>
        <w:spacing w:line="560" w:lineRule="exact"/>
        <w:ind w:firstLine="482" w:firstLineChars="200"/>
        <w:outlineLvl w:val="0"/>
        <w:rPr>
          <w:rFonts w:hint="eastAsia" w:ascii="仿宋" w:hAnsi="仿宋" w:eastAsia="仿宋" w:cs="仿宋"/>
          <w:b/>
          <w:color w:val="auto"/>
          <w:sz w:val="24"/>
          <w:highlight w:val="none"/>
        </w:rPr>
      </w:pPr>
      <w:bookmarkStart w:id="133" w:name="_Toc1125"/>
      <w:bookmarkStart w:id="134" w:name="_Toc14563"/>
      <w:bookmarkStart w:id="135" w:name="_Toc6596"/>
      <w:r>
        <w:rPr>
          <w:rFonts w:hint="eastAsia" w:ascii="仿宋" w:hAnsi="仿宋" w:eastAsia="仿宋" w:cs="仿宋"/>
          <w:b/>
          <w:color w:val="auto"/>
          <w:sz w:val="24"/>
          <w:highlight w:val="none"/>
        </w:rPr>
        <w:t>2.16检验和验收</w:t>
      </w:r>
      <w:bookmarkEnd w:id="133"/>
      <w:bookmarkEnd w:id="134"/>
      <w:bookmarkEnd w:id="135"/>
    </w:p>
    <w:p w14:paraId="3A12D9E4">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2.16.1货物交付前，乙方应对货物的质量、数量等方面进行详细、全面的检验，并向甲方出具证明货物符合合同约定的文件；货物交付时，乙方在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约定时间内组织验收，并可依法邀请相关方参加，验收应出具验收书。</w:t>
      </w:r>
    </w:p>
    <w:p w14:paraId="5B94A1EC">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77D015AF">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bookmarkEnd w:id="105"/>
    <w:bookmarkEnd w:id="106"/>
    <w:bookmarkEnd w:id="107"/>
    <w:bookmarkEnd w:id="108"/>
    <w:p w14:paraId="18199640">
      <w:pPr>
        <w:spacing w:line="560" w:lineRule="exact"/>
        <w:ind w:firstLine="482" w:firstLineChars="200"/>
        <w:outlineLvl w:val="0"/>
        <w:rPr>
          <w:rFonts w:hint="eastAsia" w:ascii="仿宋" w:hAnsi="仿宋" w:eastAsia="仿宋" w:cs="仿宋"/>
          <w:b/>
          <w:color w:val="auto"/>
          <w:sz w:val="24"/>
          <w:highlight w:val="none"/>
        </w:rPr>
      </w:pPr>
      <w:bookmarkStart w:id="136" w:name="_Toc487900371"/>
      <w:bookmarkStart w:id="137" w:name="_Toc279701261"/>
      <w:bookmarkStart w:id="138" w:name="_Toc259093690"/>
      <w:bookmarkStart w:id="139" w:name="_Toc19604"/>
      <w:bookmarkStart w:id="140" w:name="_Toc11284"/>
      <w:bookmarkStart w:id="141" w:name="_Toc25182"/>
      <w:r>
        <w:rPr>
          <w:rFonts w:hint="eastAsia" w:ascii="仿宋" w:hAnsi="仿宋" w:eastAsia="仿宋" w:cs="仿宋"/>
          <w:b/>
          <w:color w:val="auto"/>
          <w:sz w:val="24"/>
          <w:highlight w:val="none"/>
        </w:rPr>
        <w:t>2.17 通知</w:t>
      </w:r>
      <w:bookmarkEnd w:id="136"/>
      <w:bookmarkEnd w:id="137"/>
      <w:bookmarkEnd w:id="138"/>
      <w:r>
        <w:rPr>
          <w:rFonts w:hint="eastAsia" w:ascii="仿宋" w:hAnsi="仿宋" w:eastAsia="仿宋" w:cs="仿宋"/>
          <w:b/>
          <w:color w:val="auto"/>
          <w:sz w:val="24"/>
          <w:highlight w:val="none"/>
        </w:rPr>
        <w:t>和送达</w:t>
      </w:r>
      <w:bookmarkEnd w:id="139"/>
      <w:bookmarkEnd w:id="140"/>
      <w:bookmarkEnd w:id="141"/>
    </w:p>
    <w:p w14:paraId="3F7D787F">
      <w:pPr>
        <w:spacing w:line="560" w:lineRule="exact"/>
        <w:ind w:firstLine="480" w:firstLineChars="200"/>
        <w:rPr>
          <w:rFonts w:hint="eastAsia" w:ascii="仿宋" w:hAnsi="仿宋" w:eastAsia="仿宋" w:cs="仿宋"/>
          <w:color w:val="auto"/>
          <w:sz w:val="24"/>
          <w:highlight w:val="none"/>
        </w:rPr>
      </w:pPr>
      <w:bookmarkStart w:id="142" w:name="_Toc6698"/>
      <w:bookmarkStart w:id="143" w:name="_Toc3135"/>
      <w:bookmarkStart w:id="144" w:name="_Toc279701262"/>
      <w:bookmarkStart w:id="145" w:name="_Toc487900372"/>
      <w:bookmarkStart w:id="146" w:name="_Toc259093691"/>
      <w:r>
        <w:rPr>
          <w:rFonts w:hint="eastAsia" w:ascii="仿宋" w:hAnsi="仿宋" w:eastAsia="仿宋" w:cs="仿宋"/>
          <w:color w:val="auto"/>
          <w:sz w:val="24"/>
          <w:highlight w:val="none"/>
        </w:rPr>
        <w:t>2.17.1任何一方因履行合同而以合同第一部分尾部所列明的传真或电子邮件发出的所有通知、文件、材料，均视为已向对方当事人送达；任何一方变更上述送达方式或者地址的，应于个工作日内书面通知对方当事人，在对方当事人收到有关变更通知之前，变更前的约定送达方式或者地址仍视为有效。</w:t>
      </w:r>
      <w:bookmarkEnd w:id="142"/>
      <w:bookmarkEnd w:id="143"/>
    </w:p>
    <w:p w14:paraId="4CFB9538">
      <w:pPr>
        <w:spacing w:line="560" w:lineRule="exact"/>
        <w:ind w:firstLine="480" w:firstLineChars="200"/>
        <w:rPr>
          <w:rFonts w:hint="eastAsia" w:ascii="仿宋" w:hAnsi="仿宋" w:eastAsia="仿宋" w:cs="仿宋"/>
          <w:color w:val="auto"/>
          <w:sz w:val="24"/>
          <w:highlight w:val="none"/>
        </w:rPr>
      </w:pPr>
      <w:bookmarkStart w:id="147" w:name="_Toc23294"/>
      <w:bookmarkStart w:id="148" w:name="_Toc23128"/>
      <w:r>
        <w:rPr>
          <w:rFonts w:hint="eastAsia" w:ascii="仿宋" w:hAnsi="仿宋" w:eastAsia="仿宋" w:cs="仿宋"/>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47"/>
      <w:bookmarkEnd w:id="148"/>
    </w:p>
    <w:p w14:paraId="1B4C4078">
      <w:pPr>
        <w:spacing w:line="560" w:lineRule="exact"/>
        <w:ind w:firstLine="482" w:firstLineChars="200"/>
        <w:outlineLvl w:val="0"/>
        <w:rPr>
          <w:rFonts w:hint="eastAsia" w:ascii="仿宋" w:hAnsi="仿宋" w:eastAsia="仿宋" w:cs="仿宋"/>
          <w:b/>
          <w:color w:val="auto"/>
          <w:sz w:val="24"/>
          <w:highlight w:val="none"/>
        </w:rPr>
      </w:pPr>
      <w:bookmarkStart w:id="149" w:name="_Toc18540"/>
      <w:bookmarkStart w:id="150" w:name="_Toc30599"/>
      <w:bookmarkStart w:id="151" w:name="_Toc4355"/>
      <w:r>
        <w:rPr>
          <w:rFonts w:hint="eastAsia" w:ascii="仿宋" w:hAnsi="仿宋" w:eastAsia="仿宋" w:cs="仿宋"/>
          <w:b/>
          <w:color w:val="auto"/>
          <w:sz w:val="24"/>
          <w:highlight w:val="none"/>
        </w:rPr>
        <w:t>2.18 计量单位</w:t>
      </w:r>
      <w:bookmarkEnd w:id="144"/>
      <w:bookmarkEnd w:id="145"/>
      <w:bookmarkEnd w:id="146"/>
      <w:bookmarkEnd w:id="149"/>
      <w:bookmarkEnd w:id="150"/>
      <w:bookmarkEnd w:id="151"/>
    </w:p>
    <w:p w14:paraId="4BF8407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0C92B0B1">
      <w:pPr>
        <w:spacing w:line="560" w:lineRule="exact"/>
        <w:ind w:firstLine="482" w:firstLineChars="200"/>
        <w:outlineLvl w:val="0"/>
        <w:rPr>
          <w:rFonts w:hint="eastAsia" w:ascii="仿宋" w:hAnsi="仿宋" w:eastAsia="仿宋" w:cs="仿宋"/>
          <w:b/>
          <w:color w:val="auto"/>
          <w:sz w:val="24"/>
          <w:highlight w:val="none"/>
        </w:rPr>
      </w:pPr>
      <w:bookmarkStart w:id="152" w:name="_Toc487900373"/>
      <w:bookmarkStart w:id="153" w:name="_Toc10330"/>
      <w:bookmarkStart w:id="154" w:name="_Toc279701263"/>
      <w:bookmarkStart w:id="155" w:name="_Toc12773"/>
      <w:bookmarkStart w:id="156" w:name="_Toc259093692"/>
      <w:bookmarkStart w:id="157" w:name="_Toc18567"/>
      <w:r>
        <w:rPr>
          <w:rFonts w:hint="eastAsia" w:ascii="仿宋" w:hAnsi="仿宋" w:eastAsia="仿宋" w:cs="仿宋"/>
          <w:b/>
          <w:color w:val="auto"/>
          <w:sz w:val="24"/>
          <w:highlight w:val="none"/>
        </w:rPr>
        <w:t>2.19 合同使用的文字和适用的法律</w:t>
      </w:r>
      <w:bookmarkEnd w:id="152"/>
      <w:bookmarkEnd w:id="153"/>
      <w:bookmarkEnd w:id="154"/>
      <w:bookmarkEnd w:id="155"/>
      <w:bookmarkEnd w:id="156"/>
      <w:bookmarkEnd w:id="157"/>
    </w:p>
    <w:p w14:paraId="56C45B5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2.19.1 合同使用汉语书就、变更和解释；</w:t>
      </w:r>
    </w:p>
    <w:p w14:paraId="6668534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2.19.2 合同适用中华人民共和国法律。</w:t>
      </w:r>
    </w:p>
    <w:p w14:paraId="09FB8B6E">
      <w:pPr>
        <w:spacing w:line="560" w:lineRule="exact"/>
        <w:ind w:firstLine="482" w:firstLineChars="200"/>
        <w:outlineLvl w:val="0"/>
        <w:rPr>
          <w:rFonts w:hint="eastAsia" w:ascii="仿宋" w:hAnsi="仿宋" w:eastAsia="仿宋" w:cs="仿宋"/>
          <w:b/>
          <w:color w:val="auto"/>
          <w:sz w:val="24"/>
          <w:highlight w:val="none"/>
        </w:rPr>
      </w:pPr>
      <w:bookmarkStart w:id="158" w:name="_Toc16673"/>
      <w:bookmarkStart w:id="159" w:name="_Toc279701264"/>
      <w:bookmarkStart w:id="160" w:name="_Toc3148"/>
      <w:bookmarkStart w:id="161" w:name="_Toc259093693"/>
      <w:bookmarkStart w:id="162" w:name="_Toc12004"/>
      <w:bookmarkStart w:id="163" w:name="_Toc487900374"/>
      <w:r>
        <w:rPr>
          <w:rFonts w:hint="eastAsia" w:ascii="仿宋" w:hAnsi="仿宋" w:eastAsia="仿宋" w:cs="仿宋"/>
          <w:b/>
          <w:color w:val="auto"/>
          <w:sz w:val="24"/>
          <w:highlight w:val="none"/>
        </w:rPr>
        <w:t>2.20 履约保证金</w:t>
      </w:r>
      <w:bookmarkEnd w:id="158"/>
      <w:bookmarkEnd w:id="159"/>
      <w:bookmarkEnd w:id="160"/>
      <w:bookmarkEnd w:id="161"/>
      <w:bookmarkEnd w:id="162"/>
    </w:p>
    <w:p w14:paraId="0FAA5AAD">
      <w:pPr>
        <w:pStyle w:val="286"/>
        <w:spacing w:before="0" w:beforeAutospacing="0" w:after="0" w:afterAutospacing="0" w:line="360" w:lineRule="auto"/>
        <w:ind w:firstLine="420"/>
        <w:rPr>
          <w:rFonts w:hint="eastAsia" w:ascii="仿宋" w:hAnsi="仿宋" w:eastAsia="仿宋" w:cs="仿宋"/>
          <w:color w:val="auto"/>
          <w:highlight w:val="none"/>
        </w:rPr>
      </w:pPr>
      <w:r>
        <w:rPr>
          <w:rFonts w:hint="eastAsia" w:ascii="仿宋" w:hAnsi="仿宋" w:eastAsia="仿宋" w:cs="仿宋"/>
          <w:color w:val="auto"/>
          <w:highlight w:val="none"/>
        </w:rPr>
        <w:t>2.20.1 采购文件要求乙方提交履约保证金的，乙方应按</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约定的方式，以支票、汇票、本票或者金融机构、担保机构出具的保函等非现金形式，提交不超过合同金额1%的履约保证金；鼓励和支持乙方以银行、保险公司出具的保函形式提供履约保证。</w:t>
      </w:r>
    </w:p>
    <w:p w14:paraId="11FB9F0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2.20.2  履约保证金在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约定期间内不予退还。乙方在前述约定期间届满前能履行完合同约定义务事项的，甲方在前述约定期间届满之日起个工作日内，按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 xml:space="preserve">约定的方式将履约保证金退还乙方，逾期退还的，乙方可要求甲方支付违约金，违约金按每迟延退还一日的应退还而未退还金额的%计算，最高限额为本合同履约保证金的%； </w:t>
      </w:r>
    </w:p>
    <w:p w14:paraId="1DAF300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56EF4EE">
      <w:pPr>
        <w:spacing w:line="56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2.20.4甲方在乙方履行完合同约定义务事项后及时退还，延迟退还的，应当按照合同约定和法律规定承担相应的赔偿责任。</w:t>
      </w:r>
    </w:p>
    <w:p w14:paraId="4B95031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2.21对于因甲方原因导致变更、中止或者终止政府采购合同的，甲方应当依照合同约定对供应商受到的损失予以赔偿或者补偿。</w:t>
      </w:r>
    </w:p>
    <w:bookmarkEnd w:id="163"/>
    <w:p w14:paraId="263D0AC5">
      <w:pPr>
        <w:spacing w:line="560" w:lineRule="exact"/>
        <w:ind w:firstLine="482" w:firstLineChars="200"/>
        <w:outlineLvl w:val="0"/>
        <w:rPr>
          <w:rFonts w:hint="eastAsia" w:ascii="仿宋" w:hAnsi="仿宋" w:eastAsia="仿宋" w:cs="仿宋"/>
          <w:b/>
          <w:color w:val="auto"/>
          <w:sz w:val="24"/>
          <w:highlight w:val="none"/>
        </w:rPr>
      </w:pPr>
      <w:bookmarkStart w:id="164" w:name="_Toc14001"/>
      <w:bookmarkStart w:id="165" w:name="_Toc6885"/>
      <w:bookmarkStart w:id="166" w:name="_Toc19890"/>
      <w:r>
        <w:rPr>
          <w:rFonts w:hint="eastAsia" w:ascii="仿宋" w:hAnsi="仿宋" w:eastAsia="仿宋" w:cs="仿宋"/>
          <w:b/>
          <w:color w:val="auto"/>
          <w:sz w:val="24"/>
          <w:highlight w:val="none"/>
        </w:rPr>
        <w:t>2.22合同份数</w:t>
      </w:r>
      <w:bookmarkEnd w:id="164"/>
      <w:bookmarkEnd w:id="165"/>
      <w:bookmarkEnd w:id="166"/>
    </w:p>
    <w:p w14:paraId="3ECE4AE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7B666CC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2.23根据《绍兴市柴油动力移动源排气污染防治办法》第九条、第十三条的规定，乙方在合同实施过程中使用的柴油动力移动源（柴油货车、非道路移动机械）必须符合低排放要求并已向生态环境部门申领绿色编码，在进入作业现场前须如实向甲方登记报备绿色编码，未申领绿色编码的柴油动力移动源不得进入作业现场施工。在作业现场发现有未申领绿色编码的柴油动力移动源或者未如实进行绿色编码报备的，认定乙方违约，按照本合同违约条款承担相应违约责任。 </w:t>
      </w:r>
    </w:p>
    <w:p w14:paraId="4DF33EF4">
      <w:pPr>
        <w:pStyle w:val="285"/>
        <w:spacing w:line="560" w:lineRule="exact"/>
        <w:jc w:val="center"/>
        <w:rPr>
          <w:rFonts w:hint="eastAsia" w:ascii="仿宋" w:hAnsi="仿宋" w:eastAsia="仿宋" w:cs="仿宋"/>
          <w:b/>
          <w:color w:val="auto"/>
          <w:szCs w:val="24"/>
          <w:highlight w:val="none"/>
        </w:rPr>
      </w:pPr>
      <w:r>
        <w:rPr>
          <w:rFonts w:hint="eastAsia" w:ascii="仿宋" w:hAnsi="仿宋" w:eastAsia="仿宋" w:cs="仿宋"/>
          <w:color w:val="auto"/>
          <w:kern w:val="0"/>
          <w:szCs w:val="24"/>
          <w:highlight w:val="none"/>
        </w:rPr>
        <w:br w:type="page"/>
      </w:r>
      <w:bookmarkStart w:id="167" w:name="_Toc331685784"/>
      <w:bookmarkEnd w:id="167"/>
      <w:r>
        <w:rPr>
          <w:rFonts w:hint="eastAsia" w:ascii="仿宋" w:hAnsi="仿宋" w:eastAsia="仿宋" w:cs="仿宋"/>
          <w:b/>
          <w:color w:val="auto"/>
          <w:szCs w:val="24"/>
          <w:highlight w:val="none"/>
        </w:rPr>
        <w:t>第三部分合同专用条款</w:t>
      </w:r>
    </w:p>
    <w:p w14:paraId="62E51541">
      <w:pPr>
        <w:spacing w:line="560" w:lineRule="exact"/>
        <w:ind w:left="-420" w:leftChars="-200" w:right="-420" w:rightChars="-200"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44"/>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51"/>
        <w:gridCol w:w="8275"/>
      </w:tblGrid>
      <w:tr w14:paraId="28AF0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51" w:type="dxa"/>
            <w:tcBorders>
              <w:left w:val="single" w:color="auto" w:sz="4" w:space="0"/>
            </w:tcBorders>
            <w:vAlign w:val="center"/>
          </w:tcPr>
          <w:p w14:paraId="3A648BA0">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275" w:type="dxa"/>
            <w:vAlign w:val="center"/>
          </w:tcPr>
          <w:p w14:paraId="18FBF25E">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0A7C1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FD7448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1.4.4</w:t>
            </w:r>
          </w:p>
        </w:tc>
        <w:tc>
          <w:tcPr>
            <w:tcW w:w="8275" w:type="dxa"/>
            <w:vAlign w:val="center"/>
          </w:tcPr>
          <w:p w14:paraId="6FF24A72">
            <w:pPr>
              <w:spacing w:line="360" w:lineRule="auto"/>
              <w:rPr>
                <w:rFonts w:hint="eastAsia" w:ascii="仿宋" w:hAnsi="仿宋" w:eastAsia="仿宋" w:cs="仿宋"/>
                <w:color w:val="auto"/>
                <w:sz w:val="24"/>
                <w:highlight w:val="none"/>
              </w:rPr>
            </w:pPr>
          </w:p>
        </w:tc>
      </w:tr>
      <w:tr w14:paraId="1B958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794D904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275" w:type="dxa"/>
            <w:vAlign w:val="center"/>
          </w:tcPr>
          <w:p w14:paraId="0FBB7B0B">
            <w:pPr>
              <w:spacing w:line="360" w:lineRule="auto"/>
              <w:rPr>
                <w:rFonts w:hint="eastAsia" w:ascii="仿宋" w:hAnsi="仿宋" w:eastAsia="仿宋" w:cs="仿宋"/>
                <w:color w:val="auto"/>
                <w:sz w:val="24"/>
                <w:highlight w:val="none"/>
              </w:rPr>
            </w:pPr>
          </w:p>
        </w:tc>
      </w:tr>
      <w:tr w14:paraId="33254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1B3F13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275" w:type="dxa"/>
            <w:vAlign w:val="center"/>
          </w:tcPr>
          <w:p w14:paraId="29F5AF81">
            <w:pPr>
              <w:spacing w:line="360" w:lineRule="auto"/>
              <w:rPr>
                <w:rFonts w:hint="eastAsia" w:ascii="仿宋" w:hAnsi="仿宋" w:eastAsia="仿宋" w:cs="仿宋"/>
                <w:color w:val="auto"/>
                <w:sz w:val="24"/>
                <w:highlight w:val="none"/>
              </w:rPr>
            </w:pPr>
          </w:p>
        </w:tc>
      </w:tr>
      <w:tr w14:paraId="6DE04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7EA8101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275" w:type="dxa"/>
            <w:vAlign w:val="center"/>
          </w:tcPr>
          <w:p w14:paraId="1FEEAF34">
            <w:pPr>
              <w:spacing w:line="360" w:lineRule="auto"/>
              <w:rPr>
                <w:rFonts w:hint="eastAsia" w:ascii="仿宋" w:hAnsi="仿宋" w:eastAsia="仿宋" w:cs="仿宋"/>
                <w:color w:val="auto"/>
                <w:sz w:val="24"/>
                <w:highlight w:val="none"/>
              </w:rPr>
            </w:pPr>
          </w:p>
        </w:tc>
      </w:tr>
      <w:tr w14:paraId="7DFA4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7152125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1.6.7</w:t>
            </w:r>
          </w:p>
        </w:tc>
        <w:tc>
          <w:tcPr>
            <w:tcW w:w="8275" w:type="dxa"/>
            <w:vAlign w:val="center"/>
          </w:tcPr>
          <w:p w14:paraId="207A7726">
            <w:pPr>
              <w:spacing w:line="360" w:lineRule="auto"/>
              <w:rPr>
                <w:rFonts w:hint="eastAsia" w:ascii="仿宋" w:hAnsi="仿宋" w:eastAsia="仿宋" w:cs="仿宋"/>
                <w:color w:val="auto"/>
                <w:sz w:val="24"/>
                <w:highlight w:val="none"/>
              </w:rPr>
            </w:pPr>
          </w:p>
        </w:tc>
      </w:tr>
      <w:tr w14:paraId="2AD79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2A40C43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w:t>
            </w:r>
          </w:p>
        </w:tc>
        <w:tc>
          <w:tcPr>
            <w:tcW w:w="8275" w:type="dxa"/>
            <w:vAlign w:val="center"/>
          </w:tcPr>
          <w:p w14:paraId="7CDD57C2">
            <w:pPr>
              <w:spacing w:line="360" w:lineRule="auto"/>
              <w:rPr>
                <w:rFonts w:hint="eastAsia" w:ascii="仿宋" w:hAnsi="仿宋" w:eastAsia="仿宋" w:cs="仿宋"/>
                <w:color w:val="auto"/>
                <w:sz w:val="24"/>
                <w:highlight w:val="none"/>
              </w:rPr>
            </w:pPr>
          </w:p>
        </w:tc>
      </w:tr>
      <w:tr w14:paraId="56E95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8" w:hRule="atLeast"/>
        </w:trPr>
        <w:tc>
          <w:tcPr>
            <w:tcW w:w="851" w:type="dxa"/>
            <w:tcBorders>
              <w:left w:val="single" w:color="auto" w:sz="4" w:space="0"/>
            </w:tcBorders>
            <w:vAlign w:val="center"/>
          </w:tcPr>
          <w:p w14:paraId="1DFE4EC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275" w:type="dxa"/>
            <w:vAlign w:val="center"/>
          </w:tcPr>
          <w:p w14:paraId="56D83A93">
            <w:pPr>
              <w:spacing w:line="360" w:lineRule="auto"/>
              <w:rPr>
                <w:rFonts w:hint="eastAsia" w:ascii="仿宋" w:hAnsi="仿宋" w:eastAsia="仿宋" w:cs="仿宋"/>
                <w:color w:val="auto"/>
                <w:sz w:val="24"/>
                <w:highlight w:val="none"/>
              </w:rPr>
            </w:pPr>
          </w:p>
        </w:tc>
      </w:tr>
      <w:tr w14:paraId="7DF58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3F7A36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275" w:type="dxa"/>
            <w:vAlign w:val="center"/>
          </w:tcPr>
          <w:p w14:paraId="42659623">
            <w:pPr>
              <w:spacing w:line="360" w:lineRule="auto"/>
              <w:rPr>
                <w:rFonts w:hint="eastAsia" w:ascii="仿宋" w:hAnsi="仿宋" w:eastAsia="仿宋" w:cs="仿宋"/>
                <w:color w:val="auto"/>
                <w:sz w:val="24"/>
                <w:highlight w:val="none"/>
              </w:rPr>
            </w:pPr>
          </w:p>
        </w:tc>
      </w:tr>
      <w:tr w14:paraId="3E29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4BEEB2A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275" w:type="dxa"/>
            <w:vAlign w:val="center"/>
          </w:tcPr>
          <w:p w14:paraId="47D8B500">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504A9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6CA006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2.4.1</w:t>
            </w:r>
          </w:p>
        </w:tc>
        <w:tc>
          <w:tcPr>
            <w:tcW w:w="8275" w:type="dxa"/>
            <w:vAlign w:val="center"/>
          </w:tcPr>
          <w:p w14:paraId="5A6D27CD">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61770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15A7F66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2.4.2</w:t>
            </w:r>
          </w:p>
        </w:tc>
        <w:tc>
          <w:tcPr>
            <w:tcW w:w="8275" w:type="dxa"/>
            <w:vAlign w:val="center"/>
          </w:tcPr>
          <w:p w14:paraId="6A6E31A2">
            <w:pPr>
              <w:spacing w:line="360" w:lineRule="auto"/>
              <w:rPr>
                <w:rFonts w:hint="eastAsia" w:ascii="仿宋" w:hAnsi="仿宋" w:eastAsia="仿宋" w:cs="仿宋"/>
                <w:color w:val="auto"/>
                <w:sz w:val="24"/>
                <w:highlight w:val="none"/>
              </w:rPr>
            </w:pPr>
          </w:p>
        </w:tc>
      </w:tr>
      <w:tr w14:paraId="0F172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tcPr>
          <w:p w14:paraId="0DEDE7A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2.8 </w:t>
            </w:r>
          </w:p>
        </w:tc>
        <w:tc>
          <w:tcPr>
            <w:tcW w:w="8275" w:type="dxa"/>
          </w:tcPr>
          <w:p w14:paraId="3D9403E7">
            <w:pPr>
              <w:spacing w:line="360" w:lineRule="auto"/>
              <w:rPr>
                <w:rFonts w:hint="eastAsia" w:ascii="仿宋" w:hAnsi="仿宋" w:eastAsia="仿宋" w:cs="仿宋"/>
                <w:color w:val="auto"/>
                <w:sz w:val="24"/>
                <w:highlight w:val="none"/>
              </w:rPr>
            </w:pPr>
          </w:p>
        </w:tc>
      </w:tr>
      <w:tr w14:paraId="5D86E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3B9D6B2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2.12.3</w:t>
            </w:r>
          </w:p>
        </w:tc>
        <w:tc>
          <w:tcPr>
            <w:tcW w:w="8275" w:type="dxa"/>
            <w:vAlign w:val="center"/>
          </w:tcPr>
          <w:p w14:paraId="08EF032F">
            <w:pPr>
              <w:spacing w:line="360" w:lineRule="auto"/>
              <w:rPr>
                <w:rFonts w:hint="eastAsia" w:ascii="仿宋" w:hAnsi="仿宋" w:eastAsia="仿宋" w:cs="仿宋"/>
                <w:color w:val="auto"/>
                <w:sz w:val="24"/>
                <w:highlight w:val="none"/>
              </w:rPr>
            </w:pPr>
          </w:p>
        </w:tc>
      </w:tr>
      <w:tr w14:paraId="59019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4EA3114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2.12.4</w:t>
            </w:r>
          </w:p>
        </w:tc>
        <w:tc>
          <w:tcPr>
            <w:tcW w:w="8275" w:type="dxa"/>
            <w:vAlign w:val="center"/>
          </w:tcPr>
          <w:p w14:paraId="6873DC9E">
            <w:pPr>
              <w:spacing w:line="360" w:lineRule="auto"/>
              <w:rPr>
                <w:rFonts w:hint="eastAsia" w:ascii="仿宋" w:hAnsi="仿宋" w:eastAsia="仿宋" w:cs="仿宋"/>
                <w:color w:val="auto"/>
                <w:sz w:val="24"/>
                <w:highlight w:val="none"/>
              </w:rPr>
            </w:pPr>
          </w:p>
        </w:tc>
      </w:tr>
      <w:tr w14:paraId="43013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2AA201E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2.16.1</w:t>
            </w:r>
          </w:p>
        </w:tc>
        <w:tc>
          <w:tcPr>
            <w:tcW w:w="8275" w:type="dxa"/>
            <w:vAlign w:val="center"/>
          </w:tcPr>
          <w:p w14:paraId="0FDBB4AE">
            <w:pPr>
              <w:spacing w:line="360" w:lineRule="auto"/>
              <w:rPr>
                <w:rFonts w:hint="eastAsia" w:ascii="仿宋" w:hAnsi="仿宋" w:eastAsia="仿宋" w:cs="仿宋"/>
                <w:color w:val="auto"/>
                <w:sz w:val="24"/>
                <w:highlight w:val="none"/>
              </w:rPr>
            </w:pPr>
          </w:p>
        </w:tc>
      </w:tr>
      <w:tr w14:paraId="0F6A8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51" w:type="dxa"/>
            <w:tcBorders>
              <w:left w:val="single" w:color="auto" w:sz="4" w:space="0"/>
            </w:tcBorders>
            <w:vAlign w:val="center"/>
          </w:tcPr>
          <w:p w14:paraId="593BEEF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2.16.3</w:t>
            </w:r>
          </w:p>
        </w:tc>
        <w:tc>
          <w:tcPr>
            <w:tcW w:w="8275" w:type="dxa"/>
            <w:vAlign w:val="center"/>
          </w:tcPr>
          <w:p w14:paraId="7C94FB14">
            <w:pPr>
              <w:spacing w:line="360" w:lineRule="auto"/>
              <w:rPr>
                <w:rFonts w:hint="eastAsia" w:ascii="仿宋" w:hAnsi="仿宋" w:eastAsia="仿宋" w:cs="仿宋"/>
                <w:color w:val="auto"/>
                <w:sz w:val="24"/>
                <w:highlight w:val="none"/>
              </w:rPr>
            </w:pPr>
          </w:p>
        </w:tc>
      </w:tr>
      <w:tr w14:paraId="30019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51" w:type="dxa"/>
            <w:tcBorders>
              <w:left w:val="single" w:color="auto" w:sz="4" w:space="0"/>
            </w:tcBorders>
          </w:tcPr>
          <w:p w14:paraId="4244FFB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2.20.1</w:t>
            </w:r>
          </w:p>
        </w:tc>
        <w:tc>
          <w:tcPr>
            <w:tcW w:w="8275" w:type="dxa"/>
          </w:tcPr>
          <w:p w14:paraId="0B3B9D91">
            <w:pPr>
              <w:spacing w:line="360" w:lineRule="auto"/>
              <w:rPr>
                <w:rFonts w:hint="eastAsia" w:ascii="仿宋" w:hAnsi="仿宋" w:eastAsia="仿宋" w:cs="仿宋"/>
                <w:color w:val="auto"/>
                <w:sz w:val="24"/>
                <w:highlight w:val="none"/>
              </w:rPr>
            </w:pPr>
          </w:p>
        </w:tc>
      </w:tr>
      <w:tr w14:paraId="4B582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51" w:type="dxa"/>
            <w:tcBorders>
              <w:left w:val="single" w:color="auto" w:sz="4" w:space="0"/>
            </w:tcBorders>
            <w:vAlign w:val="center"/>
          </w:tcPr>
          <w:p w14:paraId="3F88CE5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2.20.2 </w:t>
            </w:r>
          </w:p>
        </w:tc>
        <w:tc>
          <w:tcPr>
            <w:tcW w:w="8275" w:type="dxa"/>
            <w:vAlign w:val="center"/>
          </w:tcPr>
          <w:p w14:paraId="53CF662C">
            <w:pPr>
              <w:spacing w:line="360" w:lineRule="auto"/>
              <w:rPr>
                <w:rFonts w:hint="eastAsia" w:ascii="仿宋" w:hAnsi="仿宋" w:eastAsia="仿宋" w:cs="仿宋"/>
                <w:color w:val="auto"/>
                <w:sz w:val="24"/>
                <w:highlight w:val="none"/>
              </w:rPr>
            </w:pPr>
          </w:p>
        </w:tc>
      </w:tr>
      <w:tr w14:paraId="1CCB6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51" w:type="dxa"/>
            <w:tcBorders>
              <w:left w:val="single" w:color="auto" w:sz="4" w:space="0"/>
            </w:tcBorders>
            <w:vAlign w:val="center"/>
          </w:tcPr>
          <w:p w14:paraId="6D2FF77E">
            <w:pPr>
              <w:spacing w:line="360" w:lineRule="auto"/>
              <w:ind w:left="-420" w:leftChars="-200" w:right="-420" w:rightChars="-200"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2.22</w:t>
            </w:r>
          </w:p>
        </w:tc>
        <w:tc>
          <w:tcPr>
            <w:tcW w:w="8275" w:type="dxa"/>
            <w:vAlign w:val="center"/>
          </w:tcPr>
          <w:p w14:paraId="3D08E0E7">
            <w:pPr>
              <w:spacing w:line="360" w:lineRule="auto"/>
              <w:rPr>
                <w:rFonts w:hint="eastAsia" w:ascii="仿宋" w:hAnsi="仿宋" w:eastAsia="仿宋" w:cs="仿宋"/>
                <w:color w:val="auto"/>
                <w:sz w:val="24"/>
                <w:highlight w:val="none"/>
              </w:rPr>
            </w:pPr>
          </w:p>
        </w:tc>
      </w:tr>
    </w:tbl>
    <w:p w14:paraId="6A492773">
      <w:pPr>
        <w:spacing w:line="360" w:lineRule="auto"/>
        <w:ind w:left="-420" w:leftChars="-200" w:right="-420" w:rightChars="-200" w:firstLine="480" w:firstLineChars="200"/>
        <w:rPr>
          <w:rFonts w:hint="eastAsia" w:ascii="仿宋" w:hAnsi="仿宋" w:eastAsia="仿宋" w:cs="仿宋"/>
          <w:color w:val="auto"/>
          <w:sz w:val="24"/>
          <w:highlight w:val="none"/>
        </w:rPr>
      </w:pPr>
    </w:p>
    <w:p w14:paraId="1DC90063">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（注：在正式签约时，根据上述精神应拟就更为详尽的合同书）</w:t>
      </w:r>
    </w:p>
    <w:p w14:paraId="0A4BC2F2">
      <w:pPr>
        <w:pStyle w:val="24"/>
        <w:pageBreakBefore/>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4E379ACE">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7BAFF624">
      <w:pPr>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w:t>
      </w:r>
      <w:r>
        <w:rPr>
          <w:rFonts w:hint="eastAsia" w:ascii="仿宋" w:hAnsi="仿宋" w:eastAsia="仿宋" w:cs="仿宋"/>
          <w:b/>
          <w:bCs/>
          <w:color w:val="auto"/>
          <w:sz w:val="24"/>
          <w:highlight w:val="none"/>
        </w:rPr>
        <w:t>最高</w:t>
      </w:r>
      <w:r>
        <w:rPr>
          <w:rFonts w:hint="eastAsia" w:ascii="仿宋" w:hAnsi="仿宋" w:eastAsia="仿宋" w:cs="仿宋"/>
          <w:b/>
          <w:bCs/>
          <w:color w:val="auto"/>
          <w:sz w:val="24"/>
          <w:highlight w:val="none"/>
          <w:lang w:val="en-US" w:eastAsia="zh-CN"/>
        </w:rPr>
        <w:t>前2名</w:t>
      </w:r>
      <w:r>
        <w:rPr>
          <w:rFonts w:hint="eastAsia" w:ascii="仿宋" w:hAnsi="仿宋" w:eastAsia="仿宋" w:cs="仿宋"/>
          <w:color w:val="auto"/>
          <w:sz w:val="24"/>
          <w:highlight w:val="none"/>
        </w:rPr>
        <w:t>投标人为中标候选人。中标候选人并列的，采用随机抽取的方式确定。</w:t>
      </w:r>
    </w:p>
    <w:p w14:paraId="393D1EA0">
      <w:pPr>
        <w:spacing w:line="440" w:lineRule="exact"/>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0分，价格分</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0分。评分依下述所列为评标打分依据，分值如下（计算分值时，按其算术平均值保留小数2位）。</w:t>
      </w:r>
    </w:p>
    <w:p w14:paraId="081BB91F">
      <w:pP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6</w:t>
      </w:r>
      <w:r>
        <w:rPr>
          <w:rFonts w:hint="eastAsia" w:ascii="仿宋" w:hAnsi="仿宋" w:eastAsia="仿宋" w:cs="仿宋"/>
          <w:b/>
          <w:bCs/>
          <w:iCs/>
          <w:color w:val="auto"/>
          <w:sz w:val="24"/>
          <w:highlight w:val="none"/>
        </w:rPr>
        <w:t>0分）</w:t>
      </w:r>
    </w:p>
    <w:tbl>
      <w:tblPr>
        <w:tblStyle w:val="44"/>
        <w:tblW w:w="9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575"/>
        <w:gridCol w:w="6298"/>
        <w:gridCol w:w="767"/>
      </w:tblGrid>
      <w:tr w14:paraId="6866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90" w:type="dxa"/>
            <w:noWrap w:val="0"/>
            <w:vAlign w:val="center"/>
          </w:tcPr>
          <w:p w14:paraId="4C90986D">
            <w:pPr>
              <w:spacing w:line="360" w:lineRule="auto"/>
              <w:jc w:val="center"/>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序号</w:t>
            </w:r>
          </w:p>
        </w:tc>
        <w:tc>
          <w:tcPr>
            <w:tcW w:w="1575" w:type="dxa"/>
            <w:noWrap w:val="0"/>
            <w:vAlign w:val="center"/>
          </w:tcPr>
          <w:p w14:paraId="42317C3E">
            <w:pPr>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评分内容</w:t>
            </w:r>
          </w:p>
        </w:tc>
        <w:tc>
          <w:tcPr>
            <w:tcW w:w="6298" w:type="dxa"/>
            <w:noWrap w:val="0"/>
            <w:vAlign w:val="center"/>
          </w:tcPr>
          <w:p w14:paraId="47F9DB08">
            <w:pPr>
              <w:spacing w:line="360" w:lineRule="auto"/>
              <w:ind w:left="-115" w:leftChars="-55" w:right="-115" w:rightChars="-55"/>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 分 说 明</w:t>
            </w:r>
          </w:p>
        </w:tc>
        <w:tc>
          <w:tcPr>
            <w:tcW w:w="767" w:type="dxa"/>
            <w:noWrap w:val="0"/>
            <w:vAlign w:val="center"/>
          </w:tcPr>
          <w:p w14:paraId="15F76266">
            <w:pPr>
              <w:spacing w:line="360" w:lineRule="auto"/>
              <w:ind w:left="-115" w:leftChars="-55" w:right="-115" w:rightChars="-55"/>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分值</w:t>
            </w:r>
          </w:p>
        </w:tc>
      </w:tr>
      <w:tr w14:paraId="6766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90" w:type="dxa"/>
            <w:noWrap w:val="0"/>
            <w:vAlign w:val="center"/>
          </w:tcPr>
          <w:p w14:paraId="0EBF1F10">
            <w:pPr>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1575" w:type="dxa"/>
            <w:noWrap w:val="0"/>
            <w:vAlign w:val="center"/>
          </w:tcPr>
          <w:p w14:paraId="2BA51688">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color w:val="auto"/>
                <w:sz w:val="21"/>
                <w:szCs w:val="21"/>
                <w:highlight w:val="none"/>
              </w:rPr>
            </w:pPr>
            <w:r>
              <w:rPr>
                <w:rFonts w:hint="eastAsia" w:ascii="仿宋" w:hAnsi="仿宋" w:eastAsia="仿宋" w:cs="仿宋"/>
                <w:color w:val="auto"/>
                <w:sz w:val="21"/>
                <w:szCs w:val="21"/>
                <w:highlight w:val="none"/>
                <w:lang w:eastAsia="zh-CN"/>
              </w:rPr>
              <w:t>技术指标响应性</w:t>
            </w:r>
          </w:p>
        </w:tc>
        <w:tc>
          <w:tcPr>
            <w:tcW w:w="6298" w:type="dxa"/>
            <w:noWrap w:val="0"/>
            <w:vAlign w:val="center"/>
          </w:tcPr>
          <w:p w14:paraId="21812B20">
            <w:pPr>
              <w:spacing w:line="320" w:lineRule="exact"/>
              <w:ind w:right="0" w:rightChars="0"/>
              <w:rPr>
                <w:rFonts w:hint="eastAsia" w:ascii="仿宋" w:hAnsi="仿宋" w:eastAsia="仿宋" w:cs="仿宋"/>
                <w:b/>
                <w:color w:val="auto"/>
                <w:sz w:val="21"/>
                <w:szCs w:val="21"/>
                <w:highlight w:val="none"/>
              </w:rPr>
            </w:pPr>
            <w:r>
              <w:rPr>
                <w:rFonts w:hint="eastAsia" w:ascii="仿宋" w:hAnsi="仿宋" w:eastAsia="仿宋" w:cs="仿宋"/>
                <w:color w:val="auto"/>
                <w:sz w:val="21"/>
                <w:szCs w:val="21"/>
                <w:highlight w:val="none"/>
                <w:lang w:eastAsia="zh-CN"/>
              </w:rPr>
              <w:t>满足招标文件要求的得</w:t>
            </w:r>
            <w:r>
              <w:rPr>
                <w:rFonts w:hint="eastAsia" w:ascii="仿宋" w:hAnsi="仿宋" w:eastAsia="仿宋" w:cs="仿宋"/>
                <w:color w:val="auto"/>
                <w:sz w:val="21"/>
                <w:szCs w:val="21"/>
                <w:highlight w:val="none"/>
                <w:lang w:val="en-US" w:eastAsia="zh-CN"/>
              </w:rPr>
              <w:t>20</w:t>
            </w:r>
            <w:r>
              <w:rPr>
                <w:rFonts w:hint="eastAsia" w:ascii="仿宋" w:hAnsi="仿宋" w:eastAsia="仿宋" w:cs="仿宋"/>
                <w:color w:val="auto"/>
                <w:sz w:val="21"/>
                <w:szCs w:val="21"/>
                <w:highlight w:val="none"/>
                <w:lang w:eastAsia="zh-CN"/>
              </w:rPr>
              <w:t>分。技术指标中打“★”号的指标必须满足，否则作无效投标处理；打“▲”号的指标，每有一项</w:t>
            </w:r>
            <w:r>
              <w:rPr>
                <w:rFonts w:hint="eastAsia" w:ascii="仿宋" w:hAnsi="仿宋" w:eastAsia="仿宋" w:cs="仿宋"/>
                <w:color w:val="auto"/>
                <w:sz w:val="21"/>
                <w:szCs w:val="21"/>
                <w:highlight w:val="none"/>
                <w:lang w:val="en-US" w:eastAsia="zh-CN"/>
              </w:rPr>
              <w:t>负</w:t>
            </w:r>
            <w:r>
              <w:rPr>
                <w:rFonts w:hint="eastAsia" w:ascii="仿宋" w:hAnsi="仿宋" w:eastAsia="仿宋" w:cs="仿宋"/>
                <w:color w:val="auto"/>
                <w:sz w:val="21"/>
                <w:szCs w:val="21"/>
                <w:highlight w:val="none"/>
                <w:lang w:eastAsia="zh-CN"/>
              </w:rPr>
              <w:t>偏离</w:t>
            </w:r>
            <w:r>
              <w:rPr>
                <w:rFonts w:hint="eastAsia" w:ascii="仿宋" w:hAnsi="仿宋" w:eastAsia="仿宋" w:cs="仿宋"/>
                <w:color w:val="auto"/>
                <w:sz w:val="21"/>
                <w:szCs w:val="21"/>
                <w:highlight w:val="none"/>
                <w:lang w:val="en-US" w:eastAsia="zh-CN"/>
              </w:rPr>
              <w:t>扣5</w:t>
            </w:r>
            <w:r>
              <w:rPr>
                <w:rFonts w:hint="eastAsia" w:ascii="仿宋" w:hAnsi="仿宋" w:eastAsia="仿宋" w:cs="仿宋"/>
                <w:color w:val="auto"/>
                <w:sz w:val="21"/>
                <w:szCs w:val="21"/>
                <w:highlight w:val="none"/>
                <w:lang w:eastAsia="zh-CN"/>
              </w:rPr>
              <w:t>分，一般指标每有一项偏离的扣</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eastAsia="zh-CN"/>
              </w:rPr>
              <w:t>分，扣完为止。</w:t>
            </w:r>
          </w:p>
        </w:tc>
        <w:tc>
          <w:tcPr>
            <w:tcW w:w="767" w:type="dxa"/>
            <w:noWrap w:val="0"/>
            <w:vAlign w:val="center"/>
          </w:tcPr>
          <w:p w14:paraId="5260EE2C">
            <w:pPr>
              <w:spacing w:line="360" w:lineRule="auto"/>
              <w:jc w:val="center"/>
              <w:rPr>
                <w:rFonts w:hint="default" w:ascii="仿宋" w:hAnsi="仿宋" w:eastAsia="仿宋" w:cs="仿宋"/>
                <w:b/>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w:t>
            </w:r>
          </w:p>
        </w:tc>
      </w:tr>
      <w:tr w14:paraId="5559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90" w:type="dxa"/>
            <w:noWrap w:val="0"/>
            <w:vAlign w:val="center"/>
          </w:tcPr>
          <w:p w14:paraId="05A8DE20">
            <w:pPr>
              <w:spacing w:line="288"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1575" w:type="dxa"/>
            <w:noWrap w:val="0"/>
            <w:vAlign w:val="center"/>
          </w:tcPr>
          <w:p w14:paraId="6B907109">
            <w:pPr>
              <w:spacing w:line="288"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投标人总体规模与履约能力</w:t>
            </w:r>
          </w:p>
        </w:tc>
        <w:tc>
          <w:tcPr>
            <w:tcW w:w="6298" w:type="dxa"/>
            <w:noWrap w:val="0"/>
            <w:vAlign w:val="center"/>
          </w:tcPr>
          <w:p w14:paraId="590D8FB1">
            <w:pPr>
              <w:spacing w:line="288"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根据投标单位供货</w:t>
            </w:r>
            <w:r>
              <w:rPr>
                <w:rFonts w:hint="eastAsia" w:ascii="仿宋" w:hAnsi="仿宋" w:eastAsia="仿宋" w:cs="仿宋"/>
                <w:color w:val="auto"/>
                <w:sz w:val="21"/>
                <w:szCs w:val="21"/>
                <w:highlight w:val="none"/>
                <w:lang w:val="en-US" w:eastAsia="zh-CN"/>
              </w:rPr>
              <w:t>/兑换</w:t>
            </w:r>
            <w:r>
              <w:rPr>
                <w:rFonts w:hint="eastAsia" w:ascii="仿宋" w:hAnsi="仿宋" w:eastAsia="仿宋" w:cs="仿宋"/>
                <w:color w:val="auto"/>
                <w:sz w:val="21"/>
                <w:szCs w:val="21"/>
                <w:highlight w:val="none"/>
              </w:rPr>
              <w:t>能力、信誉度、服务承诺、响应承诺等</w:t>
            </w:r>
            <w:r>
              <w:rPr>
                <w:rFonts w:hint="eastAsia" w:ascii="仿宋" w:hAnsi="仿宋" w:eastAsia="仿宋" w:cs="仿宋"/>
                <w:color w:val="auto"/>
                <w:sz w:val="21"/>
                <w:szCs w:val="21"/>
                <w:highlight w:val="none"/>
                <w:lang w:eastAsia="zh-CN"/>
              </w:rPr>
              <w:t>综合评价：</w:t>
            </w:r>
            <w:r>
              <w:rPr>
                <w:rFonts w:hint="eastAsia" w:ascii="仿宋" w:hAnsi="仿宋" w:eastAsia="仿宋" w:cs="仿宋"/>
                <w:color w:val="auto"/>
                <w:sz w:val="21"/>
                <w:szCs w:val="21"/>
                <w:highlight w:val="none"/>
                <w:lang w:val="en-US" w:eastAsia="zh-CN"/>
              </w:rPr>
              <w:t>0-10分</w:t>
            </w:r>
            <w:r>
              <w:rPr>
                <w:rFonts w:hint="eastAsia" w:ascii="仿宋" w:hAnsi="仿宋" w:eastAsia="仿宋" w:cs="仿宋"/>
                <w:color w:val="auto"/>
                <w:sz w:val="21"/>
                <w:szCs w:val="21"/>
                <w:highlight w:val="none"/>
              </w:rPr>
              <w:t>。</w:t>
            </w:r>
          </w:p>
        </w:tc>
        <w:tc>
          <w:tcPr>
            <w:tcW w:w="767" w:type="dxa"/>
            <w:noWrap w:val="0"/>
            <w:vAlign w:val="center"/>
          </w:tcPr>
          <w:p w14:paraId="0271D11C">
            <w:pPr>
              <w:spacing w:line="360" w:lineRule="auto"/>
              <w:ind w:left="-115" w:leftChars="-55" w:right="-115" w:rightChars="-55"/>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r>
      <w:tr w14:paraId="78D3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90" w:type="dxa"/>
            <w:noWrap w:val="0"/>
            <w:vAlign w:val="center"/>
          </w:tcPr>
          <w:p w14:paraId="7B4C2BA5">
            <w:pPr>
              <w:spacing w:line="400" w:lineRule="exact"/>
              <w:ind w:left="71" w:leftChars="34" w:right="71" w:rightChars="34" w:firstLine="1"/>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1575" w:type="dxa"/>
            <w:noWrap w:val="0"/>
            <w:vAlign w:val="center"/>
          </w:tcPr>
          <w:p w14:paraId="7B74E2D0">
            <w:pPr>
              <w:spacing w:line="400" w:lineRule="exact"/>
              <w:ind w:left="71" w:leftChars="34" w:right="71" w:rightChars="34" w:firstLine="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影院环境与观影体验</w:t>
            </w:r>
          </w:p>
        </w:tc>
        <w:tc>
          <w:tcPr>
            <w:tcW w:w="6298" w:type="dxa"/>
            <w:noWrap w:val="0"/>
            <w:vAlign w:val="center"/>
          </w:tcPr>
          <w:p w14:paraId="1B9BBF65">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根据影院整体环境、观影体验（舒适度）、周边休闲配套、停车等配套设施等综合评价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0-20</w:t>
            </w:r>
            <w:r>
              <w:rPr>
                <w:rFonts w:hint="eastAsia" w:ascii="仿宋" w:hAnsi="仿宋" w:eastAsia="仿宋" w:cs="仿宋"/>
                <w:color w:val="auto"/>
                <w:sz w:val="21"/>
                <w:szCs w:val="21"/>
                <w:highlight w:val="none"/>
              </w:rPr>
              <w:t>分。</w:t>
            </w:r>
          </w:p>
          <w:p w14:paraId="75D22D91">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注：</w:t>
            </w:r>
            <w:r>
              <w:rPr>
                <w:rFonts w:hint="eastAsia" w:ascii="仿宋" w:hAnsi="仿宋" w:eastAsia="仿宋" w:cs="仿宋"/>
                <w:color w:val="auto"/>
                <w:sz w:val="21"/>
                <w:szCs w:val="21"/>
                <w:highlight w:val="none"/>
              </w:rPr>
              <w:t>投标人须提供影院地址、影厅及座位情况、周边配套及停车说明、现场照片等证明材料；未提供清单或证明材料的，酌情扣分。</w:t>
            </w:r>
          </w:p>
        </w:tc>
        <w:tc>
          <w:tcPr>
            <w:tcW w:w="767" w:type="dxa"/>
            <w:noWrap w:val="0"/>
            <w:vAlign w:val="center"/>
          </w:tcPr>
          <w:p w14:paraId="712B9859">
            <w:pPr>
              <w:spacing w:line="360" w:lineRule="auto"/>
              <w:ind w:left="-115" w:leftChars="-55" w:right="-115" w:rightChars="-55"/>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w:t>
            </w:r>
          </w:p>
        </w:tc>
      </w:tr>
      <w:tr w14:paraId="4B6A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90" w:type="dxa"/>
            <w:noWrap w:val="0"/>
            <w:vAlign w:val="center"/>
          </w:tcPr>
          <w:p w14:paraId="3AC86946">
            <w:pPr>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w:t>
            </w:r>
          </w:p>
        </w:tc>
        <w:tc>
          <w:tcPr>
            <w:tcW w:w="1575" w:type="dxa"/>
            <w:noWrap w:val="0"/>
            <w:vAlign w:val="center"/>
          </w:tcPr>
          <w:p w14:paraId="39822297">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投标人业绩</w:t>
            </w:r>
          </w:p>
        </w:tc>
        <w:tc>
          <w:tcPr>
            <w:tcW w:w="6298" w:type="dxa"/>
            <w:noWrap w:val="0"/>
            <w:vAlign w:val="center"/>
          </w:tcPr>
          <w:p w14:paraId="61E992E1">
            <w:pPr>
              <w:spacing w:line="400" w:lineRule="exact"/>
              <w:ind w:left="71" w:leftChars="34" w:right="71" w:rightChars="34" w:firstLine="1"/>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2024</w:t>
            </w:r>
            <w:r>
              <w:rPr>
                <w:rFonts w:hint="eastAsia" w:ascii="仿宋" w:hAnsi="仿宋" w:eastAsia="仿宋" w:cs="仿宋"/>
                <w:color w:val="auto"/>
                <w:sz w:val="21"/>
                <w:szCs w:val="21"/>
                <w:highlight w:val="none"/>
              </w:rPr>
              <w:t>年</w:t>
            </w:r>
            <w:r>
              <w:rPr>
                <w:rFonts w:hint="eastAsia" w:ascii="仿宋" w:hAnsi="仿宋" w:eastAsia="仿宋" w:cs="仿宋"/>
                <w:color w:val="auto"/>
                <w:sz w:val="21"/>
                <w:szCs w:val="21"/>
                <w:highlight w:val="none"/>
                <w:lang w:val="en-US" w:eastAsia="zh-CN"/>
              </w:rPr>
              <w:t>1月1日</w:t>
            </w:r>
            <w:r>
              <w:rPr>
                <w:rFonts w:hint="eastAsia" w:ascii="仿宋" w:hAnsi="仿宋" w:eastAsia="仿宋" w:cs="仿宋"/>
                <w:color w:val="auto"/>
                <w:sz w:val="21"/>
                <w:szCs w:val="21"/>
                <w:highlight w:val="none"/>
              </w:rPr>
              <w:t>至今</w:t>
            </w:r>
            <w:r>
              <w:rPr>
                <w:rFonts w:hint="eastAsia" w:ascii="仿宋" w:hAnsi="仿宋" w:eastAsia="仿宋" w:cs="仿宋"/>
                <w:color w:val="auto"/>
                <w:sz w:val="21"/>
                <w:szCs w:val="21"/>
                <w:highlight w:val="none"/>
                <w:lang w:val="en-US" w:eastAsia="zh-CN"/>
              </w:rPr>
              <w:t>（时间以合同签订时间为准）承接过</w:t>
            </w:r>
            <w:r>
              <w:rPr>
                <w:rFonts w:hint="eastAsia" w:ascii="仿宋" w:hAnsi="仿宋" w:eastAsia="仿宋" w:cs="仿宋"/>
                <w:color w:val="auto"/>
                <w:sz w:val="21"/>
                <w:szCs w:val="21"/>
                <w:highlight w:val="none"/>
              </w:rPr>
              <w:t>同类</w:t>
            </w:r>
            <w:r>
              <w:rPr>
                <w:rFonts w:hint="eastAsia" w:ascii="仿宋" w:hAnsi="仿宋" w:eastAsia="仿宋" w:cs="仿宋"/>
                <w:color w:val="auto"/>
                <w:sz w:val="21"/>
                <w:szCs w:val="21"/>
                <w:highlight w:val="none"/>
                <w:lang w:eastAsia="zh-CN"/>
              </w:rPr>
              <w:t>供货</w:t>
            </w:r>
            <w:r>
              <w:rPr>
                <w:rFonts w:hint="eastAsia" w:ascii="仿宋" w:hAnsi="仿宋" w:eastAsia="仿宋" w:cs="仿宋"/>
                <w:color w:val="auto"/>
                <w:sz w:val="21"/>
                <w:szCs w:val="21"/>
                <w:highlight w:val="none"/>
              </w:rPr>
              <w:t>成功案例</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每有1份得1分，最高得</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分。同一客户不重复计分</w:t>
            </w:r>
            <w:r>
              <w:rPr>
                <w:rFonts w:hint="eastAsia" w:ascii="仿宋" w:hAnsi="仿宋" w:eastAsia="仿宋" w:cs="仿宋"/>
                <w:color w:val="auto"/>
                <w:sz w:val="21"/>
                <w:szCs w:val="21"/>
                <w:highlight w:val="none"/>
                <w:lang w:eastAsia="zh-CN"/>
              </w:rPr>
              <w:t>。</w:t>
            </w:r>
          </w:p>
          <w:p w14:paraId="23B61F04">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需提供合同复印件及发票复印件加盖投标人公章，未提供不得分</w:t>
            </w:r>
            <w:r>
              <w:rPr>
                <w:rFonts w:hint="eastAsia" w:ascii="仿宋" w:hAnsi="仿宋" w:eastAsia="仿宋" w:cs="仿宋"/>
                <w:color w:val="auto"/>
                <w:sz w:val="21"/>
                <w:szCs w:val="21"/>
                <w:highlight w:val="none"/>
              </w:rPr>
              <w:t>。</w:t>
            </w:r>
          </w:p>
        </w:tc>
        <w:tc>
          <w:tcPr>
            <w:tcW w:w="767" w:type="dxa"/>
            <w:noWrap w:val="0"/>
            <w:vAlign w:val="center"/>
          </w:tcPr>
          <w:p w14:paraId="58CECC7D">
            <w:pPr>
              <w:spacing w:line="360" w:lineRule="auto"/>
              <w:ind w:left="-115" w:leftChars="-55" w:right="-115" w:rightChars="-55"/>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4</w:t>
            </w:r>
          </w:p>
        </w:tc>
      </w:tr>
      <w:tr w14:paraId="7335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90" w:type="dxa"/>
            <w:noWrap w:val="0"/>
            <w:vAlign w:val="center"/>
          </w:tcPr>
          <w:p w14:paraId="717F543B">
            <w:pPr>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w:t>
            </w:r>
          </w:p>
        </w:tc>
        <w:tc>
          <w:tcPr>
            <w:tcW w:w="1575" w:type="dxa"/>
            <w:noWrap w:val="0"/>
            <w:vAlign w:val="center"/>
          </w:tcPr>
          <w:p w14:paraId="18A5C3B2">
            <w:pPr>
              <w:spacing w:line="36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服务方案</w:t>
            </w:r>
          </w:p>
        </w:tc>
        <w:tc>
          <w:tcPr>
            <w:tcW w:w="6298" w:type="dxa"/>
            <w:noWrap w:val="0"/>
            <w:vAlign w:val="center"/>
          </w:tcPr>
          <w:p w14:paraId="56C751D2">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根据售后服务承诺、系统应急处理方案、出票失败或影院无法兑换处理机制、客服响应时限、退换及补偿措施等综合评价：</w:t>
            </w:r>
            <w:r>
              <w:rPr>
                <w:rFonts w:hint="eastAsia" w:ascii="仿宋" w:hAnsi="仿宋" w:eastAsia="仿宋" w:cs="仿宋"/>
                <w:color w:val="auto"/>
                <w:szCs w:val="21"/>
                <w:highlight w:val="none"/>
                <w:lang w:val="en-US" w:eastAsia="zh-CN"/>
              </w:rPr>
              <w:t>0-6分。</w:t>
            </w:r>
            <w:r>
              <w:rPr>
                <w:rFonts w:hint="eastAsia" w:ascii="仿宋" w:hAnsi="仿宋" w:eastAsia="仿宋" w:cs="仿宋"/>
                <w:color w:val="auto"/>
                <w:szCs w:val="21"/>
                <w:highlight w:val="none"/>
              </w:rPr>
              <w:t xml:space="preserve">  </w:t>
            </w:r>
          </w:p>
        </w:tc>
        <w:tc>
          <w:tcPr>
            <w:tcW w:w="767" w:type="dxa"/>
            <w:noWrap w:val="0"/>
            <w:vAlign w:val="center"/>
          </w:tcPr>
          <w:p w14:paraId="2E327489">
            <w:pPr>
              <w:spacing w:line="360" w:lineRule="auto"/>
              <w:ind w:left="-115" w:leftChars="-55" w:right="-115" w:rightChars="-55"/>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6</w:t>
            </w:r>
          </w:p>
        </w:tc>
      </w:tr>
    </w:tbl>
    <w:p w14:paraId="3B661F24">
      <w:pP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注：对省级以上主管部门认定的首台套产品，自纳入《省推广应用指导目录》起三年内参加政府采购活动，视同已具备相应销售业绩，业绩分为满分。</w:t>
      </w:r>
    </w:p>
    <w:p w14:paraId="3A010B0A">
      <w:pP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4</w:t>
      </w:r>
      <w:r>
        <w:rPr>
          <w:rFonts w:hint="eastAsia" w:ascii="仿宋" w:hAnsi="仿宋" w:eastAsia="仿宋" w:cs="仿宋"/>
          <w:b/>
          <w:bCs/>
          <w:iCs/>
          <w:color w:val="auto"/>
          <w:sz w:val="24"/>
          <w:highlight w:val="none"/>
        </w:rPr>
        <w:t>0分</w:t>
      </w:r>
      <w:r>
        <w:rPr>
          <w:rFonts w:hint="eastAsia" w:ascii="仿宋" w:hAnsi="仿宋" w:eastAsia="仿宋" w:cs="仿宋"/>
          <w:b/>
          <w:bCs/>
          <w:iCs/>
          <w:color w:val="auto"/>
          <w:sz w:val="24"/>
          <w:highlight w:val="none"/>
          <w:lang w:val="en-US" w:eastAsia="zh-CN"/>
        </w:rPr>
        <w:t>）</w:t>
      </w:r>
    </w:p>
    <w:bookmarkEnd w:id="7"/>
    <w:bookmarkEnd w:id="8"/>
    <w:bookmarkEnd w:id="9"/>
    <w:bookmarkEnd w:id="10"/>
    <w:tbl>
      <w:tblPr>
        <w:tblStyle w:val="44"/>
        <w:tblW w:w="9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6438"/>
        <w:gridCol w:w="715"/>
      </w:tblGrid>
      <w:tr w14:paraId="3C59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0" w:type="auto"/>
            <w:noWrap w:val="0"/>
            <w:vAlign w:val="center"/>
          </w:tcPr>
          <w:p w14:paraId="71058443">
            <w:pPr>
              <w:spacing w:line="240" w:lineRule="auto"/>
              <w:ind w:left="0" w:leftChars="0" w:right="0" w:rightChars="0" w:firstLine="0" w:firstLineChars="0"/>
              <w:jc w:val="center"/>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评分内容</w:t>
            </w:r>
          </w:p>
        </w:tc>
        <w:tc>
          <w:tcPr>
            <w:tcW w:w="0" w:type="auto"/>
            <w:noWrap w:val="0"/>
            <w:vAlign w:val="center"/>
          </w:tcPr>
          <w:p w14:paraId="28BEE6AC">
            <w:pPr>
              <w:spacing w:line="240" w:lineRule="auto"/>
              <w:ind w:left="0" w:leftChars="0" w:right="0" w:rightChars="0" w:firstLine="0" w:firstLineChars="0"/>
              <w:jc w:val="center"/>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评分说明</w:t>
            </w:r>
          </w:p>
        </w:tc>
        <w:tc>
          <w:tcPr>
            <w:tcW w:w="715" w:type="dxa"/>
            <w:noWrap w:val="0"/>
            <w:vAlign w:val="center"/>
          </w:tcPr>
          <w:p w14:paraId="730D0564">
            <w:pPr>
              <w:spacing w:line="240" w:lineRule="auto"/>
              <w:ind w:left="0" w:leftChars="0" w:right="0" w:rightChars="0" w:firstLine="0" w:firstLineChars="0"/>
              <w:jc w:val="center"/>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分值</w:t>
            </w:r>
          </w:p>
        </w:tc>
      </w:tr>
      <w:tr w14:paraId="2652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noWrap w:val="0"/>
            <w:vAlign w:val="center"/>
          </w:tcPr>
          <w:p w14:paraId="2011A849">
            <w:pPr>
              <w:widowControl/>
              <w:spacing w:line="240" w:lineRule="auto"/>
              <w:ind w:left="0" w:leftChars="0" w:right="0" w:rightChars="0" w:firstLine="0" w:firstLine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充值卡</w:t>
            </w:r>
          </w:p>
        </w:tc>
        <w:tc>
          <w:tcPr>
            <w:tcW w:w="0" w:type="auto"/>
            <w:noWrap w:val="0"/>
            <w:vAlign w:val="center"/>
          </w:tcPr>
          <w:p w14:paraId="24559395">
            <w:pPr>
              <w:widowControl/>
              <w:spacing w:line="240" w:lineRule="auto"/>
              <w:ind w:left="0" w:leftChars="0" w:right="0" w:rightChars="0"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根据</w:t>
            </w:r>
            <w:r>
              <w:rPr>
                <w:rFonts w:hint="eastAsia" w:ascii="仿宋" w:hAnsi="仿宋" w:eastAsia="仿宋" w:cs="仿宋"/>
                <w:color w:val="auto"/>
                <w:szCs w:val="21"/>
                <w:highlight w:val="none"/>
              </w:rPr>
              <w:t>每人份最高充值金额进行评分。</w:t>
            </w:r>
          </w:p>
        </w:tc>
        <w:tc>
          <w:tcPr>
            <w:tcW w:w="715" w:type="dxa"/>
            <w:noWrap w:val="0"/>
            <w:vAlign w:val="center"/>
          </w:tcPr>
          <w:p w14:paraId="4A72FAD6">
            <w:pPr>
              <w:widowControl/>
              <w:spacing w:line="240" w:lineRule="auto"/>
              <w:ind w:left="0" w:leftChars="0" w:right="0" w:rightChars="0" w:firstLine="0" w:firstLineChars="0"/>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20</w:t>
            </w:r>
          </w:p>
        </w:tc>
      </w:tr>
      <w:tr w14:paraId="123E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noWrap w:val="0"/>
            <w:vAlign w:val="center"/>
          </w:tcPr>
          <w:p w14:paraId="7EA1C68F">
            <w:pPr>
              <w:widowControl/>
              <w:spacing w:line="240" w:lineRule="auto"/>
              <w:ind w:left="0" w:leftChars="0" w:right="0" w:rightChars="0" w:firstLine="0" w:firstLine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电影票</w:t>
            </w:r>
          </w:p>
        </w:tc>
        <w:tc>
          <w:tcPr>
            <w:tcW w:w="0" w:type="auto"/>
            <w:noWrap w:val="0"/>
            <w:vAlign w:val="center"/>
          </w:tcPr>
          <w:p w14:paraId="478000AC">
            <w:pPr>
              <w:widowControl/>
              <w:spacing w:line="240" w:lineRule="auto"/>
              <w:ind w:left="0" w:leftChars="0" w:right="0" w:rightChars="0"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根据投标人应标情况综合评价，由专家酌情打分。</w:t>
            </w:r>
            <w:r>
              <w:rPr>
                <w:rFonts w:hint="eastAsia" w:ascii="仿宋" w:hAnsi="仿宋" w:eastAsia="仿宋" w:cs="仿宋"/>
                <w:color w:val="auto"/>
                <w:szCs w:val="21"/>
                <w:highlight w:val="none"/>
                <w:lang w:val="en-US" w:eastAsia="zh-CN"/>
              </w:rPr>
              <w:t>0-15</w:t>
            </w:r>
            <w:r>
              <w:rPr>
                <w:rFonts w:hint="eastAsia" w:ascii="仿宋" w:hAnsi="仿宋" w:eastAsia="仿宋" w:cs="仿宋"/>
                <w:color w:val="auto"/>
                <w:szCs w:val="21"/>
                <w:highlight w:val="none"/>
              </w:rPr>
              <w:t>分。</w:t>
            </w:r>
          </w:p>
        </w:tc>
        <w:tc>
          <w:tcPr>
            <w:tcW w:w="715" w:type="dxa"/>
            <w:noWrap w:val="0"/>
            <w:vAlign w:val="center"/>
          </w:tcPr>
          <w:p w14:paraId="3AA7C218">
            <w:pPr>
              <w:widowControl/>
              <w:spacing w:line="240" w:lineRule="auto"/>
              <w:ind w:left="0" w:leftChars="0" w:right="0" w:rightChars="0" w:firstLine="0" w:firstLine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5</w:t>
            </w:r>
          </w:p>
        </w:tc>
      </w:tr>
      <w:tr w14:paraId="3967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129" w:type="dxa"/>
            <w:noWrap w:val="0"/>
            <w:vAlign w:val="center"/>
          </w:tcPr>
          <w:p w14:paraId="79D144D3">
            <w:pPr>
              <w:widowControl/>
              <w:spacing w:line="240" w:lineRule="auto"/>
              <w:ind w:left="0" w:leftChars="0" w:right="0" w:rightChars="0" w:firstLine="0" w:firstLine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投标影院近期价格</w:t>
            </w:r>
          </w:p>
        </w:tc>
        <w:tc>
          <w:tcPr>
            <w:tcW w:w="6438" w:type="dxa"/>
            <w:noWrap w:val="0"/>
            <w:vAlign w:val="center"/>
          </w:tcPr>
          <w:p w14:paraId="53CBFD00">
            <w:pPr>
              <w:widowControl/>
              <w:spacing w:line="240" w:lineRule="auto"/>
              <w:ind w:left="0" w:leftChars="0" w:right="0" w:rightChars="0"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根据投标人应标情况综合评价，由专家酌情打分。</w:t>
            </w:r>
            <w:r>
              <w:rPr>
                <w:rFonts w:hint="eastAsia" w:ascii="仿宋" w:hAnsi="仿宋" w:eastAsia="仿宋" w:cs="仿宋"/>
                <w:color w:val="auto"/>
                <w:szCs w:val="21"/>
                <w:highlight w:val="none"/>
                <w:lang w:val="en-US" w:eastAsia="zh-CN"/>
              </w:rPr>
              <w:t>0-5</w:t>
            </w:r>
            <w:r>
              <w:rPr>
                <w:rFonts w:hint="eastAsia" w:ascii="仿宋" w:hAnsi="仿宋" w:eastAsia="仿宋" w:cs="仿宋"/>
                <w:color w:val="auto"/>
                <w:szCs w:val="21"/>
                <w:highlight w:val="none"/>
              </w:rPr>
              <w:t>分。</w:t>
            </w:r>
          </w:p>
        </w:tc>
        <w:tc>
          <w:tcPr>
            <w:tcW w:w="715" w:type="dxa"/>
            <w:noWrap w:val="0"/>
            <w:vAlign w:val="center"/>
          </w:tcPr>
          <w:p w14:paraId="2D61EF75">
            <w:pPr>
              <w:widowControl/>
              <w:spacing w:line="240" w:lineRule="auto"/>
              <w:ind w:left="0" w:leftChars="0" w:right="0" w:rightChars="0" w:firstLine="0" w:firstLineChars="0"/>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w:t>
            </w:r>
          </w:p>
        </w:tc>
      </w:tr>
    </w:tbl>
    <w:p w14:paraId="03C44BB4">
      <w:pPr>
        <w:spacing w:line="440" w:lineRule="exact"/>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2.2.1、</w:t>
      </w:r>
      <w:r>
        <w:rPr>
          <w:rFonts w:hint="eastAsia" w:ascii="仿宋" w:hAnsi="仿宋" w:eastAsia="仿宋" w:cs="仿宋"/>
          <w:b/>
          <w:bCs w:val="0"/>
          <w:iCs/>
          <w:color w:val="auto"/>
          <w:sz w:val="24"/>
          <w:highlight w:val="none"/>
          <w:lang w:val="en-US" w:eastAsia="zh-CN"/>
        </w:rPr>
        <w:t>充值卡（20分）</w:t>
      </w:r>
      <w:r>
        <w:rPr>
          <w:rFonts w:hint="eastAsia" w:ascii="仿宋" w:hAnsi="仿宋" w:eastAsia="仿宋" w:cs="仿宋"/>
          <w:bCs/>
          <w:iCs/>
          <w:color w:val="auto"/>
          <w:sz w:val="24"/>
          <w:highlight w:val="none"/>
          <w:lang w:val="en-US" w:eastAsia="zh-CN"/>
        </w:rPr>
        <w:t>评标基准价：即满足招标文件要求且</w:t>
      </w:r>
      <w:r>
        <w:rPr>
          <w:rFonts w:hint="eastAsia" w:ascii="仿宋" w:hAnsi="仿宋" w:eastAsia="仿宋" w:cs="仿宋"/>
          <w:b/>
          <w:bCs w:val="0"/>
          <w:iCs/>
          <w:color w:val="auto"/>
          <w:sz w:val="24"/>
          <w:highlight w:val="none"/>
          <w:lang w:val="en-US" w:eastAsia="zh-CN"/>
        </w:rPr>
        <w:t>投标价格（每人份最高充值金额）最高为评标基准价</w:t>
      </w:r>
      <w:r>
        <w:rPr>
          <w:rFonts w:hint="eastAsia" w:ascii="仿宋" w:hAnsi="仿宋" w:eastAsia="仿宋" w:cs="仿宋"/>
          <w:bCs/>
          <w:iCs/>
          <w:color w:val="auto"/>
          <w:sz w:val="24"/>
          <w:highlight w:val="none"/>
          <w:lang w:val="en-US" w:eastAsia="zh-CN"/>
        </w:rPr>
        <w:t>，其价格分为满分，其价格分为满分。</w:t>
      </w:r>
    </w:p>
    <w:p w14:paraId="64738A35">
      <w:pPr>
        <w:spacing w:line="440" w:lineRule="exact"/>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2.2.2、其他投标人的价格分统一按照下列公式计算：</w:t>
      </w:r>
    </w:p>
    <w:p w14:paraId="4223C467">
      <w:pPr>
        <w:spacing w:line="440" w:lineRule="exact"/>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即：投标报价得分=(投标报价／评标基准价)×相应分值</w:t>
      </w:r>
    </w:p>
    <w:p w14:paraId="0E59598A">
      <w:pPr>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 xml:space="preserve">投标报价得分=(投标报价／评标基准价)×20 </w:t>
      </w:r>
    </w:p>
    <w:p w14:paraId="58211620">
      <w:pPr>
        <w:spacing w:line="440" w:lineRule="exact"/>
        <w:jc w:val="left"/>
        <w:rPr>
          <w:rFonts w:hint="eastAsia" w:ascii="仿宋" w:hAnsi="仿宋" w:eastAsia="仿宋" w:cs="仿宋"/>
          <w:bCs/>
          <w:iCs/>
          <w:color w:val="auto"/>
          <w:sz w:val="24"/>
          <w:szCs w:val="24"/>
          <w:highlight w:val="none"/>
        </w:rPr>
      </w:pPr>
      <w:r>
        <w:rPr>
          <w:rFonts w:hint="eastAsia" w:ascii="仿宋" w:hAnsi="仿宋" w:eastAsia="仿宋" w:cs="仿宋"/>
          <w:b/>
          <w:bCs w:val="0"/>
          <w:iCs/>
          <w:color w:val="auto"/>
          <w:sz w:val="24"/>
          <w:szCs w:val="24"/>
          <w:highlight w:val="none"/>
        </w:rPr>
        <w:t>2.2.</w:t>
      </w:r>
      <w:r>
        <w:rPr>
          <w:rFonts w:hint="eastAsia" w:ascii="仿宋" w:hAnsi="仿宋" w:eastAsia="仿宋" w:cs="仿宋"/>
          <w:b/>
          <w:bCs w:val="0"/>
          <w:iCs/>
          <w:color w:val="auto"/>
          <w:sz w:val="24"/>
          <w:szCs w:val="24"/>
          <w:highlight w:val="none"/>
          <w:lang w:val="en-US" w:eastAsia="zh-CN"/>
        </w:rPr>
        <w:t>3、电影票</w:t>
      </w:r>
      <w:r>
        <w:rPr>
          <w:rFonts w:hint="eastAsia" w:ascii="仿宋" w:hAnsi="仿宋" w:eastAsia="仿宋" w:cs="仿宋"/>
          <w:b/>
          <w:bCs w:val="0"/>
          <w:iCs/>
          <w:color w:val="auto"/>
          <w:sz w:val="24"/>
          <w:szCs w:val="24"/>
          <w:highlight w:val="none"/>
        </w:rPr>
        <w:t>（</w:t>
      </w:r>
      <w:r>
        <w:rPr>
          <w:rFonts w:hint="eastAsia" w:ascii="仿宋" w:hAnsi="仿宋" w:eastAsia="仿宋" w:cs="仿宋"/>
          <w:b/>
          <w:bCs w:val="0"/>
          <w:iCs/>
          <w:color w:val="auto"/>
          <w:sz w:val="24"/>
          <w:szCs w:val="24"/>
          <w:highlight w:val="none"/>
          <w:lang w:val="en-US" w:eastAsia="zh-CN"/>
        </w:rPr>
        <w:t>15</w:t>
      </w:r>
      <w:r>
        <w:rPr>
          <w:rFonts w:hint="eastAsia" w:ascii="仿宋" w:hAnsi="仿宋" w:eastAsia="仿宋" w:cs="仿宋"/>
          <w:b/>
          <w:bCs w:val="0"/>
          <w:iCs/>
          <w:color w:val="auto"/>
          <w:sz w:val="24"/>
          <w:szCs w:val="24"/>
          <w:highlight w:val="none"/>
        </w:rPr>
        <w:t>分）。</w:t>
      </w:r>
      <w:r>
        <w:rPr>
          <w:rFonts w:hint="eastAsia" w:ascii="仿宋" w:hAnsi="仿宋" w:eastAsia="仿宋" w:cs="仿宋"/>
          <w:bCs/>
          <w:iCs/>
          <w:color w:val="auto"/>
          <w:sz w:val="24"/>
          <w:szCs w:val="24"/>
          <w:highlight w:val="none"/>
        </w:rPr>
        <w:t>根据投标人应标情况综合评价，由专家酌情打分。</w:t>
      </w:r>
    </w:p>
    <w:p w14:paraId="7269B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eastAsia" w:ascii="仿宋" w:hAnsi="仿宋" w:eastAsia="仿宋" w:cs="仿宋"/>
          <w:b/>
          <w:color w:val="auto"/>
          <w:sz w:val="36"/>
          <w:szCs w:val="20"/>
          <w:highlight w:val="none"/>
        </w:rPr>
      </w:pPr>
      <w:r>
        <w:rPr>
          <w:rFonts w:hint="eastAsia" w:ascii="仿宋" w:hAnsi="仿宋" w:eastAsia="仿宋" w:cs="仿宋"/>
          <w:b/>
          <w:bCs w:val="0"/>
          <w:iCs/>
          <w:color w:val="auto"/>
          <w:sz w:val="24"/>
          <w:szCs w:val="24"/>
          <w:highlight w:val="none"/>
        </w:rPr>
        <w:t>2.2.</w:t>
      </w:r>
      <w:r>
        <w:rPr>
          <w:rFonts w:hint="eastAsia" w:ascii="仿宋" w:hAnsi="仿宋" w:eastAsia="仿宋" w:cs="仿宋"/>
          <w:b/>
          <w:bCs w:val="0"/>
          <w:iCs/>
          <w:color w:val="auto"/>
          <w:sz w:val="24"/>
          <w:szCs w:val="24"/>
          <w:highlight w:val="none"/>
          <w:lang w:val="en-US" w:eastAsia="zh-CN"/>
        </w:rPr>
        <w:t>4、投标影院近期价格</w:t>
      </w:r>
      <w:r>
        <w:rPr>
          <w:rFonts w:hint="eastAsia" w:ascii="仿宋" w:hAnsi="仿宋" w:eastAsia="仿宋" w:cs="仿宋"/>
          <w:b/>
          <w:bCs w:val="0"/>
          <w:iCs/>
          <w:color w:val="auto"/>
          <w:sz w:val="24"/>
          <w:szCs w:val="24"/>
          <w:highlight w:val="none"/>
        </w:rPr>
        <w:t>（5分）。</w:t>
      </w:r>
      <w:r>
        <w:rPr>
          <w:rFonts w:hint="eastAsia" w:ascii="仿宋" w:hAnsi="仿宋" w:eastAsia="仿宋" w:cs="仿宋"/>
          <w:bCs/>
          <w:iCs/>
          <w:color w:val="auto"/>
          <w:sz w:val="24"/>
          <w:szCs w:val="24"/>
          <w:highlight w:val="none"/>
        </w:rPr>
        <w:t>根据各投标人应标情况综合评价，由专家酌情打分。</w:t>
      </w:r>
    </w:p>
    <w:p w14:paraId="29C77FE3">
      <w:pPr>
        <w:pageBreakBefore/>
        <w:snapToGrid w:val="0"/>
        <w:spacing w:line="360" w:lineRule="auto"/>
        <w:jc w:val="center"/>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r>
        <w:rPr>
          <w:rFonts w:hint="eastAsia" w:ascii="仿宋" w:hAnsi="仿宋" w:eastAsia="仿宋" w:cs="仿宋"/>
          <w:b/>
          <w:color w:val="auto"/>
          <w:sz w:val="36"/>
          <w:szCs w:val="36"/>
          <w:highlight w:val="none"/>
        </w:rPr>
        <w:t>投标文件</w:t>
      </w:r>
      <w:r>
        <w:rPr>
          <w:rFonts w:hint="eastAsia" w:ascii="仿宋" w:hAnsi="仿宋" w:eastAsia="仿宋" w:cs="仿宋"/>
          <w:b/>
          <w:color w:val="auto"/>
          <w:sz w:val="36"/>
          <w:szCs w:val="20"/>
          <w:highlight w:val="none"/>
        </w:rPr>
        <w:t>应提交的有关格式范例</w:t>
      </w:r>
    </w:p>
    <w:p w14:paraId="26A23B98">
      <w:pPr>
        <w:spacing w:line="360" w:lineRule="auto"/>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投标人按照以下格式编制投标文件，并将报价文件、商务技术（资信）文件分别编制成册。</w:t>
      </w:r>
    </w:p>
    <w:p w14:paraId="7A4D58CC">
      <w:pPr>
        <w:spacing w:line="360" w:lineRule="auto"/>
        <w:ind w:firstLine="480" w:firstLineChars="200"/>
        <w:outlineLvl w:val="0"/>
        <w:rPr>
          <w:rFonts w:hint="eastAsia" w:ascii="仿宋" w:hAnsi="仿宋" w:eastAsia="仿宋" w:cs="仿宋"/>
          <w:color w:val="auto"/>
          <w:sz w:val="24"/>
          <w:highlight w:val="none"/>
        </w:rPr>
      </w:pPr>
    </w:p>
    <w:p w14:paraId="5C71985E">
      <w:pPr>
        <w:spacing w:line="360" w:lineRule="auto"/>
        <w:ind w:firstLine="480" w:firstLineChars="200"/>
        <w:outlineLvl w:val="0"/>
        <w:rPr>
          <w:rFonts w:hint="eastAsia" w:ascii="仿宋" w:hAnsi="仿宋" w:eastAsia="仿宋" w:cs="仿宋"/>
          <w:color w:val="auto"/>
          <w:sz w:val="24"/>
          <w:highlight w:val="none"/>
        </w:rPr>
      </w:pPr>
    </w:p>
    <w:p w14:paraId="08DE80C1">
      <w:pPr>
        <w:spacing w:line="360" w:lineRule="auto"/>
        <w:ind w:firstLine="480" w:firstLineChars="200"/>
        <w:outlineLvl w:val="0"/>
        <w:rPr>
          <w:rFonts w:hint="eastAsia" w:ascii="仿宋" w:hAnsi="仿宋" w:eastAsia="仿宋" w:cs="仿宋"/>
          <w:color w:val="auto"/>
          <w:sz w:val="24"/>
          <w:highlight w:val="none"/>
        </w:rPr>
      </w:pPr>
    </w:p>
    <w:p w14:paraId="24FF0021">
      <w:pPr>
        <w:spacing w:line="360" w:lineRule="auto"/>
        <w:ind w:firstLine="480" w:firstLineChars="200"/>
        <w:outlineLvl w:val="0"/>
        <w:rPr>
          <w:rFonts w:hint="eastAsia" w:ascii="仿宋" w:hAnsi="仿宋" w:eastAsia="仿宋" w:cs="仿宋"/>
          <w:color w:val="auto"/>
          <w:sz w:val="24"/>
          <w:highlight w:val="none"/>
        </w:rPr>
      </w:pPr>
    </w:p>
    <w:p w14:paraId="4CFE5A89">
      <w:pPr>
        <w:spacing w:line="360" w:lineRule="auto"/>
        <w:ind w:firstLine="480" w:firstLineChars="200"/>
        <w:outlineLvl w:val="0"/>
        <w:rPr>
          <w:rFonts w:hint="eastAsia" w:ascii="仿宋" w:hAnsi="仿宋" w:eastAsia="仿宋" w:cs="仿宋"/>
          <w:color w:val="auto"/>
          <w:sz w:val="24"/>
          <w:highlight w:val="none"/>
        </w:rPr>
      </w:pPr>
    </w:p>
    <w:p w14:paraId="0362BD5A">
      <w:pPr>
        <w:snapToGrid w:val="0"/>
        <w:spacing w:line="360" w:lineRule="auto"/>
        <w:jc w:val="cente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15EB2C85">
      <w:pPr>
        <w:spacing w:line="360" w:lineRule="auto"/>
        <w:jc w:val="center"/>
        <w:outlineLvl w:val="0"/>
        <w:rPr>
          <w:rFonts w:hint="eastAsia" w:ascii="仿宋" w:hAnsi="仿宋" w:eastAsia="仿宋" w:cs="仿宋"/>
          <w:b/>
          <w:color w:val="auto"/>
          <w:kern w:val="0"/>
          <w:sz w:val="24"/>
          <w:highlight w:val="none"/>
        </w:rPr>
      </w:pPr>
    </w:p>
    <w:p w14:paraId="06BA3AD0">
      <w:pP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A7BC9C8">
      <w:pPr>
        <w:spacing w:line="360" w:lineRule="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（1）投标响应函……………………………………………………（页码）</w:t>
      </w:r>
    </w:p>
    <w:p w14:paraId="3E1183FE">
      <w:pPr>
        <w:spacing w:line="360" w:lineRule="auto"/>
        <w:outlineLvl w:val="0"/>
        <w:rPr>
          <w:rFonts w:hint="eastAsia" w:ascii="仿宋" w:hAnsi="仿宋" w:eastAsia="仿宋" w:cs="仿宋"/>
          <w:b/>
          <w:color w:val="auto"/>
          <w:sz w:val="36"/>
          <w:szCs w:val="36"/>
          <w:highlight w:val="none"/>
        </w:rPr>
      </w:pPr>
      <w:r>
        <w:rPr>
          <w:rFonts w:hint="eastAsia" w:ascii="仿宋" w:hAnsi="仿宋" w:eastAsia="仿宋" w:cs="仿宋"/>
          <w:color w:val="auto"/>
          <w:kern w:val="0"/>
          <w:sz w:val="24"/>
          <w:highlight w:val="none"/>
        </w:rPr>
        <w:t>（2）开标一览表……………………………………………………（页码）</w:t>
      </w:r>
    </w:p>
    <w:p w14:paraId="3A47C4FB">
      <w:pPr>
        <w:pStyle w:val="7"/>
        <w:spacing w:line="800" w:lineRule="atLeast"/>
        <w:ind w:left="0" w:leftChars="0"/>
        <w:rPr>
          <w:rFonts w:hint="eastAsia" w:ascii="仿宋" w:hAnsi="仿宋" w:eastAsia="仿宋" w:cs="仿宋"/>
          <w:b/>
          <w:color w:val="auto"/>
          <w:sz w:val="36"/>
          <w:szCs w:val="36"/>
          <w:highlight w:val="none"/>
        </w:rPr>
      </w:pPr>
    </w:p>
    <w:p w14:paraId="47A8AF52">
      <w:pPr>
        <w:pStyle w:val="7"/>
        <w:spacing w:line="800" w:lineRule="atLeast"/>
        <w:ind w:left="0" w:leftChars="0"/>
        <w:rPr>
          <w:rFonts w:hint="eastAsia" w:ascii="仿宋" w:hAnsi="仿宋" w:eastAsia="仿宋" w:cs="仿宋"/>
          <w:b/>
          <w:color w:val="auto"/>
          <w:sz w:val="36"/>
          <w:szCs w:val="36"/>
          <w:highlight w:val="none"/>
        </w:rPr>
      </w:pPr>
    </w:p>
    <w:p w14:paraId="5FCA66BD">
      <w:pPr>
        <w:pStyle w:val="7"/>
        <w:spacing w:line="800" w:lineRule="atLeast"/>
        <w:ind w:left="0" w:leftChars="0"/>
        <w:rPr>
          <w:rFonts w:hint="eastAsia" w:ascii="仿宋" w:hAnsi="仿宋" w:eastAsia="仿宋" w:cs="仿宋"/>
          <w:b/>
          <w:color w:val="auto"/>
          <w:sz w:val="36"/>
          <w:szCs w:val="36"/>
          <w:highlight w:val="none"/>
        </w:rPr>
      </w:pPr>
    </w:p>
    <w:p w14:paraId="28312CC1">
      <w:pPr>
        <w:rPr>
          <w:rFonts w:hint="eastAsia" w:ascii="仿宋" w:hAnsi="仿宋" w:eastAsia="仿宋" w:cs="仿宋"/>
          <w:b/>
          <w:color w:val="auto"/>
          <w:sz w:val="30"/>
          <w:szCs w:val="30"/>
          <w:highlight w:val="none"/>
        </w:rPr>
      </w:pPr>
    </w:p>
    <w:p w14:paraId="02559E90">
      <w:pPr>
        <w:rPr>
          <w:rFonts w:hint="eastAsia" w:ascii="仿宋" w:hAnsi="仿宋" w:eastAsia="仿宋" w:cs="仿宋"/>
          <w:b/>
          <w:color w:val="auto"/>
          <w:sz w:val="30"/>
          <w:szCs w:val="30"/>
          <w:highlight w:val="none"/>
        </w:rPr>
      </w:pPr>
    </w:p>
    <w:p w14:paraId="700D9FD3">
      <w:pPr>
        <w:pageBreakBefore/>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1、投标响应函（格式）</w:t>
      </w:r>
    </w:p>
    <w:p w14:paraId="7D858195">
      <w:pPr>
        <w:pStyle w:val="71"/>
        <w:spacing w:afterLines="0" w:line="440" w:lineRule="exact"/>
        <w:ind w:firstLine="0" w:firstLineChars="0"/>
        <w:rPr>
          <w:rFonts w:hint="eastAsia" w:ascii="仿宋" w:hAnsi="仿宋" w:eastAsia="仿宋" w:cs="仿宋"/>
          <w:color w:val="auto"/>
          <w:szCs w:val="24"/>
          <w:highlight w:val="none"/>
        </w:rPr>
      </w:pPr>
    </w:p>
    <w:p w14:paraId="1C5A253F">
      <w:pPr>
        <w:pStyle w:val="71"/>
        <w:spacing w:afterLines="0" w:line="440" w:lineRule="exact"/>
        <w:ind w:firstLine="0" w:firstLineChars="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致：</w:t>
      </w:r>
      <w:r>
        <w:rPr>
          <w:rFonts w:hint="eastAsia" w:ascii="仿宋" w:hAnsi="仿宋" w:eastAsia="仿宋" w:cs="仿宋"/>
          <w:color w:val="auto"/>
          <w:szCs w:val="24"/>
          <w:highlight w:val="none"/>
          <w:u w:val="single"/>
          <w:lang w:eastAsia="zh-CN"/>
        </w:rPr>
        <w:t>绍兴市中医院</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u w:val="single"/>
          <w:lang w:eastAsia="zh-CN"/>
        </w:rPr>
        <w:t>浙江华夏工程管理有限公司</w:t>
      </w:r>
    </w:p>
    <w:p w14:paraId="2CF49085">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    、单位    、职务   ）</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57B9AD0E">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327FB949">
      <w:pPr>
        <w:pStyle w:val="15"/>
        <w:tabs>
          <w:tab w:val="clear" w:pos="1697"/>
        </w:tabs>
        <w:spacing w:afterLines="0" w:line="440" w:lineRule="exact"/>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1.</w:t>
      </w:r>
      <w:r>
        <w:rPr>
          <w:rFonts w:hint="eastAsia" w:ascii="仿宋" w:hAnsi="仿宋" w:eastAsia="仿宋" w:cs="仿宋"/>
          <w:color w:val="auto"/>
          <w:highlight w:val="none"/>
        </w:rPr>
        <w:t>我方同意在投标人</w:t>
      </w:r>
      <w:r>
        <w:rPr>
          <w:rFonts w:hint="eastAsia" w:ascii="仿宋" w:hAnsi="仿宋" w:eastAsia="仿宋" w:cs="仿宋"/>
          <w:color w:val="auto"/>
          <w:kern w:val="44"/>
          <w:highlight w:val="none"/>
        </w:rPr>
        <w:t>须知</w:t>
      </w:r>
      <w:r>
        <w:rPr>
          <w:rFonts w:hint="eastAsia" w:ascii="仿宋" w:hAnsi="仿宋" w:eastAsia="仿宋" w:cs="仿宋"/>
          <w:color w:val="auto"/>
          <w:highlight w:val="none"/>
        </w:rPr>
        <w:t>规定的开标日期起遵守本投标文件中的承诺且在投标有效期满之前均具有约束力</w:t>
      </w:r>
      <w:r>
        <w:rPr>
          <w:rFonts w:hint="eastAsia" w:ascii="仿宋" w:hAnsi="仿宋" w:eastAsia="仿宋" w:cs="仿宋"/>
          <w:color w:val="auto"/>
          <w:szCs w:val="24"/>
          <w:highlight w:val="none"/>
        </w:rPr>
        <w:t>。</w:t>
      </w:r>
    </w:p>
    <w:p w14:paraId="010BAAAF">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2.我方承诺已经具备《中华人民共和国政府采购法》中规定的参加政府采购活动的供应商应当具备的条件。</w:t>
      </w:r>
    </w:p>
    <w:p w14:paraId="2F020AFB">
      <w:pPr>
        <w:pStyle w:val="71"/>
        <w:spacing w:afterLines="0" w:line="440" w:lineRule="exact"/>
        <w:ind w:firstLine="480"/>
        <w:rPr>
          <w:rFonts w:hint="eastAsia" w:ascii="仿宋" w:hAnsi="仿宋" w:eastAsia="仿宋" w:cs="仿宋"/>
          <w:color w:val="auto"/>
          <w:highlight w:val="none"/>
        </w:rPr>
      </w:pPr>
      <w:r>
        <w:rPr>
          <w:rFonts w:hint="eastAsia" w:ascii="仿宋" w:hAnsi="仿宋" w:eastAsia="仿宋" w:cs="仿宋"/>
          <w:color w:val="auto"/>
          <w:szCs w:val="24"/>
          <w:highlight w:val="none"/>
        </w:rPr>
        <w:t>3.</w:t>
      </w:r>
      <w:r>
        <w:rPr>
          <w:rFonts w:hint="eastAsia" w:ascii="仿宋" w:hAnsi="仿宋" w:eastAsia="仿宋" w:cs="仿宋"/>
          <w:color w:val="auto"/>
          <w:highlight w:val="none"/>
        </w:rPr>
        <w:t>本公司投标文件中填列的技术参数、配置、服务、数量等相关内容都是真实、准确的。保证在本次项目中所提供的资料全部真实和合法。同意向</w:t>
      </w:r>
      <w:r>
        <w:rPr>
          <w:rFonts w:hint="eastAsia" w:ascii="仿宋" w:hAnsi="仿宋" w:eastAsia="仿宋" w:cs="仿宋"/>
          <w:color w:val="auto"/>
          <w:highlight w:val="none"/>
          <w:lang w:eastAsia="zh-CN"/>
        </w:rPr>
        <w:t>浙江华夏工程管理有限公司</w:t>
      </w:r>
      <w:r>
        <w:rPr>
          <w:rFonts w:hint="eastAsia" w:ascii="仿宋" w:hAnsi="仿宋" w:eastAsia="仿宋" w:cs="仿宋"/>
          <w:color w:val="auto"/>
          <w:highlight w:val="none"/>
        </w:rPr>
        <w:t>提供可能另外要求的与投标有关的任何数据或资料。</w:t>
      </w:r>
    </w:p>
    <w:p w14:paraId="4B42620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14:paraId="1CD49C41">
      <w:pPr>
        <w:pStyle w:val="15"/>
        <w:tabs>
          <w:tab w:val="clear" w:pos="1697"/>
        </w:tabs>
        <w:spacing w:afterLines="0" w:line="440" w:lineRule="exact"/>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highlight w:val="none"/>
        </w:rPr>
        <w:t>5.</w:t>
      </w:r>
      <w:r>
        <w:rPr>
          <w:rFonts w:hint="eastAsia" w:ascii="仿宋" w:hAnsi="仿宋" w:eastAsia="仿宋" w:cs="仿宋"/>
          <w:color w:val="auto"/>
          <w:szCs w:val="24"/>
          <w:highlight w:val="none"/>
        </w:rPr>
        <w:t>本投标自开标之日（投标截止之日）起90天内有效。</w:t>
      </w:r>
    </w:p>
    <w:p w14:paraId="3CAD32D7">
      <w:pPr>
        <w:pStyle w:val="71"/>
        <w:spacing w:afterLines="0" w:line="440" w:lineRule="exact"/>
        <w:ind w:firstLine="480"/>
        <w:rPr>
          <w:rFonts w:hint="eastAsia" w:ascii="仿宋" w:hAnsi="仿宋" w:eastAsia="仿宋" w:cs="仿宋"/>
          <w:color w:val="auto"/>
          <w:highlight w:val="none"/>
        </w:rPr>
      </w:pPr>
      <w:r>
        <w:rPr>
          <w:rFonts w:hint="eastAsia" w:ascii="仿宋" w:hAnsi="仿宋" w:eastAsia="仿宋" w:cs="仿宋"/>
          <w:color w:val="auto"/>
          <w:szCs w:val="24"/>
          <w:highlight w:val="none"/>
        </w:rPr>
        <w:t>6</w:t>
      </w:r>
      <w:r>
        <w:rPr>
          <w:rFonts w:hint="eastAsia" w:ascii="仿宋" w:hAnsi="仿宋" w:eastAsia="仿宋" w:cs="仿宋"/>
          <w:color w:val="auto"/>
          <w:highlight w:val="none"/>
        </w:rPr>
        <w:t>.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6C25878E">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14:paraId="06FA5952">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14:paraId="0ACCF884">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14:paraId="445839D7">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14:paraId="6C07589C">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14:paraId="2602255A">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14:paraId="27A7FFB1">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14:paraId="6087693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53E5928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电话：                              传真：</w:t>
      </w:r>
    </w:p>
    <w:p w14:paraId="16933755">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开户银行：                          帐号：</w:t>
      </w:r>
    </w:p>
    <w:p w14:paraId="4D2FB1AB">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14:paraId="462A57AB">
      <w:pPr>
        <w:pStyle w:val="71"/>
        <w:spacing w:afterLines="0" w:line="440" w:lineRule="exact"/>
        <w:ind w:firstLine="480"/>
        <w:rPr>
          <w:rFonts w:hint="eastAsia" w:ascii="仿宋" w:hAnsi="仿宋" w:eastAsia="仿宋" w:cs="仿宋"/>
          <w:b/>
          <w:color w:val="auto"/>
          <w:sz w:val="30"/>
          <w:szCs w:val="30"/>
          <w:highlight w:val="none"/>
        </w:rPr>
      </w:pPr>
      <w:r>
        <w:rPr>
          <w:rFonts w:hint="eastAsia" w:ascii="仿宋" w:hAnsi="仿宋" w:eastAsia="仿宋" w:cs="仿宋"/>
          <w:color w:val="auto"/>
          <w:szCs w:val="24"/>
          <w:highlight w:val="none"/>
        </w:rPr>
        <w:t>投标人(</w:t>
      </w:r>
      <w:r>
        <w:rPr>
          <w:rFonts w:hint="eastAsia" w:ascii="仿宋" w:hAnsi="仿宋" w:eastAsia="仿宋" w:cs="仿宋"/>
          <w:color w:val="auto"/>
          <w:szCs w:val="24"/>
          <w:highlight w:val="none"/>
          <w:lang w:eastAsia="zh-CN"/>
        </w:rPr>
        <w:t>盖章</w:t>
      </w:r>
      <w:r>
        <w:rPr>
          <w:rFonts w:hint="eastAsia" w:ascii="仿宋" w:hAnsi="仿宋" w:eastAsia="仿宋" w:cs="仿宋"/>
          <w:color w:val="auto"/>
          <w:szCs w:val="24"/>
          <w:highlight w:val="none"/>
        </w:rPr>
        <w:t xml:space="preserve">)：　　　　　　　　　日期：   </w:t>
      </w:r>
    </w:p>
    <w:p w14:paraId="1544EA2D">
      <w:pPr>
        <w:pageBreakBefore/>
        <w:spacing w:line="800" w:lineRule="exact"/>
        <w:rPr>
          <w:rFonts w:hint="eastAsia" w:ascii="仿宋" w:hAnsi="仿宋" w:eastAsia="仿宋" w:cs="仿宋"/>
          <w:b/>
          <w:color w:val="auto"/>
          <w:sz w:val="30"/>
          <w:szCs w:val="30"/>
          <w:highlight w:val="none"/>
        </w:rPr>
        <w:sectPr>
          <w:footerReference r:id="rId6" w:type="first"/>
          <w:footerReference r:id="rId5" w:type="default"/>
          <w:pgSz w:w="11906" w:h="16838"/>
          <w:pgMar w:top="1276" w:right="1418" w:bottom="1247" w:left="1418" w:header="851" w:footer="992" w:gutter="0"/>
          <w:cols w:space="720" w:num="1"/>
          <w:titlePg/>
          <w:docGrid w:linePitch="312" w:charSpace="0"/>
        </w:sectPr>
      </w:pPr>
    </w:p>
    <w:p w14:paraId="45328B79">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2、开标一览表（格式）</w:t>
      </w:r>
    </w:p>
    <w:p w14:paraId="587A09DA">
      <w:pPr>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w:t>
      </w:r>
    </w:p>
    <w:p w14:paraId="5CAFCC07">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标    项：</w:t>
      </w:r>
    </w:p>
    <w:p w14:paraId="5A06E754">
      <w:pPr>
        <w:snapToGrid w:val="0"/>
        <w:spacing w:line="40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招标编号：</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2318"/>
        <w:gridCol w:w="1290"/>
        <w:gridCol w:w="1368"/>
        <w:gridCol w:w="1370"/>
        <w:gridCol w:w="1387"/>
      </w:tblGrid>
      <w:tr w14:paraId="49F3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33" w:type="pct"/>
            <w:noWrap w:val="0"/>
            <w:vAlign w:val="center"/>
          </w:tcPr>
          <w:p w14:paraId="074A30E7">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项目名称</w:t>
            </w:r>
          </w:p>
        </w:tc>
        <w:tc>
          <w:tcPr>
            <w:tcW w:w="1249" w:type="pct"/>
            <w:noWrap w:val="0"/>
            <w:vAlign w:val="center"/>
          </w:tcPr>
          <w:p w14:paraId="2775D5E7">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年参考数量/人份</w:t>
            </w:r>
          </w:p>
        </w:tc>
        <w:tc>
          <w:tcPr>
            <w:tcW w:w="695" w:type="pct"/>
            <w:noWrap w:val="0"/>
            <w:vAlign w:val="center"/>
          </w:tcPr>
          <w:p w14:paraId="622A9AC5">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金额/人份</w:t>
            </w:r>
          </w:p>
        </w:tc>
        <w:tc>
          <w:tcPr>
            <w:tcW w:w="737" w:type="pct"/>
            <w:noWrap w:val="0"/>
            <w:vAlign w:val="center"/>
          </w:tcPr>
          <w:p w14:paraId="0CF6B752">
            <w:pPr>
              <w:widowControl/>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预算金额（元）</w:t>
            </w:r>
          </w:p>
        </w:tc>
        <w:tc>
          <w:tcPr>
            <w:tcW w:w="738" w:type="pct"/>
            <w:noWrap w:val="0"/>
            <w:vAlign w:val="center"/>
          </w:tcPr>
          <w:p w14:paraId="780B8BA1">
            <w:pPr>
              <w:widowControl/>
              <w:spacing w:line="360" w:lineRule="auto"/>
              <w:jc w:val="center"/>
              <w:rPr>
                <w:rFonts w:hint="default" w:ascii="仿宋" w:hAnsi="仿宋" w:eastAsia="仿宋" w:cs="仿宋"/>
                <w:b/>
                <w:bCs/>
                <w:color w:val="auto"/>
                <w:sz w:val="24"/>
                <w:highlight w:val="none"/>
                <w:lang w:val="en-US" w:eastAsia="zh-CN"/>
              </w:rPr>
            </w:pPr>
            <w:r>
              <w:rPr>
                <w:rFonts w:hint="eastAsia" w:ascii="仿宋" w:hAnsi="仿宋" w:eastAsia="仿宋" w:cs="仿宋"/>
                <w:b/>
                <w:color w:val="auto"/>
                <w:sz w:val="24"/>
                <w:highlight w:val="none"/>
              </w:rPr>
              <w:t>充值卡金额</w:t>
            </w:r>
            <w:r>
              <w:rPr>
                <w:rFonts w:hint="eastAsia" w:ascii="仿宋" w:hAnsi="仿宋" w:eastAsia="仿宋" w:cs="仿宋"/>
                <w:b/>
                <w:color w:val="auto"/>
                <w:sz w:val="24"/>
                <w:highlight w:val="none"/>
                <w:lang w:val="en-US" w:eastAsia="zh-CN"/>
              </w:rPr>
              <w:t>/人份</w:t>
            </w:r>
          </w:p>
        </w:tc>
        <w:tc>
          <w:tcPr>
            <w:tcW w:w="744" w:type="pct"/>
            <w:noWrap w:val="0"/>
            <w:vAlign w:val="center"/>
          </w:tcPr>
          <w:p w14:paraId="6E8FCBC6">
            <w:pPr>
              <w:widowControl/>
              <w:spacing w:line="360" w:lineRule="auto"/>
              <w:jc w:val="cente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电影票张</w:t>
            </w:r>
            <w:r>
              <w:rPr>
                <w:rFonts w:hint="eastAsia" w:ascii="仿宋" w:hAnsi="仿宋" w:eastAsia="仿宋" w:cs="仿宋"/>
                <w:b/>
                <w:color w:val="auto"/>
                <w:sz w:val="24"/>
                <w:highlight w:val="none"/>
                <w:lang w:eastAsia="zh-CN"/>
              </w:rPr>
              <w:t>数</w:t>
            </w:r>
            <w:r>
              <w:rPr>
                <w:rFonts w:hint="eastAsia" w:ascii="仿宋" w:hAnsi="仿宋" w:eastAsia="仿宋" w:cs="仿宋"/>
                <w:b/>
                <w:color w:val="auto"/>
                <w:sz w:val="24"/>
                <w:highlight w:val="none"/>
                <w:lang w:val="en-US" w:eastAsia="zh-CN"/>
              </w:rPr>
              <w:t>/人份</w:t>
            </w:r>
          </w:p>
        </w:tc>
      </w:tr>
      <w:tr w14:paraId="674B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33" w:type="pct"/>
            <w:noWrap w:val="0"/>
            <w:vAlign w:val="center"/>
          </w:tcPr>
          <w:p w14:paraId="40B02C69">
            <w:pPr>
              <w:spacing w:line="360" w:lineRule="auto"/>
              <w:jc w:val="center"/>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2027年</w:t>
            </w:r>
            <w:r>
              <w:rPr>
                <w:rFonts w:hint="eastAsia" w:ascii="仿宋" w:hAnsi="仿宋" w:eastAsia="仿宋" w:cs="仿宋"/>
                <w:color w:val="auto"/>
                <w:kern w:val="0"/>
                <w:sz w:val="24"/>
                <w:highlight w:val="none"/>
              </w:rPr>
              <w:t>度职工电影票</w:t>
            </w:r>
          </w:p>
        </w:tc>
        <w:tc>
          <w:tcPr>
            <w:tcW w:w="1249" w:type="pct"/>
            <w:noWrap w:val="0"/>
            <w:vAlign w:val="center"/>
          </w:tcPr>
          <w:p w14:paraId="776C5686">
            <w:pPr>
              <w:spacing w:line="360" w:lineRule="auto"/>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1323</w:t>
            </w:r>
          </w:p>
        </w:tc>
        <w:tc>
          <w:tcPr>
            <w:tcW w:w="695" w:type="pct"/>
            <w:noWrap w:val="0"/>
            <w:vAlign w:val="center"/>
          </w:tcPr>
          <w:p w14:paraId="4BFCC870">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250元</w:t>
            </w:r>
          </w:p>
        </w:tc>
        <w:tc>
          <w:tcPr>
            <w:tcW w:w="737" w:type="pct"/>
            <w:noWrap w:val="0"/>
            <w:vAlign w:val="center"/>
          </w:tcPr>
          <w:p w14:paraId="41F412B8">
            <w:pPr>
              <w:spacing w:line="360" w:lineRule="auto"/>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330750</w:t>
            </w:r>
          </w:p>
        </w:tc>
        <w:tc>
          <w:tcPr>
            <w:tcW w:w="738" w:type="pct"/>
            <w:noWrap w:val="0"/>
            <w:vAlign w:val="center"/>
          </w:tcPr>
          <w:p w14:paraId="36FCAEF2">
            <w:pPr>
              <w:spacing w:line="360" w:lineRule="auto"/>
              <w:jc w:val="center"/>
              <w:rPr>
                <w:rFonts w:ascii="仿宋" w:hAnsi="仿宋" w:eastAsia="仿宋" w:cs="仿宋"/>
                <w:color w:val="auto"/>
                <w:sz w:val="24"/>
                <w:highlight w:val="none"/>
              </w:rPr>
            </w:pPr>
          </w:p>
        </w:tc>
        <w:tc>
          <w:tcPr>
            <w:tcW w:w="744" w:type="pct"/>
            <w:noWrap w:val="0"/>
            <w:vAlign w:val="center"/>
          </w:tcPr>
          <w:p w14:paraId="52656B21">
            <w:pPr>
              <w:spacing w:line="360" w:lineRule="auto"/>
              <w:jc w:val="center"/>
              <w:rPr>
                <w:rFonts w:ascii="仿宋" w:hAnsi="仿宋" w:eastAsia="仿宋" w:cs="仿宋"/>
                <w:color w:val="auto"/>
                <w:sz w:val="24"/>
                <w:highlight w:val="none"/>
              </w:rPr>
            </w:pPr>
          </w:p>
        </w:tc>
      </w:tr>
      <w:tr w14:paraId="1079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33" w:type="pct"/>
            <w:noWrap w:val="0"/>
            <w:vAlign w:val="center"/>
          </w:tcPr>
          <w:p w14:paraId="68D3DF74">
            <w:pPr>
              <w:spacing w:line="360" w:lineRule="auto"/>
              <w:jc w:val="center"/>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lang w:eastAsia="zh-CN"/>
              </w:rPr>
              <w:t>电影票</w:t>
            </w:r>
          </w:p>
          <w:p w14:paraId="6D98C573">
            <w:pPr>
              <w:spacing w:line="360" w:lineRule="auto"/>
              <w:jc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使用说明</w:t>
            </w:r>
          </w:p>
        </w:tc>
        <w:tc>
          <w:tcPr>
            <w:tcW w:w="4166" w:type="pct"/>
            <w:gridSpan w:val="5"/>
            <w:noWrap w:val="0"/>
            <w:vAlign w:val="center"/>
          </w:tcPr>
          <w:p w14:paraId="6287701D">
            <w:pPr>
              <w:widowControl/>
              <w:spacing w:line="360" w:lineRule="auto"/>
              <w:jc w:val="center"/>
              <w:rPr>
                <w:rFonts w:ascii="仿宋" w:hAnsi="仿宋" w:eastAsia="仿宋" w:cs="仿宋"/>
                <w:bCs/>
                <w:color w:val="auto"/>
                <w:sz w:val="24"/>
                <w:highlight w:val="none"/>
              </w:rPr>
            </w:pPr>
          </w:p>
        </w:tc>
      </w:tr>
    </w:tbl>
    <w:p w14:paraId="04F83B94">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注: </w:t>
      </w:r>
    </w:p>
    <w:p w14:paraId="3F3AE717">
      <w:pPr>
        <w:keepNext w:val="0"/>
        <w:keepLines w:val="0"/>
        <w:pageBreakBefore w:val="0"/>
        <w:widowControl w:val="0"/>
        <w:kinsoku/>
        <w:wordWrap/>
        <w:overflowPunct/>
        <w:topLinePunct w:val="0"/>
        <w:autoSpaceDE/>
        <w:autoSpaceDN/>
        <w:bidi w:val="0"/>
        <w:spacing w:line="360" w:lineRule="auto"/>
        <w:ind w:left="-20" w:leftChars="-72" w:right="-817" w:rightChars="-389" w:hanging="131" w:hangingChars="62"/>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1、投标金额不能高于预算金额。</w:t>
      </w:r>
    </w:p>
    <w:p w14:paraId="401FB159">
      <w:pPr>
        <w:keepNext w:val="0"/>
        <w:keepLines w:val="0"/>
        <w:pageBreakBefore w:val="0"/>
        <w:widowControl w:val="0"/>
        <w:kinsoku/>
        <w:wordWrap/>
        <w:overflowPunct/>
        <w:topLinePunct w:val="0"/>
        <w:autoSpaceDE/>
        <w:autoSpaceDN/>
        <w:bidi w:val="0"/>
        <w:spacing w:line="360" w:lineRule="auto"/>
        <w:ind w:left="-202" w:leftChars="-96" w:right="-817" w:rightChars="-389" w:firstLine="0" w:firstLineChars="0"/>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2、报价一经涂改，应在涂改处加盖单位公章或者由法定代表人或授权委托人签字或盖章，否则其投标作无效标处理。</w:t>
      </w:r>
    </w:p>
    <w:p w14:paraId="1EB5DAB4">
      <w:pPr>
        <w:keepNext w:val="0"/>
        <w:keepLines w:val="0"/>
        <w:pageBreakBefore w:val="0"/>
        <w:widowControl w:val="0"/>
        <w:kinsoku/>
        <w:wordWrap/>
        <w:overflowPunct/>
        <w:topLinePunct w:val="0"/>
        <w:autoSpaceDE/>
        <w:autoSpaceDN/>
        <w:bidi w:val="0"/>
        <w:spacing w:line="360" w:lineRule="auto"/>
        <w:ind w:left="-181" w:leftChars="-86" w:right="-817" w:rightChars="-389" w:firstLine="29" w:firstLineChars="14"/>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3、招标人不接受某一标项中有2个(含)以上的报价或方案，若投标人在此表中有2个（含）以上的报价或方案，其投标作无效标处理。</w:t>
      </w:r>
    </w:p>
    <w:p w14:paraId="050BCE09">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4、投标人需按本表格式填写。</w:t>
      </w:r>
    </w:p>
    <w:p w14:paraId="710845E6">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5、有关本项目实施所涉及的一切费用均计入报价。</w:t>
      </w:r>
    </w:p>
    <w:p w14:paraId="60781302">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p>
    <w:p w14:paraId="39D80D98">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p>
    <w:p w14:paraId="3D80CB10">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投标人名称（盖章）：</w:t>
      </w:r>
    </w:p>
    <w:p w14:paraId="1063D016">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法定代表人或授权委托人（签字或盖章）：</w:t>
      </w:r>
    </w:p>
    <w:p w14:paraId="0D17E43D">
      <w:pPr>
        <w:keepNext w:val="0"/>
        <w:keepLines w:val="0"/>
        <w:pageBreakBefore w:val="0"/>
        <w:widowControl w:val="0"/>
        <w:kinsoku/>
        <w:wordWrap/>
        <w:overflowPunct/>
        <w:topLinePunct w:val="0"/>
        <w:autoSpaceDE/>
        <w:autoSpaceDN/>
        <w:bidi w:val="0"/>
        <w:spacing w:line="360" w:lineRule="auto"/>
        <w:ind w:firstLine="4515" w:firstLineChars="2150"/>
        <w:jc w:val="right"/>
        <w:textAlignment w:val="auto"/>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 xml:space="preserve">日  期：     </w:t>
      </w:r>
      <w:r>
        <w:rPr>
          <w:rFonts w:hint="eastAsia" w:ascii="仿宋" w:hAnsi="仿宋" w:eastAsia="仿宋" w:cs="仿宋"/>
          <w:color w:val="auto"/>
          <w:kern w:val="0"/>
          <w:szCs w:val="21"/>
          <w:highlight w:val="none"/>
        </w:rPr>
        <w:t>年    月    日</w:t>
      </w:r>
    </w:p>
    <w:p w14:paraId="527C8EA7">
      <w:pPr>
        <w:pStyle w:val="3"/>
        <w:rPr>
          <w:rFonts w:hint="eastAsia" w:ascii="仿宋" w:hAnsi="仿宋" w:eastAsia="仿宋" w:cs="仿宋"/>
          <w:color w:val="auto"/>
          <w:kern w:val="0"/>
          <w:szCs w:val="21"/>
          <w:highlight w:val="none"/>
        </w:rPr>
      </w:pPr>
    </w:p>
    <w:p w14:paraId="1B978FFF">
      <w:pPr>
        <w:rPr>
          <w:rFonts w:hint="eastAsia" w:ascii="仿宋" w:hAnsi="仿宋" w:eastAsia="仿宋" w:cs="仿宋"/>
          <w:color w:val="auto"/>
          <w:kern w:val="0"/>
          <w:szCs w:val="21"/>
          <w:highlight w:val="none"/>
        </w:rPr>
      </w:pPr>
    </w:p>
    <w:p w14:paraId="21EAA0BA">
      <w:pPr>
        <w:pStyle w:val="2"/>
        <w:rPr>
          <w:rFonts w:hint="eastAsia" w:ascii="仿宋" w:hAnsi="仿宋" w:eastAsia="仿宋" w:cs="仿宋"/>
          <w:color w:val="auto"/>
          <w:kern w:val="0"/>
          <w:szCs w:val="21"/>
          <w:highlight w:val="none"/>
        </w:rPr>
      </w:pPr>
    </w:p>
    <w:p w14:paraId="42E5EC55">
      <w:pPr>
        <w:pStyle w:val="3"/>
        <w:rPr>
          <w:rFonts w:hint="eastAsia" w:ascii="仿宋" w:hAnsi="仿宋" w:eastAsia="仿宋" w:cs="仿宋"/>
          <w:color w:val="auto"/>
          <w:kern w:val="0"/>
          <w:szCs w:val="21"/>
          <w:highlight w:val="none"/>
        </w:rPr>
      </w:pPr>
    </w:p>
    <w:p w14:paraId="3EE8128C">
      <w:pPr>
        <w:rPr>
          <w:rFonts w:hint="eastAsia" w:ascii="仿宋" w:hAnsi="仿宋" w:eastAsia="仿宋" w:cs="仿宋"/>
          <w:color w:val="auto"/>
          <w:kern w:val="0"/>
          <w:szCs w:val="21"/>
          <w:highlight w:val="none"/>
        </w:rPr>
      </w:pPr>
    </w:p>
    <w:p w14:paraId="793CFA1B">
      <w:pPr>
        <w:pStyle w:val="2"/>
        <w:rPr>
          <w:rFonts w:hint="eastAsia" w:ascii="仿宋" w:hAnsi="仿宋" w:eastAsia="仿宋" w:cs="仿宋"/>
          <w:color w:val="auto"/>
          <w:kern w:val="0"/>
          <w:szCs w:val="21"/>
          <w:highlight w:val="none"/>
        </w:rPr>
      </w:pPr>
    </w:p>
    <w:p w14:paraId="66AB2437">
      <w:pPr>
        <w:pStyle w:val="3"/>
        <w:rPr>
          <w:rFonts w:hint="eastAsia" w:ascii="仿宋" w:hAnsi="仿宋" w:eastAsia="仿宋" w:cs="仿宋"/>
          <w:color w:val="auto"/>
          <w:kern w:val="0"/>
          <w:szCs w:val="21"/>
          <w:highlight w:val="none"/>
        </w:rPr>
      </w:pPr>
    </w:p>
    <w:p w14:paraId="3D3FF406">
      <w:pPr>
        <w:rPr>
          <w:rFonts w:hint="eastAsia" w:ascii="仿宋" w:hAnsi="仿宋" w:eastAsia="仿宋" w:cs="仿宋"/>
          <w:color w:val="auto"/>
          <w:kern w:val="0"/>
          <w:szCs w:val="21"/>
          <w:highlight w:val="none"/>
        </w:rPr>
      </w:pPr>
    </w:p>
    <w:p w14:paraId="15AC27C1">
      <w:pPr>
        <w:pStyle w:val="2"/>
        <w:rPr>
          <w:rFonts w:hint="eastAsia" w:ascii="仿宋" w:hAnsi="仿宋" w:eastAsia="仿宋" w:cs="仿宋"/>
          <w:color w:val="auto"/>
          <w:kern w:val="0"/>
          <w:szCs w:val="21"/>
          <w:highlight w:val="none"/>
        </w:rPr>
      </w:pPr>
    </w:p>
    <w:p w14:paraId="1F14C21F">
      <w:pPr>
        <w:pageBreakBefore/>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商务技术（资信）文件部分</w:t>
      </w:r>
    </w:p>
    <w:p w14:paraId="126678E9">
      <w:pPr>
        <w:spacing w:line="360" w:lineRule="auto"/>
        <w:jc w:val="center"/>
        <w:outlineLvl w:val="0"/>
        <w:rPr>
          <w:rFonts w:hint="eastAsia" w:ascii="仿宋" w:hAnsi="仿宋" w:eastAsia="仿宋" w:cs="仿宋"/>
          <w:b/>
          <w:color w:val="auto"/>
          <w:kern w:val="0"/>
          <w:sz w:val="24"/>
          <w:highlight w:val="none"/>
        </w:rPr>
      </w:pPr>
    </w:p>
    <w:p w14:paraId="2677738B">
      <w:pPr>
        <w:spacing w:line="360" w:lineRule="auto"/>
        <w:jc w:val="center"/>
        <w:outlineLvl w:val="0"/>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37F55367">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（1）法定代表人授权书 …………………………………………………………（页码）</w:t>
      </w:r>
    </w:p>
    <w:p w14:paraId="5910D719">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（2）授权代表社保证明（复印件）………………………………………………（页码）</w:t>
      </w:r>
    </w:p>
    <w:p w14:paraId="78133C23">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（3）法定代表人及其授权代表的身份证（复印件）……………………………（页码）</w:t>
      </w:r>
    </w:p>
    <w:p w14:paraId="2B4FA657">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（4）法定代表人身份证明书………………………………………………………（页码）</w:t>
      </w:r>
    </w:p>
    <w:p w14:paraId="49039F1E">
      <w:pPr>
        <w:spacing w:line="360" w:lineRule="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（5）资格审查有关的书面承诺函</w:t>
      </w:r>
      <w:r>
        <w:rPr>
          <w:rFonts w:hint="eastAsia" w:ascii="仿宋" w:hAnsi="仿宋" w:eastAsia="仿宋" w:cs="仿宋"/>
          <w:color w:val="auto"/>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5675937">
      <w:pPr>
        <w:pStyle w:val="195"/>
        <w:spacing w:line="360" w:lineRule="auto"/>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（6）符合特定资格条件（如果项目要求）的有关证明材料（复印件）………（页码）</w:t>
      </w:r>
    </w:p>
    <w:p w14:paraId="308F1656">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eastAsia="仿宋" w:cs="仿宋"/>
          <w:color w:val="auto"/>
          <w:highlight w:val="none"/>
          <w:lang w:val="en-US" w:eastAsia="zh-CN"/>
        </w:rPr>
        <w:t>7</w:t>
      </w:r>
      <w:r>
        <w:rPr>
          <w:rFonts w:hint="eastAsia" w:ascii="仿宋" w:hAnsi="仿宋" w:eastAsia="仿宋" w:cs="仿宋"/>
          <w:color w:val="auto"/>
          <w:highlight w:val="none"/>
        </w:rPr>
        <w:t>）</w:t>
      </w:r>
      <w:r>
        <w:rPr>
          <w:rFonts w:hint="eastAsia" w:ascii="仿宋" w:hAnsi="仿宋" w:eastAsia="仿宋" w:cs="仿宋"/>
          <w:color w:val="auto"/>
          <w:highlight w:val="none"/>
          <w:lang w:val="zh-CN"/>
        </w:rPr>
        <w:t>主要业绩证明…………………………………………………</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362F2F73">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eastAsia="仿宋" w:cs="仿宋"/>
          <w:color w:val="auto"/>
          <w:highlight w:val="none"/>
          <w:lang w:val="en-US" w:eastAsia="zh-CN"/>
        </w:rPr>
        <w:t>8</w:t>
      </w:r>
      <w:r>
        <w:rPr>
          <w:rFonts w:hint="eastAsia" w:ascii="仿宋" w:hAnsi="仿宋" w:eastAsia="仿宋" w:cs="仿宋"/>
          <w:color w:val="auto"/>
          <w:highlight w:val="none"/>
        </w:rPr>
        <w:t>）廉政承诺书 …………………………………………………………………（页码）</w:t>
      </w:r>
    </w:p>
    <w:p w14:paraId="231A40D3">
      <w:pPr>
        <w:spacing w:line="360" w:lineRule="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9</w:t>
      </w:r>
      <w:r>
        <w:rPr>
          <w:rFonts w:hint="eastAsia" w:ascii="仿宋" w:hAnsi="仿宋" w:eastAsia="仿宋" w:cs="仿宋"/>
          <w:color w:val="auto"/>
          <w:kern w:val="0"/>
          <w:sz w:val="24"/>
          <w:highlight w:val="none"/>
        </w:rPr>
        <w:t>）技术偏离说明表………………………………………………</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F8261C9">
      <w:pPr>
        <w:spacing w:line="360" w:lineRule="auto"/>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10</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认为需要的其他商务技术（资信）文件或说明………………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rPr>
        <w:t>（页码）（</w:t>
      </w:r>
      <w:r>
        <w:rPr>
          <w:rFonts w:hint="eastAsia" w:ascii="仿宋" w:hAnsi="仿宋" w:eastAsia="仿宋" w:cs="仿宋"/>
          <w:color w:val="auto"/>
          <w:kern w:val="0"/>
          <w:sz w:val="24"/>
          <w:highlight w:val="none"/>
          <w:lang w:val="en-US" w:eastAsia="zh-CN"/>
        </w:rPr>
        <w:t>11</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联合协议（如有）……………………………………………………</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762F4AB">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12</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分包意向协议（如有）…………………………………………</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01EE7B19">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注：以上目录是基本格式要求，各投标人可根据自身情况和评分标准进一步细化。</w:t>
      </w:r>
    </w:p>
    <w:p w14:paraId="449E0A6B">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1、法定代表人授权委托书（格式） </w:t>
      </w:r>
      <w:r>
        <w:rPr>
          <w:rFonts w:hint="eastAsia" w:ascii="仿宋" w:hAnsi="仿宋" w:eastAsia="仿宋" w:cs="仿宋"/>
          <w:b/>
          <w:color w:val="auto"/>
          <w:kern w:val="0"/>
          <w:sz w:val="32"/>
          <w:szCs w:val="32"/>
          <w:highlight w:val="none"/>
          <w:lang w:val="zh-CN"/>
        </w:rPr>
        <w:t>（适用于非联合体投标）</w:t>
      </w:r>
    </w:p>
    <w:p w14:paraId="320EA077">
      <w:pPr>
        <w:jc w:val="center"/>
        <w:rPr>
          <w:rFonts w:hint="eastAsia" w:ascii="仿宋" w:hAnsi="仿宋" w:eastAsia="仿宋" w:cs="仿宋"/>
          <w:b/>
          <w:color w:val="auto"/>
          <w:sz w:val="24"/>
          <w:highlight w:val="none"/>
        </w:rPr>
      </w:pPr>
    </w:p>
    <w:p w14:paraId="65E7B6B2">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。以本公司的名义参加</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eastAsia="zh-CN"/>
        </w:rPr>
        <w:t>浙江华夏工程管理有限公司</w:t>
      </w:r>
      <w:r>
        <w:rPr>
          <w:rFonts w:hint="eastAsia" w:ascii="仿宋" w:hAnsi="仿宋" w:eastAsia="仿宋" w:cs="仿宋"/>
          <w:color w:val="auto"/>
          <w:sz w:val="24"/>
          <w:highlight w:val="none"/>
        </w:rPr>
        <w:t>组织的</w:t>
      </w:r>
      <w:r>
        <w:rPr>
          <w:rFonts w:hint="eastAsia" w:ascii="仿宋" w:hAnsi="仿宋" w:eastAsia="仿宋" w:cs="仿宋"/>
          <w:color w:val="auto"/>
          <w:sz w:val="24"/>
          <w:highlight w:val="none"/>
          <w:u w:val="single"/>
          <w:lang w:eastAsia="zh-CN"/>
        </w:rPr>
        <w:t>2027年职工电影票项目</w:t>
      </w:r>
      <w:r>
        <w:rPr>
          <w:rFonts w:hint="eastAsia" w:ascii="仿宋" w:hAnsi="仿宋" w:eastAsia="仿宋" w:cs="仿宋"/>
          <w:color w:val="auto"/>
          <w:sz w:val="24"/>
          <w:highlight w:val="none"/>
        </w:rPr>
        <w:t>投标活动。授权代表在开标、评标、合同谈判过程中所签署的一切文件和处理与之有关的一切事务，我均予以承认。</w:t>
      </w:r>
    </w:p>
    <w:p w14:paraId="2ECDBB5B">
      <w:pP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4DD7528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5BFBC487">
      <w:pPr>
        <w:snapToGrid w:val="0"/>
        <w:spacing w:line="600" w:lineRule="exact"/>
        <w:jc w:val="left"/>
        <w:rPr>
          <w:rFonts w:hint="eastAsia" w:ascii="仿宋" w:hAnsi="仿宋" w:eastAsia="仿宋" w:cs="仿宋"/>
          <w:color w:val="auto"/>
          <w:sz w:val="24"/>
          <w:highlight w:val="none"/>
        </w:rPr>
      </w:pPr>
    </w:p>
    <w:p w14:paraId="68D0A737">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465358EF">
      <w:pPr>
        <w:spacing w:line="360" w:lineRule="exact"/>
        <w:rPr>
          <w:rFonts w:hint="eastAsia" w:ascii="仿宋" w:hAnsi="仿宋" w:eastAsia="仿宋" w:cs="仿宋"/>
          <w:color w:val="auto"/>
          <w:sz w:val="24"/>
          <w:highlight w:val="none"/>
        </w:rPr>
      </w:pPr>
    </w:p>
    <w:p w14:paraId="0BB4B65D">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2CBC71F">
      <w:pPr>
        <w:spacing w:line="360" w:lineRule="exact"/>
        <w:rPr>
          <w:rFonts w:hint="eastAsia" w:ascii="仿宋" w:hAnsi="仿宋" w:eastAsia="仿宋" w:cs="仿宋"/>
          <w:color w:val="auto"/>
          <w:sz w:val="24"/>
          <w:highlight w:val="none"/>
        </w:rPr>
      </w:pPr>
    </w:p>
    <w:p w14:paraId="6A3FBF80">
      <w:pPr>
        <w:widowControl/>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4A8F7C9D">
      <w:pPr>
        <w:spacing w:line="360" w:lineRule="exact"/>
        <w:rPr>
          <w:rFonts w:hint="eastAsia" w:ascii="仿宋" w:hAnsi="仿宋" w:eastAsia="仿宋" w:cs="仿宋"/>
          <w:color w:val="auto"/>
          <w:sz w:val="24"/>
          <w:highlight w:val="none"/>
        </w:rPr>
      </w:pPr>
    </w:p>
    <w:p w14:paraId="40280E3E">
      <w:pPr>
        <w:spacing w:line="360" w:lineRule="exact"/>
        <w:rPr>
          <w:rFonts w:hint="eastAsia" w:ascii="仿宋" w:hAnsi="仿宋" w:eastAsia="仿宋" w:cs="仿宋"/>
          <w:color w:val="auto"/>
          <w:sz w:val="24"/>
          <w:highlight w:val="none"/>
        </w:rPr>
      </w:pPr>
    </w:p>
    <w:p w14:paraId="63F44912">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lang w:eastAsia="zh-CN"/>
        </w:rPr>
        <w:t>盖章</w:t>
      </w:r>
      <w:r>
        <w:rPr>
          <w:rFonts w:hint="eastAsia" w:ascii="仿宋" w:hAnsi="仿宋" w:eastAsia="仿宋" w:cs="仿宋"/>
          <w:color w:val="auto"/>
          <w:sz w:val="24"/>
          <w:highlight w:val="none"/>
        </w:rPr>
        <w:t>）：</w:t>
      </w:r>
    </w:p>
    <w:p w14:paraId="426BD5BD">
      <w:pPr>
        <w:spacing w:line="360" w:lineRule="exact"/>
        <w:rPr>
          <w:rFonts w:hint="eastAsia" w:ascii="仿宋" w:hAnsi="仿宋" w:eastAsia="仿宋" w:cs="仿宋"/>
          <w:color w:val="auto"/>
          <w:sz w:val="24"/>
          <w:highlight w:val="none"/>
        </w:rPr>
      </w:pPr>
    </w:p>
    <w:p w14:paraId="20C24962">
      <w:pPr>
        <w:spacing w:line="360" w:lineRule="exact"/>
        <w:rPr>
          <w:rFonts w:hint="eastAsia" w:ascii="仿宋" w:hAnsi="仿宋" w:eastAsia="仿宋" w:cs="仿宋"/>
          <w:color w:val="auto"/>
          <w:sz w:val="24"/>
          <w:highlight w:val="none"/>
        </w:rPr>
      </w:pPr>
    </w:p>
    <w:p w14:paraId="0D3D2824">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28AE48B6">
      <w:pPr>
        <w:spacing w:line="360" w:lineRule="exact"/>
        <w:rPr>
          <w:rFonts w:hint="eastAsia" w:ascii="仿宋" w:hAnsi="仿宋" w:eastAsia="仿宋" w:cs="仿宋"/>
          <w:color w:val="auto"/>
          <w:sz w:val="24"/>
          <w:highlight w:val="none"/>
        </w:rPr>
      </w:pPr>
    </w:p>
    <w:p w14:paraId="5848E035">
      <w:pPr>
        <w:spacing w:line="360" w:lineRule="exact"/>
        <w:rPr>
          <w:rFonts w:hint="eastAsia" w:ascii="仿宋" w:hAnsi="仿宋" w:eastAsia="仿宋" w:cs="仿宋"/>
          <w:color w:val="auto"/>
          <w:sz w:val="24"/>
          <w:highlight w:val="none"/>
        </w:rPr>
      </w:pPr>
    </w:p>
    <w:p w14:paraId="53B912F4">
      <w:pPr>
        <w:ind w:firstLine="5280" w:firstLineChars="2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46846DE0">
      <w:pPr>
        <w:ind w:firstLine="4920" w:firstLineChars="2050"/>
        <w:jc w:val="left"/>
        <w:rPr>
          <w:rFonts w:hint="eastAsia" w:ascii="仿宋" w:hAnsi="仿宋" w:eastAsia="仿宋" w:cs="仿宋"/>
          <w:color w:val="auto"/>
          <w:sz w:val="24"/>
          <w:highlight w:val="none"/>
        </w:rPr>
      </w:pPr>
    </w:p>
    <w:p w14:paraId="354D6184">
      <w:pPr>
        <w:spacing w:line="800" w:lineRule="exact"/>
        <w:rPr>
          <w:rFonts w:hint="eastAsia" w:ascii="仿宋" w:hAnsi="仿宋" w:eastAsia="仿宋" w:cs="仿宋"/>
          <w:b/>
          <w:color w:val="auto"/>
          <w:sz w:val="24"/>
          <w:highlight w:val="none"/>
        </w:rPr>
      </w:pPr>
    </w:p>
    <w:p w14:paraId="6AA9C196">
      <w:pPr>
        <w:pageBreakBefore/>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（适用于联合体投标）</w:t>
      </w:r>
    </w:p>
    <w:p w14:paraId="40918B35">
      <w:pPr>
        <w:jc w:val="center"/>
        <w:rPr>
          <w:rFonts w:hint="eastAsia" w:ascii="仿宋" w:hAnsi="仿宋" w:eastAsia="仿宋" w:cs="仿宋"/>
          <w:b/>
          <w:color w:val="auto"/>
          <w:sz w:val="24"/>
          <w:highlight w:val="none"/>
        </w:rPr>
      </w:pPr>
    </w:p>
    <w:p w14:paraId="79FFCD7A">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5E9CEA03">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。以我方的名义参加</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eastAsia="zh-CN"/>
        </w:rPr>
        <w:t>浙江华夏工程管理有限公司</w:t>
      </w:r>
      <w:r>
        <w:rPr>
          <w:rFonts w:hint="eastAsia" w:ascii="仿宋" w:hAnsi="仿宋" w:eastAsia="仿宋" w:cs="仿宋"/>
          <w:color w:val="auto"/>
          <w:sz w:val="24"/>
          <w:highlight w:val="none"/>
        </w:rPr>
        <w:t>组织的</w:t>
      </w:r>
      <w:r>
        <w:rPr>
          <w:rFonts w:hint="eastAsia" w:ascii="仿宋" w:hAnsi="仿宋" w:eastAsia="仿宋" w:cs="仿宋"/>
          <w:color w:val="auto"/>
          <w:sz w:val="24"/>
          <w:highlight w:val="none"/>
          <w:u w:val="single"/>
          <w:lang w:eastAsia="zh-CN"/>
        </w:rPr>
        <w:t>2027年职工电影票项目</w:t>
      </w:r>
      <w:r>
        <w:rPr>
          <w:rFonts w:hint="eastAsia" w:ascii="仿宋" w:hAnsi="仿宋" w:eastAsia="仿宋" w:cs="仿宋"/>
          <w:color w:val="auto"/>
          <w:sz w:val="24"/>
          <w:highlight w:val="none"/>
        </w:rPr>
        <w:t>投标活动。授权代表在开标、评标、合同谈判过程中所签署的一切文件和处理与之有关的一切事务，我均予以承认。</w:t>
      </w:r>
    </w:p>
    <w:p w14:paraId="583C1562">
      <w:pP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4AB031A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2857F162">
      <w:pPr>
        <w:snapToGrid w:val="0"/>
        <w:spacing w:line="600" w:lineRule="exact"/>
        <w:jc w:val="left"/>
        <w:rPr>
          <w:rFonts w:hint="eastAsia" w:ascii="仿宋" w:hAnsi="仿宋" w:eastAsia="仿宋" w:cs="仿宋"/>
          <w:color w:val="auto"/>
          <w:sz w:val="24"/>
          <w:highlight w:val="none"/>
        </w:rPr>
      </w:pPr>
    </w:p>
    <w:p w14:paraId="373D7659">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42251045">
      <w:pPr>
        <w:spacing w:line="360" w:lineRule="exact"/>
        <w:rPr>
          <w:rFonts w:hint="eastAsia" w:ascii="仿宋" w:hAnsi="仿宋" w:eastAsia="仿宋" w:cs="仿宋"/>
          <w:color w:val="auto"/>
          <w:sz w:val="24"/>
          <w:highlight w:val="none"/>
        </w:rPr>
      </w:pPr>
    </w:p>
    <w:p w14:paraId="77E06547">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80A0AA9">
      <w:pPr>
        <w:spacing w:line="360" w:lineRule="exact"/>
        <w:rPr>
          <w:rFonts w:hint="eastAsia" w:ascii="仿宋" w:hAnsi="仿宋" w:eastAsia="仿宋" w:cs="仿宋"/>
          <w:color w:val="auto"/>
          <w:sz w:val="24"/>
          <w:highlight w:val="none"/>
        </w:rPr>
      </w:pPr>
    </w:p>
    <w:p w14:paraId="2CD739F3">
      <w:pPr>
        <w:widowControl/>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6EBBDBFF">
      <w:pPr>
        <w:spacing w:line="360" w:lineRule="exact"/>
        <w:rPr>
          <w:rFonts w:hint="eastAsia" w:ascii="仿宋" w:hAnsi="仿宋" w:eastAsia="仿宋" w:cs="仿宋"/>
          <w:color w:val="auto"/>
          <w:sz w:val="24"/>
          <w:highlight w:val="none"/>
        </w:rPr>
      </w:pPr>
    </w:p>
    <w:p w14:paraId="47C0E5AD">
      <w:pPr>
        <w:spacing w:line="360" w:lineRule="exact"/>
        <w:rPr>
          <w:rFonts w:hint="eastAsia" w:ascii="仿宋" w:hAnsi="仿宋" w:eastAsia="仿宋" w:cs="仿宋"/>
          <w:color w:val="auto"/>
          <w:sz w:val="24"/>
          <w:highlight w:val="none"/>
        </w:rPr>
      </w:pPr>
    </w:p>
    <w:p w14:paraId="553B1467">
      <w:pPr>
        <w:jc w:val="center"/>
        <w:rPr>
          <w:rFonts w:hint="eastAsia" w:ascii="仿宋" w:hAnsi="仿宋" w:eastAsia="仿宋" w:cs="仿宋"/>
          <w:b/>
          <w:color w:val="auto"/>
          <w:kern w:val="0"/>
          <w:sz w:val="32"/>
          <w:szCs w:val="32"/>
          <w:highlight w:val="none"/>
        </w:rPr>
      </w:pPr>
    </w:p>
    <w:p w14:paraId="2014DCE2">
      <w:pPr>
        <w:rPr>
          <w:rFonts w:hint="eastAsia" w:ascii="仿宋" w:hAnsi="仿宋" w:eastAsia="仿宋" w:cs="仿宋"/>
          <w:color w:val="auto"/>
          <w:highlight w:val="none"/>
        </w:rPr>
      </w:pPr>
    </w:p>
    <w:p w14:paraId="6ECDB93A">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7E741B41">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5E4D6792">
      <w:pP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2307453A">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0A70EF65">
      <w:pPr>
        <w:spacing w:line="800" w:lineRule="exact"/>
        <w:rPr>
          <w:rFonts w:hint="eastAsia" w:ascii="仿宋" w:hAnsi="仿宋" w:eastAsia="仿宋" w:cs="仿宋"/>
          <w:b/>
          <w:color w:val="auto"/>
          <w:sz w:val="24"/>
          <w:highlight w:val="none"/>
        </w:rPr>
      </w:pPr>
    </w:p>
    <w:p w14:paraId="6D8E2AEB">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2、授权代表社保证明（复印件）</w:t>
      </w:r>
    </w:p>
    <w:p w14:paraId="758BB749">
      <w:pPr>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color w:val="auto"/>
          <w:sz w:val="24"/>
          <w:highlight w:val="none"/>
          <w:u w:val="wave"/>
        </w:rPr>
        <w:t>出具距投标截止时间一个月以内的社保机构盖公章的授权代表社保缴纳证明（如授权代表为离退休返聘人员的，投标响应文件技术部分内需提供退休证明及单位聘用证明；如由第三方代理社保事项的，则需提供委托代理协议复印件），格式自拟。</w:t>
      </w:r>
      <w:r>
        <w:rPr>
          <w:rFonts w:hint="eastAsia" w:ascii="仿宋" w:hAnsi="仿宋" w:eastAsia="仿宋" w:cs="仿宋"/>
          <w:b/>
          <w:color w:val="auto"/>
          <w:sz w:val="24"/>
          <w:highlight w:val="none"/>
        </w:rPr>
        <w:t>未提供上述证明的投标做无效投标处理。</w:t>
      </w:r>
    </w:p>
    <w:p w14:paraId="1649B3A9">
      <w:pPr>
        <w:spacing w:line="800" w:lineRule="exact"/>
        <w:ind w:firstLine="4320" w:firstLineChars="1800"/>
        <w:rPr>
          <w:rFonts w:hint="eastAsia" w:ascii="仿宋" w:hAnsi="仿宋" w:eastAsia="仿宋" w:cs="仿宋"/>
          <w:color w:val="auto"/>
          <w:sz w:val="24"/>
          <w:highlight w:val="none"/>
        </w:rPr>
      </w:pPr>
    </w:p>
    <w:p w14:paraId="07E95D7C">
      <w:pPr>
        <w:spacing w:line="800" w:lineRule="exact"/>
        <w:ind w:firstLine="4337" w:firstLineChars="1800"/>
        <w:rPr>
          <w:rFonts w:hint="eastAsia" w:ascii="仿宋" w:hAnsi="仿宋" w:eastAsia="仿宋" w:cs="仿宋"/>
          <w:b/>
          <w:color w:val="auto"/>
          <w:sz w:val="24"/>
          <w:highlight w:val="none"/>
        </w:rPr>
      </w:pPr>
    </w:p>
    <w:p w14:paraId="134674DE">
      <w:pPr>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3、法定代表人及其授权代表身份证复印件（正反面）</w:t>
      </w:r>
    </w:p>
    <w:p w14:paraId="326051D4">
      <w:pPr>
        <w:spacing w:line="800" w:lineRule="exact"/>
        <w:rPr>
          <w:rFonts w:hint="eastAsia" w:ascii="仿宋" w:hAnsi="仿宋" w:eastAsia="仿宋" w:cs="仿宋"/>
          <w:b/>
          <w:color w:val="auto"/>
          <w:sz w:val="24"/>
          <w:highlight w:val="none"/>
        </w:rPr>
      </w:pPr>
    </w:p>
    <w:p w14:paraId="108F88AE">
      <w:pPr>
        <w:spacing w:line="800" w:lineRule="exact"/>
        <w:rPr>
          <w:rFonts w:hint="eastAsia" w:ascii="仿宋" w:hAnsi="仿宋" w:eastAsia="仿宋" w:cs="仿宋"/>
          <w:b/>
          <w:color w:val="auto"/>
          <w:sz w:val="24"/>
          <w:highlight w:val="none"/>
        </w:rPr>
      </w:pPr>
    </w:p>
    <w:p w14:paraId="554FF134">
      <w:pPr>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4、法定代表人身份证明书(格式)</w:t>
      </w:r>
    </w:p>
    <w:p w14:paraId="6CF155E7">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 标 人：</w:t>
      </w:r>
      <w:r>
        <w:rPr>
          <w:rFonts w:hint="eastAsia" w:ascii="仿宋" w:hAnsi="仿宋" w:eastAsia="仿宋" w:cs="仿宋"/>
          <w:color w:val="auto"/>
          <w:sz w:val="24"/>
          <w:highlight w:val="none"/>
          <w:u w:val="single"/>
        </w:rPr>
        <w:t xml:space="preserve">                          </w:t>
      </w:r>
    </w:p>
    <w:p w14:paraId="1A59575F">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single"/>
        </w:rPr>
        <w:t xml:space="preserve">                          </w:t>
      </w:r>
    </w:p>
    <w:p w14:paraId="50F2337F">
      <w:pP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姓    名：</w:t>
      </w:r>
      <w:r>
        <w:rPr>
          <w:rFonts w:hint="eastAsia" w:ascii="仿宋" w:hAnsi="仿宋" w:eastAsia="仿宋" w:cs="仿宋"/>
          <w:color w:val="auto"/>
          <w:sz w:val="24"/>
          <w:highlight w:val="none"/>
          <w:u w:val="single"/>
        </w:rPr>
        <w:t xml:space="preserve">                          </w:t>
      </w:r>
    </w:p>
    <w:p w14:paraId="2FDCA2C7">
      <w:pP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1FDFBA31">
      <w:pPr>
        <w:spacing w:line="440" w:lineRule="exact"/>
        <w:ind w:right="281" w:rightChars="134"/>
        <w:rPr>
          <w:rFonts w:hint="eastAsia" w:ascii="仿宋" w:hAnsi="仿宋" w:eastAsia="仿宋" w:cs="仿宋"/>
          <w:color w:val="auto"/>
          <w:sz w:val="24"/>
          <w:highlight w:val="none"/>
        </w:rPr>
      </w:pPr>
      <w:r>
        <w:rPr>
          <w:rFonts w:hint="eastAsia" w:ascii="仿宋" w:hAnsi="仿宋" w:eastAsia="仿宋" w:cs="仿宋"/>
          <w:color w:val="auto"/>
          <w:sz w:val="24"/>
          <w:highlight w:val="none"/>
        </w:rPr>
        <w:t>职   务：</w:t>
      </w:r>
      <w:r>
        <w:rPr>
          <w:rFonts w:hint="eastAsia" w:ascii="仿宋" w:hAnsi="仿宋" w:eastAsia="仿宋" w:cs="仿宋"/>
          <w:color w:val="auto"/>
          <w:sz w:val="24"/>
          <w:highlight w:val="none"/>
          <w:u w:val="single"/>
        </w:rPr>
        <w:t xml:space="preserve">                           </w:t>
      </w:r>
    </w:p>
    <w:p w14:paraId="7A264EDA">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66C04746">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74A562F1">
      <w:pPr>
        <w:spacing w:line="440" w:lineRule="exact"/>
        <w:rPr>
          <w:rFonts w:hint="eastAsia" w:ascii="仿宋" w:hAnsi="仿宋" w:eastAsia="仿宋" w:cs="仿宋"/>
          <w:color w:val="auto"/>
          <w:sz w:val="24"/>
          <w:highlight w:val="none"/>
        </w:rPr>
      </w:pPr>
    </w:p>
    <w:p w14:paraId="6551F51B">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                             （</w:t>
      </w:r>
      <w:r>
        <w:rPr>
          <w:rFonts w:hint="eastAsia" w:ascii="仿宋" w:hAnsi="仿宋" w:eastAsia="仿宋" w:cs="仿宋"/>
          <w:color w:val="auto"/>
          <w:sz w:val="24"/>
          <w:highlight w:val="none"/>
          <w:lang w:eastAsia="zh-CN"/>
        </w:rPr>
        <w:t>盖章</w:t>
      </w:r>
      <w:r>
        <w:rPr>
          <w:rFonts w:hint="eastAsia" w:ascii="仿宋" w:hAnsi="仿宋" w:eastAsia="仿宋" w:cs="仿宋"/>
          <w:color w:val="auto"/>
          <w:sz w:val="24"/>
          <w:highlight w:val="none"/>
        </w:rPr>
        <w:t>）</w:t>
      </w:r>
    </w:p>
    <w:p w14:paraId="27DFF6EA">
      <w:pPr>
        <w:spacing w:line="440" w:lineRule="exact"/>
        <w:ind w:right="480"/>
        <w:rPr>
          <w:rFonts w:hint="eastAsia" w:ascii="仿宋" w:hAnsi="仿宋" w:eastAsia="仿宋" w:cs="仿宋"/>
          <w:color w:val="auto"/>
          <w:sz w:val="24"/>
          <w:highlight w:val="none"/>
        </w:rPr>
      </w:pPr>
    </w:p>
    <w:p w14:paraId="45EDF81B">
      <w:pPr>
        <w:spacing w:line="440" w:lineRule="exact"/>
        <w:ind w:right="72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2B601BE2">
      <w:pPr>
        <w:pageBreakBefore/>
        <w:spacing w:afterLines="100"/>
        <w:rPr>
          <w:rFonts w:hint="eastAsia" w:ascii="仿宋" w:hAnsi="仿宋" w:eastAsia="仿宋" w:cs="仿宋"/>
          <w:b/>
          <w:color w:val="auto"/>
          <w:kern w:val="0"/>
          <w:sz w:val="32"/>
          <w:szCs w:val="32"/>
          <w:highlight w:val="none"/>
        </w:rPr>
      </w:pPr>
      <w:r>
        <w:rPr>
          <w:rFonts w:hint="eastAsia" w:ascii="仿宋" w:hAnsi="仿宋" w:eastAsia="仿宋" w:cs="仿宋"/>
          <w:b/>
          <w:color w:val="auto"/>
          <w:sz w:val="30"/>
          <w:szCs w:val="30"/>
          <w:highlight w:val="none"/>
        </w:rPr>
        <w:t>5、资格审查有关的书面承诺函</w:t>
      </w:r>
    </w:p>
    <w:p w14:paraId="0F090E7A">
      <w:p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浙江华夏工程管理有限公司</w:t>
      </w:r>
      <w:r>
        <w:rPr>
          <w:rFonts w:hint="eastAsia" w:ascii="仿宋" w:hAnsi="仿宋" w:eastAsia="仿宋" w:cs="仿宋"/>
          <w:color w:val="auto"/>
          <w:kern w:val="0"/>
          <w:sz w:val="24"/>
          <w:highlight w:val="none"/>
          <w:lang w:val="zh-CN"/>
        </w:rPr>
        <w:t>：</w:t>
      </w:r>
    </w:p>
    <w:p w14:paraId="13A46465">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我方郑重承诺，已具有</w:t>
      </w:r>
      <w:r>
        <w:rPr>
          <w:rFonts w:hint="eastAsia" w:ascii="仿宋" w:hAnsi="仿宋" w:eastAsia="仿宋" w:cs="仿宋"/>
          <w:color w:val="auto"/>
          <w:sz w:val="24"/>
          <w:highlight w:val="none"/>
          <w:lang w:eastAsia="zh-CN"/>
        </w:rPr>
        <w:t>2027年职工电影票</w:t>
      </w:r>
      <w:r>
        <w:rPr>
          <w:rFonts w:hint="eastAsia" w:ascii="仿宋" w:hAnsi="仿宋" w:eastAsia="仿宋" w:cs="仿宋"/>
          <w:color w:val="auto"/>
          <w:sz w:val="24"/>
          <w:highlight w:val="none"/>
        </w:rPr>
        <w:t>（招标编号:</w:t>
      </w:r>
      <w:r>
        <w:rPr>
          <w:rFonts w:hint="eastAsia" w:ascii="仿宋" w:hAnsi="仿宋" w:eastAsia="仿宋" w:cs="仿宋"/>
          <w:color w:val="auto"/>
          <w:sz w:val="24"/>
          <w:highlight w:val="none"/>
          <w:lang w:eastAsia="zh-CN"/>
        </w:rPr>
        <w:t>ZJHX-2026-10-04</w:t>
      </w:r>
      <w:r>
        <w:rPr>
          <w:rFonts w:hint="eastAsia" w:ascii="仿宋" w:hAnsi="仿宋" w:eastAsia="仿宋" w:cs="仿宋"/>
          <w:color w:val="auto"/>
          <w:sz w:val="24"/>
          <w:highlight w:val="none"/>
        </w:rPr>
        <w:t>）招标文件中关于申请人资格要求的下列条件：</w:t>
      </w:r>
    </w:p>
    <w:p w14:paraId="1B64A60F">
      <w:pPr>
        <w:pStyle w:val="71"/>
        <w:widowControl w:val="0"/>
        <w:spacing w:afterLines="0" w:line="440" w:lineRule="exact"/>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szCs w:val="24"/>
          <w:highlight w:val="none"/>
        </w:rPr>
        <w:t>符合《中华人民共和国政府采购法》第二十二条的规定：</w:t>
      </w:r>
      <w:r>
        <w:rPr>
          <w:rFonts w:hint="eastAsia" w:ascii="仿宋" w:hAnsi="仿宋" w:eastAsia="仿宋" w:cs="仿宋"/>
          <w:color w:val="auto"/>
          <w:highlight w:val="none"/>
        </w:rPr>
        <w:t xml:space="preserve"> </w:t>
      </w:r>
    </w:p>
    <w:p w14:paraId="258DCB0A">
      <w:pPr>
        <w:pStyle w:val="24"/>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77132E9E">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(二）具有良好的商业信誉和健全的财务会计制度；</w:t>
      </w:r>
    </w:p>
    <w:p w14:paraId="77D63C81">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(三）具有履行合同所必需的设备和专业技术能力；</w:t>
      </w:r>
    </w:p>
    <w:p w14:paraId="7C7F5426">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(四）有依法缴纳税收和社会保障资金的良好记录；</w:t>
      </w:r>
    </w:p>
    <w:p w14:paraId="6301F76A">
      <w:pPr>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(五）参加政府采购活动前三年内，在经营活动中没有重大违法记录。</w:t>
      </w:r>
    </w:p>
    <w:p w14:paraId="644D7EBC">
      <w:pPr>
        <w:spacing w:line="440" w:lineRule="exact"/>
        <w:ind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kern w:val="0"/>
          <w:sz w:val="24"/>
          <w:highlight w:val="none"/>
        </w:rPr>
        <w:t>2、</w:t>
      </w:r>
      <w:r>
        <w:rPr>
          <w:rFonts w:hint="eastAsia" w:ascii="仿宋" w:hAnsi="仿宋" w:eastAsia="仿宋" w:cs="仿宋"/>
          <w:color w:val="auto"/>
          <w:kern w:val="0"/>
          <w:sz w:val="24"/>
          <w:highlight w:val="none"/>
          <w:lang w:val="zh-CN"/>
        </w:rPr>
        <w:t>我公司</w:t>
      </w:r>
      <w:r>
        <w:rPr>
          <w:rFonts w:hint="eastAsia" w:ascii="仿宋" w:hAnsi="仿宋" w:eastAsia="仿宋" w:cs="仿宋"/>
          <w:color w:val="auto"/>
          <w:sz w:val="24"/>
          <w:highlight w:val="none"/>
        </w:rPr>
        <w:t>声明参加本次政府采购活动前三年内未</w:t>
      </w:r>
      <w:r>
        <w:rPr>
          <w:rFonts w:hint="eastAsia" w:ascii="仿宋" w:hAnsi="仿宋" w:eastAsia="仿宋" w:cs="仿宋"/>
          <w:color w:val="auto"/>
          <w:sz w:val="24"/>
          <w:szCs w:val="20"/>
          <w:highlight w:val="none"/>
        </w:rPr>
        <w:t>被列入“黑名单”</w:t>
      </w:r>
      <w:r>
        <w:rPr>
          <w:rFonts w:hint="eastAsia" w:ascii="仿宋" w:hAnsi="仿宋" w:eastAsia="仿宋" w:cs="仿宋"/>
          <w:color w:val="auto"/>
          <w:sz w:val="24"/>
          <w:highlight w:val="none"/>
        </w:rPr>
        <w:t>，</w:t>
      </w:r>
      <w:r>
        <w:rPr>
          <w:rFonts w:hint="eastAsia" w:ascii="仿宋" w:hAnsi="仿宋" w:eastAsia="仿宋" w:cs="仿宋"/>
          <w:color w:val="auto"/>
          <w:sz w:val="24"/>
          <w:szCs w:val="20"/>
          <w:highlight w:val="none"/>
        </w:rPr>
        <w:t>我方通过“信用中国”网站（www.creditchina.gov.cn）、中国政府采购网（www.ccgp.gov.cn）查询，未被列入失信被执行人、重大税收违法案件当事人名单、政府采购严重违法失信行为记录名单。</w:t>
      </w:r>
    </w:p>
    <w:p w14:paraId="59242713">
      <w:pPr>
        <w:spacing w:line="360" w:lineRule="auto"/>
        <w:ind w:firstLine="480" w:firstLineChars="200"/>
        <w:rPr>
          <w:rFonts w:hint="eastAsia" w:ascii="仿宋" w:hAnsi="仿宋" w:eastAsia="仿宋" w:cs="仿宋"/>
          <w:color w:val="auto"/>
          <w:sz w:val="24"/>
          <w:szCs w:val="20"/>
          <w:highlight w:val="none"/>
        </w:rPr>
      </w:pPr>
    </w:p>
    <w:p w14:paraId="33AE51A2">
      <w:pPr>
        <w:spacing w:line="360" w:lineRule="auto"/>
        <w:ind w:firstLine="480" w:firstLineChars="200"/>
        <w:rPr>
          <w:rFonts w:hint="eastAsia" w:ascii="仿宋" w:hAnsi="仿宋" w:eastAsia="仿宋" w:cs="仿宋"/>
          <w:color w:val="auto"/>
          <w:sz w:val="24"/>
          <w:szCs w:val="20"/>
          <w:highlight w:val="none"/>
        </w:rPr>
      </w:pPr>
    </w:p>
    <w:p w14:paraId="1A3E194D">
      <w:pPr>
        <w:spacing w:line="360" w:lineRule="auto"/>
        <w:ind w:firstLine="480" w:firstLineChars="200"/>
        <w:rPr>
          <w:rFonts w:hint="eastAsia" w:ascii="仿宋" w:hAnsi="仿宋" w:eastAsia="仿宋" w:cs="仿宋"/>
          <w:color w:val="auto"/>
          <w:sz w:val="24"/>
          <w:szCs w:val="20"/>
          <w:highlight w:val="none"/>
        </w:rPr>
      </w:pPr>
    </w:p>
    <w:p w14:paraId="509E1C2D">
      <w:pPr>
        <w:spacing w:line="360" w:lineRule="auto"/>
        <w:ind w:firstLine="480" w:firstLineChars="200"/>
        <w:rPr>
          <w:rFonts w:hint="eastAsia" w:ascii="仿宋" w:hAnsi="仿宋" w:eastAsia="仿宋" w:cs="仿宋"/>
          <w:color w:val="auto"/>
          <w:sz w:val="24"/>
          <w:szCs w:val="20"/>
          <w:highlight w:val="none"/>
        </w:rPr>
      </w:pPr>
    </w:p>
    <w:p w14:paraId="4884ACCF">
      <w:pPr>
        <w:spacing w:line="360" w:lineRule="auto"/>
        <w:ind w:firstLine="480" w:firstLineChars="200"/>
        <w:rPr>
          <w:rFonts w:hint="eastAsia" w:ascii="仿宋" w:hAnsi="仿宋" w:eastAsia="仿宋" w:cs="仿宋"/>
          <w:color w:val="auto"/>
          <w:sz w:val="24"/>
          <w:szCs w:val="20"/>
          <w:highlight w:val="none"/>
        </w:rPr>
      </w:pPr>
    </w:p>
    <w:p w14:paraId="60221232">
      <w:pPr>
        <w:spacing w:line="360" w:lineRule="auto"/>
        <w:ind w:firstLine="480" w:firstLineChars="200"/>
        <w:rPr>
          <w:rFonts w:hint="eastAsia" w:ascii="仿宋" w:hAnsi="仿宋" w:eastAsia="仿宋" w:cs="仿宋"/>
          <w:color w:val="auto"/>
          <w:sz w:val="24"/>
          <w:szCs w:val="20"/>
          <w:highlight w:val="none"/>
        </w:rPr>
      </w:pPr>
    </w:p>
    <w:p w14:paraId="0EC33EFA">
      <w:pPr>
        <w:spacing w:line="360" w:lineRule="auto"/>
        <w:ind w:firstLine="480" w:firstLineChars="200"/>
        <w:rPr>
          <w:rFonts w:hint="eastAsia" w:ascii="仿宋" w:hAnsi="仿宋" w:eastAsia="仿宋" w:cs="仿宋"/>
          <w:color w:val="auto"/>
          <w:sz w:val="24"/>
          <w:szCs w:val="20"/>
          <w:highlight w:val="none"/>
        </w:rPr>
      </w:pPr>
    </w:p>
    <w:p w14:paraId="4CBC9DE3">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投标人 (盖章)：</w:t>
      </w:r>
    </w:p>
    <w:p w14:paraId="05313A7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020CD829">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27CDCB59">
      <w:pPr>
        <w:snapToGrid w:val="0"/>
        <w:spacing w:line="360" w:lineRule="auto"/>
        <w:rPr>
          <w:rFonts w:hint="eastAsia" w:ascii="仿宋" w:hAnsi="仿宋" w:eastAsia="仿宋" w:cs="仿宋"/>
          <w:b/>
          <w:color w:val="auto"/>
          <w:sz w:val="30"/>
          <w:szCs w:val="30"/>
          <w:highlight w:val="none"/>
        </w:rPr>
      </w:pPr>
    </w:p>
    <w:p w14:paraId="4B6DB53B">
      <w:pPr>
        <w:pageBreakBefore/>
        <w:spacing w:line="360" w:lineRule="auto"/>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6、特定资格条件要求的资质文件（复印件）</w:t>
      </w:r>
    </w:p>
    <w:p w14:paraId="53293C25">
      <w:pPr>
        <w:widowControl/>
        <w:spacing w:line="360" w:lineRule="auto"/>
        <w:ind w:firstLine="480" w:firstLineChars="200"/>
        <w:jc w:val="left"/>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（由投标人根据招标公告合格的投标人应具备的特定资格条件要求编制）</w:t>
      </w:r>
    </w:p>
    <w:p w14:paraId="6323A5EB">
      <w:pPr>
        <w:spacing w:line="360" w:lineRule="auto"/>
        <w:rPr>
          <w:rFonts w:hint="eastAsia" w:ascii="仿宋" w:hAnsi="仿宋" w:eastAsia="仿宋" w:cs="仿宋"/>
          <w:b/>
          <w:color w:val="auto"/>
          <w:sz w:val="30"/>
          <w:szCs w:val="30"/>
          <w:highlight w:val="none"/>
        </w:rPr>
      </w:pPr>
    </w:p>
    <w:p w14:paraId="381605BA">
      <w:pPr>
        <w:spacing w:line="360" w:lineRule="auto"/>
        <w:jc w:val="both"/>
        <w:rPr>
          <w:rFonts w:hint="eastAsia" w:ascii="仿宋" w:hAnsi="仿宋" w:eastAsia="仿宋" w:cs="仿宋"/>
          <w:b/>
          <w:color w:val="auto"/>
          <w:sz w:val="32"/>
          <w:szCs w:val="32"/>
          <w:highlight w:val="none"/>
        </w:rPr>
      </w:pPr>
    </w:p>
    <w:p w14:paraId="7E45D336">
      <w:pPr>
        <w:spacing w:line="360" w:lineRule="auto"/>
        <w:jc w:val="center"/>
        <w:rPr>
          <w:rFonts w:hint="eastAsia" w:ascii="仿宋" w:hAnsi="仿宋" w:eastAsia="仿宋" w:cs="仿宋"/>
          <w:b/>
          <w:color w:val="auto"/>
          <w:sz w:val="32"/>
          <w:szCs w:val="32"/>
          <w:highlight w:val="none"/>
        </w:rPr>
      </w:pPr>
    </w:p>
    <w:p w14:paraId="530FFD51">
      <w:pPr>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7</w:t>
      </w:r>
      <w:r>
        <w:rPr>
          <w:rFonts w:hint="eastAsia" w:ascii="仿宋" w:hAnsi="仿宋" w:eastAsia="仿宋" w:cs="仿宋"/>
          <w:b/>
          <w:bCs/>
          <w:color w:val="auto"/>
          <w:sz w:val="32"/>
          <w:szCs w:val="32"/>
          <w:highlight w:val="none"/>
        </w:rPr>
        <w:t>、</w:t>
      </w:r>
      <w:r>
        <w:rPr>
          <w:rFonts w:hint="eastAsia" w:ascii="仿宋" w:hAnsi="仿宋" w:eastAsia="仿宋" w:cs="仿宋"/>
          <w:b/>
          <w:color w:val="auto"/>
          <w:kern w:val="0"/>
          <w:sz w:val="32"/>
          <w:szCs w:val="32"/>
          <w:highlight w:val="none"/>
          <w:lang w:val="zh-CN"/>
        </w:rPr>
        <w:t>主要业绩证明</w:t>
      </w:r>
    </w:p>
    <w:p w14:paraId="065C8E5C">
      <w:pPr>
        <w:autoSpaceDE w:val="0"/>
        <w:autoSpaceDN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44"/>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15C8276A">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6A6BFD13">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1E9832D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3B2AF4D4">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FA48AF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5F03BDE7">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14:paraId="2559279A">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14:paraId="7E3FFD8B">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5EA7814D">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54881AA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A6B78B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14:paraId="2804389E">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39BF3A47">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17FD2E53">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78278BB7">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3983C70D">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A515FB5">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01CC5DD8">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E246A91">
            <w:pPr>
              <w:autoSpaceDE w:val="0"/>
              <w:autoSpaceDN w:val="0"/>
              <w:spacing w:line="360" w:lineRule="auto"/>
              <w:rPr>
                <w:rFonts w:hint="eastAsia" w:ascii="仿宋" w:hAnsi="仿宋" w:eastAsia="仿宋" w:cs="仿宋"/>
                <w:color w:val="auto"/>
                <w:sz w:val="24"/>
                <w:highlight w:val="none"/>
              </w:rPr>
            </w:pPr>
          </w:p>
        </w:tc>
      </w:tr>
      <w:tr w14:paraId="54EE644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17371822">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5B8F46C3">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114BD09A">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2C8343F">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349F5838">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FC3E0C2">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0C0D8BB4">
            <w:pPr>
              <w:autoSpaceDE w:val="0"/>
              <w:autoSpaceDN w:val="0"/>
              <w:spacing w:line="360" w:lineRule="auto"/>
              <w:rPr>
                <w:rFonts w:hint="eastAsia" w:ascii="仿宋" w:hAnsi="仿宋" w:eastAsia="仿宋" w:cs="仿宋"/>
                <w:color w:val="auto"/>
                <w:sz w:val="24"/>
                <w:highlight w:val="none"/>
              </w:rPr>
            </w:pPr>
          </w:p>
        </w:tc>
      </w:tr>
      <w:tr w14:paraId="135B7130">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2AECB893">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1B3C2BF">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1DBF5EBD">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FCB9F31">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DE7BF01">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F3C7CC3">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A5A7E65">
            <w:pPr>
              <w:autoSpaceDE w:val="0"/>
              <w:autoSpaceDN w:val="0"/>
              <w:spacing w:line="360" w:lineRule="auto"/>
              <w:rPr>
                <w:rFonts w:hint="eastAsia" w:ascii="仿宋" w:hAnsi="仿宋" w:eastAsia="仿宋" w:cs="仿宋"/>
                <w:color w:val="auto"/>
                <w:sz w:val="24"/>
                <w:highlight w:val="none"/>
              </w:rPr>
            </w:pPr>
          </w:p>
        </w:tc>
      </w:tr>
    </w:tbl>
    <w:p w14:paraId="7DF9D0DB">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注：投标人可按上述的格式自行编制，须随表提交相应的合同复印件和用户单位验收证明并注明页码。</w:t>
      </w:r>
    </w:p>
    <w:p w14:paraId="7492185D">
      <w:pPr>
        <w:spacing w:line="360" w:lineRule="auto"/>
        <w:ind w:firstLine="480" w:firstLineChars="200"/>
        <w:rPr>
          <w:rFonts w:hint="eastAsia" w:ascii="仿宋" w:hAnsi="仿宋" w:eastAsia="仿宋" w:cs="仿宋"/>
          <w:color w:val="auto"/>
          <w:sz w:val="24"/>
          <w:szCs w:val="20"/>
          <w:highlight w:val="none"/>
        </w:rPr>
      </w:pPr>
    </w:p>
    <w:p w14:paraId="7236DE94">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1F6E7161">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7A004DFC">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1609BA81">
      <w:pPr>
        <w:pStyle w:val="196"/>
        <w:pageBreakBefore/>
        <w:ind w:firstLine="0"/>
        <w:jc w:val="both"/>
        <w:rPr>
          <w:rFonts w:hint="eastAsia" w:ascii="仿宋" w:hAnsi="仿宋" w:eastAsia="仿宋" w:cs="仿宋"/>
          <w:color w:val="auto"/>
          <w:highlight w:val="none"/>
        </w:rPr>
      </w:pPr>
      <w:r>
        <w:rPr>
          <w:rFonts w:hint="eastAsia" w:ascii="仿宋" w:eastAsia="仿宋" w:cs="仿宋"/>
          <w:color w:val="auto"/>
          <w:highlight w:val="none"/>
          <w:lang w:val="en-US" w:eastAsia="zh-CN"/>
        </w:rPr>
        <w:t>8</w:t>
      </w:r>
      <w:r>
        <w:rPr>
          <w:rFonts w:hint="eastAsia" w:ascii="仿宋" w:hAnsi="仿宋" w:eastAsia="仿宋" w:cs="仿宋"/>
          <w:color w:val="auto"/>
          <w:highlight w:val="none"/>
        </w:rPr>
        <w:t>、廉政承诺书</w:t>
      </w:r>
    </w:p>
    <w:p w14:paraId="16713B66">
      <w:pPr>
        <w:autoSpaceDE w:val="0"/>
        <w:autoSpaceDN w:val="0"/>
        <w:spacing w:line="360" w:lineRule="auto"/>
        <w:ind w:left="2"/>
        <w:jc w:val="left"/>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kern w:val="0"/>
          <w:sz w:val="24"/>
          <w:highlight w:val="none"/>
          <w:lang w:val="zh-CN"/>
        </w:rPr>
        <w:t xml:space="preserve">：    </w:t>
      </w:r>
    </w:p>
    <w:p w14:paraId="0C1ADC54">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 xml:space="preserve">项目招标要求参加投标。在这次投标过程中和中标后，我们将严格遵守国家法律法规要求，并郑重承诺：    </w:t>
      </w:r>
    </w:p>
    <w:p w14:paraId="61F1F66B">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一、不向项目有关人员及部门赠送礼金礼物、有价证券、回扣以及中介费、介绍费、咨询费等好处费；    </w:t>
      </w:r>
    </w:p>
    <w:p w14:paraId="44E1D4BE">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二、不为项目有关人员及部门报销应由你方单位或个人支付的费用；    </w:t>
      </w:r>
    </w:p>
    <w:p w14:paraId="1C8F0A53">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三、不向项目有关人员及部门提供有可能影响公正的宴请和健身娱乐等活动；    </w:t>
      </w:r>
    </w:p>
    <w:p w14:paraId="71A6EA91">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四、不为项目有关人员及部门出国（境）、旅游等提供方便；    </w:t>
      </w:r>
    </w:p>
    <w:p w14:paraId="4D6EA819">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五、不为项目有关人员个人装修住房、婚丧嫁娶、配偶子女工作安排等提供好处；    </w:t>
      </w:r>
    </w:p>
    <w:p w14:paraId="29840303">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六、严格遵守政府采购法等法律法规，诚实守信，合法经营，坚决抵制各种违法违纪行为。    </w:t>
      </w:r>
    </w:p>
    <w:p w14:paraId="64252EC2">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45ADE9B8">
      <w:pPr>
        <w:autoSpaceDE w:val="0"/>
        <w:autoSpaceDN w:val="0"/>
        <w:spacing w:line="360" w:lineRule="auto"/>
        <w:ind w:left="2"/>
        <w:jc w:val="left"/>
        <w:rPr>
          <w:rFonts w:hint="eastAsia" w:ascii="仿宋" w:hAnsi="仿宋" w:eastAsia="仿宋" w:cs="仿宋"/>
          <w:color w:val="auto"/>
          <w:kern w:val="0"/>
          <w:sz w:val="24"/>
          <w:highlight w:val="none"/>
          <w:lang w:val="zh-CN"/>
        </w:rPr>
      </w:pPr>
    </w:p>
    <w:p w14:paraId="0302B865">
      <w:pPr>
        <w:autoSpaceDE w:val="0"/>
        <w:autoSpaceDN w:val="0"/>
        <w:spacing w:line="360" w:lineRule="auto"/>
        <w:ind w:left="2"/>
        <w:jc w:val="left"/>
        <w:rPr>
          <w:rFonts w:hint="eastAsia" w:ascii="仿宋" w:hAnsi="仿宋" w:eastAsia="仿宋" w:cs="仿宋"/>
          <w:color w:val="auto"/>
          <w:kern w:val="0"/>
          <w:sz w:val="24"/>
          <w:highlight w:val="none"/>
          <w:lang w:val="zh-CN"/>
        </w:rPr>
      </w:pPr>
    </w:p>
    <w:p w14:paraId="14E75662">
      <w:pPr>
        <w:autoSpaceDE w:val="0"/>
        <w:autoSpaceDN w:val="0"/>
        <w:spacing w:line="360" w:lineRule="auto"/>
        <w:ind w:left="2"/>
        <w:jc w:val="left"/>
        <w:rPr>
          <w:rFonts w:hint="eastAsia" w:ascii="仿宋" w:hAnsi="仿宋" w:eastAsia="仿宋" w:cs="仿宋"/>
          <w:color w:val="auto"/>
          <w:kern w:val="0"/>
          <w:sz w:val="24"/>
          <w:highlight w:val="none"/>
          <w:lang w:val="zh-CN"/>
        </w:rPr>
      </w:pPr>
    </w:p>
    <w:p w14:paraId="3D7724DA">
      <w:pPr>
        <w:spacing w:line="360" w:lineRule="auto"/>
        <w:ind w:firstLine="480" w:firstLineChars="200"/>
        <w:rPr>
          <w:rFonts w:hint="eastAsia" w:ascii="仿宋" w:hAnsi="仿宋" w:eastAsia="仿宋" w:cs="仿宋"/>
          <w:color w:val="auto"/>
          <w:sz w:val="24"/>
          <w:szCs w:val="20"/>
          <w:highlight w:val="none"/>
        </w:rPr>
      </w:pPr>
    </w:p>
    <w:p w14:paraId="57AED2AB">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038A7B98">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71E1AC2C">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3EEC5685">
      <w:pPr>
        <w:spacing w:line="360" w:lineRule="auto"/>
        <w:jc w:val="center"/>
        <w:rPr>
          <w:rFonts w:hint="eastAsia" w:ascii="仿宋" w:hAnsi="仿宋" w:eastAsia="仿宋" w:cs="仿宋"/>
          <w:b/>
          <w:bCs/>
          <w:color w:val="auto"/>
          <w:sz w:val="32"/>
          <w:szCs w:val="32"/>
          <w:highlight w:val="none"/>
        </w:rPr>
      </w:pPr>
    </w:p>
    <w:p w14:paraId="51A76286">
      <w:pPr>
        <w:spacing w:line="360" w:lineRule="auto"/>
        <w:jc w:val="center"/>
        <w:rPr>
          <w:rFonts w:hint="eastAsia" w:ascii="仿宋" w:hAnsi="仿宋" w:eastAsia="仿宋" w:cs="仿宋"/>
          <w:b/>
          <w:bCs/>
          <w:color w:val="auto"/>
          <w:sz w:val="32"/>
          <w:szCs w:val="32"/>
          <w:highlight w:val="none"/>
        </w:rPr>
      </w:pPr>
    </w:p>
    <w:p w14:paraId="01ACC648">
      <w:pPr>
        <w:spacing w:line="360" w:lineRule="auto"/>
        <w:jc w:val="center"/>
        <w:rPr>
          <w:rFonts w:hint="eastAsia" w:ascii="仿宋" w:hAnsi="仿宋" w:eastAsia="仿宋" w:cs="仿宋"/>
          <w:b/>
          <w:bCs/>
          <w:color w:val="auto"/>
          <w:sz w:val="32"/>
          <w:szCs w:val="32"/>
          <w:highlight w:val="none"/>
        </w:rPr>
      </w:pPr>
    </w:p>
    <w:p w14:paraId="13C61A50">
      <w:pPr>
        <w:spacing w:line="360" w:lineRule="auto"/>
        <w:jc w:val="center"/>
        <w:rPr>
          <w:rFonts w:hint="eastAsia" w:ascii="仿宋" w:hAnsi="仿宋" w:eastAsia="仿宋" w:cs="仿宋"/>
          <w:b/>
          <w:bCs/>
          <w:color w:val="auto"/>
          <w:sz w:val="32"/>
          <w:szCs w:val="32"/>
          <w:highlight w:val="none"/>
        </w:rPr>
      </w:pPr>
    </w:p>
    <w:p w14:paraId="181B4F9D">
      <w:pPr>
        <w:spacing w:line="360" w:lineRule="auto"/>
        <w:jc w:val="center"/>
        <w:rPr>
          <w:rFonts w:hint="eastAsia" w:ascii="仿宋" w:hAnsi="仿宋" w:eastAsia="仿宋" w:cs="仿宋"/>
          <w:b/>
          <w:bCs/>
          <w:color w:val="auto"/>
          <w:sz w:val="32"/>
          <w:szCs w:val="32"/>
          <w:highlight w:val="none"/>
        </w:rPr>
      </w:pPr>
    </w:p>
    <w:p w14:paraId="61EE569F">
      <w:pPr>
        <w:pageBreakBefore/>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9</w:t>
      </w:r>
      <w:r>
        <w:rPr>
          <w:rFonts w:hint="eastAsia" w:ascii="仿宋" w:hAnsi="仿宋" w:eastAsia="仿宋" w:cs="仿宋"/>
          <w:b/>
          <w:bCs/>
          <w:color w:val="auto"/>
          <w:sz w:val="32"/>
          <w:szCs w:val="32"/>
          <w:highlight w:val="none"/>
        </w:rPr>
        <w:t>、技术偏离说明表</w:t>
      </w:r>
    </w:p>
    <w:p w14:paraId="45282F67">
      <w:pPr>
        <w:spacing w:line="360" w:lineRule="auto"/>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（由投标人根据采购需求及招标文件要求编制）</w:t>
      </w:r>
    </w:p>
    <w:tbl>
      <w:tblPr>
        <w:tblStyle w:val="44"/>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087"/>
        <w:gridCol w:w="3818"/>
        <w:gridCol w:w="1201"/>
      </w:tblGrid>
      <w:tr w14:paraId="5322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13" w:type="dxa"/>
            <w:tcBorders>
              <w:top w:val="single" w:color="auto" w:sz="4" w:space="0"/>
              <w:left w:val="single" w:color="auto" w:sz="4" w:space="0"/>
              <w:bottom w:val="single" w:color="auto" w:sz="4" w:space="0"/>
              <w:right w:val="single" w:color="auto" w:sz="4" w:space="0"/>
            </w:tcBorders>
          </w:tcPr>
          <w:p w14:paraId="35FB507E">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087" w:type="dxa"/>
            <w:tcBorders>
              <w:top w:val="single" w:color="auto" w:sz="4" w:space="0"/>
              <w:left w:val="single" w:color="auto" w:sz="4" w:space="0"/>
              <w:bottom w:val="single" w:color="auto" w:sz="4" w:space="0"/>
              <w:right w:val="single" w:color="auto" w:sz="4" w:space="0"/>
            </w:tcBorders>
          </w:tcPr>
          <w:p w14:paraId="7C0FA068">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招标文件要求</w:t>
            </w:r>
          </w:p>
        </w:tc>
        <w:tc>
          <w:tcPr>
            <w:tcW w:w="3818" w:type="dxa"/>
            <w:tcBorders>
              <w:top w:val="single" w:color="auto" w:sz="4" w:space="0"/>
              <w:left w:val="single" w:color="auto" w:sz="4" w:space="0"/>
              <w:bottom w:val="single" w:color="auto" w:sz="4" w:space="0"/>
              <w:right w:val="single" w:color="auto" w:sz="4" w:space="0"/>
            </w:tcBorders>
          </w:tcPr>
          <w:p w14:paraId="180C4AF1">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投标响应</w:t>
            </w:r>
          </w:p>
        </w:tc>
        <w:tc>
          <w:tcPr>
            <w:tcW w:w="1201" w:type="dxa"/>
            <w:tcBorders>
              <w:top w:val="single" w:color="auto" w:sz="4" w:space="0"/>
              <w:left w:val="single" w:color="auto" w:sz="4" w:space="0"/>
              <w:bottom w:val="single" w:color="auto" w:sz="4" w:space="0"/>
              <w:right w:val="single" w:color="auto" w:sz="4" w:space="0"/>
            </w:tcBorders>
          </w:tcPr>
          <w:p w14:paraId="0149BAB8">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5C11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63D9FFC2">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087" w:type="dxa"/>
            <w:tcBorders>
              <w:top w:val="single" w:color="auto" w:sz="4" w:space="0"/>
              <w:left w:val="single" w:color="auto" w:sz="4" w:space="0"/>
              <w:bottom w:val="single" w:color="auto" w:sz="4" w:space="0"/>
              <w:right w:val="single" w:color="auto" w:sz="4" w:space="0"/>
            </w:tcBorders>
            <w:vAlign w:val="center"/>
          </w:tcPr>
          <w:p w14:paraId="113B9B24">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招标文件技术要求</w:t>
            </w:r>
          </w:p>
          <w:p w14:paraId="3E5C1D3A">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(根据标内要求复制)</w:t>
            </w:r>
          </w:p>
        </w:tc>
        <w:tc>
          <w:tcPr>
            <w:tcW w:w="3818" w:type="dxa"/>
            <w:tcBorders>
              <w:top w:val="single" w:color="auto" w:sz="4" w:space="0"/>
              <w:left w:val="single" w:color="auto" w:sz="4" w:space="0"/>
              <w:bottom w:val="single" w:color="auto" w:sz="4" w:space="0"/>
              <w:right w:val="single" w:color="auto" w:sz="4" w:space="0"/>
            </w:tcBorders>
            <w:vAlign w:val="center"/>
          </w:tcPr>
          <w:p w14:paraId="044C8FAF">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请填写投标产品技术指标对应详细描述</w:t>
            </w:r>
          </w:p>
        </w:tc>
        <w:tc>
          <w:tcPr>
            <w:tcW w:w="1201" w:type="dxa"/>
            <w:tcBorders>
              <w:top w:val="single" w:color="auto" w:sz="4" w:space="0"/>
              <w:left w:val="single" w:color="auto" w:sz="4" w:space="0"/>
              <w:bottom w:val="single" w:color="auto" w:sz="4" w:space="0"/>
              <w:right w:val="single" w:color="auto" w:sz="4" w:space="0"/>
            </w:tcBorders>
            <w:vAlign w:val="center"/>
          </w:tcPr>
          <w:p w14:paraId="112457D3">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无偏离/正偏离/负偏离</w:t>
            </w:r>
          </w:p>
        </w:tc>
      </w:tr>
      <w:tr w14:paraId="3A82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1C28BE0E">
            <w:pPr>
              <w:tabs>
                <w:tab w:val="left" w:pos="4905"/>
              </w:tabs>
              <w:spacing w:line="400" w:lineRule="exact"/>
              <w:jc w:val="center"/>
              <w:rPr>
                <w:rFonts w:hint="eastAsia" w:ascii="仿宋" w:hAnsi="仿宋" w:eastAsia="仿宋" w:cs="仿宋"/>
                <w:color w:val="auto"/>
                <w:sz w:val="24"/>
                <w:highlight w:val="none"/>
              </w:rPr>
            </w:pPr>
          </w:p>
        </w:tc>
        <w:tc>
          <w:tcPr>
            <w:tcW w:w="3087" w:type="dxa"/>
            <w:tcBorders>
              <w:top w:val="single" w:color="auto" w:sz="4" w:space="0"/>
              <w:left w:val="single" w:color="auto" w:sz="4" w:space="0"/>
              <w:bottom w:val="single" w:color="auto" w:sz="4" w:space="0"/>
              <w:right w:val="single" w:color="auto" w:sz="4" w:space="0"/>
            </w:tcBorders>
            <w:vAlign w:val="center"/>
          </w:tcPr>
          <w:p w14:paraId="3AE2A038">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14:paraId="583416F8">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可自行添加行</w:t>
            </w:r>
          </w:p>
        </w:tc>
        <w:tc>
          <w:tcPr>
            <w:tcW w:w="1201" w:type="dxa"/>
            <w:tcBorders>
              <w:top w:val="single" w:color="auto" w:sz="4" w:space="0"/>
              <w:left w:val="single" w:color="auto" w:sz="4" w:space="0"/>
              <w:bottom w:val="single" w:color="auto" w:sz="4" w:space="0"/>
              <w:right w:val="single" w:color="auto" w:sz="4" w:space="0"/>
            </w:tcBorders>
            <w:vAlign w:val="center"/>
          </w:tcPr>
          <w:p w14:paraId="77CF71A0">
            <w:pPr>
              <w:tabs>
                <w:tab w:val="left" w:pos="4905"/>
              </w:tabs>
              <w:spacing w:line="400" w:lineRule="exact"/>
              <w:jc w:val="center"/>
              <w:rPr>
                <w:rFonts w:hint="eastAsia" w:ascii="仿宋" w:hAnsi="仿宋" w:eastAsia="仿宋" w:cs="仿宋"/>
                <w:color w:val="auto"/>
                <w:sz w:val="24"/>
                <w:highlight w:val="none"/>
              </w:rPr>
            </w:pPr>
          </w:p>
        </w:tc>
      </w:tr>
      <w:tr w14:paraId="748C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76ACAE86">
            <w:pPr>
              <w:tabs>
                <w:tab w:val="left" w:pos="4905"/>
              </w:tabs>
              <w:spacing w:line="400" w:lineRule="exact"/>
              <w:jc w:val="center"/>
              <w:rPr>
                <w:rFonts w:hint="eastAsia" w:ascii="仿宋" w:hAnsi="仿宋" w:eastAsia="仿宋" w:cs="仿宋"/>
                <w:color w:val="auto"/>
                <w:sz w:val="24"/>
                <w:highlight w:val="none"/>
              </w:rPr>
            </w:pPr>
          </w:p>
        </w:tc>
        <w:tc>
          <w:tcPr>
            <w:tcW w:w="3087" w:type="dxa"/>
            <w:tcBorders>
              <w:top w:val="single" w:color="auto" w:sz="4" w:space="0"/>
              <w:left w:val="single" w:color="auto" w:sz="4" w:space="0"/>
              <w:bottom w:val="single" w:color="auto" w:sz="4" w:space="0"/>
              <w:right w:val="single" w:color="auto" w:sz="4" w:space="0"/>
            </w:tcBorders>
            <w:vAlign w:val="center"/>
          </w:tcPr>
          <w:p w14:paraId="52702830">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详细参数可自行加行</w:t>
            </w:r>
          </w:p>
        </w:tc>
        <w:tc>
          <w:tcPr>
            <w:tcW w:w="3818" w:type="dxa"/>
            <w:tcBorders>
              <w:top w:val="single" w:color="auto" w:sz="4" w:space="0"/>
              <w:left w:val="single" w:color="auto" w:sz="4" w:space="0"/>
              <w:bottom w:val="single" w:color="auto" w:sz="4" w:space="0"/>
              <w:right w:val="single" w:color="auto" w:sz="4" w:space="0"/>
            </w:tcBorders>
            <w:vAlign w:val="center"/>
          </w:tcPr>
          <w:p w14:paraId="7C710C21">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0A171D80">
            <w:pPr>
              <w:tabs>
                <w:tab w:val="left" w:pos="4905"/>
              </w:tabs>
              <w:spacing w:line="400" w:lineRule="exact"/>
              <w:jc w:val="center"/>
              <w:rPr>
                <w:rFonts w:hint="eastAsia" w:ascii="仿宋" w:hAnsi="仿宋" w:eastAsia="仿宋" w:cs="仿宋"/>
                <w:color w:val="auto"/>
                <w:sz w:val="24"/>
                <w:highlight w:val="none"/>
              </w:rPr>
            </w:pPr>
          </w:p>
        </w:tc>
      </w:tr>
      <w:tr w14:paraId="44A8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7C0638D8">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087" w:type="dxa"/>
            <w:tcBorders>
              <w:top w:val="single" w:color="auto" w:sz="4" w:space="0"/>
              <w:left w:val="single" w:color="auto" w:sz="4" w:space="0"/>
              <w:bottom w:val="single" w:color="auto" w:sz="4" w:space="0"/>
              <w:right w:val="single" w:color="auto" w:sz="4" w:space="0"/>
            </w:tcBorders>
            <w:vAlign w:val="center"/>
          </w:tcPr>
          <w:p w14:paraId="2018EC68">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请填写售后服务要求</w:t>
            </w:r>
          </w:p>
        </w:tc>
        <w:tc>
          <w:tcPr>
            <w:tcW w:w="3818" w:type="dxa"/>
            <w:tcBorders>
              <w:top w:val="single" w:color="auto" w:sz="4" w:space="0"/>
              <w:left w:val="single" w:color="auto" w:sz="4" w:space="0"/>
              <w:bottom w:val="single" w:color="auto" w:sz="4" w:space="0"/>
              <w:right w:val="single" w:color="auto" w:sz="4" w:space="0"/>
            </w:tcBorders>
            <w:vAlign w:val="center"/>
          </w:tcPr>
          <w:p w14:paraId="0896A3FF">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2119287A">
            <w:pPr>
              <w:tabs>
                <w:tab w:val="left" w:pos="4905"/>
              </w:tabs>
              <w:spacing w:line="400" w:lineRule="exact"/>
              <w:jc w:val="center"/>
              <w:rPr>
                <w:rFonts w:hint="eastAsia" w:ascii="仿宋" w:hAnsi="仿宋" w:eastAsia="仿宋" w:cs="仿宋"/>
                <w:color w:val="auto"/>
                <w:sz w:val="24"/>
                <w:highlight w:val="none"/>
              </w:rPr>
            </w:pPr>
          </w:p>
        </w:tc>
      </w:tr>
      <w:tr w14:paraId="0E73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772C5C80">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087" w:type="dxa"/>
            <w:tcBorders>
              <w:top w:val="single" w:color="auto" w:sz="4" w:space="0"/>
              <w:left w:val="single" w:color="auto" w:sz="4" w:space="0"/>
              <w:bottom w:val="single" w:color="auto" w:sz="4" w:space="0"/>
              <w:right w:val="single" w:color="auto" w:sz="4" w:space="0"/>
            </w:tcBorders>
            <w:vAlign w:val="center"/>
          </w:tcPr>
          <w:p w14:paraId="0AD3F399">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请填写保修期要求</w:t>
            </w:r>
          </w:p>
        </w:tc>
        <w:tc>
          <w:tcPr>
            <w:tcW w:w="3818" w:type="dxa"/>
            <w:tcBorders>
              <w:top w:val="single" w:color="auto" w:sz="4" w:space="0"/>
              <w:left w:val="single" w:color="auto" w:sz="4" w:space="0"/>
              <w:bottom w:val="single" w:color="auto" w:sz="4" w:space="0"/>
              <w:right w:val="single" w:color="auto" w:sz="4" w:space="0"/>
            </w:tcBorders>
            <w:vAlign w:val="center"/>
          </w:tcPr>
          <w:p w14:paraId="06388A0E">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6DCB0694">
            <w:pPr>
              <w:tabs>
                <w:tab w:val="left" w:pos="4905"/>
              </w:tabs>
              <w:spacing w:line="400" w:lineRule="exact"/>
              <w:jc w:val="center"/>
              <w:rPr>
                <w:rFonts w:hint="eastAsia" w:ascii="仿宋" w:hAnsi="仿宋" w:eastAsia="仿宋" w:cs="仿宋"/>
                <w:color w:val="auto"/>
                <w:sz w:val="24"/>
                <w:highlight w:val="none"/>
              </w:rPr>
            </w:pPr>
          </w:p>
        </w:tc>
      </w:tr>
      <w:tr w14:paraId="6BE1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4BD8A2F4">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087" w:type="dxa"/>
            <w:tcBorders>
              <w:top w:val="single" w:color="auto" w:sz="4" w:space="0"/>
              <w:left w:val="single" w:color="auto" w:sz="4" w:space="0"/>
              <w:bottom w:val="single" w:color="auto" w:sz="4" w:space="0"/>
              <w:right w:val="single" w:color="auto" w:sz="4" w:space="0"/>
            </w:tcBorders>
            <w:vAlign w:val="center"/>
          </w:tcPr>
          <w:p w14:paraId="5312933D">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请填写安装要求(如有)</w:t>
            </w:r>
          </w:p>
        </w:tc>
        <w:tc>
          <w:tcPr>
            <w:tcW w:w="3818" w:type="dxa"/>
            <w:tcBorders>
              <w:top w:val="single" w:color="auto" w:sz="4" w:space="0"/>
              <w:left w:val="single" w:color="auto" w:sz="4" w:space="0"/>
              <w:bottom w:val="single" w:color="auto" w:sz="4" w:space="0"/>
              <w:right w:val="single" w:color="auto" w:sz="4" w:space="0"/>
            </w:tcBorders>
            <w:vAlign w:val="center"/>
          </w:tcPr>
          <w:p w14:paraId="56802F70">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366A7949">
            <w:pPr>
              <w:tabs>
                <w:tab w:val="left" w:pos="4905"/>
              </w:tabs>
              <w:spacing w:line="400" w:lineRule="exact"/>
              <w:jc w:val="center"/>
              <w:rPr>
                <w:rFonts w:hint="eastAsia" w:ascii="仿宋" w:hAnsi="仿宋" w:eastAsia="仿宋" w:cs="仿宋"/>
                <w:color w:val="auto"/>
                <w:sz w:val="24"/>
                <w:highlight w:val="none"/>
              </w:rPr>
            </w:pPr>
          </w:p>
        </w:tc>
      </w:tr>
      <w:tr w14:paraId="527A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4121BF60">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3087" w:type="dxa"/>
            <w:tcBorders>
              <w:top w:val="single" w:color="auto" w:sz="4" w:space="0"/>
              <w:left w:val="single" w:color="auto" w:sz="4" w:space="0"/>
              <w:bottom w:val="single" w:color="auto" w:sz="4" w:space="0"/>
              <w:right w:val="single" w:color="auto" w:sz="4" w:space="0"/>
            </w:tcBorders>
            <w:vAlign w:val="center"/>
          </w:tcPr>
          <w:p w14:paraId="6CBB806F">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请填写验收方式要求(如有)</w:t>
            </w:r>
          </w:p>
        </w:tc>
        <w:tc>
          <w:tcPr>
            <w:tcW w:w="3818" w:type="dxa"/>
            <w:tcBorders>
              <w:top w:val="single" w:color="auto" w:sz="4" w:space="0"/>
              <w:left w:val="single" w:color="auto" w:sz="4" w:space="0"/>
              <w:bottom w:val="single" w:color="auto" w:sz="4" w:space="0"/>
              <w:right w:val="single" w:color="auto" w:sz="4" w:space="0"/>
            </w:tcBorders>
            <w:vAlign w:val="center"/>
          </w:tcPr>
          <w:p w14:paraId="4E23883B">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053D472E">
            <w:pPr>
              <w:tabs>
                <w:tab w:val="left" w:pos="4905"/>
              </w:tabs>
              <w:spacing w:line="400" w:lineRule="exact"/>
              <w:jc w:val="center"/>
              <w:rPr>
                <w:rFonts w:hint="eastAsia" w:ascii="仿宋" w:hAnsi="仿宋" w:eastAsia="仿宋" w:cs="仿宋"/>
                <w:color w:val="auto"/>
                <w:sz w:val="24"/>
                <w:highlight w:val="none"/>
              </w:rPr>
            </w:pPr>
          </w:p>
        </w:tc>
      </w:tr>
      <w:tr w14:paraId="1002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50785B00">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3087" w:type="dxa"/>
            <w:tcBorders>
              <w:top w:val="single" w:color="auto" w:sz="4" w:space="0"/>
              <w:left w:val="single" w:color="auto" w:sz="4" w:space="0"/>
              <w:bottom w:val="single" w:color="auto" w:sz="4" w:space="0"/>
              <w:right w:val="single" w:color="auto" w:sz="4" w:space="0"/>
            </w:tcBorders>
            <w:vAlign w:val="center"/>
          </w:tcPr>
          <w:p w14:paraId="1066E9CE">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请填写付款方式要求</w:t>
            </w:r>
          </w:p>
        </w:tc>
        <w:tc>
          <w:tcPr>
            <w:tcW w:w="3818" w:type="dxa"/>
            <w:tcBorders>
              <w:top w:val="single" w:color="auto" w:sz="4" w:space="0"/>
              <w:left w:val="single" w:color="auto" w:sz="4" w:space="0"/>
              <w:bottom w:val="single" w:color="auto" w:sz="4" w:space="0"/>
              <w:right w:val="single" w:color="auto" w:sz="4" w:space="0"/>
            </w:tcBorders>
            <w:vAlign w:val="center"/>
          </w:tcPr>
          <w:p w14:paraId="167F6753">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7FD5F363">
            <w:pPr>
              <w:tabs>
                <w:tab w:val="left" w:pos="4905"/>
              </w:tabs>
              <w:spacing w:line="400" w:lineRule="exact"/>
              <w:jc w:val="center"/>
              <w:rPr>
                <w:rFonts w:hint="eastAsia" w:ascii="仿宋" w:hAnsi="仿宋" w:eastAsia="仿宋" w:cs="仿宋"/>
                <w:color w:val="auto"/>
                <w:sz w:val="24"/>
                <w:highlight w:val="none"/>
              </w:rPr>
            </w:pPr>
          </w:p>
        </w:tc>
      </w:tr>
      <w:tr w14:paraId="1274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1AEF32BD">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3087" w:type="dxa"/>
            <w:tcBorders>
              <w:top w:val="single" w:color="auto" w:sz="4" w:space="0"/>
              <w:left w:val="single" w:color="auto" w:sz="4" w:space="0"/>
              <w:bottom w:val="single" w:color="auto" w:sz="4" w:space="0"/>
              <w:right w:val="single" w:color="auto" w:sz="4" w:space="0"/>
            </w:tcBorders>
            <w:vAlign w:val="center"/>
          </w:tcPr>
          <w:p w14:paraId="3B339E89">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请填写到货期要求</w:t>
            </w:r>
          </w:p>
        </w:tc>
        <w:tc>
          <w:tcPr>
            <w:tcW w:w="3818" w:type="dxa"/>
            <w:tcBorders>
              <w:top w:val="single" w:color="auto" w:sz="4" w:space="0"/>
              <w:left w:val="single" w:color="auto" w:sz="4" w:space="0"/>
              <w:bottom w:val="single" w:color="auto" w:sz="4" w:space="0"/>
              <w:right w:val="single" w:color="auto" w:sz="4" w:space="0"/>
            </w:tcBorders>
            <w:vAlign w:val="center"/>
          </w:tcPr>
          <w:p w14:paraId="121B9DE9">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164AC7CD">
            <w:pPr>
              <w:tabs>
                <w:tab w:val="left" w:pos="4905"/>
              </w:tabs>
              <w:spacing w:line="400" w:lineRule="exact"/>
              <w:jc w:val="center"/>
              <w:rPr>
                <w:rFonts w:hint="eastAsia" w:ascii="仿宋" w:hAnsi="仿宋" w:eastAsia="仿宋" w:cs="仿宋"/>
                <w:color w:val="auto"/>
                <w:sz w:val="24"/>
                <w:highlight w:val="none"/>
              </w:rPr>
            </w:pPr>
          </w:p>
        </w:tc>
      </w:tr>
      <w:tr w14:paraId="7CCA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000EAA23">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3087" w:type="dxa"/>
            <w:tcBorders>
              <w:top w:val="single" w:color="auto" w:sz="4" w:space="0"/>
              <w:left w:val="single" w:color="auto" w:sz="4" w:space="0"/>
              <w:bottom w:val="single" w:color="auto" w:sz="4" w:space="0"/>
              <w:right w:val="single" w:color="auto" w:sz="4" w:space="0"/>
            </w:tcBorders>
            <w:vAlign w:val="center"/>
          </w:tcPr>
          <w:p w14:paraId="096A42E3">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14:paraId="03266E73">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57664D67">
            <w:pPr>
              <w:tabs>
                <w:tab w:val="left" w:pos="4905"/>
              </w:tabs>
              <w:spacing w:line="400" w:lineRule="exact"/>
              <w:jc w:val="center"/>
              <w:rPr>
                <w:rFonts w:hint="eastAsia" w:ascii="仿宋" w:hAnsi="仿宋" w:eastAsia="仿宋" w:cs="仿宋"/>
                <w:color w:val="auto"/>
                <w:sz w:val="24"/>
                <w:highlight w:val="none"/>
              </w:rPr>
            </w:pPr>
          </w:p>
        </w:tc>
      </w:tr>
      <w:tr w14:paraId="58EB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1D5BDC4E">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3087" w:type="dxa"/>
            <w:tcBorders>
              <w:top w:val="single" w:color="auto" w:sz="4" w:space="0"/>
              <w:left w:val="single" w:color="auto" w:sz="4" w:space="0"/>
              <w:bottom w:val="single" w:color="auto" w:sz="4" w:space="0"/>
              <w:right w:val="single" w:color="auto" w:sz="4" w:space="0"/>
            </w:tcBorders>
            <w:vAlign w:val="center"/>
          </w:tcPr>
          <w:p w14:paraId="00961742">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14:paraId="136B0FD6">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180D830B">
            <w:pPr>
              <w:tabs>
                <w:tab w:val="left" w:pos="4905"/>
              </w:tabs>
              <w:spacing w:line="400" w:lineRule="exact"/>
              <w:jc w:val="center"/>
              <w:rPr>
                <w:rFonts w:hint="eastAsia" w:ascii="仿宋" w:hAnsi="仿宋" w:eastAsia="仿宋" w:cs="仿宋"/>
                <w:color w:val="auto"/>
                <w:sz w:val="24"/>
                <w:highlight w:val="none"/>
              </w:rPr>
            </w:pPr>
          </w:p>
        </w:tc>
      </w:tr>
    </w:tbl>
    <w:p w14:paraId="08CE9223">
      <w:pPr>
        <w:tabs>
          <w:tab w:val="left" w:pos="570"/>
        </w:tabs>
        <w:spacing w:line="440" w:lineRule="exact"/>
        <w:ind w:firstLine="120" w:firstLine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注：1.此表须与</w:t>
      </w:r>
      <w:r>
        <w:rPr>
          <w:rFonts w:hint="eastAsia" w:ascii="仿宋" w:hAnsi="仿宋" w:eastAsia="仿宋" w:cs="仿宋"/>
          <w:color w:val="auto"/>
          <w:kern w:val="0"/>
          <w:sz w:val="24"/>
          <w:highlight w:val="none"/>
        </w:rPr>
        <w:t>招标文件“</w:t>
      </w:r>
      <w:r>
        <w:rPr>
          <w:rFonts w:hint="eastAsia" w:ascii="仿宋" w:hAnsi="仿宋" w:eastAsia="仿宋" w:cs="仿宋"/>
          <w:color w:val="auto"/>
          <w:sz w:val="24"/>
          <w:highlight w:val="none"/>
        </w:rPr>
        <w:t>招标项目说明及要求</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相应标项内的所有技术规格相比较且一一对应真实逐条填列。</w:t>
      </w:r>
    </w:p>
    <w:p w14:paraId="31CBC63F">
      <w:pPr>
        <w:tabs>
          <w:tab w:val="left" w:pos="570"/>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2、投标人递交的技术规格书中必须真实逐条列明，否则由投标人自行承担相关风险。</w:t>
      </w:r>
    </w:p>
    <w:p w14:paraId="33FC9683">
      <w:pPr>
        <w:autoSpaceDE w:val="0"/>
        <w:autoSpaceDN w:val="0"/>
        <w:spacing w:line="360" w:lineRule="auto"/>
        <w:ind w:firstLine="5040" w:firstLineChars="2100"/>
        <w:rPr>
          <w:rFonts w:hint="eastAsia" w:ascii="仿宋" w:hAnsi="仿宋" w:eastAsia="仿宋" w:cs="仿宋"/>
          <w:color w:val="auto"/>
          <w:kern w:val="0"/>
          <w:sz w:val="24"/>
          <w:highlight w:val="none"/>
          <w:lang w:val="zh-CN"/>
        </w:rPr>
      </w:pPr>
    </w:p>
    <w:p w14:paraId="62AF0743">
      <w:pPr>
        <w:spacing w:line="360" w:lineRule="auto"/>
        <w:ind w:firstLine="480" w:firstLineChars="200"/>
        <w:rPr>
          <w:rFonts w:hint="eastAsia" w:ascii="仿宋" w:hAnsi="仿宋" w:eastAsia="仿宋" w:cs="仿宋"/>
          <w:color w:val="auto"/>
          <w:sz w:val="24"/>
          <w:szCs w:val="20"/>
          <w:highlight w:val="none"/>
        </w:rPr>
      </w:pPr>
    </w:p>
    <w:p w14:paraId="1AD7BC08">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09AE292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560CC29A">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3DAEC0A3">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14:paraId="35F307DC">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14:paraId="42E2AA82">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14:paraId="38576869">
      <w:pPr>
        <w:spacing w:line="360" w:lineRule="auto"/>
        <w:jc w:val="both"/>
        <w:rPr>
          <w:rFonts w:hint="eastAsia" w:ascii="仿宋" w:hAnsi="仿宋" w:eastAsia="仿宋" w:cs="仿宋"/>
          <w:b/>
          <w:bCs/>
          <w:color w:val="auto"/>
          <w:sz w:val="24"/>
          <w:highlight w:val="none"/>
        </w:rPr>
      </w:pPr>
    </w:p>
    <w:p w14:paraId="39F2F57E">
      <w:pPr>
        <w:spacing w:line="360" w:lineRule="auto"/>
        <w:jc w:val="center"/>
        <w:rPr>
          <w:rFonts w:hint="eastAsia" w:ascii="仿宋" w:hAnsi="仿宋" w:eastAsia="仿宋" w:cs="仿宋"/>
          <w:b/>
          <w:bCs/>
          <w:color w:val="auto"/>
          <w:sz w:val="24"/>
          <w:highlight w:val="none"/>
        </w:rPr>
      </w:pPr>
    </w:p>
    <w:p w14:paraId="6DD479F9">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lang w:val="en-US" w:eastAsia="zh-CN"/>
        </w:rPr>
        <w:t>10</w:t>
      </w:r>
      <w:r>
        <w:rPr>
          <w:rFonts w:hint="eastAsia" w:ascii="仿宋" w:hAnsi="仿宋" w:eastAsia="仿宋" w:cs="仿宋"/>
          <w:b/>
          <w:bCs/>
          <w:color w:val="auto"/>
          <w:sz w:val="32"/>
          <w:szCs w:val="32"/>
          <w:highlight w:val="none"/>
        </w:rPr>
        <w:t>、认为需要的</w:t>
      </w:r>
      <w:r>
        <w:rPr>
          <w:rFonts w:hint="eastAsia" w:ascii="仿宋" w:hAnsi="仿宋" w:eastAsia="仿宋" w:cs="仿宋"/>
          <w:b/>
          <w:color w:val="auto"/>
          <w:kern w:val="0"/>
          <w:sz w:val="32"/>
          <w:szCs w:val="32"/>
          <w:highlight w:val="none"/>
          <w:lang w:val="zh-CN"/>
        </w:rPr>
        <w:t>其他商务技术（资信）文件或说明</w:t>
      </w:r>
    </w:p>
    <w:p w14:paraId="107A2CC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763DE058">
      <w:pPr>
        <w:spacing w:line="360" w:lineRule="auto"/>
        <w:rPr>
          <w:rFonts w:hint="eastAsia" w:ascii="仿宋" w:hAnsi="仿宋" w:eastAsia="仿宋" w:cs="仿宋"/>
          <w:color w:val="auto"/>
          <w:sz w:val="24"/>
          <w:highlight w:val="none"/>
        </w:rPr>
      </w:pPr>
    </w:p>
    <w:p w14:paraId="22F2CFD8">
      <w:pPr>
        <w:spacing w:line="360" w:lineRule="auto"/>
        <w:ind w:firstLine="480" w:firstLineChars="200"/>
        <w:rPr>
          <w:rFonts w:hint="eastAsia" w:ascii="仿宋" w:hAnsi="仿宋" w:eastAsia="仿宋" w:cs="仿宋"/>
          <w:color w:val="auto"/>
          <w:sz w:val="24"/>
          <w:szCs w:val="20"/>
          <w:highlight w:val="none"/>
        </w:rPr>
      </w:pPr>
    </w:p>
    <w:p w14:paraId="5D5B5D56">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5F88850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180A6F66">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4666B671">
      <w:pPr>
        <w:spacing w:line="360" w:lineRule="auto"/>
        <w:rPr>
          <w:rFonts w:hint="eastAsia" w:ascii="仿宋" w:hAnsi="仿宋" w:eastAsia="仿宋" w:cs="仿宋"/>
          <w:color w:val="auto"/>
          <w:kern w:val="0"/>
          <w:sz w:val="24"/>
          <w:highlight w:val="none"/>
          <w:lang w:val="zh-CN"/>
        </w:rPr>
      </w:pPr>
    </w:p>
    <w:p w14:paraId="4BB66BE8">
      <w:pPr>
        <w:spacing w:line="360" w:lineRule="auto"/>
        <w:rPr>
          <w:rFonts w:hint="eastAsia" w:ascii="仿宋" w:hAnsi="仿宋" w:eastAsia="仿宋" w:cs="仿宋"/>
          <w:color w:val="auto"/>
          <w:kern w:val="0"/>
          <w:sz w:val="24"/>
          <w:highlight w:val="none"/>
          <w:lang w:val="zh-CN"/>
        </w:rPr>
      </w:pPr>
    </w:p>
    <w:p w14:paraId="4D4C176D">
      <w:pPr>
        <w:spacing w:line="360" w:lineRule="auto"/>
        <w:rPr>
          <w:rFonts w:hint="eastAsia" w:ascii="仿宋" w:hAnsi="仿宋" w:eastAsia="仿宋" w:cs="仿宋"/>
          <w:color w:val="auto"/>
          <w:kern w:val="0"/>
          <w:sz w:val="24"/>
          <w:highlight w:val="none"/>
          <w:lang w:val="zh-CN"/>
        </w:rPr>
      </w:pPr>
    </w:p>
    <w:p w14:paraId="5F603FEF">
      <w:pPr>
        <w:spacing w:line="360" w:lineRule="auto"/>
        <w:rPr>
          <w:rFonts w:hint="eastAsia" w:ascii="仿宋" w:hAnsi="仿宋" w:eastAsia="仿宋" w:cs="仿宋"/>
          <w:color w:val="auto"/>
          <w:kern w:val="0"/>
          <w:sz w:val="24"/>
          <w:highlight w:val="none"/>
          <w:lang w:val="zh-CN"/>
        </w:rPr>
      </w:pPr>
    </w:p>
    <w:p w14:paraId="518656F6">
      <w:pPr>
        <w:spacing w:line="360" w:lineRule="auto"/>
        <w:rPr>
          <w:rFonts w:hint="eastAsia" w:ascii="仿宋" w:hAnsi="仿宋" w:eastAsia="仿宋" w:cs="仿宋"/>
          <w:color w:val="auto"/>
          <w:kern w:val="0"/>
          <w:sz w:val="24"/>
          <w:highlight w:val="none"/>
          <w:lang w:val="zh-CN"/>
        </w:rPr>
      </w:pPr>
    </w:p>
    <w:p w14:paraId="307764B8">
      <w:pPr>
        <w:spacing w:line="360" w:lineRule="auto"/>
        <w:rPr>
          <w:rFonts w:hint="eastAsia" w:ascii="仿宋" w:hAnsi="仿宋" w:eastAsia="仿宋" w:cs="仿宋"/>
          <w:color w:val="auto"/>
          <w:kern w:val="0"/>
          <w:sz w:val="24"/>
          <w:highlight w:val="none"/>
          <w:lang w:val="zh-CN"/>
        </w:rPr>
      </w:pPr>
    </w:p>
    <w:p w14:paraId="56A43AD9">
      <w:pPr>
        <w:spacing w:line="360" w:lineRule="auto"/>
        <w:rPr>
          <w:rFonts w:hint="eastAsia" w:ascii="仿宋" w:hAnsi="仿宋" w:eastAsia="仿宋" w:cs="仿宋"/>
          <w:color w:val="auto"/>
          <w:kern w:val="0"/>
          <w:sz w:val="24"/>
          <w:highlight w:val="none"/>
          <w:lang w:val="zh-CN"/>
        </w:rPr>
      </w:pPr>
    </w:p>
    <w:p w14:paraId="5A706FDC">
      <w:pPr>
        <w:spacing w:line="360" w:lineRule="auto"/>
        <w:rPr>
          <w:rFonts w:hint="eastAsia" w:ascii="仿宋" w:hAnsi="仿宋" w:eastAsia="仿宋" w:cs="仿宋"/>
          <w:color w:val="auto"/>
          <w:kern w:val="0"/>
          <w:sz w:val="24"/>
          <w:highlight w:val="none"/>
          <w:lang w:val="zh-CN"/>
        </w:rPr>
      </w:pPr>
    </w:p>
    <w:p w14:paraId="0CBC0E50">
      <w:pPr>
        <w:spacing w:line="360" w:lineRule="auto"/>
        <w:rPr>
          <w:rFonts w:hint="eastAsia" w:ascii="仿宋" w:hAnsi="仿宋" w:eastAsia="仿宋" w:cs="仿宋"/>
          <w:color w:val="auto"/>
          <w:kern w:val="0"/>
          <w:sz w:val="24"/>
          <w:highlight w:val="none"/>
          <w:lang w:val="zh-CN"/>
        </w:rPr>
      </w:pPr>
    </w:p>
    <w:p w14:paraId="7B707DAC">
      <w:pPr>
        <w:pStyle w:val="2"/>
        <w:rPr>
          <w:rFonts w:hint="eastAsia" w:ascii="仿宋" w:hAnsi="仿宋" w:eastAsia="仿宋" w:cs="仿宋"/>
          <w:color w:val="auto"/>
          <w:highlight w:val="none"/>
          <w:lang w:val="zh-CN"/>
        </w:rPr>
      </w:pPr>
    </w:p>
    <w:p w14:paraId="77B5352C">
      <w:pPr>
        <w:spacing w:line="360" w:lineRule="auto"/>
        <w:rPr>
          <w:rFonts w:hint="eastAsia" w:ascii="仿宋" w:hAnsi="仿宋" w:eastAsia="仿宋" w:cs="仿宋"/>
          <w:color w:val="auto"/>
          <w:kern w:val="0"/>
          <w:sz w:val="24"/>
          <w:highlight w:val="none"/>
          <w:lang w:val="zh-CN"/>
        </w:rPr>
      </w:pPr>
    </w:p>
    <w:p w14:paraId="0413B455">
      <w:pPr>
        <w:spacing w:line="360" w:lineRule="auto"/>
        <w:rPr>
          <w:rFonts w:hint="eastAsia" w:ascii="仿宋" w:hAnsi="仿宋" w:eastAsia="仿宋" w:cs="仿宋"/>
          <w:b/>
          <w:color w:val="auto"/>
          <w:kern w:val="0"/>
          <w:sz w:val="32"/>
          <w:szCs w:val="32"/>
          <w:highlight w:val="none"/>
          <w:lang w:val="en-US" w:eastAsia="zh-CN"/>
        </w:rPr>
      </w:pPr>
    </w:p>
    <w:p w14:paraId="655A3CA5">
      <w:pPr>
        <w:spacing w:line="360" w:lineRule="auto"/>
        <w:rPr>
          <w:rFonts w:hint="eastAsia" w:ascii="仿宋" w:hAnsi="仿宋" w:eastAsia="仿宋" w:cs="仿宋"/>
          <w:b/>
          <w:color w:val="auto"/>
          <w:kern w:val="0"/>
          <w:sz w:val="32"/>
          <w:szCs w:val="32"/>
          <w:highlight w:val="none"/>
          <w:lang w:val="en-US" w:eastAsia="zh-CN"/>
        </w:rPr>
      </w:pPr>
    </w:p>
    <w:p w14:paraId="583A5E7D">
      <w:pPr>
        <w:spacing w:line="360" w:lineRule="auto"/>
        <w:rPr>
          <w:rFonts w:hint="eastAsia" w:ascii="仿宋" w:hAnsi="仿宋" w:eastAsia="仿宋" w:cs="仿宋"/>
          <w:b/>
          <w:color w:val="auto"/>
          <w:kern w:val="0"/>
          <w:sz w:val="32"/>
          <w:szCs w:val="32"/>
          <w:highlight w:val="none"/>
          <w:lang w:val="en-US" w:eastAsia="zh-CN"/>
        </w:rPr>
      </w:pPr>
    </w:p>
    <w:p w14:paraId="06C0AA05">
      <w:pPr>
        <w:spacing w:line="360" w:lineRule="auto"/>
        <w:rPr>
          <w:rFonts w:hint="eastAsia" w:ascii="仿宋" w:hAnsi="仿宋" w:eastAsia="仿宋" w:cs="仿宋"/>
          <w:b/>
          <w:color w:val="auto"/>
          <w:kern w:val="0"/>
          <w:sz w:val="32"/>
          <w:szCs w:val="32"/>
          <w:highlight w:val="none"/>
          <w:lang w:val="en-US" w:eastAsia="zh-CN"/>
        </w:rPr>
      </w:pPr>
    </w:p>
    <w:p w14:paraId="0C31A1C2">
      <w:pPr>
        <w:spacing w:line="360" w:lineRule="auto"/>
        <w:rPr>
          <w:rFonts w:hint="eastAsia" w:ascii="仿宋" w:hAnsi="仿宋" w:eastAsia="仿宋" w:cs="仿宋"/>
          <w:b/>
          <w:color w:val="auto"/>
          <w:kern w:val="0"/>
          <w:sz w:val="32"/>
          <w:szCs w:val="32"/>
          <w:highlight w:val="none"/>
          <w:lang w:val="en-US" w:eastAsia="zh-CN"/>
        </w:rPr>
      </w:pPr>
    </w:p>
    <w:p w14:paraId="43C4D196">
      <w:pPr>
        <w:spacing w:line="360" w:lineRule="auto"/>
        <w:rPr>
          <w:rFonts w:hint="eastAsia" w:ascii="仿宋" w:hAnsi="仿宋" w:eastAsia="仿宋" w:cs="仿宋"/>
          <w:b/>
          <w:color w:val="auto"/>
          <w:kern w:val="0"/>
          <w:sz w:val="32"/>
          <w:szCs w:val="32"/>
          <w:highlight w:val="none"/>
          <w:lang w:val="en-US" w:eastAsia="zh-CN"/>
        </w:rPr>
      </w:pPr>
    </w:p>
    <w:p w14:paraId="4ED6B303">
      <w:pPr>
        <w:spacing w:line="360" w:lineRule="auto"/>
        <w:rPr>
          <w:rFonts w:hint="eastAsia" w:ascii="仿宋" w:hAnsi="仿宋" w:eastAsia="仿宋" w:cs="仿宋"/>
          <w:b/>
          <w:color w:val="auto"/>
          <w:kern w:val="0"/>
          <w:sz w:val="32"/>
          <w:szCs w:val="32"/>
          <w:highlight w:val="none"/>
          <w:lang w:val="en-US" w:eastAsia="zh-CN"/>
        </w:rPr>
      </w:pPr>
    </w:p>
    <w:p w14:paraId="5AAF6DDF">
      <w:pPr>
        <w:spacing w:line="360" w:lineRule="auto"/>
        <w:rPr>
          <w:rFonts w:hint="eastAsia" w:ascii="仿宋" w:hAnsi="仿宋" w:eastAsia="仿宋" w:cs="仿宋"/>
          <w:b/>
          <w:color w:val="auto"/>
          <w:kern w:val="0"/>
          <w:sz w:val="32"/>
          <w:szCs w:val="32"/>
          <w:highlight w:val="none"/>
          <w:lang w:val="en-US" w:eastAsia="zh-CN"/>
        </w:rPr>
      </w:pPr>
    </w:p>
    <w:p w14:paraId="3ABDD3C5">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en-US" w:eastAsia="zh-CN"/>
        </w:rPr>
        <w:t>11</w:t>
      </w:r>
      <w:r>
        <w:rPr>
          <w:rFonts w:hint="eastAsia" w:ascii="仿宋" w:hAnsi="仿宋" w:eastAsia="仿宋" w:cs="仿宋"/>
          <w:b/>
          <w:color w:val="auto"/>
          <w:kern w:val="0"/>
          <w:sz w:val="32"/>
          <w:szCs w:val="32"/>
          <w:highlight w:val="none"/>
          <w:lang w:val="zh-CN"/>
        </w:rPr>
        <w:t>、联合协议</w:t>
      </w:r>
    </w:p>
    <w:p w14:paraId="5D6B8D92">
      <w:pPr>
        <w:widowControl/>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5482158E">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 xml:space="preserve">投标。 </w:t>
      </w:r>
    </w:p>
    <w:p w14:paraId="64463238">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30A3F15D">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授权代表根据招标文件规定及投标内容而对采购人、采购机构所作的任何合法承诺，包括书面澄清及相应等均对联合投标各方产生约束力。</w:t>
      </w:r>
    </w:p>
    <w:p w14:paraId="2BB4D322">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r>
        <w:rPr>
          <w:rFonts w:hint="eastAsia" w:ascii="仿宋" w:hAnsi="仿宋" w:eastAsia="仿宋" w:cs="仿宋"/>
          <w:color w:val="auto"/>
          <w:kern w:val="0"/>
          <w:sz w:val="24"/>
          <w:highlight w:val="none"/>
          <w:u w:val="single"/>
        </w:rPr>
        <w:t>（联合体其中一方成员名称）</w:t>
      </w:r>
      <w:r>
        <w:rPr>
          <w:rFonts w:hint="eastAsia" w:ascii="仿宋" w:hAnsi="仿宋" w:eastAsia="仿宋" w:cs="仿宋"/>
          <w:color w:val="auto"/>
          <w:kern w:val="0"/>
          <w:sz w:val="24"/>
          <w:highlight w:val="none"/>
          <w:lang w:val="zh-CN"/>
        </w:rPr>
        <w:t>承担的工作和义务为：</w:t>
      </w:r>
      <w:r>
        <w:rPr>
          <w:rFonts w:hint="eastAsia" w:ascii="仿宋" w:hAnsi="仿宋" w:eastAsia="仿宋" w:cs="仿宋"/>
          <w:color w:val="auto"/>
          <w:highlight w:val="none"/>
          <w:u w:val="single"/>
        </w:rPr>
        <w:t xml:space="preserve">             </w:t>
      </w:r>
      <w:r>
        <w:rPr>
          <w:rFonts w:hint="eastAsia" w:ascii="仿宋" w:hAnsi="仿宋" w:eastAsia="仿宋" w:cs="仿宋"/>
          <w:color w:val="auto"/>
          <w:kern w:val="0"/>
          <w:sz w:val="24"/>
          <w:highlight w:val="none"/>
          <w:lang w:val="zh-CN"/>
        </w:rPr>
        <w:t>；……。</w:t>
      </w:r>
    </w:p>
    <w:p w14:paraId="73960375">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7635BE0D">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五、有关本次联合投标的其他事宜：</w:t>
      </w:r>
    </w:p>
    <w:p w14:paraId="0DCE8C73">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1、联合体各方不再单独参加或者与其他供应商另外组成联合体参加同一合同项下的政府采购活动。</w:t>
      </w:r>
    </w:p>
    <w:p w14:paraId="29D4BA56">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234C5503">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3、本协议提交采购人、采购机构后，联合体各方不得以任何形式对上述内容进行修改或撤销。</w:t>
      </w:r>
    </w:p>
    <w:p w14:paraId="5C692E63">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联合体成员名称(盖章/公章)：</w:t>
      </w:r>
    </w:p>
    <w:p w14:paraId="3F306434">
      <w:pP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7D49A4F3">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60DA220E">
      <w:pPr>
        <w:snapToGrid w:val="0"/>
        <w:spacing w:line="360" w:lineRule="auto"/>
        <w:ind w:right="480"/>
        <w:rPr>
          <w:rFonts w:hint="eastAsia" w:ascii="仿宋" w:hAnsi="仿宋" w:eastAsia="仿宋" w:cs="仿宋"/>
          <w:b/>
          <w:color w:val="auto"/>
          <w:kern w:val="0"/>
          <w:sz w:val="32"/>
          <w:szCs w:val="32"/>
          <w:highlight w:val="none"/>
          <w:lang w:val="zh-CN"/>
        </w:rPr>
        <w:sectPr>
          <w:pgSz w:w="11906" w:h="16838"/>
          <w:pgMar w:top="1276" w:right="1418" w:bottom="1247" w:left="1418" w:header="851" w:footer="992" w:gutter="0"/>
          <w:cols w:space="720" w:num="1"/>
          <w:titlePg/>
          <w:docGrid w:linePitch="312" w:charSpace="0"/>
        </w:sectPr>
      </w:pPr>
    </w:p>
    <w:p w14:paraId="29DA5645">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en-US" w:eastAsia="zh-CN"/>
        </w:rPr>
        <w:t>12</w:t>
      </w:r>
      <w:r>
        <w:rPr>
          <w:rFonts w:hint="eastAsia" w:ascii="仿宋" w:hAnsi="仿宋" w:eastAsia="仿宋" w:cs="仿宋"/>
          <w:b/>
          <w:color w:val="auto"/>
          <w:kern w:val="0"/>
          <w:sz w:val="32"/>
          <w:szCs w:val="32"/>
          <w:highlight w:val="none"/>
          <w:lang w:val="zh-CN"/>
        </w:rPr>
        <w:t>、分包意向协议</w:t>
      </w:r>
    </w:p>
    <w:p w14:paraId="28AF75BC">
      <w:pPr>
        <w:widowControl/>
        <w:spacing w:line="360" w:lineRule="auto"/>
        <w:ind w:firstLine="120" w:firstLine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4E53C85B">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 xml:space="preserve">。 </w:t>
      </w:r>
    </w:p>
    <w:p w14:paraId="273D05F4">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79DF1BE6">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（某分包供应商名称）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（某分包供应商名称），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hint="eastAsia"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1295ABF8">
      <w:pPr>
        <w:snapToGrid w:val="0"/>
        <w:spacing w:line="360" w:lineRule="auto"/>
        <w:ind w:firstLine="576"/>
        <w:rPr>
          <w:rFonts w:hint="eastAsia" w:ascii="仿宋" w:hAnsi="仿宋" w:eastAsia="仿宋" w:cs="仿宋"/>
          <w:color w:val="auto"/>
          <w:highlight w:val="none"/>
        </w:rPr>
      </w:pPr>
      <w:r>
        <w:rPr>
          <w:rFonts w:hint="eastAsia" w:ascii="仿宋" w:hAnsi="仿宋" w:eastAsia="仿宋" w:cs="仿宋"/>
          <w:color w:val="auto"/>
          <w:kern w:val="0"/>
          <w:sz w:val="24"/>
          <w:highlight w:val="none"/>
        </w:rPr>
        <w:t>……</w:t>
      </w:r>
    </w:p>
    <w:p w14:paraId="69EE6369">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二、分包工作履行期限、地点、方式</w:t>
      </w:r>
    </w:p>
    <w:p w14:paraId="73B2D469">
      <w:pPr>
        <w:snapToGrid w:val="0"/>
        <w:spacing w:line="360" w:lineRule="auto"/>
        <w:ind w:firstLine="576"/>
        <w:rPr>
          <w:rFonts w:hint="eastAsia" w:ascii="仿宋" w:hAnsi="仿宋" w:eastAsia="仿宋" w:cs="仿宋"/>
          <w:color w:val="auto"/>
          <w:highlight w:val="none"/>
          <w:u w:val="single"/>
        </w:rPr>
      </w:pPr>
      <w:r>
        <w:rPr>
          <w:rFonts w:hint="eastAsia" w:ascii="仿宋" w:hAnsi="仿宋" w:eastAsia="仿宋" w:cs="仿宋"/>
          <w:color w:val="auto"/>
          <w:highlight w:val="none"/>
          <w:u w:val="single"/>
        </w:rPr>
        <w:t xml:space="preserve">                                                                                  </w:t>
      </w:r>
    </w:p>
    <w:p w14:paraId="10176973">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三、质量</w:t>
      </w:r>
    </w:p>
    <w:p w14:paraId="19B8181E">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2366E0CB">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四、价款或者报酬</w:t>
      </w:r>
    </w:p>
    <w:p w14:paraId="49A9C7FD">
      <w:pPr>
        <w:snapToGrid w:val="0"/>
        <w:spacing w:line="360" w:lineRule="auto"/>
        <w:ind w:left="573" w:leftChars="273"/>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103DDFE6">
      <w:pPr>
        <w:snapToGrid w:val="0"/>
        <w:spacing w:line="360" w:lineRule="auto"/>
        <w:ind w:left="573" w:leftChars="273"/>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五、违约责任</w:t>
      </w:r>
    </w:p>
    <w:p w14:paraId="59B74205">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3699E481">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六、争议解决的办法</w:t>
      </w:r>
    </w:p>
    <w:p w14:paraId="537C108A">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7E8780EA">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投标人名称(盖章)：</w:t>
      </w:r>
    </w:p>
    <w:p w14:paraId="7C325FE6">
      <w:pPr>
        <w:snapToGrid w:val="0"/>
        <w:spacing w:line="360" w:lineRule="auto"/>
        <w:ind w:firstLine="5640" w:firstLineChars="23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p>
    <w:p w14:paraId="23592F16">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13EDA555">
      <w:pPr>
        <w:adjustRightInd w:val="0"/>
        <w:snapToGrid w:val="0"/>
        <w:spacing w:before="50" w:after="50" w:line="360" w:lineRule="auto"/>
        <w:jc w:val="center"/>
        <w:rPr>
          <w:rFonts w:hint="eastAsia" w:ascii="仿宋" w:hAnsi="仿宋" w:eastAsia="仿宋" w:cs="仿宋"/>
          <w:b/>
          <w:color w:val="auto"/>
          <w:kern w:val="0"/>
          <w:sz w:val="32"/>
          <w:szCs w:val="32"/>
          <w:highlight w:val="none"/>
          <w:lang w:val="zh-CN"/>
        </w:rPr>
      </w:pPr>
    </w:p>
    <w:p w14:paraId="797D6A82">
      <w:pPr>
        <w:pStyle w:val="2"/>
        <w:rPr>
          <w:rFonts w:hint="eastAsia" w:ascii="仿宋" w:hAnsi="仿宋" w:eastAsia="仿宋" w:cs="仿宋"/>
          <w:b/>
          <w:color w:val="auto"/>
          <w:kern w:val="0"/>
          <w:sz w:val="32"/>
          <w:szCs w:val="32"/>
          <w:highlight w:val="none"/>
          <w:lang w:val="zh-CN"/>
        </w:rPr>
      </w:pPr>
    </w:p>
    <w:p w14:paraId="522F02EB">
      <w:pPr>
        <w:rPr>
          <w:rFonts w:hint="eastAsia" w:ascii="仿宋" w:hAnsi="仿宋" w:eastAsia="仿宋" w:cs="仿宋"/>
          <w:b/>
          <w:color w:val="auto"/>
          <w:kern w:val="0"/>
          <w:sz w:val="32"/>
          <w:szCs w:val="32"/>
          <w:highlight w:val="none"/>
          <w:lang w:val="zh-CN"/>
        </w:rPr>
      </w:pPr>
    </w:p>
    <w:p w14:paraId="289E05CB">
      <w:pPr>
        <w:pStyle w:val="2"/>
        <w:rPr>
          <w:rFonts w:hint="eastAsia" w:ascii="仿宋" w:hAnsi="仿宋" w:eastAsia="仿宋" w:cs="仿宋"/>
          <w:b/>
          <w:color w:val="auto"/>
          <w:kern w:val="0"/>
          <w:sz w:val="32"/>
          <w:szCs w:val="32"/>
          <w:highlight w:val="none"/>
          <w:lang w:val="zh-CN"/>
        </w:rPr>
      </w:pPr>
    </w:p>
    <w:p w14:paraId="3561F670">
      <w:pPr>
        <w:rPr>
          <w:rFonts w:hint="eastAsia" w:ascii="仿宋" w:hAnsi="仿宋" w:eastAsia="仿宋" w:cs="仿宋"/>
          <w:color w:val="auto"/>
          <w:highlight w:val="none"/>
          <w:lang w:val="zh-CN"/>
        </w:rPr>
      </w:pPr>
    </w:p>
    <w:p w14:paraId="4A1AAA6D">
      <w:pPr>
        <w:pageBreakBefore/>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业务专用章使用说明函</w:t>
      </w:r>
    </w:p>
    <w:p w14:paraId="0EBC034D">
      <w:pPr>
        <w:spacing w:line="360" w:lineRule="auto"/>
        <w:rPr>
          <w:rFonts w:hint="eastAsia" w:ascii="仿宋" w:hAnsi="仿宋" w:eastAsia="仿宋" w:cs="仿宋"/>
          <w:color w:val="auto"/>
          <w:sz w:val="24"/>
          <w:highlight w:val="none"/>
          <w:u w:val="single"/>
        </w:rPr>
      </w:pPr>
    </w:p>
    <w:p w14:paraId="0F5B125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718A2BD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kern w:val="0"/>
          <w:sz w:val="24"/>
          <w:highlight w:val="none"/>
          <w:u w:val="single"/>
          <w:lang w:val="zh-CN"/>
        </w:rPr>
        <w:t xml:space="preserve">                         </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你方组织的（项目名称）项目【招标编号：（采购编号）】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41B1E74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特此说明。</w:t>
      </w:r>
    </w:p>
    <w:p w14:paraId="0E64B30C">
      <w:pPr>
        <w:spacing w:line="360" w:lineRule="auto"/>
        <w:ind w:firstLine="494"/>
        <w:rPr>
          <w:rFonts w:hint="eastAsia" w:ascii="仿宋" w:hAnsi="仿宋" w:eastAsia="仿宋" w:cs="仿宋"/>
          <w:color w:val="auto"/>
          <w:sz w:val="24"/>
          <w:highlight w:val="none"/>
        </w:rPr>
      </w:pPr>
    </w:p>
    <w:p w14:paraId="5587B8A6">
      <w:pPr>
        <w:spacing w:line="360" w:lineRule="auto"/>
        <w:ind w:firstLine="494"/>
        <w:rPr>
          <w:rFonts w:hint="eastAsia" w:ascii="仿宋" w:hAnsi="仿宋" w:eastAsia="仿宋" w:cs="仿宋"/>
          <w:color w:val="auto"/>
          <w:sz w:val="24"/>
          <w:highlight w:val="none"/>
        </w:rPr>
      </w:pPr>
    </w:p>
    <w:p w14:paraId="0DE2E916">
      <w:pPr>
        <w:spacing w:line="360" w:lineRule="auto"/>
        <w:ind w:firstLine="494"/>
        <w:rPr>
          <w:rFonts w:hint="eastAsia" w:ascii="仿宋" w:hAnsi="仿宋" w:eastAsia="仿宋" w:cs="仿宋"/>
          <w:color w:val="auto"/>
          <w:sz w:val="24"/>
          <w:highlight w:val="none"/>
        </w:rPr>
      </w:pPr>
    </w:p>
    <w:p w14:paraId="0489BCA9">
      <w:pPr>
        <w:spacing w:line="360" w:lineRule="auto"/>
        <w:ind w:firstLine="494"/>
        <w:rPr>
          <w:rFonts w:hint="eastAsia" w:ascii="仿宋" w:hAnsi="仿宋" w:eastAsia="仿宋" w:cs="仿宋"/>
          <w:color w:val="auto"/>
          <w:sz w:val="24"/>
          <w:highlight w:val="none"/>
        </w:rPr>
      </w:pPr>
    </w:p>
    <w:p w14:paraId="4983D198">
      <w:pPr>
        <w:spacing w:line="360" w:lineRule="auto"/>
        <w:ind w:right="480" w:firstLine="4080" w:firstLineChars="17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78E96A0B">
      <w:pPr>
        <w:ind w:right="1440" w:firstLine="494"/>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C8431E9">
      <w:pPr>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附：</w:t>
      </w:r>
    </w:p>
    <w:p w14:paraId="51B2496E">
      <w:pPr>
        <w:spacing w:line="360" w:lineRule="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pict>
          <v:rect id="Rectangle 17" o:spid="_x0000_s2082" o:spt="1" style="position:absolute;left:0pt;margin-left:238.9pt;margin-top:28.05pt;height:177.45pt;width:212.95pt;z-index:-251657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">
            <v:path/>
            <v:fill focussize="0,0"/>
            <v:stroke miterlimit="2"/>
            <v:imagedata o:title=""/>
            <o:lock v:ext="edit"/>
          </v:rect>
        </w:pict>
      </w:r>
      <w:r>
        <w:rPr>
          <w:rFonts w:hint="eastAsia" w:ascii="仿宋" w:hAnsi="仿宋" w:eastAsia="仿宋" w:cs="仿宋"/>
          <w:b/>
          <w:bCs/>
          <w:color w:val="auto"/>
          <w:sz w:val="24"/>
          <w:highlight w:val="none"/>
        </w:rPr>
        <w:pict>
          <v:rect id="Rectangle 16" o:spid="_x0000_s2083" o:spt="1" style="position:absolute;left:0pt;margin-left:-7.2pt;margin-top:30.3pt;height:177.45pt;width:208.5pt;z-index:-251656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">
            <v:path/>
            <v:fill focussize="0,0"/>
            <v:stroke miterlimit="2"/>
            <v:imagedata o:title=""/>
            <o:lock v:ext="edit"/>
          </v:rect>
        </w:pict>
      </w:r>
      <w:r>
        <w:rPr>
          <w:rFonts w:hint="eastAsia" w:ascii="仿宋" w:hAnsi="仿宋" w:eastAsia="仿宋" w:cs="仿宋"/>
          <w:color w:val="auto"/>
          <w:sz w:val="24"/>
          <w:highlight w:val="none"/>
        </w:rPr>
        <w:t>投标单位法定名称章（印模）                投标单位“XX专用章”（印模）</w:t>
      </w:r>
    </w:p>
    <w:p w14:paraId="5449803C">
      <w:pPr>
        <w:jc w:val="center"/>
        <w:rPr>
          <w:rFonts w:hint="eastAsia" w:ascii="仿宋" w:hAnsi="仿宋" w:eastAsia="仿宋" w:cs="仿宋"/>
          <w:b/>
          <w:bCs/>
          <w:color w:val="auto"/>
          <w:sz w:val="44"/>
          <w:szCs w:val="44"/>
          <w:highlight w:val="none"/>
        </w:rPr>
      </w:pPr>
    </w:p>
    <w:p w14:paraId="0D80CA40">
      <w:pPr>
        <w:jc w:val="center"/>
        <w:rPr>
          <w:rFonts w:hint="eastAsia" w:ascii="仿宋" w:hAnsi="仿宋" w:eastAsia="仿宋" w:cs="仿宋"/>
          <w:b/>
          <w:bCs/>
          <w:color w:val="auto"/>
          <w:sz w:val="44"/>
          <w:szCs w:val="44"/>
          <w:highlight w:val="none"/>
        </w:rPr>
      </w:pPr>
    </w:p>
    <w:p w14:paraId="39CACCAE">
      <w:pPr>
        <w:jc w:val="center"/>
        <w:rPr>
          <w:rFonts w:hint="eastAsia" w:ascii="仿宋" w:hAnsi="仿宋" w:eastAsia="仿宋" w:cs="仿宋"/>
          <w:b/>
          <w:bCs/>
          <w:color w:val="auto"/>
          <w:sz w:val="44"/>
          <w:szCs w:val="44"/>
          <w:highlight w:val="none"/>
        </w:rPr>
      </w:pPr>
    </w:p>
    <w:p w14:paraId="04B025DD">
      <w:pPr>
        <w:jc w:val="center"/>
        <w:rPr>
          <w:rFonts w:hint="eastAsia" w:ascii="仿宋" w:hAnsi="仿宋" w:eastAsia="仿宋" w:cs="仿宋"/>
          <w:b/>
          <w:bCs/>
          <w:color w:val="auto"/>
          <w:sz w:val="44"/>
          <w:szCs w:val="44"/>
          <w:highlight w:val="none"/>
        </w:rPr>
      </w:pPr>
    </w:p>
    <w:p w14:paraId="1187B0F6">
      <w:pPr>
        <w:jc w:val="center"/>
        <w:rPr>
          <w:rFonts w:hint="eastAsia" w:ascii="仿宋" w:hAnsi="仿宋" w:eastAsia="仿宋" w:cs="仿宋"/>
          <w:b/>
          <w:bCs/>
          <w:color w:val="auto"/>
          <w:sz w:val="44"/>
          <w:szCs w:val="44"/>
          <w:highlight w:val="none"/>
        </w:rPr>
      </w:pPr>
    </w:p>
    <w:p w14:paraId="2B33AA18">
      <w:pPr>
        <w:jc w:val="center"/>
        <w:rPr>
          <w:rFonts w:hint="eastAsia" w:ascii="仿宋" w:hAnsi="仿宋" w:eastAsia="仿宋" w:cs="仿宋"/>
          <w:b/>
          <w:bCs/>
          <w:color w:val="auto"/>
          <w:sz w:val="44"/>
          <w:szCs w:val="44"/>
          <w:highlight w:val="none"/>
        </w:rPr>
      </w:pPr>
    </w:p>
    <w:p w14:paraId="11B3A47F">
      <w:pPr>
        <w:jc w:val="center"/>
        <w:rPr>
          <w:rFonts w:hint="eastAsia" w:ascii="仿宋" w:hAnsi="仿宋" w:eastAsia="仿宋" w:cs="仿宋"/>
          <w:b/>
          <w:bCs/>
          <w:color w:val="auto"/>
          <w:sz w:val="44"/>
          <w:szCs w:val="44"/>
          <w:highlight w:val="none"/>
        </w:rPr>
      </w:pPr>
    </w:p>
    <w:p w14:paraId="0006D5CB">
      <w:pPr>
        <w:jc w:val="center"/>
        <w:rPr>
          <w:rFonts w:hint="eastAsia" w:ascii="仿宋" w:hAnsi="仿宋" w:eastAsia="仿宋" w:cs="仿宋"/>
          <w:b/>
          <w:bCs/>
          <w:color w:val="auto"/>
          <w:sz w:val="44"/>
          <w:szCs w:val="44"/>
          <w:highlight w:val="none"/>
        </w:rPr>
      </w:pPr>
    </w:p>
    <w:p w14:paraId="21FA6BA9">
      <w:pPr>
        <w:jc w:val="center"/>
        <w:rPr>
          <w:rFonts w:hint="eastAsia" w:ascii="仿宋" w:hAnsi="仿宋" w:eastAsia="仿宋" w:cs="仿宋"/>
          <w:b/>
          <w:bCs/>
          <w:color w:val="auto"/>
          <w:sz w:val="44"/>
          <w:szCs w:val="44"/>
          <w:highlight w:val="none"/>
        </w:rPr>
      </w:pPr>
    </w:p>
    <w:p w14:paraId="12706054">
      <w:pPr>
        <w:jc w:val="both"/>
        <w:rPr>
          <w:rFonts w:hint="eastAsia" w:ascii="仿宋" w:hAnsi="仿宋" w:eastAsia="仿宋" w:cs="仿宋"/>
          <w:b/>
          <w:bCs/>
          <w:color w:val="auto"/>
          <w:sz w:val="44"/>
          <w:szCs w:val="44"/>
          <w:highlight w:val="none"/>
        </w:rPr>
      </w:pPr>
    </w:p>
    <w:p w14:paraId="7FEEAFFA">
      <w:pPr>
        <w:pageBreakBefore/>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14:paraId="56C1A21C">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一、质疑供应商基本信息</w:t>
      </w:r>
    </w:p>
    <w:p w14:paraId="197D94D5">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14:paraId="55B41B12">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21B7EA96">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362A19CF">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14:paraId="3A428B17">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 xml:space="preserve"> </w:t>
      </w:r>
    </w:p>
    <w:p w14:paraId="05C8AC79">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地址：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2D754BC3">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二、质疑项目基本情况</w:t>
      </w:r>
    </w:p>
    <w:p w14:paraId="33E4D974">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14:paraId="44287609">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14:paraId="4D9D376D">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14:paraId="5F614EA0">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14:paraId="68DDB408">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三、质疑事项具体内容</w:t>
      </w:r>
    </w:p>
    <w:p w14:paraId="47169D92">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14:paraId="07D3B08E">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14:paraId="3C15E2F9">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dotted"/>
        </w:rPr>
        <w:t xml:space="preserve">                                                       </w:t>
      </w:r>
    </w:p>
    <w:p w14:paraId="6A61E089">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14:paraId="636A56F0">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u w:val="dotted"/>
        </w:rPr>
        <w:t xml:space="preserve">                                                     </w:t>
      </w:r>
    </w:p>
    <w:p w14:paraId="6F8219B8">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14:paraId="35780F2D">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14:paraId="0ABC50BC">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四、与质疑事项相关的质疑请求</w:t>
      </w:r>
    </w:p>
    <w:p w14:paraId="43B2BA0F">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14:paraId="3DCD4F25">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签字(签章)：                   公章：                      </w:t>
      </w:r>
    </w:p>
    <w:p w14:paraId="180F4709">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日期：    </w:t>
      </w:r>
    </w:p>
    <w:p w14:paraId="5A647757">
      <w:pPr>
        <w:adjustRightInd w:val="0"/>
        <w:snapToGrid w:val="0"/>
        <w:spacing w:line="360" w:lineRule="auto"/>
        <w:rPr>
          <w:rFonts w:hint="eastAsia" w:ascii="仿宋" w:hAnsi="仿宋" w:eastAsia="仿宋" w:cs="仿宋"/>
          <w:color w:val="auto"/>
          <w:sz w:val="32"/>
          <w:szCs w:val="32"/>
          <w:highlight w:val="none"/>
        </w:rPr>
      </w:pPr>
    </w:p>
    <w:p w14:paraId="478FC8AF">
      <w:pPr>
        <w:adjustRightInd w:val="0"/>
        <w:snapToGrid w:val="0"/>
        <w:spacing w:line="360" w:lineRule="auto"/>
        <w:rPr>
          <w:rFonts w:hint="eastAsia" w:ascii="仿宋" w:hAnsi="仿宋" w:eastAsia="仿宋" w:cs="仿宋"/>
          <w:color w:val="auto"/>
          <w:sz w:val="32"/>
          <w:szCs w:val="32"/>
          <w:highlight w:val="none"/>
        </w:rPr>
      </w:pPr>
    </w:p>
    <w:p w14:paraId="09A23589">
      <w:pPr>
        <w:jc w:val="center"/>
        <w:rPr>
          <w:rFonts w:hint="eastAsia" w:ascii="仿宋" w:hAnsi="仿宋" w:eastAsia="仿宋" w:cs="仿宋"/>
          <w:b/>
          <w:bCs/>
          <w:color w:val="auto"/>
          <w:sz w:val="32"/>
          <w:szCs w:val="32"/>
          <w:highlight w:val="none"/>
        </w:rPr>
      </w:pPr>
    </w:p>
    <w:p w14:paraId="64688418">
      <w:pPr>
        <w:jc w:val="center"/>
        <w:rPr>
          <w:rFonts w:hint="eastAsia" w:ascii="仿宋" w:hAnsi="仿宋" w:eastAsia="仿宋" w:cs="仿宋"/>
          <w:b/>
          <w:bCs/>
          <w:color w:val="auto"/>
          <w:sz w:val="32"/>
          <w:szCs w:val="32"/>
          <w:highlight w:val="none"/>
        </w:rPr>
      </w:pPr>
    </w:p>
    <w:p w14:paraId="6F7028F6">
      <w:pPr>
        <w:jc w:val="center"/>
        <w:rPr>
          <w:rFonts w:hint="eastAsia" w:ascii="仿宋" w:hAnsi="仿宋" w:eastAsia="仿宋" w:cs="仿宋"/>
          <w:b/>
          <w:bCs/>
          <w:color w:val="auto"/>
          <w:sz w:val="32"/>
          <w:szCs w:val="32"/>
          <w:highlight w:val="none"/>
        </w:rPr>
      </w:pPr>
    </w:p>
    <w:p w14:paraId="3D9EEA69">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质疑函制作说明：</w:t>
      </w:r>
    </w:p>
    <w:p w14:paraId="024E287A">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1.供应商提出质疑时，应提交质疑函和必要的证明材料。</w:t>
      </w:r>
    </w:p>
    <w:p w14:paraId="3CECA313">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32"/>
          <w:szCs w:val="32"/>
          <w:highlight w:val="none"/>
        </w:rPr>
        <w:t>供应商签署的授权委托书。授权委托书应载明代理人的姓名或者名称、代理事项、具体权限、期限和相关事项。</w:t>
      </w:r>
    </w:p>
    <w:p w14:paraId="1D5FE332">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3.质疑供应商若对项目的某一分包进行质疑，质疑函中应列明具体分包号。</w:t>
      </w:r>
    </w:p>
    <w:p w14:paraId="21530BED">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4.质疑函的质疑事项应具体、明确，并有必要的事实依据和法律依据。</w:t>
      </w:r>
    </w:p>
    <w:p w14:paraId="77658EFC">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5.质疑函的质疑请求应与质疑事项相关。</w:t>
      </w:r>
    </w:p>
    <w:p w14:paraId="1BE47EA4">
      <w:pPr>
        <w:widowControl/>
        <w:ind w:firstLine="64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sectPr>
      <w:headerReference r:id="rId7" w:type="default"/>
      <w:footerReference r:id="rId8" w:type="default"/>
      <w:footerReference r:id="rId9" w:type="even"/>
      <w:pgSz w:w="11906" w:h="16838"/>
      <w:pgMar w:top="1440" w:right="1558" w:bottom="1246" w:left="1758" w:header="1021" w:footer="90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Lucida Sans">
    <w:panose1 w:val="020B0602030504020204"/>
    <w:charset w:val="00"/>
    <w:family w:val="swiss"/>
    <w:pitch w:val="default"/>
    <w:sig w:usb0="00000003" w:usb1="00000000" w:usb2="00000000" w:usb3="00000000" w:csb0="20000001" w:csb1="00000000"/>
  </w:font>
  <w:font w:name="Helvetica Neue">
    <w:altName w:val="Times New Roman"/>
    <w:panose1 w:val="00000000000000000000"/>
    <w:charset w:val="00"/>
    <w:family w:val="auto"/>
    <w:pitch w:val="default"/>
    <w:sig w:usb0="00000000" w:usb1="00000000" w:usb2="00000010" w:usb3="00000000" w:csb0="0000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8D344">
    <w:pPr>
      <w:pStyle w:val="2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87</w:t>
    </w:r>
    <w:r>
      <w:rPr>
        <w:rFonts w:hint="eastAsia" w:ascii="仿宋_GB2312" w:eastAsia="仿宋_GB2312"/>
        <w:kern w:val="0"/>
      </w:rPr>
      <w:fldChar w:fldCharType="end"/>
    </w:r>
    <w:r>
      <w:rPr>
        <w:rFonts w:hint="eastAsia" w:ascii="仿宋_GB2312" w:eastAsia="仿宋_GB2312"/>
        <w:kern w:val="0"/>
      </w:rPr>
      <w:t xml:space="preserve"> 页</w:t>
    </w:r>
  </w:p>
  <w:p w14:paraId="1421ACA1">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B1628">
    <w:pPr>
      <w:pStyle w:val="2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6</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w:t>
    </w:r>
  </w:p>
  <w:p w14:paraId="24E27BF2">
    <w:pP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8CE2C">
    <w:pPr>
      <w:pStyle w:val="2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78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78</w:t>
    </w:r>
    <w:r>
      <w:rPr>
        <w:rFonts w:hint="eastAsia" w:ascii="仿宋_GB2312" w:eastAsia="仿宋_GB2312"/>
        <w:kern w:val="0"/>
      </w:rPr>
      <w:fldChar w:fldCharType="end"/>
    </w:r>
    <w:r>
      <w:rPr>
        <w:rFonts w:hint="eastAsia" w:ascii="仿宋_GB2312" w:eastAsia="仿宋_GB2312"/>
        <w:kern w:val="0"/>
      </w:rPr>
      <w:t xml:space="preserve"> 页</w:t>
    </w:r>
  </w:p>
  <w:p w14:paraId="310527B6">
    <w:pP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CEA0F">
    <w:pPr>
      <w:pStyle w:val="2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w:t>
    </w:r>
  </w:p>
  <w:p w14:paraId="2A2F3C56">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A847">
    <w:pPr>
      <w:pStyle w:val="29"/>
      <w:framePr w:wrap="around" w:vAnchor="text" w:hAnchor="margin" w:xAlign="center" w:y="1"/>
      <w:rPr>
        <w:rStyle w:val="48"/>
      </w:rPr>
    </w:pPr>
    <w:r>
      <w:rPr>
        <w:rStyle w:val="48"/>
      </w:rPr>
      <w:fldChar w:fldCharType="begin"/>
    </w:r>
    <w:r>
      <w:rPr>
        <w:rStyle w:val="48"/>
      </w:rPr>
      <w:instrText xml:space="preserve">PAGE  </w:instrText>
    </w:r>
    <w:r>
      <w:rPr>
        <w:rStyle w:val="48"/>
      </w:rPr>
      <w:fldChar w:fldCharType="end"/>
    </w:r>
  </w:p>
  <w:p w14:paraId="7B628BBC">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A9FDA">
    <w:pPr>
      <w:pStyle w:val="3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E5E9F">
    <w:pPr>
      <w:pStyle w:val="3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AFB1FF"/>
    <w:multiLevelType w:val="singleLevel"/>
    <w:tmpl w:val="8EAFB1FF"/>
    <w:lvl w:ilvl="0" w:tentative="0">
      <w:start w:val="8"/>
      <w:numFmt w:val="decimal"/>
      <w:suff w:val="space"/>
      <w:lvlText w:val="%1."/>
      <w:lvlJc w:val="left"/>
    </w:lvl>
  </w:abstractNum>
  <w:abstractNum w:abstractNumId="1">
    <w:nsid w:val="AFB45AF8"/>
    <w:multiLevelType w:val="singleLevel"/>
    <w:tmpl w:val="AFB45AF8"/>
    <w:lvl w:ilvl="0" w:tentative="0">
      <w:start w:val="4"/>
      <w:numFmt w:val="decimal"/>
      <w:lvlText w:val="%1."/>
      <w:lvlJc w:val="left"/>
      <w:pPr>
        <w:tabs>
          <w:tab w:val="left" w:pos="312"/>
        </w:tabs>
      </w:pPr>
    </w:lvl>
  </w:abstractNum>
  <w:abstractNum w:abstractNumId="2">
    <w:nsid w:val="FFFFFF7E"/>
    <w:multiLevelType w:val="singleLevel"/>
    <w:tmpl w:val="FFFFFF7E"/>
    <w:lvl w:ilvl="0" w:tentative="0">
      <w:start w:val="1"/>
      <w:numFmt w:val="decimal"/>
      <w:pStyle w:val="8"/>
      <w:lvlText w:val="%1."/>
      <w:lvlJc w:val="left"/>
      <w:pPr>
        <w:tabs>
          <w:tab w:val="left" w:pos="1200"/>
        </w:tabs>
        <w:ind w:left="1200" w:leftChars="400" w:hanging="360" w:hangingChars="200"/>
      </w:pPr>
    </w:lvl>
  </w:abstractNum>
  <w:abstractNum w:abstractNumId="3">
    <w:nsid w:val="FFFFFF88"/>
    <w:multiLevelType w:val="singleLevel"/>
    <w:tmpl w:val="FFFFFF88"/>
    <w:lvl w:ilvl="0" w:tentative="0">
      <w:start w:val="1"/>
      <w:numFmt w:val="decimal"/>
      <w:pStyle w:val="5"/>
      <w:lvlText w:val="%1."/>
      <w:lvlJc w:val="left"/>
      <w:pPr>
        <w:tabs>
          <w:tab w:val="left" w:pos="360"/>
        </w:tabs>
        <w:ind w:left="360" w:hanging="360" w:hangingChars="200"/>
      </w:pPr>
    </w:lvl>
  </w:abstractNum>
  <w:abstractNum w:abstractNumId="4">
    <w:nsid w:val="3C0975EF"/>
    <w:multiLevelType w:val="multilevel"/>
    <w:tmpl w:val="3C0975EF"/>
    <w:lvl w:ilvl="0" w:tentative="0">
      <w:start w:val="1"/>
      <w:numFmt w:val="decimal"/>
      <w:pStyle w:val="293"/>
      <w:lvlText w:val="%1."/>
      <w:lvlJc w:val="left"/>
      <w:pPr>
        <w:ind w:left="425" w:hanging="425"/>
      </w:pPr>
    </w:lvl>
    <w:lvl w:ilvl="1" w:tentative="0">
      <w:start w:val="1"/>
      <w:numFmt w:val="decimal"/>
      <w:pStyle w:val="292"/>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5">
    <w:nsid w:val="5CB017FC"/>
    <w:multiLevelType w:val="multilevel"/>
    <w:tmpl w:val="5CB017FC"/>
    <w:lvl w:ilvl="0" w:tentative="0">
      <w:start w:val="1"/>
      <w:numFmt w:val="decimal"/>
      <w:pStyle w:val="4"/>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pStyle w:val="9"/>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A383B68"/>
    <w:multiLevelType w:val="singleLevel"/>
    <w:tmpl w:val="6A383B68"/>
    <w:lvl w:ilvl="0" w:tentative="0">
      <w:start w:val="1"/>
      <w:numFmt w:val="upperLetter"/>
      <w:pStyle w:val="10"/>
      <w:lvlText w:val="%1、"/>
      <w:lvlJc w:val="left"/>
      <w:pPr>
        <w:tabs>
          <w:tab w:val="left" w:pos="405"/>
        </w:tabs>
        <w:ind w:left="405" w:hanging="405"/>
      </w:pPr>
    </w:lvl>
  </w:abstractNum>
  <w:abstractNum w:abstractNumId="7">
    <w:nsid w:val="72696FE3"/>
    <w:multiLevelType w:val="multilevel"/>
    <w:tmpl w:val="72696FE3"/>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3"/>
  </w:num>
  <w:num w:numId="3">
    <w:abstractNumId w:val="2"/>
  </w:num>
  <w:num w:numId="4">
    <w:abstractNumId w:val="6"/>
  </w:num>
  <w:num w:numId="5">
    <w:abstractNumId w:val="4"/>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GYyNDI4Y2IxMzIyNGZhMzZhOGE3ZmI1MGMzMjliZWEifQ=="/>
  </w:docVars>
  <w:rsids>
    <w:rsidRoot w:val="00417C8A"/>
    <w:rsid w:val="00002EF8"/>
    <w:rsid w:val="00003B69"/>
    <w:rsid w:val="00005125"/>
    <w:rsid w:val="0000551C"/>
    <w:rsid w:val="00010C9A"/>
    <w:rsid w:val="00010FC1"/>
    <w:rsid w:val="0001278F"/>
    <w:rsid w:val="00020031"/>
    <w:rsid w:val="0002045E"/>
    <w:rsid w:val="00021D87"/>
    <w:rsid w:val="0002203D"/>
    <w:rsid w:val="0002468D"/>
    <w:rsid w:val="00025A9F"/>
    <w:rsid w:val="00026762"/>
    <w:rsid w:val="00030A0F"/>
    <w:rsid w:val="00031F75"/>
    <w:rsid w:val="000329A7"/>
    <w:rsid w:val="00033D7B"/>
    <w:rsid w:val="000402F5"/>
    <w:rsid w:val="00040A03"/>
    <w:rsid w:val="00047118"/>
    <w:rsid w:val="00047D3B"/>
    <w:rsid w:val="0005172F"/>
    <w:rsid w:val="000517D0"/>
    <w:rsid w:val="00051C47"/>
    <w:rsid w:val="00052DCC"/>
    <w:rsid w:val="000535F4"/>
    <w:rsid w:val="000541AB"/>
    <w:rsid w:val="00056199"/>
    <w:rsid w:val="0005700A"/>
    <w:rsid w:val="0006049D"/>
    <w:rsid w:val="0006344A"/>
    <w:rsid w:val="0006392C"/>
    <w:rsid w:val="000643A5"/>
    <w:rsid w:val="00065197"/>
    <w:rsid w:val="000657C6"/>
    <w:rsid w:val="00065EFB"/>
    <w:rsid w:val="00067FB2"/>
    <w:rsid w:val="000702AD"/>
    <w:rsid w:val="0007066D"/>
    <w:rsid w:val="00074373"/>
    <w:rsid w:val="000751F9"/>
    <w:rsid w:val="00075850"/>
    <w:rsid w:val="0007656E"/>
    <w:rsid w:val="000812D0"/>
    <w:rsid w:val="00082DC1"/>
    <w:rsid w:val="00083E93"/>
    <w:rsid w:val="00083EB1"/>
    <w:rsid w:val="00087605"/>
    <w:rsid w:val="00092B23"/>
    <w:rsid w:val="00092E7F"/>
    <w:rsid w:val="000933A2"/>
    <w:rsid w:val="0009629C"/>
    <w:rsid w:val="00096D24"/>
    <w:rsid w:val="00097421"/>
    <w:rsid w:val="00097868"/>
    <w:rsid w:val="0009797B"/>
    <w:rsid w:val="000A0868"/>
    <w:rsid w:val="000A1F26"/>
    <w:rsid w:val="000A3FC5"/>
    <w:rsid w:val="000A4017"/>
    <w:rsid w:val="000A5AC0"/>
    <w:rsid w:val="000B0284"/>
    <w:rsid w:val="000B14AE"/>
    <w:rsid w:val="000B1744"/>
    <w:rsid w:val="000B1D0B"/>
    <w:rsid w:val="000B2A94"/>
    <w:rsid w:val="000B2D29"/>
    <w:rsid w:val="000B625B"/>
    <w:rsid w:val="000C14CF"/>
    <w:rsid w:val="000C1F3C"/>
    <w:rsid w:val="000C3344"/>
    <w:rsid w:val="000C5A53"/>
    <w:rsid w:val="000C5F21"/>
    <w:rsid w:val="000D0E6C"/>
    <w:rsid w:val="000D110F"/>
    <w:rsid w:val="000D122E"/>
    <w:rsid w:val="000D1267"/>
    <w:rsid w:val="000D1ACF"/>
    <w:rsid w:val="000D1D59"/>
    <w:rsid w:val="000D2699"/>
    <w:rsid w:val="000D3FC1"/>
    <w:rsid w:val="000D42A6"/>
    <w:rsid w:val="000D4D0E"/>
    <w:rsid w:val="000D716C"/>
    <w:rsid w:val="000E1C88"/>
    <w:rsid w:val="000E308A"/>
    <w:rsid w:val="000E3723"/>
    <w:rsid w:val="000E4A4F"/>
    <w:rsid w:val="000E5C9B"/>
    <w:rsid w:val="000E6F8C"/>
    <w:rsid w:val="000E72A0"/>
    <w:rsid w:val="000F0D59"/>
    <w:rsid w:val="000F51A7"/>
    <w:rsid w:val="000F5EF4"/>
    <w:rsid w:val="000F7FA8"/>
    <w:rsid w:val="001023D9"/>
    <w:rsid w:val="00102FA0"/>
    <w:rsid w:val="00103B47"/>
    <w:rsid w:val="00104327"/>
    <w:rsid w:val="00104663"/>
    <w:rsid w:val="00104806"/>
    <w:rsid w:val="00104A07"/>
    <w:rsid w:val="0010763D"/>
    <w:rsid w:val="00111E93"/>
    <w:rsid w:val="00112B08"/>
    <w:rsid w:val="00114BF9"/>
    <w:rsid w:val="00114C81"/>
    <w:rsid w:val="00115363"/>
    <w:rsid w:val="001166CC"/>
    <w:rsid w:val="00116EDA"/>
    <w:rsid w:val="0012018C"/>
    <w:rsid w:val="00120D86"/>
    <w:rsid w:val="001259AD"/>
    <w:rsid w:val="00125D70"/>
    <w:rsid w:val="00126CDE"/>
    <w:rsid w:val="00132EE2"/>
    <w:rsid w:val="001345B3"/>
    <w:rsid w:val="0013527E"/>
    <w:rsid w:val="00135455"/>
    <w:rsid w:val="00137525"/>
    <w:rsid w:val="0014024E"/>
    <w:rsid w:val="0014242C"/>
    <w:rsid w:val="0014545F"/>
    <w:rsid w:val="00145D25"/>
    <w:rsid w:val="00154591"/>
    <w:rsid w:val="00154E3A"/>
    <w:rsid w:val="00156633"/>
    <w:rsid w:val="00157269"/>
    <w:rsid w:val="0015771E"/>
    <w:rsid w:val="00157914"/>
    <w:rsid w:val="00157EB1"/>
    <w:rsid w:val="00157FB7"/>
    <w:rsid w:val="00160B0A"/>
    <w:rsid w:val="00161F66"/>
    <w:rsid w:val="00162DD9"/>
    <w:rsid w:val="001637A2"/>
    <w:rsid w:val="00163B9C"/>
    <w:rsid w:val="00165068"/>
    <w:rsid w:val="001657B2"/>
    <w:rsid w:val="00171701"/>
    <w:rsid w:val="0017455C"/>
    <w:rsid w:val="00174F52"/>
    <w:rsid w:val="001751A8"/>
    <w:rsid w:val="0018130F"/>
    <w:rsid w:val="00181544"/>
    <w:rsid w:val="00181887"/>
    <w:rsid w:val="00182D73"/>
    <w:rsid w:val="0018376B"/>
    <w:rsid w:val="001841D9"/>
    <w:rsid w:val="00184C15"/>
    <w:rsid w:val="00185F55"/>
    <w:rsid w:val="001866C4"/>
    <w:rsid w:val="001866FC"/>
    <w:rsid w:val="001873DB"/>
    <w:rsid w:val="00187AB1"/>
    <w:rsid w:val="0019064E"/>
    <w:rsid w:val="00190DB7"/>
    <w:rsid w:val="00191263"/>
    <w:rsid w:val="00191BE8"/>
    <w:rsid w:val="00191EE1"/>
    <w:rsid w:val="00193494"/>
    <w:rsid w:val="00194583"/>
    <w:rsid w:val="0019471E"/>
    <w:rsid w:val="00197955"/>
    <w:rsid w:val="001A0C24"/>
    <w:rsid w:val="001A15C0"/>
    <w:rsid w:val="001A4123"/>
    <w:rsid w:val="001A4A9D"/>
    <w:rsid w:val="001A6712"/>
    <w:rsid w:val="001A7E2A"/>
    <w:rsid w:val="001B1392"/>
    <w:rsid w:val="001B2461"/>
    <w:rsid w:val="001B2770"/>
    <w:rsid w:val="001B485F"/>
    <w:rsid w:val="001B4C51"/>
    <w:rsid w:val="001B589D"/>
    <w:rsid w:val="001B70E5"/>
    <w:rsid w:val="001C07C7"/>
    <w:rsid w:val="001C4733"/>
    <w:rsid w:val="001C57F3"/>
    <w:rsid w:val="001C5AA3"/>
    <w:rsid w:val="001C6042"/>
    <w:rsid w:val="001C6EC1"/>
    <w:rsid w:val="001D24BB"/>
    <w:rsid w:val="001D30DD"/>
    <w:rsid w:val="001D3CEA"/>
    <w:rsid w:val="001D43F0"/>
    <w:rsid w:val="001D6ED7"/>
    <w:rsid w:val="001D76A1"/>
    <w:rsid w:val="001E3B20"/>
    <w:rsid w:val="001E4A9F"/>
    <w:rsid w:val="001F14C4"/>
    <w:rsid w:val="001F2767"/>
    <w:rsid w:val="001F429B"/>
    <w:rsid w:val="001F43C6"/>
    <w:rsid w:val="001F4C63"/>
    <w:rsid w:val="001F661E"/>
    <w:rsid w:val="001F7E31"/>
    <w:rsid w:val="00201062"/>
    <w:rsid w:val="0020236F"/>
    <w:rsid w:val="00204DA6"/>
    <w:rsid w:val="0020567D"/>
    <w:rsid w:val="002056F9"/>
    <w:rsid w:val="002062F2"/>
    <w:rsid w:val="0020786F"/>
    <w:rsid w:val="002102AD"/>
    <w:rsid w:val="00210450"/>
    <w:rsid w:val="002105F0"/>
    <w:rsid w:val="00212B8F"/>
    <w:rsid w:val="00213AC9"/>
    <w:rsid w:val="00214C2B"/>
    <w:rsid w:val="00214D48"/>
    <w:rsid w:val="0022062E"/>
    <w:rsid w:val="002212C4"/>
    <w:rsid w:val="00223848"/>
    <w:rsid w:val="00223A5B"/>
    <w:rsid w:val="00224A52"/>
    <w:rsid w:val="002261D7"/>
    <w:rsid w:val="002266CD"/>
    <w:rsid w:val="0022698F"/>
    <w:rsid w:val="00230A8D"/>
    <w:rsid w:val="00231CB7"/>
    <w:rsid w:val="00233356"/>
    <w:rsid w:val="00235AC1"/>
    <w:rsid w:val="0023638E"/>
    <w:rsid w:val="00240411"/>
    <w:rsid w:val="00243D9A"/>
    <w:rsid w:val="002442F3"/>
    <w:rsid w:val="00244766"/>
    <w:rsid w:val="00247AB8"/>
    <w:rsid w:val="00251888"/>
    <w:rsid w:val="00256069"/>
    <w:rsid w:val="0025660E"/>
    <w:rsid w:val="00256A92"/>
    <w:rsid w:val="0025749B"/>
    <w:rsid w:val="002608A0"/>
    <w:rsid w:val="00260A0D"/>
    <w:rsid w:val="00262E82"/>
    <w:rsid w:val="00264B31"/>
    <w:rsid w:val="00264FFB"/>
    <w:rsid w:val="00266447"/>
    <w:rsid w:val="00267D7C"/>
    <w:rsid w:val="00270E20"/>
    <w:rsid w:val="00271324"/>
    <w:rsid w:val="002714BE"/>
    <w:rsid w:val="00272379"/>
    <w:rsid w:val="00274B01"/>
    <w:rsid w:val="00274D38"/>
    <w:rsid w:val="00274F24"/>
    <w:rsid w:val="00275F7B"/>
    <w:rsid w:val="002826DA"/>
    <w:rsid w:val="002827A8"/>
    <w:rsid w:val="00283EAF"/>
    <w:rsid w:val="002857D3"/>
    <w:rsid w:val="002860D2"/>
    <w:rsid w:val="00286495"/>
    <w:rsid w:val="0029132F"/>
    <w:rsid w:val="00291839"/>
    <w:rsid w:val="00291D57"/>
    <w:rsid w:val="002945E5"/>
    <w:rsid w:val="00295DD9"/>
    <w:rsid w:val="00297560"/>
    <w:rsid w:val="002A0921"/>
    <w:rsid w:val="002A13E9"/>
    <w:rsid w:val="002A168D"/>
    <w:rsid w:val="002A22BB"/>
    <w:rsid w:val="002A2667"/>
    <w:rsid w:val="002A3119"/>
    <w:rsid w:val="002A41C9"/>
    <w:rsid w:val="002A4A75"/>
    <w:rsid w:val="002A5124"/>
    <w:rsid w:val="002A683A"/>
    <w:rsid w:val="002A6BAE"/>
    <w:rsid w:val="002A7EFA"/>
    <w:rsid w:val="002B0298"/>
    <w:rsid w:val="002B186A"/>
    <w:rsid w:val="002B1BA5"/>
    <w:rsid w:val="002B3711"/>
    <w:rsid w:val="002B37F5"/>
    <w:rsid w:val="002B484B"/>
    <w:rsid w:val="002B4A4B"/>
    <w:rsid w:val="002B5650"/>
    <w:rsid w:val="002B6B66"/>
    <w:rsid w:val="002B78AF"/>
    <w:rsid w:val="002C0C85"/>
    <w:rsid w:val="002C2C53"/>
    <w:rsid w:val="002C3804"/>
    <w:rsid w:val="002D2F86"/>
    <w:rsid w:val="002D5386"/>
    <w:rsid w:val="002D6849"/>
    <w:rsid w:val="002D6DC6"/>
    <w:rsid w:val="002D7C56"/>
    <w:rsid w:val="002E2586"/>
    <w:rsid w:val="002E2C11"/>
    <w:rsid w:val="002E34F4"/>
    <w:rsid w:val="002E35C4"/>
    <w:rsid w:val="002E3ED5"/>
    <w:rsid w:val="002E4DCA"/>
    <w:rsid w:val="002E6CF6"/>
    <w:rsid w:val="002E7ADA"/>
    <w:rsid w:val="002F2363"/>
    <w:rsid w:val="002F34ED"/>
    <w:rsid w:val="002F3755"/>
    <w:rsid w:val="002F3F13"/>
    <w:rsid w:val="002F40C5"/>
    <w:rsid w:val="002F4354"/>
    <w:rsid w:val="002F439D"/>
    <w:rsid w:val="002F5A63"/>
    <w:rsid w:val="002F7932"/>
    <w:rsid w:val="003006C3"/>
    <w:rsid w:val="00302020"/>
    <w:rsid w:val="00302514"/>
    <w:rsid w:val="00307917"/>
    <w:rsid w:val="00310479"/>
    <w:rsid w:val="00310AA4"/>
    <w:rsid w:val="0031167A"/>
    <w:rsid w:val="00316329"/>
    <w:rsid w:val="003214B7"/>
    <w:rsid w:val="00322583"/>
    <w:rsid w:val="00322E59"/>
    <w:rsid w:val="00323729"/>
    <w:rsid w:val="00323B52"/>
    <w:rsid w:val="00323E60"/>
    <w:rsid w:val="003250A1"/>
    <w:rsid w:val="0032527D"/>
    <w:rsid w:val="0032789C"/>
    <w:rsid w:val="00327C7D"/>
    <w:rsid w:val="003302F0"/>
    <w:rsid w:val="00331BAF"/>
    <w:rsid w:val="00332DA4"/>
    <w:rsid w:val="00334BC7"/>
    <w:rsid w:val="00334D58"/>
    <w:rsid w:val="00334D83"/>
    <w:rsid w:val="00334E51"/>
    <w:rsid w:val="003371DD"/>
    <w:rsid w:val="003406B5"/>
    <w:rsid w:val="003413F9"/>
    <w:rsid w:val="0034305B"/>
    <w:rsid w:val="00347CAD"/>
    <w:rsid w:val="00350E72"/>
    <w:rsid w:val="00351EEF"/>
    <w:rsid w:val="0035254A"/>
    <w:rsid w:val="003565A0"/>
    <w:rsid w:val="003618CE"/>
    <w:rsid w:val="00365766"/>
    <w:rsid w:val="00365F56"/>
    <w:rsid w:val="003670EB"/>
    <w:rsid w:val="00367EAB"/>
    <w:rsid w:val="0037319B"/>
    <w:rsid w:val="0037368A"/>
    <w:rsid w:val="00373C67"/>
    <w:rsid w:val="00375107"/>
    <w:rsid w:val="0037517D"/>
    <w:rsid w:val="003822F9"/>
    <w:rsid w:val="00384E3C"/>
    <w:rsid w:val="00385323"/>
    <w:rsid w:val="0039130B"/>
    <w:rsid w:val="00391E7C"/>
    <w:rsid w:val="00393589"/>
    <w:rsid w:val="00393A4C"/>
    <w:rsid w:val="003949AE"/>
    <w:rsid w:val="00395601"/>
    <w:rsid w:val="003A137B"/>
    <w:rsid w:val="003A19D2"/>
    <w:rsid w:val="003A3963"/>
    <w:rsid w:val="003A3C9C"/>
    <w:rsid w:val="003A546B"/>
    <w:rsid w:val="003A74F5"/>
    <w:rsid w:val="003B0D07"/>
    <w:rsid w:val="003B1CEB"/>
    <w:rsid w:val="003B24CA"/>
    <w:rsid w:val="003B2A7E"/>
    <w:rsid w:val="003B2B02"/>
    <w:rsid w:val="003B4EAE"/>
    <w:rsid w:val="003B5786"/>
    <w:rsid w:val="003B774D"/>
    <w:rsid w:val="003B7907"/>
    <w:rsid w:val="003C46C5"/>
    <w:rsid w:val="003C4B74"/>
    <w:rsid w:val="003C527A"/>
    <w:rsid w:val="003C5AA7"/>
    <w:rsid w:val="003C637D"/>
    <w:rsid w:val="003C67A8"/>
    <w:rsid w:val="003C7A48"/>
    <w:rsid w:val="003C7F20"/>
    <w:rsid w:val="003D10C3"/>
    <w:rsid w:val="003D1A22"/>
    <w:rsid w:val="003D2496"/>
    <w:rsid w:val="003D3253"/>
    <w:rsid w:val="003D7052"/>
    <w:rsid w:val="003E074D"/>
    <w:rsid w:val="003E0777"/>
    <w:rsid w:val="003E2D56"/>
    <w:rsid w:val="003E4007"/>
    <w:rsid w:val="003E5724"/>
    <w:rsid w:val="003E6C02"/>
    <w:rsid w:val="003F2982"/>
    <w:rsid w:val="003F4084"/>
    <w:rsid w:val="003F77E0"/>
    <w:rsid w:val="00400057"/>
    <w:rsid w:val="00400777"/>
    <w:rsid w:val="00400B4D"/>
    <w:rsid w:val="00400BD4"/>
    <w:rsid w:val="004014D1"/>
    <w:rsid w:val="00403FEC"/>
    <w:rsid w:val="00404284"/>
    <w:rsid w:val="00407D88"/>
    <w:rsid w:val="004109FD"/>
    <w:rsid w:val="0041394C"/>
    <w:rsid w:val="00413B7A"/>
    <w:rsid w:val="00414412"/>
    <w:rsid w:val="0041460B"/>
    <w:rsid w:val="00414F64"/>
    <w:rsid w:val="004166D1"/>
    <w:rsid w:val="00417C8A"/>
    <w:rsid w:val="0042094B"/>
    <w:rsid w:val="0042136D"/>
    <w:rsid w:val="00424C70"/>
    <w:rsid w:val="0042557D"/>
    <w:rsid w:val="00426003"/>
    <w:rsid w:val="00426B45"/>
    <w:rsid w:val="00426CA3"/>
    <w:rsid w:val="00427B10"/>
    <w:rsid w:val="004350B7"/>
    <w:rsid w:val="004357E0"/>
    <w:rsid w:val="0043766D"/>
    <w:rsid w:val="00437F79"/>
    <w:rsid w:val="00441896"/>
    <w:rsid w:val="00442935"/>
    <w:rsid w:val="0044422F"/>
    <w:rsid w:val="004443C5"/>
    <w:rsid w:val="004446D7"/>
    <w:rsid w:val="00445C1C"/>
    <w:rsid w:val="00447789"/>
    <w:rsid w:val="004513F6"/>
    <w:rsid w:val="00451D55"/>
    <w:rsid w:val="00457231"/>
    <w:rsid w:val="00457BF2"/>
    <w:rsid w:val="004600A6"/>
    <w:rsid w:val="00460793"/>
    <w:rsid w:val="00461637"/>
    <w:rsid w:val="00463E5C"/>
    <w:rsid w:val="00464359"/>
    <w:rsid w:val="00465D0D"/>
    <w:rsid w:val="00467CFF"/>
    <w:rsid w:val="0047117D"/>
    <w:rsid w:val="00471407"/>
    <w:rsid w:val="00471DA5"/>
    <w:rsid w:val="00472E4E"/>
    <w:rsid w:val="0047483C"/>
    <w:rsid w:val="00474BED"/>
    <w:rsid w:val="004766EE"/>
    <w:rsid w:val="00476C0B"/>
    <w:rsid w:val="00476E9A"/>
    <w:rsid w:val="00477EFE"/>
    <w:rsid w:val="00480DE4"/>
    <w:rsid w:val="004832BC"/>
    <w:rsid w:val="00485E04"/>
    <w:rsid w:val="00486B01"/>
    <w:rsid w:val="00487465"/>
    <w:rsid w:val="004939A7"/>
    <w:rsid w:val="00495C9D"/>
    <w:rsid w:val="00497699"/>
    <w:rsid w:val="00497DB2"/>
    <w:rsid w:val="004A0174"/>
    <w:rsid w:val="004A236E"/>
    <w:rsid w:val="004A3418"/>
    <w:rsid w:val="004A403F"/>
    <w:rsid w:val="004A51BA"/>
    <w:rsid w:val="004A5DF1"/>
    <w:rsid w:val="004A6677"/>
    <w:rsid w:val="004A7A78"/>
    <w:rsid w:val="004B1F57"/>
    <w:rsid w:val="004B3B15"/>
    <w:rsid w:val="004B5136"/>
    <w:rsid w:val="004B5B9E"/>
    <w:rsid w:val="004B701A"/>
    <w:rsid w:val="004C0238"/>
    <w:rsid w:val="004C0EE6"/>
    <w:rsid w:val="004C1C20"/>
    <w:rsid w:val="004C3EFB"/>
    <w:rsid w:val="004C40D8"/>
    <w:rsid w:val="004C47F0"/>
    <w:rsid w:val="004C5147"/>
    <w:rsid w:val="004C541A"/>
    <w:rsid w:val="004C6D62"/>
    <w:rsid w:val="004D017A"/>
    <w:rsid w:val="004D0304"/>
    <w:rsid w:val="004D0DB1"/>
    <w:rsid w:val="004D0EA8"/>
    <w:rsid w:val="004D103A"/>
    <w:rsid w:val="004D2D24"/>
    <w:rsid w:val="004D314A"/>
    <w:rsid w:val="004D4938"/>
    <w:rsid w:val="004D5FE6"/>
    <w:rsid w:val="004D609E"/>
    <w:rsid w:val="004E05D9"/>
    <w:rsid w:val="004E0E2C"/>
    <w:rsid w:val="004E1AB8"/>
    <w:rsid w:val="004E2D4B"/>
    <w:rsid w:val="004E4899"/>
    <w:rsid w:val="004E7CD7"/>
    <w:rsid w:val="004F3734"/>
    <w:rsid w:val="004F69CA"/>
    <w:rsid w:val="004F7507"/>
    <w:rsid w:val="004F7995"/>
    <w:rsid w:val="00503D74"/>
    <w:rsid w:val="005041C0"/>
    <w:rsid w:val="005048EE"/>
    <w:rsid w:val="0050570A"/>
    <w:rsid w:val="0050629F"/>
    <w:rsid w:val="0051262C"/>
    <w:rsid w:val="00512768"/>
    <w:rsid w:val="00513DE6"/>
    <w:rsid w:val="005144B2"/>
    <w:rsid w:val="00517733"/>
    <w:rsid w:val="005215F9"/>
    <w:rsid w:val="00522169"/>
    <w:rsid w:val="005230CA"/>
    <w:rsid w:val="0052340D"/>
    <w:rsid w:val="0052376F"/>
    <w:rsid w:val="00524FD6"/>
    <w:rsid w:val="00527E1C"/>
    <w:rsid w:val="00532937"/>
    <w:rsid w:val="00532B60"/>
    <w:rsid w:val="005351C1"/>
    <w:rsid w:val="00536FBF"/>
    <w:rsid w:val="0054018C"/>
    <w:rsid w:val="005410BB"/>
    <w:rsid w:val="00541A02"/>
    <w:rsid w:val="00543426"/>
    <w:rsid w:val="00544130"/>
    <w:rsid w:val="005459FE"/>
    <w:rsid w:val="00545F40"/>
    <w:rsid w:val="00552D57"/>
    <w:rsid w:val="00553FE7"/>
    <w:rsid w:val="0055544C"/>
    <w:rsid w:val="00555780"/>
    <w:rsid w:val="00556840"/>
    <w:rsid w:val="00557737"/>
    <w:rsid w:val="0056065C"/>
    <w:rsid w:val="005634CB"/>
    <w:rsid w:val="00565EF8"/>
    <w:rsid w:val="00566FBC"/>
    <w:rsid w:val="00567005"/>
    <w:rsid w:val="005671CA"/>
    <w:rsid w:val="0057066B"/>
    <w:rsid w:val="00570DFC"/>
    <w:rsid w:val="00570F4A"/>
    <w:rsid w:val="00572BAD"/>
    <w:rsid w:val="00573677"/>
    <w:rsid w:val="005738F4"/>
    <w:rsid w:val="00573BCB"/>
    <w:rsid w:val="00576529"/>
    <w:rsid w:val="00576EFE"/>
    <w:rsid w:val="005770CA"/>
    <w:rsid w:val="005817DD"/>
    <w:rsid w:val="00585233"/>
    <w:rsid w:val="00585D7E"/>
    <w:rsid w:val="0058680D"/>
    <w:rsid w:val="00586C3A"/>
    <w:rsid w:val="005879E7"/>
    <w:rsid w:val="00590A70"/>
    <w:rsid w:val="00591190"/>
    <w:rsid w:val="00591584"/>
    <w:rsid w:val="00594CDD"/>
    <w:rsid w:val="00595AB2"/>
    <w:rsid w:val="005A14E8"/>
    <w:rsid w:val="005A3003"/>
    <w:rsid w:val="005A32FB"/>
    <w:rsid w:val="005A3E6E"/>
    <w:rsid w:val="005A7A4A"/>
    <w:rsid w:val="005B180C"/>
    <w:rsid w:val="005C2908"/>
    <w:rsid w:val="005C30CF"/>
    <w:rsid w:val="005C3154"/>
    <w:rsid w:val="005C3A22"/>
    <w:rsid w:val="005C54A7"/>
    <w:rsid w:val="005C6EE6"/>
    <w:rsid w:val="005C6F10"/>
    <w:rsid w:val="005D0155"/>
    <w:rsid w:val="005D2F62"/>
    <w:rsid w:val="005D375C"/>
    <w:rsid w:val="005D451A"/>
    <w:rsid w:val="005D6575"/>
    <w:rsid w:val="005D70ED"/>
    <w:rsid w:val="005E00B9"/>
    <w:rsid w:val="005E282B"/>
    <w:rsid w:val="005E33BD"/>
    <w:rsid w:val="005E4144"/>
    <w:rsid w:val="005E5AC0"/>
    <w:rsid w:val="005E5B57"/>
    <w:rsid w:val="005E68E7"/>
    <w:rsid w:val="005F510E"/>
    <w:rsid w:val="005F5691"/>
    <w:rsid w:val="005F78A5"/>
    <w:rsid w:val="00601F1E"/>
    <w:rsid w:val="006029F2"/>
    <w:rsid w:val="00604458"/>
    <w:rsid w:val="00605CCE"/>
    <w:rsid w:val="00606ED5"/>
    <w:rsid w:val="006070BD"/>
    <w:rsid w:val="006073C6"/>
    <w:rsid w:val="00607E60"/>
    <w:rsid w:val="006107F3"/>
    <w:rsid w:val="006120C0"/>
    <w:rsid w:val="0061245C"/>
    <w:rsid w:val="00613873"/>
    <w:rsid w:val="00615BAF"/>
    <w:rsid w:val="00617775"/>
    <w:rsid w:val="00622201"/>
    <w:rsid w:val="006225C8"/>
    <w:rsid w:val="006225CB"/>
    <w:rsid w:val="00624516"/>
    <w:rsid w:val="006257E9"/>
    <w:rsid w:val="00625BC2"/>
    <w:rsid w:val="0062625D"/>
    <w:rsid w:val="006264DB"/>
    <w:rsid w:val="00630ADC"/>
    <w:rsid w:val="00630CF7"/>
    <w:rsid w:val="006351A3"/>
    <w:rsid w:val="00637770"/>
    <w:rsid w:val="006378C9"/>
    <w:rsid w:val="00640D50"/>
    <w:rsid w:val="00642276"/>
    <w:rsid w:val="00643AA9"/>
    <w:rsid w:val="00643BDC"/>
    <w:rsid w:val="00644FF2"/>
    <w:rsid w:val="0064613F"/>
    <w:rsid w:val="006465FE"/>
    <w:rsid w:val="006467D7"/>
    <w:rsid w:val="00646E44"/>
    <w:rsid w:val="00651F43"/>
    <w:rsid w:val="006527F3"/>
    <w:rsid w:val="006541FB"/>
    <w:rsid w:val="006608B1"/>
    <w:rsid w:val="00665466"/>
    <w:rsid w:val="00665C19"/>
    <w:rsid w:val="00665CBD"/>
    <w:rsid w:val="00670AFE"/>
    <w:rsid w:val="00671A32"/>
    <w:rsid w:val="00672AC8"/>
    <w:rsid w:val="00675C4B"/>
    <w:rsid w:val="0067762D"/>
    <w:rsid w:val="00680B4E"/>
    <w:rsid w:val="006810E4"/>
    <w:rsid w:val="006839B6"/>
    <w:rsid w:val="006843E1"/>
    <w:rsid w:val="0068671B"/>
    <w:rsid w:val="00686F48"/>
    <w:rsid w:val="006872D9"/>
    <w:rsid w:val="00687BEE"/>
    <w:rsid w:val="00687DA3"/>
    <w:rsid w:val="0069160B"/>
    <w:rsid w:val="006936A5"/>
    <w:rsid w:val="006948E4"/>
    <w:rsid w:val="00694B34"/>
    <w:rsid w:val="00694B87"/>
    <w:rsid w:val="00694D00"/>
    <w:rsid w:val="006A1906"/>
    <w:rsid w:val="006A3BEF"/>
    <w:rsid w:val="006A3D9E"/>
    <w:rsid w:val="006A4F05"/>
    <w:rsid w:val="006A69A8"/>
    <w:rsid w:val="006B183A"/>
    <w:rsid w:val="006B1A97"/>
    <w:rsid w:val="006B3AAF"/>
    <w:rsid w:val="006B4F54"/>
    <w:rsid w:val="006B6B67"/>
    <w:rsid w:val="006C002F"/>
    <w:rsid w:val="006C02F5"/>
    <w:rsid w:val="006C5FEF"/>
    <w:rsid w:val="006C7EB3"/>
    <w:rsid w:val="006D5227"/>
    <w:rsid w:val="006D629D"/>
    <w:rsid w:val="006E51D3"/>
    <w:rsid w:val="006E64A5"/>
    <w:rsid w:val="006E6C77"/>
    <w:rsid w:val="006E772C"/>
    <w:rsid w:val="006E797A"/>
    <w:rsid w:val="006F0A0C"/>
    <w:rsid w:val="006F1D33"/>
    <w:rsid w:val="006F1D8D"/>
    <w:rsid w:val="006F2510"/>
    <w:rsid w:val="006F3A0F"/>
    <w:rsid w:val="006F7221"/>
    <w:rsid w:val="007014C0"/>
    <w:rsid w:val="00702458"/>
    <w:rsid w:val="007047D8"/>
    <w:rsid w:val="00707395"/>
    <w:rsid w:val="007122EB"/>
    <w:rsid w:val="00715B09"/>
    <w:rsid w:val="0072144E"/>
    <w:rsid w:val="00721BF4"/>
    <w:rsid w:val="007266EE"/>
    <w:rsid w:val="00727382"/>
    <w:rsid w:val="0072764B"/>
    <w:rsid w:val="00727936"/>
    <w:rsid w:val="00727E2C"/>
    <w:rsid w:val="00727F6F"/>
    <w:rsid w:val="007327FF"/>
    <w:rsid w:val="007402C2"/>
    <w:rsid w:val="007402D5"/>
    <w:rsid w:val="007404F8"/>
    <w:rsid w:val="00740EED"/>
    <w:rsid w:val="00741976"/>
    <w:rsid w:val="00741F19"/>
    <w:rsid w:val="007435B2"/>
    <w:rsid w:val="00743C5C"/>
    <w:rsid w:val="0075021A"/>
    <w:rsid w:val="0075094E"/>
    <w:rsid w:val="00751DF3"/>
    <w:rsid w:val="00752F32"/>
    <w:rsid w:val="0075304B"/>
    <w:rsid w:val="0075552B"/>
    <w:rsid w:val="00757BAC"/>
    <w:rsid w:val="0076108E"/>
    <w:rsid w:val="00762B5C"/>
    <w:rsid w:val="007657D6"/>
    <w:rsid w:val="007715B9"/>
    <w:rsid w:val="00771654"/>
    <w:rsid w:val="00772AC2"/>
    <w:rsid w:val="00773A2C"/>
    <w:rsid w:val="00775269"/>
    <w:rsid w:val="0077608C"/>
    <w:rsid w:val="007774FA"/>
    <w:rsid w:val="00777C1A"/>
    <w:rsid w:val="00777DF4"/>
    <w:rsid w:val="00777F21"/>
    <w:rsid w:val="00780272"/>
    <w:rsid w:val="007804F7"/>
    <w:rsid w:val="007809BE"/>
    <w:rsid w:val="007814B9"/>
    <w:rsid w:val="0078178E"/>
    <w:rsid w:val="007822C3"/>
    <w:rsid w:val="00784810"/>
    <w:rsid w:val="00785B15"/>
    <w:rsid w:val="00787752"/>
    <w:rsid w:val="007910DD"/>
    <w:rsid w:val="0079174D"/>
    <w:rsid w:val="0079412B"/>
    <w:rsid w:val="00794F1B"/>
    <w:rsid w:val="007A06F3"/>
    <w:rsid w:val="007A11CC"/>
    <w:rsid w:val="007A160C"/>
    <w:rsid w:val="007A179B"/>
    <w:rsid w:val="007A4FF4"/>
    <w:rsid w:val="007A5361"/>
    <w:rsid w:val="007A6CC8"/>
    <w:rsid w:val="007B0001"/>
    <w:rsid w:val="007B2540"/>
    <w:rsid w:val="007B3695"/>
    <w:rsid w:val="007B58B1"/>
    <w:rsid w:val="007B5ADD"/>
    <w:rsid w:val="007B6A7E"/>
    <w:rsid w:val="007B7257"/>
    <w:rsid w:val="007C1059"/>
    <w:rsid w:val="007C2503"/>
    <w:rsid w:val="007C2B7A"/>
    <w:rsid w:val="007C4BF9"/>
    <w:rsid w:val="007C5716"/>
    <w:rsid w:val="007D0823"/>
    <w:rsid w:val="007D3E95"/>
    <w:rsid w:val="007D4361"/>
    <w:rsid w:val="007D506A"/>
    <w:rsid w:val="007D7005"/>
    <w:rsid w:val="007E3068"/>
    <w:rsid w:val="007E414C"/>
    <w:rsid w:val="007E4AD3"/>
    <w:rsid w:val="007E6C18"/>
    <w:rsid w:val="007E765C"/>
    <w:rsid w:val="007F0029"/>
    <w:rsid w:val="007F0976"/>
    <w:rsid w:val="007F168D"/>
    <w:rsid w:val="007F1749"/>
    <w:rsid w:val="007F3580"/>
    <w:rsid w:val="007F4C09"/>
    <w:rsid w:val="007F5965"/>
    <w:rsid w:val="007F5CEC"/>
    <w:rsid w:val="007F6983"/>
    <w:rsid w:val="00800AE2"/>
    <w:rsid w:val="00802471"/>
    <w:rsid w:val="008030DC"/>
    <w:rsid w:val="0080418D"/>
    <w:rsid w:val="008070FB"/>
    <w:rsid w:val="008125CD"/>
    <w:rsid w:val="00813057"/>
    <w:rsid w:val="0081356F"/>
    <w:rsid w:val="00815230"/>
    <w:rsid w:val="00816151"/>
    <w:rsid w:val="00817564"/>
    <w:rsid w:val="00817EB6"/>
    <w:rsid w:val="0082016A"/>
    <w:rsid w:val="00820ECE"/>
    <w:rsid w:val="008215E5"/>
    <w:rsid w:val="0082176B"/>
    <w:rsid w:val="00821954"/>
    <w:rsid w:val="008219AD"/>
    <w:rsid w:val="00822072"/>
    <w:rsid w:val="00822430"/>
    <w:rsid w:val="008231ED"/>
    <w:rsid w:val="0082403F"/>
    <w:rsid w:val="0082455A"/>
    <w:rsid w:val="008248BC"/>
    <w:rsid w:val="008249F4"/>
    <w:rsid w:val="00825C61"/>
    <w:rsid w:val="00827589"/>
    <w:rsid w:val="00827791"/>
    <w:rsid w:val="00830F84"/>
    <w:rsid w:val="008310B0"/>
    <w:rsid w:val="008312DD"/>
    <w:rsid w:val="008325F0"/>
    <w:rsid w:val="00834788"/>
    <w:rsid w:val="00840AB3"/>
    <w:rsid w:val="008424CD"/>
    <w:rsid w:val="00842C80"/>
    <w:rsid w:val="00844F41"/>
    <w:rsid w:val="008457C1"/>
    <w:rsid w:val="0084613D"/>
    <w:rsid w:val="00850E6B"/>
    <w:rsid w:val="00852E88"/>
    <w:rsid w:val="008557E8"/>
    <w:rsid w:val="00863478"/>
    <w:rsid w:val="00863945"/>
    <w:rsid w:val="00864E3D"/>
    <w:rsid w:val="00875064"/>
    <w:rsid w:val="00877F0F"/>
    <w:rsid w:val="008800C8"/>
    <w:rsid w:val="0088347A"/>
    <w:rsid w:val="00885797"/>
    <w:rsid w:val="00886234"/>
    <w:rsid w:val="008863D4"/>
    <w:rsid w:val="00886634"/>
    <w:rsid w:val="00887B85"/>
    <w:rsid w:val="00890B37"/>
    <w:rsid w:val="00890DCD"/>
    <w:rsid w:val="00896670"/>
    <w:rsid w:val="00896BE8"/>
    <w:rsid w:val="00896ED5"/>
    <w:rsid w:val="008A037C"/>
    <w:rsid w:val="008A17D1"/>
    <w:rsid w:val="008A251A"/>
    <w:rsid w:val="008A5161"/>
    <w:rsid w:val="008A6135"/>
    <w:rsid w:val="008A7376"/>
    <w:rsid w:val="008A78BB"/>
    <w:rsid w:val="008B0469"/>
    <w:rsid w:val="008B3818"/>
    <w:rsid w:val="008B43D4"/>
    <w:rsid w:val="008B470F"/>
    <w:rsid w:val="008B6655"/>
    <w:rsid w:val="008C2830"/>
    <w:rsid w:val="008C3401"/>
    <w:rsid w:val="008C4226"/>
    <w:rsid w:val="008C4325"/>
    <w:rsid w:val="008C4B7C"/>
    <w:rsid w:val="008C4E5B"/>
    <w:rsid w:val="008C5CF0"/>
    <w:rsid w:val="008C764A"/>
    <w:rsid w:val="008D18D9"/>
    <w:rsid w:val="008D356B"/>
    <w:rsid w:val="008D4AB1"/>
    <w:rsid w:val="008D7471"/>
    <w:rsid w:val="008D7B31"/>
    <w:rsid w:val="008E19EE"/>
    <w:rsid w:val="008E1A0D"/>
    <w:rsid w:val="008E316D"/>
    <w:rsid w:val="008E4B80"/>
    <w:rsid w:val="008E6364"/>
    <w:rsid w:val="008F03D5"/>
    <w:rsid w:val="008F07DF"/>
    <w:rsid w:val="008F1A2E"/>
    <w:rsid w:val="008F526D"/>
    <w:rsid w:val="00900D76"/>
    <w:rsid w:val="00901100"/>
    <w:rsid w:val="0090286C"/>
    <w:rsid w:val="0090287D"/>
    <w:rsid w:val="009048AE"/>
    <w:rsid w:val="00906681"/>
    <w:rsid w:val="00907BAD"/>
    <w:rsid w:val="00910AEC"/>
    <w:rsid w:val="00911FE1"/>
    <w:rsid w:val="00912BD2"/>
    <w:rsid w:val="009175CE"/>
    <w:rsid w:val="0092030F"/>
    <w:rsid w:val="009215A1"/>
    <w:rsid w:val="00921A52"/>
    <w:rsid w:val="009250EF"/>
    <w:rsid w:val="00926541"/>
    <w:rsid w:val="00926B9E"/>
    <w:rsid w:val="009271D3"/>
    <w:rsid w:val="00927477"/>
    <w:rsid w:val="009309E4"/>
    <w:rsid w:val="00933465"/>
    <w:rsid w:val="00933FD9"/>
    <w:rsid w:val="00934398"/>
    <w:rsid w:val="00934ED5"/>
    <w:rsid w:val="0093527E"/>
    <w:rsid w:val="00935678"/>
    <w:rsid w:val="00935C1D"/>
    <w:rsid w:val="00936104"/>
    <w:rsid w:val="00936426"/>
    <w:rsid w:val="00936632"/>
    <w:rsid w:val="009379E5"/>
    <w:rsid w:val="00940FA0"/>
    <w:rsid w:val="009415ED"/>
    <w:rsid w:val="00944F1A"/>
    <w:rsid w:val="00945E58"/>
    <w:rsid w:val="00947BAD"/>
    <w:rsid w:val="00947FE6"/>
    <w:rsid w:val="00952269"/>
    <w:rsid w:val="00952CE1"/>
    <w:rsid w:val="00953507"/>
    <w:rsid w:val="009557D2"/>
    <w:rsid w:val="009568DF"/>
    <w:rsid w:val="00961531"/>
    <w:rsid w:val="009626CD"/>
    <w:rsid w:val="009639DC"/>
    <w:rsid w:val="00963B11"/>
    <w:rsid w:val="00963CC1"/>
    <w:rsid w:val="0096450C"/>
    <w:rsid w:val="009700D6"/>
    <w:rsid w:val="00970329"/>
    <w:rsid w:val="00970F9E"/>
    <w:rsid w:val="009712BD"/>
    <w:rsid w:val="00973BCA"/>
    <w:rsid w:val="00974BCB"/>
    <w:rsid w:val="00975C87"/>
    <w:rsid w:val="00976585"/>
    <w:rsid w:val="00983C45"/>
    <w:rsid w:val="00986357"/>
    <w:rsid w:val="009868B6"/>
    <w:rsid w:val="009924D5"/>
    <w:rsid w:val="009931AC"/>
    <w:rsid w:val="00993E50"/>
    <w:rsid w:val="00995623"/>
    <w:rsid w:val="00995C94"/>
    <w:rsid w:val="0099775A"/>
    <w:rsid w:val="00997ACE"/>
    <w:rsid w:val="009A2940"/>
    <w:rsid w:val="009A373E"/>
    <w:rsid w:val="009A5E9D"/>
    <w:rsid w:val="009A728E"/>
    <w:rsid w:val="009A74ED"/>
    <w:rsid w:val="009B022A"/>
    <w:rsid w:val="009B0779"/>
    <w:rsid w:val="009B1146"/>
    <w:rsid w:val="009B206E"/>
    <w:rsid w:val="009B24E0"/>
    <w:rsid w:val="009B3142"/>
    <w:rsid w:val="009B55F5"/>
    <w:rsid w:val="009B6D6F"/>
    <w:rsid w:val="009B7B41"/>
    <w:rsid w:val="009C17E3"/>
    <w:rsid w:val="009C221E"/>
    <w:rsid w:val="009C2C58"/>
    <w:rsid w:val="009C3B05"/>
    <w:rsid w:val="009C473A"/>
    <w:rsid w:val="009C4D5D"/>
    <w:rsid w:val="009C4F71"/>
    <w:rsid w:val="009C6549"/>
    <w:rsid w:val="009C725B"/>
    <w:rsid w:val="009C739D"/>
    <w:rsid w:val="009C76D3"/>
    <w:rsid w:val="009C77E0"/>
    <w:rsid w:val="009D13D6"/>
    <w:rsid w:val="009D1860"/>
    <w:rsid w:val="009D3E5A"/>
    <w:rsid w:val="009D4482"/>
    <w:rsid w:val="009D5067"/>
    <w:rsid w:val="009D5C27"/>
    <w:rsid w:val="009D5D43"/>
    <w:rsid w:val="009D744F"/>
    <w:rsid w:val="009E0132"/>
    <w:rsid w:val="009E1AA0"/>
    <w:rsid w:val="009E3C73"/>
    <w:rsid w:val="009E4458"/>
    <w:rsid w:val="009E6D86"/>
    <w:rsid w:val="009E7112"/>
    <w:rsid w:val="009F2704"/>
    <w:rsid w:val="009F3AC5"/>
    <w:rsid w:val="009F51CF"/>
    <w:rsid w:val="009F55BF"/>
    <w:rsid w:val="009F5C24"/>
    <w:rsid w:val="009F5CDD"/>
    <w:rsid w:val="009F7C75"/>
    <w:rsid w:val="00A042F1"/>
    <w:rsid w:val="00A05568"/>
    <w:rsid w:val="00A0629A"/>
    <w:rsid w:val="00A10B9C"/>
    <w:rsid w:val="00A15C91"/>
    <w:rsid w:val="00A200B6"/>
    <w:rsid w:val="00A2031E"/>
    <w:rsid w:val="00A20F2A"/>
    <w:rsid w:val="00A216B1"/>
    <w:rsid w:val="00A22975"/>
    <w:rsid w:val="00A22F25"/>
    <w:rsid w:val="00A23624"/>
    <w:rsid w:val="00A23D3B"/>
    <w:rsid w:val="00A26379"/>
    <w:rsid w:val="00A270A3"/>
    <w:rsid w:val="00A27983"/>
    <w:rsid w:val="00A27EE2"/>
    <w:rsid w:val="00A30D6F"/>
    <w:rsid w:val="00A31681"/>
    <w:rsid w:val="00A320F8"/>
    <w:rsid w:val="00A32354"/>
    <w:rsid w:val="00A32FC2"/>
    <w:rsid w:val="00A36348"/>
    <w:rsid w:val="00A36FB8"/>
    <w:rsid w:val="00A40FD5"/>
    <w:rsid w:val="00A41EAC"/>
    <w:rsid w:val="00A428D5"/>
    <w:rsid w:val="00A42B9E"/>
    <w:rsid w:val="00A44F6D"/>
    <w:rsid w:val="00A44FE5"/>
    <w:rsid w:val="00A4609C"/>
    <w:rsid w:val="00A472EC"/>
    <w:rsid w:val="00A50249"/>
    <w:rsid w:val="00A5358B"/>
    <w:rsid w:val="00A53D4A"/>
    <w:rsid w:val="00A55F87"/>
    <w:rsid w:val="00A56E2E"/>
    <w:rsid w:val="00A67420"/>
    <w:rsid w:val="00A7154B"/>
    <w:rsid w:val="00A746F5"/>
    <w:rsid w:val="00A7634A"/>
    <w:rsid w:val="00A773A7"/>
    <w:rsid w:val="00A773DA"/>
    <w:rsid w:val="00A81702"/>
    <w:rsid w:val="00A84151"/>
    <w:rsid w:val="00A84FC6"/>
    <w:rsid w:val="00A86340"/>
    <w:rsid w:val="00A864EB"/>
    <w:rsid w:val="00A9044C"/>
    <w:rsid w:val="00A90951"/>
    <w:rsid w:val="00A9106B"/>
    <w:rsid w:val="00A91DE3"/>
    <w:rsid w:val="00A91F9A"/>
    <w:rsid w:val="00A93222"/>
    <w:rsid w:val="00A93BC2"/>
    <w:rsid w:val="00A9432E"/>
    <w:rsid w:val="00A94DF2"/>
    <w:rsid w:val="00A95DBC"/>
    <w:rsid w:val="00A95E12"/>
    <w:rsid w:val="00A96926"/>
    <w:rsid w:val="00A97180"/>
    <w:rsid w:val="00AA0167"/>
    <w:rsid w:val="00AA14A9"/>
    <w:rsid w:val="00AA17DC"/>
    <w:rsid w:val="00AA42BD"/>
    <w:rsid w:val="00AA7A18"/>
    <w:rsid w:val="00AA7AB4"/>
    <w:rsid w:val="00AB01E4"/>
    <w:rsid w:val="00AB1582"/>
    <w:rsid w:val="00AB2223"/>
    <w:rsid w:val="00AB29D3"/>
    <w:rsid w:val="00AB39F3"/>
    <w:rsid w:val="00AB44CD"/>
    <w:rsid w:val="00AB44F1"/>
    <w:rsid w:val="00AB454D"/>
    <w:rsid w:val="00AC1694"/>
    <w:rsid w:val="00AC2B19"/>
    <w:rsid w:val="00AC3A1C"/>
    <w:rsid w:val="00AC3D35"/>
    <w:rsid w:val="00AC4A89"/>
    <w:rsid w:val="00AC518A"/>
    <w:rsid w:val="00AC6CEC"/>
    <w:rsid w:val="00AC7411"/>
    <w:rsid w:val="00AD0DBF"/>
    <w:rsid w:val="00AD6ACB"/>
    <w:rsid w:val="00AE05FC"/>
    <w:rsid w:val="00AE1B40"/>
    <w:rsid w:val="00AE2ED6"/>
    <w:rsid w:val="00AE3196"/>
    <w:rsid w:val="00AE7581"/>
    <w:rsid w:val="00AF039F"/>
    <w:rsid w:val="00AF199C"/>
    <w:rsid w:val="00AF4A99"/>
    <w:rsid w:val="00AF6325"/>
    <w:rsid w:val="00AF7A6A"/>
    <w:rsid w:val="00B00F7A"/>
    <w:rsid w:val="00B012D5"/>
    <w:rsid w:val="00B0332B"/>
    <w:rsid w:val="00B03BEE"/>
    <w:rsid w:val="00B077EB"/>
    <w:rsid w:val="00B11F7D"/>
    <w:rsid w:val="00B12214"/>
    <w:rsid w:val="00B1230F"/>
    <w:rsid w:val="00B127DA"/>
    <w:rsid w:val="00B12D6E"/>
    <w:rsid w:val="00B12ECD"/>
    <w:rsid w:val="00B14C0B"/>
    <w:rsid w:val="00B2146D"/>
    <w:rsid w:val="00B243CC"/>
    <w:rsid w:val="00B257CC"/>
    <w:rsid w:val="00B25D56"/>
    <w:rsid w:val="00B26E26"/>
    <w:rsid w:val="00B27632"/>
    <w:rsid w:val="00B31EAF"/>
    <w:rsid w:val="00B3313A"/>
    <w:rsid w:val="00B34302"/>
    <w:rsid w:val="00B36043"/>
    <w:rsid w:val="00B37734"/>
    <w:rsid w:val="00B37BCC"/>
    <w:rsid w:val="00B41870"/>
    <w:rsid w:val="00B47039"/>
    <w:rsid w:val="00B47E7B"/>
    <w:rsid w:val="00B518B8"/>
    <w:rsid w:val="00B55791"/>
    <w:rsid w:val="00B6142A"/>
    <w:rsid w:val="00B63318"/>
    <w:rsid w:val="00B665B5"/>
    <w:rsid w:val="00B66DC1"/>
    <w:rsid w:val="00B67101"/>
    <w:rsid w:val="00B706D0"/>
    <w:rsid w:val="00B718C3"/>
    <w:rsid w:val="00B73A67"/>
    <w:rsid w:val="00B76B6C"/>
    <w:rsid w:val="00B76F48"/>
    <w:rsid w:val="00B8043F"/>
    <w:rsid w:val="00B810F4"/>
    <w:rsid w:val="00B8308E"/>
    <w:rsid w:val="00B85012"/>
    <w:rsid w:val="00B91124"/>
    <w:rsid w:val="00B9180C"/>
    <w:rsid w:val="00B9298C"/>
    <w:rsid w:val="00B929F6"/>
    <w:rsid w:val="00B94480"/>
    <w:rsid w:val="00B97B7B"/>
    <w:rsid w:val="00B97BD6"/>
    <w:rsid w:val="00BA18A9"/>
    <w:rsid w:val="00BA2C2D"/>
    <w:rsid w:val="00BA4F14"/>
    <w:rsid w:val="00BA68E2"/>
    <w:rsid w:val="00BB14F8"/>
    <w:rsid w:val="00BB1D3E"/>
    <w:rsid w:val="00BB20A2"/>
    <w:rsid w:val="00BB5269"/>
    <w:rsid w:val="00BC02D7"/>
    <w:rsid w:val="00BC058F"/>
    <w:rsid w:val="00BC1E6A"/>
    <w:rsid w:val="00BC3D6F"/>
    <w:rsid w:val="00BC500A"/>
    <w:rsid w:val="00BC57B1"/>
    <w:rsid w:val="00BC61AC"/>
    <w:rsid w:val="00BD0EBD"/>
    <w:rsid w:val="00BD166C"/>
    <w:rsid w:val="00BD20CF"/>
    <w:rsid w:val="00BD3984"/>
    <w:rsid w:val="00BD3B87"/>
    <w:rsid w:val="00BD3EC6"/>
    <w:rsid w:val="00BD4C35"/>
    <w:rsid w:val="00BE4CCA"/>
    <w:rsid w:val="00BE6FA5"/>
    <w:rsid w:val="00BF28ED"/>
    <w:rsid w:val="00BF3C1F"/>
    <w:rsid w:val="00BF4A9B"/>
    <w:rsid w:val="00BF4D63"/>
    <w:rsid w:val="00BF55E7"/>
    <w:rsid w:val="00C013D8"/>
    <w:rsid w:val="00C0150B"/>
    <w:rsid w:val="00C02786"/>
    <w:rsid w:val="00C036EC"/>
    <w:rsid w:val="00C04372"/>
    <w:rsid w:val="00C0598F"/>
    <w:rsid w:val="00C05D83"/>
    <w:rsid w:val="00C06B27"/>
    <w:rsid w:val="00C1042C"/>
    <w:rsid w:val="00C13CEC"/>
    <w:rsid w:val="00C13CF5"/>
    <w:rsid w:val="00C142D9"/>
    <w:rsid w:val="00C14BD8"/>
    <w:rsid w:val="00C17776"/>
    <w:rsid w:val="00C1781A"/>
    <w:rsid w:val="00C2059D"/>
    <w:rsid w:val="00C20DC8"/>
    <w:rsid w:val="00C23661"/>
    <w:rsid w:val="00C2561D"/>
    <w:rsid w:val="00C300F2"/>
    <w:rsid w:val="00C31EB2"/>
    <w:rsid w:val="00C320DF"/>
    <w:rsid w:val="00C329C3"/>
    <w:rsid w:val="00C34C64"/>
    <w:rsid w:val="00C35A43"/>
    <w:rsid w:val="00C35B77"/>
    <w:rsid w:val="00C35D54"/>
    <w:rsid w:val="00C408A4"/>
    <w:rsid w:val="00C4126C"/>
    <w:rsid w:val="00C42C0C"/>
    <w:rsid w:val="00C42C40"/>
    <w:rsid w:val="00C45D96"/>
    <w:rsid w:val="00C55889"/>
    <w:rsid w:val="00C55E95"/>
    <w:rsid w:val="00C62563"/>
    <w:rsid w:val="00C635DA"/>
    <w:rsid w:val="00C6395F"/>
    <w:rsid w:val="00C642F8"/>
    <w:rsid w:val="00C649BC"/>
    <w:rsid w:val="00C66128"/>
    <w:rsid w:val="00C66BD5"/>
    <w:rsid w:val="00C66EE6"/>
    <w:rsid w:val="00C66FCB"/>
    <w:rsid w:val="00C670AB"/>
    <w:rsid w:val="00C67CBA"/>
    <w:rsid w:val="00C71D3E"/>
    <w:rsid w:val="00C721C3"/>
    <w:rsid w:val="00C809DB"/>
    <w:rsid w:val="00C826A0"/>
    <w:rsid w:val="00C83068"/>
    <w:rsid w:val="00C83429"/>
    <w:rsid w:val="00C8410F"/>
    <w:rsid w:val="00C841E8"/>
    <w:rsid w:val="00C85A01"/>
    <w:rsid w:val="00C8637A"/>
    <w:rsid w:val="00C870A4"/>
    <w:rsid w:val="00C87C97"/>
    <w:rsid w:val="00C90ECA"/>
    <w:rsid w:val="00C93022"/>
    <w:rsid w:val="00C946D2"/>
    <w:rsid w:val="00C951D0"/>
    <w:rsid w:val="00C9553E"/>
    <w:rsid w:val="00CA4195"/>
    <w:rsid w:val="00CA45AE"/>
    <w:rsid w:val="00CA535D"/>
    <w:rsid w:val="00CA5747"/>
    <w:rsid w:val="00CA6080"/>
    <w:rsid w:val="00CA61D7"/>
    <w:rsid w:val="00CA70BF"/>
    <w:rsid w:val="00CA7348"/>
    <w:rsid w:val="00CB16E8"/>
    <w:rsid w:val="00CB2CE8"/>
    <w:rsid w:val="00CB364F"/>
    <w:rsid w:val="00CB394A"/>
    <w:rsid w:val="00CB7229"/>
    <w:rsid w:val="00CC1D36"/>
    <w:rsid w:val="00CC4095"/>
    <w:rsid w:val="00CC5BDB"/>
    <w:rsid w:val="00CC6070"/>
    <w:rsid w:val="00CC718E"/>
    <w:rsid w:val="00CC7CDA"/>
    <w:rsid w:val="00CD1CAB"/>
    <w:rsid w:val="00CD3770"/>
    <w:rsid w:val="00CD3E5C"/>
    <w:rsid w:val="00CD5EDD"/>
    <w:rsid w:val="00CE2BA4"/>
    <w:rsid w:val="00CE3AD7"/>
    <w:rsid w:val="00CE4EFC"/>
    <w:rsid w:val="00CE50F5"/>
    <w:rsid w:val="00CF33C3"/>
    <w:rsid w:val="00CF33D2"/>
    <w:rsid w:val="00CF3AC6"/>
    <w:rsid w:val="00CF438E"/>
    <w:rsid w:val="00CF7F2A"/>
    <w:rsid w:val="00CF7F8F"/>
    <w:rsid w:val="00D019ED"/>
    <w:rsid w:val="00D0225D"/>
    <w:rsid w:val="00D026F7"/>
    <w:rsid w:val="00D035AB"/>
    <w:rsid w:val="00D03B6A"/>
    <w:rsid w:val="00D05597"/>
    <w:rsid w:val="00D05BBB"/>
    <w:rsid w:val="00D1373D"/>
    <w:rsid w:val="00D13ABF"/>
    <w:rsid w:val="00D16316"/>
    <w:rsid w:val="00D200E4"/>
    <w:rsid w:val="00D2049A"/>
    <w:rsid w:val="00D213FC"/>
    <w:rsid w:val="00D23C15"/>
    <w:rsid w:val="00D24803"/>
    <w:rsid w:val="00D24ACD"/>
    <w:rsid w:val="00D25F92"/>
    <w:rsid w:val="00D268BA"/>
    <w:rsid w:val="00D311D4"/>
    <w:rsid w:val="00D322B6"/>
    <w:rsid w:val="00D32534"/>
    <w:rsid w:val="00D32B75"/>
    <w:rsid w:val="00D32C0A"/>
    <w:rsid w:val="00D32C17"/>
    <w:rsid w:val="00D353FF"/>
    <w:rsid w:val="00D402F9"/>
    <w:rsid w:val="00D434C3"/>
    <w:rsid w:val="00D44839"/>
    <w:rsid w:val="00D47043"/>
    <w:rsid w:val="00D47915"/>
    <w:rsid w:val="00D5093A"/>
    <w:rsid w:val="00D51479"/>
    <w:rsid w:val="00D54DC4"/>
    <w:rsid w:val="00D55FFA"/>
    <w:rsid w:val="00D5623E"/>
    <w:rsid w:val="00D625F8"/>
    <w:rsid w:val="00D626F2"/>
    <w:rsid w:val="00D63D29"/>
    <w:rsid w:val="00D649AA"/>
    <w:rsid w:val="00D73693"/>
    <w:rsid w:val="00D74A49"/>
    <w:rsid w:val="00D74BEC"/>
    <w:rsid w:val="00D75A07"/>
    <w:rsid w:val="00D80A4D"/>
    <w:rsid w:val="00D82341"/>
    <w:rsid w:val="00D83294"/>
    <w:rsid w:val="00D832F2"/>
    <w:rsid w:val="00D83A4D"/>
    <w:rsid w:val="00D840D8"/>
    <w:rsid w:val="00D85827"/>
    <w:rsid w:val="00D8676E"/>
    <w:rsid w:val="00D90BF2"/>
    <w:rsid w:val="00D92EA4"/>
    <w:rsid w:val="00D93A13"/>
    <w:rsid w:val="00D949A2"/>
    <w:rsid w:val="00D94B21"/>
    <w:rsid w:val="00DA0208"/>
    <w:rsid w:val="00DA0B33"/>
    <w:rsid w:val="00DA1B47"/>
    <w:rsid w:val="00DA2036"/>
    <w:rsid w:val="00DA3FC7"/>
    <w:rsid w:val="00DA46E3"/>
    <w:rsid w:val="00DA4EC4"/>
    <w:rsid w:val="00DA55DB"/>
    <w:rsid w:val="00DA5953"/>
    <w:rsid w:val="00DA5BA5"/>
    <w:rsid w:val="00DA5D11"/>
    <w:rsid w:val="00DA662A"/>
    <w:rsid w:val="00DA7361"/>
    <w:rsid w:val="00DA7537"/>
    <w:rsid w:val="00DA7B21"/>
    <w:rsid w:val="00DA7BFE"/>
    <w:rsid w:val="00DB1453"/>
    <w:rsid w:val="00DB2FD1"/>
    <w:rsid w:val="00DB3137"/>
    <w:rsid w:val="00DB6503"/>
    <w:rsid w:val="00DB663C"/>
    <w:rsid w:val="00DC10A7"/>
    <w:rsid w:val="00DC168D"/>
    <w:rsid w:val="00DC33B6"/>
    <w:rsid w:val="00DC63F9"/>
    <w:rsid w:val="00DD17E8"/>
    <w:rsid w:val="00DD29D3"/>
    <w:rsid w:val="00DD4B24"/>
    <w:rsid w:val="00DD5651"/>
    <w:rsid w:val="00DD6196"/>
    <w:rsid w:val="00DE0474"/>
    <w:rsid w:val="00DE0E2E"/>
    <w:rsid w:val="00DE12F4"/>
    <w:rsid w:val="00DE1DFC"/>
    <w:rsid w:val="00DE208C"/>
    <w:rsid w:val="00DE53B2"/>
    <w:rsid w:val="00DE6B52"/>
    <w:rsid w:val="00DF13FF"/>
    <w:rsid w:val="00DF1553"/>
    <w:rsid w:val="00DF3FB1"/>
    <w:rsid w:val="00DF4624"/>
    <w:rsid w:val="00DF46D3"/>
    <w:rsid w:val="00DF4743"/>
    <w:rsid w:val="00DF7B2B"/>
    <w:rsid w:val="00E01909"/>
    <w:rsid w:val="00E04E0A"/>
    <w:rsid w:val="00E04FDF"/>
    <w:rsid w:val="00E05A53"/>
    <w:rsid w:val="00E05F15"/>
    <w:rsid w:val="00E07D2B"/>
    <w:rsid w:val="00E07D8B"/>
    <w:rsid w:val="00E10531"/>
    <w:rsid w:val="00E10877"/>
    <w:rsid w:val="00E10F29"/>
    <w:rsid w:val="00E11FA8"/>
    <w:rsid w:val="00E1304F"/>
    <w:rsid w:val="00E13BC1"/>
    <w:rsid w:val="00E1419F"/>
    <w:rsid w:val="00E1468A"/>
    <w:rsid w:val="00E17315"/>
    <w:rsid w:val="00E17D79"/>
    <w:rsid w:val="00E20872"/>
    <w:rsid w:val="00E20A02"/>
    <w:rsid w:val="00E238C5"/>
    <w:rsid w:val="00E23F8C"/>
    <w:rsid w:val="00E261C5"/>
    <w:rsid w:val="00E26FC7"/>
    <w:rsid w:val="00E27363"/>
    <w:rsid w:val="00E32521"/>
    <w:rsid w:val="00E34C20"/>
    <w:rsid w:val="00E35D90"/>
    <w:rsid w:val="00E3742A"/>
    <w:rsid w:val="00E4159A"/>
    <w:rsid w:val="00E42DE4"/>
    <w:rsid w:val="00E45CB3"/>
    <w:rsid w:val="00E45EE2"/>
    <w:rsid w:val="00E46623"/>
    <w:rsid w:val="00E46934"/>
    <w:rsid w:val="00E46EB8"/>
    <w:rsid w:val="00E51C1B"/>
    <w:rsid w:val="00E52E4C"/>
    <w:rsid w:val="00E56E61"/>
    <w:rsid w:val="00E57296"/>
    <w:rsid w:val="00E622B2"/>
    <w:rsid w:val="00E633B5"/>
    <w:rsid w:val="00E6393B"/>
    <w:rsid w:val="00E644CD"/>
    <w:rsid w:val="00E65A9B"/>
    <w:rsid w:val="00E7052E"/>
    <w:rsid w:val="00E715C6"/>
    <w:rsid w:val="00E720E4"/>
    <w:rsid w:val="00E7370C"/>
    <w:rsid w:val="00E76C25"/>
    <w:rsid w:val="00E775D2"/>
    <w:rsid w:val="00E8010C"/>
    <w:rsid w:val="00E80AE9"/>
    <w:rsid w:val="00E85789"/>
    <w:rsid w:val="00E9005A"/>
    <w:rsid w:val="00E90688"/>
    <w:rsid w:val="00E91461"/>
    <w:rsid w:val="00E91B94"/>
    <w:rsid w:val="00E93356"/>
    <w:rsid w:val="00E9624D"/>
    <w:rsid w:val="00EA0EAA"/>
    <w:rsid w:val="00EA357D"/>
    <w:rsid w:val="00EA37AB"/>
    <w:rsid w:val="00EA4736"/>
    <w:rsid w:val="00EA5BEE"/>
    <w:rsid w:val="00EA5D3F"/>
    <w:rsid w:val="00EA60CE"/>
    <w:rsid w:val="00EA62B8"/>
    <w:rsid w:val="00EA6B0D"/>
    <w:rsid w:val="00EB0AE3"/>
    <w:rsid w:val="00EB0BD9"/>
    <w:rsid w:val="00EB27E5"/>
    <w:rsid w:val="00EB3246"/>
    <w:rsid w:val="00EB3D23"/>
    <w:rsid w:val="00EB4FA7"/>
    <w:rsid w:val="00EB5222"/>
    <w:rsid w:val="00EB602F"/>
    <w:rsid w:val="00EB68EE"/>
    <w:rsid w:val="00EB7174"/>
    <w:rsid w:val="00EB7E69"/>
    <w:rsid w:val="00EC155E"/>
    <w:rsid w:val="00EC23C5"/>
    <w:rsid w:val="00EC2706"/>
    <w:rsid w:val="00EC287E"/>
    <w:rsid w:val="00EC3182"/>
    <w:rsid w:val="00EC35BE"/>
    <w:rsid w:val="00EC3F23"/>
    <w:rsid w:val="00EC57BD"/>
    <w:rsid w:val="00EC5AEE"/>
    <w:rsid w:val="00EC74CE"/>
    <w:rsid w:val="00EC7697"/>
    <w:rsid w:val="00EC77D6"/>
    <w:rsid w:val="00EC7AA0"/>
    <w:rsid w:val="00ED1F25"/>
    <w:rsid w:val="00ED23E5"/>
    <w:rsid w:val="00ED3A71"/>
    <w:rsid w:val="00ED758C"/>
    <w:rsid w:val="00EE06ED"/>
    <w:rsid w:val="00EE232E"/>
    <w:rsid w:val="00EE29CF"/>
    <w:rsid w:val="00EE3209"/>
    <w:rsid w:val="00EE4212"/>
    <w:rsid w:val="00EE54FE"/>
    <w:rsid w:val="00EE55D8"/>
    <w:rsid w:val="00EE5E15"/>
    <w:rsid w:val="00EF03A2"/>
    <w:rsid w:val="00EF1A94"/>
    <w:rsid w:val="00EF20FA"/>
    <w:rsid w:val="00EF52D6"/>
    <w:rsid w:val="00EF7E5B"/>
    <w:rsid w:val="00F00B43"/>
    <w:rsid w:val="00F0162F"/>
    <w:rsid w:val="00F01C96"/>
    <w:rsid w:val="00F0661F"/>
    <w:rsid w:val="00F12CBB"/>
    <w:rsid w:val="00F1355C"/>
    <w:rsid w:val="00F16306"/>
    <w:rsid w:val="00F17B70"/>
    <w:rsid w:val="00F226E8"/>
    <w:rsid w:val="00F25574"/>
    <w:rsid w:val="00F2566F"/>
    <w:rsid w:val="00F30E51"/>
    <w:rsid w:val="00F31375"/>
    <w:rsid w:val="00F316E4"/>
    <w:rsid w:val="00F31980"/>
    <w:rsid w:val="00F31AD0"/>
    <w:rsid w:val="00F33527"/>
    <w:rsid w:val="00F3506F"/>
    <w:rsid w:val="00F35DF7"/>
    <w:rsid w:val="00F37077"/>
    <w:rsid w:val="00F37F36"/>
    <w:rsid w:val="00F41632"/>
    <w:rsid w:val="00F42267"/>
    <w:rsid w:val="00F44560"/>
    <w:rsid w:val="00F454C9"/>
    <w:rsid w:val="00F502E8"/>
    <w:rsid w:val="00F51AF2"/>
    <w:rsid w:val="00F5295B"/>
    <w:rsid w:val="00F55C7F"/>
    <w:rsid w:val="00F564F6"/>
    <w:rsid w:val="00F56AD8"/>
    <w:rsid w:val="00F57CCC"/>
    <w:rsid w:val="00F6137E"/>
    <w:rsid w:val="00F63771"/>
    <w:rsid w:val="00F63922"/>
    <w:rsid w:val="00F673BD"/>
    <w:rsid w:val="00F67509"/>
    <w:rsid w:val="00F675E2"/>
    <w:rsid w:val="00F67F0B"/>
    <w:rsid w:val="00F70C83"/>
    <w:rsid w:val="00F75E0E"/>
    <w:rsid w:val="00F76826"/>
    <w:rsid w:val="00F76A15"/>
    <w:rsid w:val="00F77A72"/>
    <w:rsid w:val="00F8143A"/>
    <w:rsid w:val="00F825E8"/>
    <w:rsid w:val="00F82E38"/>
    <w:rsid w:val="00F83C52"/>
    <w:rsid w:val="00F83D25"/>
    <w:rsid w:val="00F84A1B"/>
    <w:rsid w:val="00F85561"/>
    <w:rsid w:val="00F85A41"/>
    <w:rsid w:val="00F87203"/>
    <w:rsid w:val="00F87DA7"/>
    <w:rsid w:val="00F90A9D"/>
    <w:rsid w:val="00F9218E"/>
    <w:rsid w:val="00F92229"/>
    <w:rsid w:val="00F942DD"/>
    <w:rsid w:val="00F94983"/>
    <w:rsid w:val="00F95111"/>
    <w:rsid w:val="00F95B52"/>
    <w:rsid w:val="00F97C8E"/>
    <w:rsid w:val="00F97E58"/>
    <w:rsid w:val="00FA0AAD"/>
    <w:rsid w:val="00FA1DC1"/>
    <w:rsid w:val="00FA791B"/>
    <w:rsid w:val="00FB0E70"/>
    <w:rsid w:val="00FB1EB6"/>
    <w:rsid w:val="00FB1F05"/>
    <w:rsid w:val="00FB3989"/>
    <w:rsid w:val="00FB5FF6"/>
    <w:rsid w:val="00FB67DD"/>
    <w:rsid w:val="00FB748E"/>
    <w:rsid w:val="00FC02C4"/>
    <w:rsid w:val="00FC066F"/>
    <w:rsid w:val="00FC33BC"/>
    <w:rsid w:val="00FC5B79"/>
    <w:rsid w:val="00FC7905"/>
    <w:rsid w:val="00FD0273"/>
    <w:rsid w:val="00FE5E89"/>
    <w:rsid w:val="00FE7260"/>
    <w:rsid w:val="00FF0866"/>
    <w:rsid w:val="00FF0CA9"/>
    <w:rsid w:val="00FF0D0D"/>
    <w:rsid w:val="00FF245B"/>
    <w:rsid w:val="00FF724C"/>
    <w:rsid w:val="00FF7BD2"/>
    <w:rsid w:val="02DF57A3"/>
    <w:rsid w:val="040A5149"/>
    <w:rsid w:val="0446241E"/>
    <w:rsid w:val="047A340D"/>
    <w:rsid w:val="0483009B"/>
    <w:rsid w:val="05043575"/>
    <w:rsid w:val="06AB31FB"/>
    <w:rsid w:val="073F013D"/>
    <w:rsid w:val="08167B51"/>
    <w:rsid w:val="08E90ABA"/>
    <w:rsid w:val="0AC411DD"/>
    <w:rsid w:val="0D2634E5"/>
    <w:rsid w:val="0E7912AD"/>
    <w:rsid w:val="11504E7B"/>
    <w:rsid w:val="134C478E"/>
    <w:rsid w:val="137A20FF"/>
    <w:rsid w:val="14410435"/>
    <w:rsid w:val="149C34F4"/>
    <w:rsid w:val="1618304E"/>
    <w:rsid w:val="17782A19"/>
    <w:rsid w:val="18234904"/>
    <w:rsid w:val="18310E43"/>
    <w:rsid w:val="183D0B4A"/>
    <w:rsid w:val="18F9179C"/>
    <w:rsid w:val="1AD04A65"/>
    <w:rsid w:val="1D1B2E0E"/>
    <w:rsid w:val="1DBE546F"/>
    <w:rsid w:val="1F520EC6"/>
    <w:rsid w:val="1F7D32FD"/>
    <w:rsid w:val="24283D81"/>
    <w:rsid w:val="2439370C"/>
    <w:rsid w:val="24F54B23"/>
    <w:rsid w:val="252B7970"/>
    <w:rsid w:val="26125BA4"/>
    <w:rsid w:val="26365FC2"/>
    <w:rsid w:val="27CD524A"/>
    <w:rsid w:val="27DE686A"/>
    <w:rsid w:val="281A2C55"/>
    <w:rsid w:val="29322282"/>
    <w:rsid w:val="2C1169AC"/>
    <w:rsid w:val="2C180F3E"/>
    <w:rsid w:val="2E55397E"/>
    <w:rsid w:val="2F2B353D"/>
    <w:rsid w:val="307B0197"/>
    <w:rsid w:val="32297A9B"/>
    <w:rsid w:val="33CD245A"/>
    <w:rsid w:val="351971FE"/>
    <w:rsid w:val="35BB6202"/>
    <w:rsid w:val="362B5948"/>
    <w:rsid w:val="382168F2"/>
    <w:rsid w:val="385564EF"/>
    <w:rsid w:val="3A8A1A20"/>
    <w:rsid w:val="3C3527E6"/>
    <w:rsid w:val="3C854832"/>
    <w:rsid w:val="3EC67112"/>
    <w:rsid w:val="3F72339D"/>
    <w:rsid w:val="40C03275"/>
    <w:rsid w:val="412303BB"/>
    <w:rsid w:val="426D7B87"/>
    <w:rsid w:val="437461C3"/>
    <w:rsid w:val="45CC7564"/>
    <w:rsid w:val="46B04891"/>
    <w:rsid w:val="49463453"/>
    <w:rsid w:val="496E6069"/>
    <w:rsid w:val="49D2118A"/>
    <w:rsid w:val="4A963F66"/>
    <w:rsid w:val="4BB16238"/>
    <w:rsid w:val="4BDC6D24"/>
    <w:rsid w:val="4BFA5BC7"/>
    <w:rsid w:val="4C320F76"/>
    <w:rsid w:val="4E5F549D"/>
    <w:rsid w:val="4EEC4BE0"/>
    <w:rsid w:val="51531DA1"/>
    <w:rsid w:val="52462715"/>
    <w:rsid w:val="52A336DC"/>
    <w:rsid w:val="53736B0A"/>
    <w:rsid w:val="53FA1DF9"/>
    <w:rsid w:val="55780949"/>
    <w:rsid w:val="578050ED"/>
    <w:rsid w:val="580179B6"/>
    <w:rsid w:val="58B17641"/>
    <w:rsid w:val="59391692"/>
    <w:rsid w:val="5ACD4AC6"/>
    <w:rsid w:val="5C90368B"/>
    <w:rsid w:val="5DD047C5"/>
    <w:rsid w:val="5F9C4824"/>
    <w:rsid w:val="5FD5054B"/>
    <w:rsid w:val="600A6C32"/>
    <w:rsid w:val="60142446"/>
    <w:rsid w:val="66B772E6"/>
    <w:rsid w:val="66ED52E5"/>
    <w:rsid w:val="68C0280A"/>
    <w:rsid w:val="694B0523"/>
    <w:rsid w:val="6B404977"/>
    <w:rsid w:val="6B9B5EBA"/>
    <w:rsid w:val="6C9E5F1C"/>
    <w:rsid w:val="6F703730"/>
    <w:rsid w:val="7073744D"/>
    <w:rsid w:val="72A46970"/>
    <w:rsid w:val="72E87C49"/>
    <w:rsid w:val="7422450B"/>
    <w:rsid w:val="74262BD3"/>
    <w:rsid w:val="74B752B6"/>
    <w:rsid w:val="750C2DB3"/>
    <w:rsid w:val="75673B65"/>
    <w:rsid w:val="76FE49DA"/>
    <w:rsid w:val="78C3697B"/>
    <w:rsid w:val="79682428"/>
    <w:rsid w:val="79AB6836"/>
    <w:rsid w:val="7AF96FCA"/>
    <w:rsid w:val="7B3D1ACD"/>
    <w:rsid w:val="7BC10593"/>
    <w:rsid w:val="7BE40725"/>
    <w:rsid w:val="7D8F448A"/>
    <w:rsid w:val="7DFBB8BB"/>
    <w:rsid w:val="7E261385"/>
    <w:rsid w:val="7E3045EF"/>
    <w:rsid w:val="7EDF0355"/>
    <w:rsid w:val="7EE3312C"/>
    <w:rsid w:val="7F337BCD"/>
    <w:rsid w:val="AEBA602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iPriority="0" w:semiHidden="0" w:name="toc 3"/>
    <w:lsdException w:qFormat="1" w:unhideWhenUsed="0" w:uiPriority="0" w:name="toc 4"/>
    <w:lsdException w:uiPriority="0" w:name="toc 5"/>
    <w:lsdException w:qFormat="1" w:unhideWhenUsed="0" w:uiPriority="0" w:semiHidden="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4"/>
    <w:qFormat/>
    <w:uiPriority w:val="0"/>
    <w:pPr>
      <w:keepNext/>
      <w:keepLines/>
      <w:numPr>
        <w:ilvl w:val="0"/>
        <w:numId w:val="1"/>
      </w:numPr>
      <w:spacing w:before="340" w:after="330" w:line="578" w:lineRule="auto"/>
      <w:outlineLvl w:val="0"/>
    </w:pPr>
    <w:rPr>
      <w:rFonts w:eastAsia="仿宋_GB2312"/>
      <w:b/>
      <w:kern w:val="44"/>
      <w:sz w:val="44"/>
      <w:szCs w:val="20"/>
    </w:rPr>
  </w:style>
  <w:style w:type="paragraph" w:styleId="5">
    <w:name w:val="heading 2"/>
    <w:basedOn w:val="1"/>
    <w:next w:val="6"/>
    <w:link w:val="57"/>
    <w:qFormat/>
    <w:uiPriority w:val="0"/>
    <w:pPr>
      <w:keepNext/>
      <w:keepLines/>
      <w:numPr>
        <w:ilvl w:val="0"/>
        <w:numId w:val="2"/>
      </w:numPr>
      <w:tabs>
        <w:tab w:val="left" w:pos="1145"/>
        <w:tab w:val="clear" w:pos="360"/>
      </w:tabs>
      <w:spacing w:before="260" w:after="260" w:line="416" w:lineRule="auto"/>
      <w:ind w:left="992" w:hanging="567" w:firstLineChars="0"/>
      <w:outlineLvl w:val="1"/>
    </w:pPr>
    <w:rPr>
      <w:rFonts w:ascii="Arial" w:hAnsi="Arial" w:eastAsia="黑体"/>
      <w:b/>
      <w:sz w:val="32"/>
      <w:szCs w:val="20"/>
    </w:rPr>
  </w:style>
  <w:style w:type="paragraph" w:styleId="8">
    <w:name w:val="heading 3"/>
    <w:basedOn w:val="1"/>
    <w:next w:val="6"/>
    <w:link w:val="58"/>
    <w:qFormat/>
    <w:uiPriority w:val="0"/>
    <w:pPr>
      <w:keepNext/>
      <w:keepLines/>
      <w:numPr>
        <w:ilvl w:val="0"/>
        <w:numId w:val="3"/>
      </w:numPr>
      <w:tabs>
        <w:tab w:val="left" w:pos="2651"/>
        <w:tab w:val="clear" w:pos="1200"/>
      </w:tabs>
      <w:spacing w:before="260" w:after="260" w:line="416" w:lineRule="auto"/>
      <w:ind w:left="1418" w:leftChars="0" w:hanging="567" w:firstLineChars="0"/>
      <w:outlineLvl w:val="2"/>
    </w:pPr>
    <w:rPr>
      <w:rFonts w:eastAsia="仿宋_GB2312"/>
      <w:b/>
      <w:sz w:val="32"/>
      <w:szCs w:val="20"/>
    </w:rPr>
  </w:style>
  <w:style w:type="paragraph" w:styleId="9">
    <w:name w:val="heading 4"/>
    <w:basedOn w:val="1"/>
    <w:next w:val="1"/>
    <w:link w:val="59"/>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10">
    <w:name w:val="heading 5"/>
    <w:basedOn w:val="1"/>
    <w:next w:val="6"/>
    <w:link w:val="60"/>
    <w:qFormat/>
    <w:uiPriority w:val="0"/>
    <w:pPr>
      <w:keepNext/>
      <w:widowControl/>
      <w:numPr>
        <w:ilvl w:val="0"/>
        <w:numId w:val="4"/>
      </w:numPr>
      <w:jc w:val="left"/>
      <w:outlineLvl w:val="4"/>
    </w:pPr>
    <w:rPr>
      <w:kern w:val="0"/>
      <w:sz w:val="24"/>
      <w:szCs w:val="20"/>
    </w:rPr>
  </w:style>
  <w:style w:type="paragraph" w:styleId="11">
    <w:name w:val="heading 6"/>
    <w:basedOn w:val="1"/>
    <w:next w:val="1"/>
    <w:link w:val="61"/>
    <w:qFormat/>
    <w:uiPriority w:val="0"/>
    <w:pPr>
      <w:widowControl/>
      <w:spacing w:before="60" w:after="60" w:line="440" w:lineRule="atLeast"/>
      <w:textAlignment w:val="baseline"/>
      <w:outlineLvl w:val="5"/>
    </w:pPr>
    <w:rPr>
      <w:rFonts w:ascii="宋体" w:hAnsi="Arial"/>
      <w:kern w:val="0"/>
      <w:sz w:val="24"/>
      <w:szCs w:val="20"/>
    </w:rPr>
  </w:style>
  <w:style w:type="paragraph" w:styleId="12">
    <w:name w:val="heading 7"/>
    <w:basedOn w:val="1"/>
    <w:next w:val="1"/>
    <w:link w:val="62"/>
    <w:qFormat/>
    <w:uiPriority w:val="0"/>
    <w:pPr>
      <w:keepNext/>
      <w:keepLines/>
      <w:adjustRightInd w:val="0"/>
      <w:spacing w:before="240" w:after="64" w:line="320" w:lineRule="atLeast"/>
      <w:textAlignment w:val="baseline"/>
      <w:outlineLvl w:val="6"/>
    </w:pPr>
    <w:rPr>
      <w:rFonts w:ascii="宋体" w:hAnsi="Arial"/>
      <w:b/>
      <w:kern w:val="0"/>
      <w:sz w:val="24"/>
      <w:szCs w:val="20"/>
    </w:rPr>
  </w:style>
  <w:style w:type="paragraph" w:styleId="13">
    <w:name w:val="heading 8"/>
    <w:basedOn w:val="1"/>
    <w:next w:val="1"/>
    <w:link w:val="6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64"/>
    <w:qFormat/>
    <w:uiPriority w:val="0"/>
    <w:pPr>
      <w:keepNext/>
      <w:keepLines/>
      <w:adjustRightInd w:val="0"/>
      <w:spacing w:before="240" w:after="64" w:line="320" w:lineRule="atLeast"/>
      <w:textAlignment w:val="baseline"/>
      <w:outlineLvl w:val="8"/>
    </w:pPr>
    <w:rPr>
      <w:rFonts w:ascii="Arial" w:hAnsi="Arial" w:eastAsia="黑体"/>
      <w:kern w:val="0"/>
      <w:sz w:val="24"/>
      <w:szCs w:val="20"/>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next w:val="3"/>
    <w:qFormat/>
    <w:uiPriority w:val="0"/>
    <w:pPr>
      <w:adjustRightInd w:val="0"/>
      <w:spacing w:line="360" w:lineRule="auto"/>
      <w:ind w:firstLine="480" w:firstLineChars="200"/>
    </w:pPr>
    <w:rPr>
      <w:sz w:val="24"/>
      <w:szCs w:val="20"/>
      <w:lang w:val="zh-CN"/>
    </w:rPr>
  </w:style>
  <w:style w:type="paragraph" w:styleId="3">
    <w:name w:val="Body Text"/>
    <w:basedOn w:val="1"/>
    <w:next w:val="1"/>
    <w:link w:val="86"/>
    <w:qFormat/>
    <w:uiPriority w:val="0"/>
    <w:pPr>
      <w:spacing w:line="360" w:lineRule="auto"/>
    </w:pPr>
    <w:rPr>
      <w:rFonts w:eastAsia="仿宋_GB2312"/>
      <w:sz w:val="28"/>
    </w:rPr>
  </w:style>
  <w:style w:type="paragraph" w:styleId="6">
    <w:name w:val="Normal Indent"/>
    <w:basedOn w:val="1"/>
    <w:next w:val="7"/>
    <w:link w:val="55"/>
    <w:qFormat/>
    <w:uiPriority w:val="0"/>
    <w:pPr>
      <w:ind w:firstLine="420" w:firstLineChars="200"/>
    </w:pPr>
  </w:style>
  <w:style w:type="paragraph" w:styleId="7">
    <w:name w:val="Body Text Indent"/>
    <w:basedOn w:val="1"/>
    <w:next w:val="1"/>
    <w:link w:val="67"/>
    <w:qFormat/>
    <w:uiPriority w:val="0"/>
    <w:pPr>
      <w:spacing w:after="120"/>
      <w:ind w:left="420" w:leftChars="200"/>
    </w:pPr>
  </w:style>
  <w:style w:type="paragraph" w:styleId="15">
    <w:name w:val="List Number 2"/>
    <w:basedOn w:val="1"/>
    <w:qFormat/>
    <w:uiPriority w:val="0"/>
    <w:pPr>
      <w:widowControl/>
      <w:tabs>
        <w:tab w:val="left" w:pos="1697"/>
      </w:tabs>
      <w:spacing w:afterLines="50"/>
      <w:ind w:left="1697" w:hanging="420"/>
      <w:jc w:val="left"/>
    </w:pPr>
    <w:rPr>
      <w:kern w:val="0"/>
      <w:sz w:val="24"/>
      <w:szCs w:val="20"/>
    </w:rPr>
  </w:style>
  <w:style w:type="paragraph" w:styleId="16">
    <w:name w:val="List Number"/>
    <w:basedOn w:val="1"/>
    <w:qFormat/>
    <w:uiPriority w:val="0"/>
    <w:pPr>
      <w:widowControl/>
      <w:tabs>
        <w:tab w:val="left" w:pos="454"/>
      </w:tabs>
      <w:spacing w:afterLines="50"/>
      <w:ind w:left="454" w:hanging="284"/>
      <w:jc w:val="left"/>
    </w:pPr>
    <w:rPr>
      <w:kern w:val="0"/>
      <w:sz w:val="24"/>
      <w:szCs w:val="20"/>
    </w:rPr>
  </w:style>
  <w:style w:type="paragraph" w:styleId="17">
    <w:name w:val="caption"/>
    <w:basedOn w:val="1"/>
    <w:next w:val="1"/>
    <w:link w:val="283"/>
    <w:qFormat/>
    <w:uiPriority w:val="0"/>
    <w:pPr>
      <w:spacing w:line="360" w:lineRule="auto"/>
      <w:jc w:val="center"/>
    </w:pPr>
    <w:rPr>
      <w:rFonts w:ascii="Calibri" w:hAnsi="Calibri"/>
      <w:sz w:val="20"/>
      <w:szCs w:val="20"/>
    </w:rPr>
  </w:style>
  <w:style w:type="paragraph" w:styleId="18">
    <w:name w:val="Document Map"/>
    <w:basedOn w:val="1"/>
    <w:link w:val="121"/>
    <w:semiHidden/>
    <w:qFormat/>
    <w:uiPriority w:val="0"/>
    <w:pPr>
      <w:shd w:val="clear" w:color="auto" w:fill="000080"/>
    </w:pPr>
  </w:style>
  <w:style w:type="paragraph" w:styleId="19">
    <w:name w:val="annotation text"/>
    <w:basedOn w:val="1"/>
    <w:link w:val="73"/>
    <w:qFormat/>
    <w:uiPriority w:val="0"/>
    <w:pPr>
      <w:jc w:val="left"/>
    </w:pPr>
  </w:style>
  <w:style w:type="paragraph" w:styleId="20">
    <w:name w:val="List Number 3"/>
    <w:basedOn w:val="1"/>
    <w:qFormat/>
    <w:uiPriority w:val="0"/>
    <w:pPr>
      <w:widowControl/>
      <w:tabs>
        <w:tab w:val="left" w:pos="482"/>
      </w:tabs>
      <w:spacing w:afterLines="50"/>
      <w:ind w:left="482" w:hanging="340"/>
      <w:jc w:val="left"/>
    </w:pPr>
    <w:rPr>
      <w:kern w:val="0"/>
      <w:sz w:val="24"/>
      <w:szCs w:val="20"/>
    </w:rPr>
  </w:style>
  <w:style w:type="paragraph" w:styleId="21">
    <w:name w:val="Block Text"/>
    <w:basedOn w:val="1"/>
    <w:qFormat/>
    <w:uiPriority w:val="0"/>
    <w:pPr>
      <w:spacing w:before="120" w:line="360" w:lineRule="auto"/>
      <w:ind w:left="824" w:right="202"/>
    </w:pPr>
    <w:rPr>
      <w:rFonts w:ascii="宋体" w:hAnsi="宋体"/>
      <w:sz w:val="24"/>
      <w:szCs w:val="21"/>
    </w:rPr>
  </w:style>
  <w:style w:type="paragraph" w:styleId="22">
    <w:name w:val="index 4"/>
    <w:basedOn w:val="1"/>
    <w:next w:val="1"/>
    <w:unhideWhenUsed/>
    <w:qFormat/>
    <w:uiPriority w:val="99"/>
    <w:pPr>
      <w:ind w:left="600" w:leftChars="600"/>
    </w:pPr>
    <w:rPr>
      <w:szCs w:val="22"/>
    </w:rPr>
  </w:style>
  <w:style w:type="paragraph" w:styleId="23">
    <w:name w:val="toc 3"/>
    <w:basedOn w:val="1"/>
    <w:next w:val="1"/>
    <w:unhideWhenUsed/>
    <w:qFormat/>
    <w:uiPriority w:val="0"/>
    <w:pPr>
      <w:ind w:left="840" w:leftChars="400"/>
    </w:pPr>
    <w:rPr>
      <w:rFonts w:ascii="Calibri" w:hAnsi="Calibri"/>
      <w:szCs w:val="22"/>
    </w:rPr>
  </w:style>
  <w:style w:type="paragraph" w:styleId="24">
    <w:name w:val="Plain Text"/>
    <w:basedOn w:val="1"/>
    <w:next w:val="25"/>
    <w:link w:val="65"/>
    <w:qFormat/>
    <w:uiPriority w:val="0"/>
    <w:rPr>
      <w:rFonts w:ascii="宋体" w:hAnsi="Courier New"/>
      <w:szCs w:val="20"/>
    </w:rPr>
  </w:style>
  <w:style w:type="paragraph" w:styleId="25">
    <w:name w:val="toc 1"/>
    <w:basedOn w:val="1"/>
    <w:next w:val="1"/>
    <w:semiHidden/>
    <w:qFormat/>
    <w:uiPriority w:val="0"/>
  </w:style>
  <w:style w:type="paragraph" w:styleId="26">
    <w:name w:val="Date"/>
    <w:basedOn w:val="1"/>
    <w:next w:val="1"/>
    <w:link w:val="68"/>
    <w:qFormat/>
    <w:uiPriority w:val="0"/>
    <w:rPr>
      <w:rFonts w:ascii="楷体_GB2312" w:eastAsia="楷体_GB2312"/>
      <w:b/>
      <w:sz w:val="28"/>
      <w:szCs w:val="20"/>
    </w:rPr>
  </w:style>
  <w:style w:type="paragraph" w:styleId="27">
    <w:name w:val="Body Text Indent 2"/>
    <w:basedOn w:val="1"/>
    <w:link w:val="82"/>
    <w:qFormat/>
    <w:uiPriority w:val="0"/>
    <w:pPr>
      <w:spacing w:after="120" w:line="480" w:lineRule="auto"/>
      <w:ind w:left="420" w:leftChars="200"/>
    </w:pPr>
  </w:style>
  <w:style w:type="paragraph" w:styleId="28">
    <w:name w:val="Balloon Text"/>
    <w:basedOn w:val="1"/>
    <w:link w:val="200"/>
    <w:qFormat/>
    <w:uiPriority w:val="0"/>
    <w:rPr>
      <w:sz w:val="18"/>
      <w:szCs w:val="18"/>
    </w:rPr>
  </w:style>
  <w:style w:type="paragraph" w:styleId="29">
    <w:name w:val="footer"/>
    <w:basedOn w:val="1"/>
    <w:link w:val="70"/>
    <w:qFormat/>
    <w:uiPriority w:val="0"/>
    <w:pPr>
      <w:tabs>
        <w:tab w:val="center" w:pos="4153"/>
        <w:tab w:val="right" w:pos="8306"/>
      </w:tabs>
      <w:snapToGrid w:val="0"/>
      <w:jc w:val="left"/>
    </w:pPr>
    <w:rPr>
      <w:sz w:val="18"/>
      <w:szCs w:val="18"/>
    </w:rPr>
  </w:style>
  <w:style w:type="paragraph" w:styleId="30">
    <w:name w:val="header"/>
    <w:basedOn w:val="1"/>
    <w:link w:val="69"/>
    <w:qFormat/>
    <w:uiPriority w:val="0"/>
    <w:pPr>
      <w:pBdr>
        <w:bottom w:val="single" w:color="auto" w:sz="6" w:space="1"/>
      </w:pBdr>
      <w:tabs>
        <w:tab w:val="center" w:pos="4153"/>
        <w:tab w:val="right" w:pos="8306"/>
      </w:tabs>
      <w:snapToGrid w:val="0"/>
      <w:jc w:val="center"/>
    </w:pPr>
    <w:rPr>
      <w:sz w:val="18"/>
      <w:szCs w:val="18"/>
    </w:rPr>
  </w:style>
  <w:style w:type="paragraph" w:styleId="31">
    <w:name w:val="toc 4"/>
    <w:basedOn w:val="1"/>
    <w:next w:val="1"/>
    <w:semiHidden/>
    <w:qFormat/>
    <w:uiPriority w:val="0"/>
    <w:pPr>
      <w:tabs>
        <w:tab w:val="right" w:leader="dot" w:pos="8314"/>
      </w:tabs>
      <w:ind w:firstLine="588" w:firstLineChars="245"/>
    </w:pPr>
  </w:style>
  <w:style w:type="paragraph" w:styleId="32">
    <w:name w:val="toc 6"/>
    <w:basedOn w:val="1"/>
    <w:next w:val="1"/>
    <w:qFormat/>
    <w:uiPriority w:val="0"/>
    <w:pPr>
      <w:ind w:left="2100" w:leftChars="1000"/>
    </w:pPr>
  </w:style>
  <w:style w:type="paragraph" w:styleId="33">
    <w:name w:val="Body Text Indent 3"/>
    <w:basedOn w:val="1"/>
    <w:link w:val="201"/>
    <w:qFormat/>
    <w:uiPriority w:val="0"/>
    <w:pPr>
      <w:spacing w:after="120"/>
      <w:ind w:left="420" w:leftChars="200"/>
    </w:pPr>
    <w:rPr>
      <w:sz w:val="16"/>
      <w:szCs w:val="16"/>
    </w:rPr>
  </w:style>
  <w:style w:type="paragraph" w:styleId="34">
    <w:name w:val="toc 2"/>
    <w:basedOn w:val="1"/>
    <w:next w:val="1"/>
    <w:semiHidden/>
    <w:qFormat/>
    <w:uiPriority w:val="0"/>
    <w:pPr>
      <w:ind w:left="420" w:leftChars="200"/>
    </w:pPr>
  </w:style>
  <w:style w:type="paragraph" w:styleId="35">
    <w:name w:val="Body Text 2"/>
    <w:basedOn w:val="1"/>
    <w:link w:val="74"/>
    <w:qFormat/>
    <w:uiPriority w:val="0"/>
    <w:pPr>
      <w:widowControl/>
      <w:spacing w:afterLines="50" w:line="216" w:lineRule="auto"/>
      <w:jc w:val="center"/>
    </w:pPr>
    <w:rPr>
      <w:rFonts w:ascii="隶书" w:eastAsia="隶书"/>
      <w:bCs/>
      <w:kern w:val="0"/>
      <w:sz w:val="72"/>
      <w:szCs w:val="84"/>
    </w:rPr>
  </w:style>
  <w:style w:type="paragraph" w:styleId="36">
    <w:name w:val="List Continue 2"/>
    <w:basedOn w:val="1"/>
    <w:qFormat/>
    <w:uiPriority w:val="0"/>
    <w:pPr>
      <w:spacing w:after="120"/>
      <w:ind w:left="840" w:leftChars="400"/>
    </w:pPr>
  </w:style>
  <w:style w:type="paragraph" w:styleId="37">
    <w:name w:val="HTML Preformatted"/>
    <w:basedOn w:val="1"/>
    <w:link w:val="20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8">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19"/>
      <w:szCs w:val="19"/>
    </w:rPr>
  </w:style>
  <w:style w:type="paragraph" w:styleId="39">
    <w:name w:val="index 1"/>
    <w:basedOn w:val="1"/>
    <w:next w:val="1"/>
    <w:semiHidden/>
    <w:qFormat/>
    <w:uiPriority w:val="0"/>
    <w:pPr>
      <w:spacing w:line="320" w:lineRule="exact"/>
    </w:pPr>
    <w:rPr>
      <w:b/>
      <w:snapToGrid w:val="0"/>
      <w:color w:val="FF6600"/>
      <w:kern w:val="0"/>
      <w:sz w:val="18"/>
      <w:szCs w:val="21"/>
    </w:rPr>
  </w:style>
  <w:style w:type="paragraph" w:styleId="40">
    <w:name w:val="Title"/>
    <w:basedOn w:val="1"/>
    <w:next w:val="1"/>
    <w:link w:val="176"/>
    <w:qFormat/>
    <w:uiPriority w:val="0"/>
    <w:pPr>
      <w:adjustRightInd w:val="0"/>
      <w:spacing w:before="240" w:after="60"/>
      <w:jc w:val="center"/>
      <w:outlineLvl w:val="0"/>
    </w:pPr>
    <w:rPr>
      <w:rFonts w:ascii="Calibri Light" w:hAnsi="Calibri Light"/>
      <w:b/>
      <w:bCs/>
      <w:sz w:val="32"/>
      <w:szCs w:val="32"/>
    </w:rPr>
  </w:style>
  <w:style w:type="paragraph" w:styleId="41">
    <w:name w:val="annotation subject"/>
    <w:basedOn w:val="19"/>
    <w:next w:val="19"/>
    <w:link w:val="203"/>
    <w:qFormat/>
    <w:uiPriority w:val="0"/>
    <w:pPr>
      <w:widowControl/>
      <w:spacing w:afterLines="50"/>
    </w:pPr>
    <w:rPr>
      <w:b/>
      <w:bCs/>
      <w:kern w:val="0"/>
      <w:sz w:val="24"/>
      <w:szCs w:val="20"/>
    </w:rPr>
  </w:style>
  <w:style w:type="paragraph" w:styleId="42">
    <w:name w:val="Body Text First Indent"/>
    <w:basedOn w:val="1"/>
    <w:next w:val="1"/>
    <w:link w:val="204"/>
    <w:qFormat/>
    <w:uiPriority w:val="0"/>
    <w:pPr>
      <w:spacing w:after="120" w:line="240" w:lineRule="auto"/>
      <w:ind w:firstLine="420" w:firstLineChars="100"/>
    </w:pPr>
    <w:rPr>
      <w:rFonts w:eastAsia="宋体"/>
      <w:sz w:val="21"/>
    </w:rPr>
  </w:style>
  <w:style w:type="paragraph" w:styleId="43">
    <w:name w:val="Body Text First Indent 2"/>
    <w:basedOn w:val="7"/>
    <w:next w:val="42"/>
    <w:link w:val="205"/>
    <w:qFormat/>
    <w:uiPriority w:val="0"/>
    <w:pPr>
      <w:ind w:firstLine="420" w:firstLineChars="200"/>
    </w:p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99"/>
    <w:rPr>
      <w:color w:val="800080"/>
      <w:u w:val="single"/>
    </w:rPr>
  </w:style>
  <w:style w:type="character" w:styleId="50">
    <w:name w:val="Emphasis"/>
    <w:qFormat/>
    <w:uiPriority w:val="0"/>
    <w:rPr>
      <w:color w:val="CC0000"/>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paragraph" w:customStyle="1" w:styleId="53">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character" w:customStyle="1" w:styleId="54">
    <w:name w:val="标题 1 Char"/>
    <w:link w:val="4"/>
    <w:qFormat/>
    <w:uiPriority w:val="0"/>
    <w:rPr>
      <w:rFonts w:eastAsia="仿宋_GB2312"/>
      <w:b/>
      <w:kern w:val="44"/>
      <w:sz w:val="44"/>
      <w:lang w:val="en-US" w:eastAsia="zh-CN" w:bidi="ar-SA"/>
    </w:rPr>
  </w:style>
  <w:style w:type="character" w:customStyle="1" w:styleId="55">
    <w:name w:val="正文缩进 Char"/>
    <w:link w:val="6"/>
    <w:qFormat/>
    <w:uiPriority w:val="0"/>
    <w:rPr>
      <w:rFonts w:eastAsia="宋体"/>
      <w:kern w:val="2"/>
      <w:sz w:val="21"/>
      <w:szCs w:val="24"/>
      <w:lang w:val="en-US" w:eastAsia="zh-CN" w:bidi="ar-SA"/>
    </w:rPr>
  </w:style>
  <w:style w:type="paragraph" w:customStyle="1" w:styleId="56">
    <w:name w:val="_Style 15"/>
    <w:basedOn w:val="1"/>
    <w:qFormat/>
    <w:uiPriority w:val="0"/>
    <w:rPr>
      <w:rFonts w:ascii="Tahoma" w:hAnsi="Tahoma"/>
      <w:sz w:val="24"/>
      <w:szCs w:val="20"/>
    </w:rPr>
  </w:style>
  <w:style w:type="character" w:customStyle="1" w:styleId="57">
    <w:name w:val="标题 2 Char"/>
    <w:link w:val="5"/>
    <w:qFormat/>
    <w:uiPriority w:val="0"/>
    <w:rPr>
      <w:rFonts w:ascii="Arial" w:hAnsi="Arial" w:eastAsia="黑体"/>
      <w:b/>
      <w:kern w:val="2"/>
      <w:sz w:val="32"/>
      <w:lang w:val="en-US" w:eastAsia="zh-CN" w:bidi="ar-SA"/>
    </w:rPr>
  </w:style>
  <w:style w:type="character" w:customStyle="1" w:styleId="58">
    <w:name w:val="标题 3 Char"/>
    <w:link w:val="8"/>
    <w:qFormat/>
    <w:uiPriority w:val="0"/>
    <w:rPr>
      <w:rFonts w:eastAsia="仿宋_GB2312"/>
      <w:b/>
      <w:kern w:val="2"/>
      <w:sz w:val="32"/>
      <w:lang w:val="en-US" w:eastAsia="zh-CN" w:bidi="ar-SA"/>
    </w:rPr>
  </w:style>
  <w:style w:type="character" w:customStyle="1" w:styleId="59">
    <w:name w:val="标题 4 Char1"/>
    <w:link w:val="9"/>
    <w:qFormat/>
    <w:uiPriority w:val="0"/>
    <w:rPr>
      <w:rFonts w:ascii="Arial" w:hAnsi="Arial" w:eastAsia="黑体"/>
      <w:b/>
      <w:kern w:val="2"/>
      <w:sz w:val="28"/>
      <w:lang w:val="en-US" w:eastAsia="zh-CN" w:bidi="ar-SA"/>
    </w:rPr>
  </w:style>
  <w:style w:type="character" w:customStyle="1" w:styleId="60">
    <w:name w:val="标题 5 Char1"/>
    <w:link w:val="10"/>
    <w:qFormat/>
    <w:uiPriority w:val="0"/>
    <w:rPr>
      <w:sz w:val="24"/>
    </w:rPr>
  </w:style>
  <w:style w:type="character" w:customStyle="1" w:styleId="61">
    <w:name w:val="标题 6 Char1"/>
    <w:link w:val="11"/>
    <w:qFormat/>
    <w:uiPriority w:val="0"/>
    <w:rPr>
      <w:rFonts w:ascii="宋体" w:hAnsi="Arial" w:eastAsia="宋体"/>
      <w:sz w:val="24"/>
      <w:lang w:val="en-US" w:eastAsia="zh-CN" w:bidi="ar-SA"/>
    </w:rPr>
  </w:style>
  <w:style w:type="character" w:customStyle="1" w:styleId="62">
    <w:name w:val="标题 7 Char1"/>
    <w:link w:val="12"/>
    <w:qFormat/>
    <w:uiPriority w:val="0"/>
    <w:rPr>
      <w:rFonts w:ascii="宋体" w:hAnsi="Arial" w:eastAsia="宋体"/>
      <w:b/>
      <w:sz w:val="24"/>
      <w:lang w:val="en-US" w:eastAsia="zh-CN" w:bidi="ar-SA"/>
    </w:rPr>
  </w:style>
  <w:style w:type="character" w:customStyle="1" w:styleId="63">
    <w:name w:val="标题 8 Char1"/>
    <w:link w:val="13"/>
    <w:qFormat/>
    <w:uiPriority w:val="0"/>
    <w:rPr>
      <w:rFonts w:ascii="Arial" w:hAnsi="Arial" w:eastAsia="黑体"/>
      <w:sz w:val="24"/>
      <w:lang w:val="en-US" w:eastAsia="zh-CN" w:bidi="ar-SA"/>
    </w:rPr>
  </w:style>
  <w:style w:type="character" w:customStyle="1" w:styleId="64">
    <w:name w:val="标题 9 Char1"/>
    <w:link w:val="14"/>
    <w:qFormat/>
    <w:uiPriority w:val="0"/>
    <w:rPr>
      <w:rFonts w:ascii="Arial" w:hAnsi="Arial" w:eastAsia="黑体"/>
      <w:sz w:val="24"/>
      <w:lang w:val="en-US" w:eastAsia="zh-CN" w:bidi="ar-SA"/>
    </w:rPr>
  </w:style>
  <w:style w:type="character" w:customStyle="1" w:styleId="65">
    <w:name w:val="纯文本 Char"/>
    <w:link w:val="24"/>
    <w:qFormat/>
    <w:uiPriority w:val="0"/>
    <w:rPr>
      <w:rFonts w:ascii="宋体" w:hAnsi="Courier New" w:eastAsia="宋体"/>
      <w:kern w:val="2"/>
      <w:sz w:val="21"/>
      <w:lang w:val="en-US" w:eastAsia="zh-CN" w:bidi="ar-SA"/>
    </w:rPr>
  </w:style>
  <w:style w:type="paragraph" w:customStyle="1" w:styleId="66">
    <w:name w:val="表正文"/>
    <w:basedOn w:val="1"/>
    <w:next w:val="24"/>
    <w:qFormat/>
    <w:uiPriority w:val="0"/>
    <w:rPr>
      <w:rFonts w:ascii="宋体" w:hAnsi="Courier New"/>
      <w:szCs w:val="20"/>
    </w:rPr>
  </w:style>
  <w:style w:type="character" w:customStyle="1" w:styleId="67">
    <w:name w:val="正文文本缩进 Char"/>
    <w:link w:val="7"/>
    <w:qFormat/>
    <w:uiPriority w:val="0"/>
    <w:rPr>
      <w:rFonts w:eastAsia="宋体"/>
      <w:kern w:val="2"/>
      <w:sz w:val="21"/>
      <w:szCs w:val="24"/>
      <w:lang w:val="en-US" w:eastAsia="zh-CN" w:bidi="ar-SA"/>
    </w:rPr>
  </w:style>
  <w:style w:type="character" w:customStyle="1" w:styleId="68">
    <w:name w:val="日期 Char2"/>
    <w:link w:val="26"/>
    <w:qFormat/>
    <w:uiPriority w:val="0"/>
    <w:rPr>
      <w:rFonts w:ascii="楷体_GB2312" w:eastAsia="楷体_GB2312"/>
      <w:b/>
      <w:kern w:val="2"/>
      <w:sz w:val="28"/>
      <w:lang w:val="en-US" w:eastAsia="zh-CN" w:bidi="ar-SA"/>
    </w:rPr>
  </w:style>
  <w:style w:type="character" w:customStyle="1" w:styleId="69">
    <w:name w:val="页眉 Char1"/>
    <w:link w:val="30"/>
    <w:qFormat/>
    <w:uiPriority w:val="0"/>
    <w:rPr>
      <w:rFonts w:eastAsia="宋体"/>
      <w:kern w:val="2"/>
      <w:sz w:val="18"/>
      <w:szCs w:val="18"/>
      <w:lang w:val="en-US" w:eastAsia="zh-CN" w:bidi="ar-SA"/>
    </w:rPr>
  </w:style>
  <w:style w:type="character" w:customStyle="1" w:styleId="70">
    <w:name w:val="页脚 Char"/>
    <w:link w:val="29"/>
    <w:qFormat/>
    <w:locked/>
    <w:uiPriority w:val="0"/>
    <w:rPr>
      <w:rFonts w:eastAsia="宋体"/>
      <w:kern w:val="2"/>
      <w:sz w:val="18"/>
      <w:szCs w:val="18"/>
      <w:lang w:val="en-US" w:eastAsia="zh-CN" w:bidi="ar-SA"/>
    </w:rPr>
  </w:style>
  <w:style w:type="paragraph" w:customStyle="1" w:styleId="71">
    <w:name w:val="正文段"/>
    <w:basedOn w:val="1"/>
    <w:link w:val="72"/>
    <w:qFormat/>
    <w:uiPriority w:val="0"/>
    <w:pPr>
      <w:widowControl/>
      <w:snapToGrid w:val="0"/>
      <w:spacing w:afterLines="50"/>
      <w:ind w:firstLine="200" w:firstLineChars="200"/>
    </w:pPr>
    <w:rPr>
      <w:kern w:val="0"/>
      <w:sz w:val="24"/>
      <w:szCs w:val="20"/>
    </w:rPr>
  </w:style>
  <w:style w:type="character" w:customStyle="1" w:styleId="72">
    <w:name w:val="正文段 Char"/>
    <w:link w:val="71"/>
    <w:qFormat/>
    <w:uiPriority w:val="0"/>
    <w:rPr>
      <w:rFonts w:eastAsia="宋体"/>
      <w:sz w:val="24"/>
      <w:lang w:val="en-US" w:eastAsia="zh-CN" w:bidi="ar-SA"/>
    </w:rPr>
  </w:style>
  <w:style w:type="character" w:customStyle="1" w:styleId="73">
    <w:name w:val="批注文字 Char1"/>
    <w:link w:val="19"/>
    <w:qFormat/>
    <w:uiPriority w:val="0"/>
    <w:rPr>
      <w:rFonts w:eastAsia="宋体"/>
      <w:kern w:val="2"/>
      <w:sz w:val="21"/>
      <w:szCs w:val="24"/>
      <w:lang w:val="en-US" w:eastAsia="zh-CN" w:bidi="ar-SA"/>
    </w:rPr>
  </w:style>
  <w:style w:type="character" w:customStyle="1" w:styleId="74">
    <w:name w:val="正文文本 2 Char1"/>
    <w:link w:val="35"/>
    <w:qFormat/>
    <w:uiPriority w:val="0"/>
    <w:rPr>
      <w:rFonts w:ascii="隶书" w:eastAsia="隶书"/>
      <w:bCs/>
      <w:sz w:val="72"/>
      <w:szCs w:val="84"/>
      <w:lang w:val="en-US" w:eastAsia="zh-CN" w:bidi="ar-SA"/>
    </w:rPr>
  </w:style>
  <w:style w:type="paragraph" w:customStyle="1" w:styleId="75">
    <w:name w:val="Char"/>
    <w:basedOn w:val="1"/>
    <w:qFormat/>
    <w:uiPriority w:val="0"/>
    <w:rPr>
      <w:rFonts w:ascii="仿宋_GB2312" w:eastAsia="仿宋_GB2312"/>
      <w:b/>
      <w:sz w:val="32"/>
      <w:szCs w:val="32"/>
    </w:rPr>
  </w:style>
  <w:style w:type="paragraph" w:customStyle="1" w:styleId="76">
    <w:name w:val="Table Text"/>
    <w:link w:val="77"/>
    <w:qFormat/>
    <w:uiPriority w:val="0"/>
    <w:pPr>
      <w:snapToGrid w:val="0"/>
      <w:spacing w:before="80" w:after="80"/>
    </w:pPr>
    <w:rPr>
      <w:rFonts w:ascii="Arial" w:hAnsi="Arial" w:eastAsia="宋体" w:cs="Times New Roman"/>
      <w:sz w:val="18"/>
      <w:lang w:val="en-US" w:eastAsia="zh-CN" w:bidi="ar-SA"/>
    </w:rPr>
  </w:style>
  <w:style w:type="character" w:customStyle="1" w:styleId="77">
    <w:name w:val="Table Text Char1"/>
    <w:link w:val="76"/>
    <w:qFormat/>
    <w:uiPriority w:val="0"/>
    <w:rPr>
      <w:rFonts w:ascii="Arial" w:hAnsi="Arial"/>
      <w:sz w:val="18"/>
      <w:lang w:val="en-US" w:eastAsia="zh-CN" w:bidi="ar-SA"/>
    </w:rPr>
  </w:style>
  <w:style w:type="character" w:customStyle="1" w:styleId="78">
    <w:name w:val="正文（缩进2汉字） Char"/>
    <w:link w:val="79"/>
    <w:qFormat/>
    <w:uiPriority w:val="0"/>
    <w:rPr>
      <w:rFonts w:ascii="宋体"/>
      <w:kern w:val="2"/>
      <w:sz w:val="21"/>
      <w:lang w:bidi="ar-SA"/>
    </w:rPr>
  </w:style>
  <w:style w:type="paragraph" w:customStyle="1" w:styleId="79">
    <w:name w:val="正文（缩进2汉字）"/>
    <w:basedOn w:val="1"/>
    <w:link w:val="78"/>
    <w:qFormat/>
    <w:uiPriority w:val="0"/>
    <w:pPr>
      <w:tabs>
        <w:tab w:val="left" w:pos="525"/>
      </w:tabs>
      <w:spacing w:before="100" w:beforeAutospacing="1" w:after="100" w:afterAutospacing="1"/>
      <w:ind w:left="120" w:leftChars="50" w:firstLine="494" w:firstLineChars="206"/>
    </w:pPr>
    <w:rPr>
      <w:rFonts w:ascii="宋体"/>
      <w:szCs w:val="20"/>
    </w:rPr>
  </w:style>
  <w:style w:type="paragraph" w:customStyle="1" w:styleId="80">
    <w:name w:val="Char111"/>
    <w:basedOn w:val="1"/>
    <w:qFormat/>
    <w:uiPriority w:val="0"/>
    <w:pPr>
      <w:tabs>
        <w:tab w:val="left" w:pos="432"/>
      </w:tabs>
      <w:spacing w:beforeLines="50" w:afterLines="50"/>
      <w:ind w:left="432" w:hanging="432"/>
      <w:jc w:val="center"/>
    </w:pPr>
    <w:rPr>
      <w:sz w:val="24"/>
    </w:rPr>
  </w:style>
  <w:style w:type="paragraph" w:customStyle="1" w:styleId="81">
    <w:name w:val="模板普通正文"/>
    <w:basedOn w:val="7"/>
    <w:qFormat/>
    <w:uiPriority w:val="0"/>
    <w:pPr>
      <w:spacing w:beforeLines="50" w:after="10" w:line="360" w:lineRule="auto"/>
      <w:ind w:left="0" w:leftChars="0" w:firstLine="175" w:firstLineChars="175"/>
      <w:jc w:val="left"/>
    </w:pPr>
    <w:rPr>
      <w:sz w:val="24"/>
    </w:rPr>
  </w:style>
  <w:style w:type="character" w:customStyle="1" w:styleId="82">
    <w:name w:val="正文文本缩进 2 Char1"/>
    <w:link w:val="27"/>
    <w:qFormat/>
    <w:locked/>
    <w:uiPriority w:val="0"/>
    <w:rPr>
      <w:rFonts w:eastAsia="宋体"/>
      <w:kern w:val="2"/>
      <w:sz w:val="21"/>
      <w:szCs w:val="24"/>
      <w:lang w:val="en-US" w:eastAsia="zh-CN" w:bidi="ar-SA"/>
    </w:rPr>
  </w:style>
  <w:style w:type="paragraph" w:customStyle="1" w:styleId="83">
    <w:name w:val="缺省文本"/>
    <w:basedOn w:val="1"/>
    <w:qFormat/>
    <w:uiPriority w:val="0"/>
    <w:pPr>
      <w:autoSpaceDE w:val="0"/>
      <w:autoSpaceDN w:val="0"/>
      <w:adjustRightInd w:val="0"/>
      <w:jc w:val="left"/>
    </w:pPr>
    <w:rPr>
      <w:kern w:val="0"/>
      <w:sz w:val="24"/>
    </w:rPr>
  </w:style>
  <w:style w:type="paragraph" w:customStyle="1" w:styleId="84">
    <w:name w:val="WW-正文文字缩进 2"/>
    <w:basedOn w:val="1"/>
    <w:qFormat/>
    <w:uiPriority w:val="0"/>
    <w:pPr>
      <w:suppressAutoHyphens/>
      <w:ind w:firstLine="420"/>
    </w:pPr>
    <w:rPr>
      <w:kern w:val="1"/>
      <w:szCs w:val="20"/>
    </w:rPr>
  </w:style>
  <w:style w:type="paragraph" w:customStyle="1" w:styleId="85">
    <w:name w:val="默认段落字体 Para Char Char Char Char Char Char Char Char Char1 Char Char Char Char"/>
    <w:basedOn w:val="1"/>
    <w:qFormat/>
    <w:uiPriority w:val="0"/>
    <w:rPr>
      <w:rFonts w:ascii="Tahoma" w:hAnsi="Tahoma"/>
      <w:sz w:val="24"/>
      <w:szCs w:val="20"/>
    </w:rPr>
  </w:style>
  <w:style w:type="character" w:customStyle="1" w:styleId="86">
    <w:name w:val="正文文本 Char1"/>
    <w:link w:val="3"/>
    <w:qFormat/>
    <w:locked/>
    <w:uiPriority w:val="0"/>
    <w:rPr>
      <w:rFonts w:eastAsia="仿宋_GB2312"/>
      <w:kern w:val="2"/>
      <w:sz w:val="28"/>
      <w:szCs w:val="24"/>
      <w:lang w:val="en-US" w:eastAsia="zh-CN" w:bidi="ar-SA"/>
    </w:rPr>
  </w:style>
  <w:style w:type="paragraph" w:customStyle="1" w:styleId="87">
    <w:name w:val="项目排列"/>
    <w:basedOn w:val="1"/>
    <w:link w:val="88"/>
    <w:qFormat/>
    <w:uiPriority w:val="0"/>
    <w:pPr>
      <w:tabs>
        <w:tab w:val="left" w:pos="900"/>
      </w:tabs>
      <w:spacing w:beforeLines="50" w:afterLines="50" w:line="300" w:lineRule="auto"/>
      <w:ind w:left="900" w:hanging="420"/>
    </w:pPr>
    <w:rPr>
      <w:sz w:val="24"/>
    </w:rPr>
  </w:style>
  <w:style w:type="character" w:customStyle="1" w:styleId="88">
    <w:name w:val="项目排列 Char"/>
    <w:link w:val="87"/>
    <w:qFormat/>
    <w:uiPriority w:val="0"/>
    <w:rPr>
      <w:kern w:val="2"/>
      <w:sz w:val="24"/>
      <w:szCs w:val="24"/>
    </w:rPr>
  </w:style>
  <w:style w:type="character" w:customStyle="1" w:styleId="89">
    <w:name w:val="style21"/>
    <w:qFormat/>
    <w:uiPriority w:val="0"/>
    <w:rPr>
      <w:sz w:val="15"/>
      <w:szCs w:val="15"/>
    </w:rPr>
  </w:style>
  <w:style w:type="paragraph" w:customStyle="1" w:styleId="90">
    <w:name w:val="blue"/>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91">
    <w:name w:val="List Paragraph"/>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92">
    <w:name w:val="Char1"/>
    <w:basedOn w:val="1"/>
    <w:qFormat/>
    <w:uiPriority w:val="0"/>
    <w:rPr>
      <w:szCs w:val="20"/>
    </w:rPr>
  </w:style>
  <w:style w:type="paragraph" w:customStyle="1" w:styleId="93">
    <w:name w:val="列出段落1"/>
    <w:basedOn w:val="1"/>
    <w:qFormat/>
    <w:uiPriority w:val="0"/>
    <w:pPr>
      <w:ind w:firstLine="420" w:firstLineChars="200"/>
    </w:pPr>
    <w:rPr>
      <w:rFonts w:ascii="Calibri" w:hAnsi="Calibri"/>
      <w:szCs w:val="22"/>
    </w:rPr>
  </w:style>
  <w:style w:type="paragraph" w:customStyle="1" w:styleId="94">
    <w:name w:val="默认段落字体 Para Char Char Char Char"/>
    <w:basedOn w:val="1"/>
    <w:qFormat/>
    <w:uiPriority w:val="0"/>
  </w:style>
  <w:style w:type="paragraph" w:customStyle="1" w:styleId="95">
    <w:name w:val="Char Char Char1 Char Char Char1 Char Char Char Char"/>
    <w:basedOn w:val="1"/>
    <w:qFormat/>
    <w:uiPriority w:val="0"/>
  </w:style>
  <w:style w:type="character" w:customStyle="1" w:styleId="96">
    <w:name w:val="font1"/>
    <w:qFormat/>
    <w:uiPriority w:val="0"/>
    <w:rPr>
      <w:color w:val="999999"/>
      <w:sz w:val="18"/>
      <w:szCs w:val="18"/>
      <w:u w:val="none"/>
    </w:rPr>
  </w:style>
  <w:style w:type="paragraph" w:customStyle="1" w:styleId="97">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Char Char Char"/>
    <w:basedOn w:val="1"/>
    <w:qFormat/>
    <w:uiPriority w:val="0"/>
    <w:rPr>
      <w:rFonts w:ascii="Tahoma" w:hAnsi="Tahoma"/>
      <w:sz w:val="24"/>
      <w:szCs w:val="20"/>
    </w:rPr>
  </w:style>
  <w:style w:type="character" w:customStyle="1" w:styleId="99">
    <w:name w:val="apple-style-span"/>
    <w:basedOn w:val="46"/>
    <w:qFormat/>
    <w:uiPriority w:val="0"/>
  </w:style>
  <w:style w:type="paragraph" w:customStyle="1" w:styleId="100">
    <w:name w:val="正文无缩进"/>
    <w:basedOn w:val="1"/>
    <w:link w:val="101"/>
    <w:qFormat/>
    <w:uiPriority w:val="0"/>
    <w:pPr>
      <w:spacing w:line="360" w:lineRule="auto"/>
    </w:pPr>
    <w:rPr>
      <w:rFonts w:ascii="宋体"/>
      <w:color w:val="000000"/>
      <w:sz w:val="24"/>
    </w:rPr>
  </w:style>
  <w:style w:type="character" w:customStyle="1" w:styleId="101">
    <w:name w:val="正文无缩进 Char"/>
    <w:link w:val="100"/>
    <w:qFormat/>
    <w:uiPriority w:val="0"/>
    <w:rPr>
      <w:rFonts w:ascii="宋体" w:eastAsia="宋体"/>
      <w:color w:val="000000"/>
      <w:kern w:val="2"/>
      <w:sz w:val="24"/>
      <w:szCs w:val="24"/>
      <w:lang w:val="en-US" w:eastAsia="zh-CN" w:bidi="ar-SA"/>
    </w:rPr>
  </w:style>
  <w:style w:type="paragraph" w:customStyle="1" w:styleId="102">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character" w:customStyle="1" w:styleId="103">
    <w:name w:val="ca-3"/>
    <w:basedOn w:val="46"/>
    <w:qFormat/>
    <w:uiPriority w:val="0"/>
  </w:style>
  <w:style w:type="paragraph" w:customStyle="1" w:styleId="104">
    <w:name w:val="Char Char1 Char Char Char Char1 Char Char Char"/>
    <w:basedOn w:val="1"/>
    <w:qFormat/>
    <w:uiPriority w:val="0"/>
    <w:pPr>
      <w:adjustRightInd w:val="0"/>
      <w:spacing w:line="360" w:lineRule="atLeast"/>
    </w:pPr>
    <w:rPr>
      <w:rFonts w:ascii="Tahoma" w:hAnsi="Tahoma"/>
      <w:sz w:val="24"/>
      <w:szCs w:val="20"/>
    </w:rPr>
  </w:style>
  <w:style w:type="character" w:customStyle="1" w:styleId="105">
    <w:name w:val="表格 Char Char"/>
    <w:link w:val="106"/>
    <w:qFormat/>
    <w:locked/>
    <w:uiPriority w:val="0"/>
    <w:rPr>
      <w:rFonts w:ascii="宋体" w:hAnsi="宋体" w:eastAsia="宋体"/>
      <w:lang w:val="en-US" w:eastAsia="zh-CN" w:bidi="ar-SA"/>
    </w:rPr>
  </w:style>
  <w:style w:type="paragraph" w:customStyle="1" w:styleId="106">
    <w:name w:val="表格"/>
    <w:basedOn w:val="1"/>
    <w:link w:val="105"/>
    <w:qFormat/>
    <w:uiPriority w:val="0"/>
    <w:pPr>
      <w:snapToGrid w:val="0"/>
      <w:ind w:firstLine="42" w:firstLineChars="21"/>
    </w:pPr>
    <w:rPr>
      <w:rFonts w:ascii="宋体" w:hAnsi="宋体"/>
      <w:kern w:val="0"/>
      <w:sz w:val="20"/>
      <w:szCs w:val="20"/>
    </w:rPr>
  </w:style>
  <w:style w:type="paragraph" w:customStyle="1" w:styleId="107">
    <w:name w:val="xl32"/>
    <w:basedOn w:val="1"/>
    <w:qFormat/>
    <w:uiPriority w:val="0"/>
    <w:pPr>
      <w:widowControl/>
      <w:pBdr>
        <w:left w:val="single" w:color="auto" w:sz="4" w:space="0"/>
        <w:right w:val="single" w:color="auto" w:sz="4" w:space="0"/>
      </w:pBdr>
      <w:spacing w:before="100" w:beforeAutospacing="1" w:after="100" w:afterAutospacing="1"/>
    </w:pPr>
    <w:rPr>
      <w:kern w:val="0"/>
      <w:szCs w:val="21"/>
    </w:rPr>
  </w:style>
  <w:style w:type="paragraph" w:customStyle="1" w:styleId="108">
    <w:name w:val="Char Char1 Char Char Char Char Char Char"/>
    <w:basedOn w:val="1"/>
    <w:qFormat/>
    <w:uiPriority w:val="0"/>
    <w:pPr>
      <w:widowControl/>
      <w:spacing w:after="160" w:line="240" w:lineRule="exact"/>
      <w:jc w:val="left"/>
    </w:pPr>
  </w:style>
  <w:style w:type="character" w:customStyle="1" w:styleId="109">
    <w:name w:val="Char Char"/>
    <w:qFormat/>
    <w:uiPriority w:val="0"/>
    <w:rPr>
      <w:rFonts w:hint="eastAsia" w:ascii="宋体" w:hAnsi="Courier New" w:eastAsia="宋体"/>
      <w:kern w:val="2"/>
      <w:sz w:val="21"/>
      <w:lang w:val="en-US" w:eastAsia="zh-CN" w:bidi="ar-SA"/>
    </w:rPr>
  </w:style>
  <w:style w:type="character" w:customStyle="1" w:styleId="110">
    <w:name w:val="style51"/>
    <w:qFormat/>
    <w:uiPriority w:val="0"/>
    <w:rPr>
      <w:sz w:val="21"/>
      <w:szCs w:val="21"/>
    </w:rPr>
  </w:style>
  <w:style w:type="paragraph" w:customStyle="1" w:styleId="111">
    <w:name w:val="标书_正文"/>
    <w:basedOn w:val="1"/>
    <w:qFormat/>
    <w:uiPriority w:val="0"/>
    <w:pPr>
      <w:adjustRightInd w:val="0"/>
      <w:snapToGrid w:val="0"/>
      <w:spacing w:line="400" w:lineRule="exact"/>
      <w:ind w:firstLine="560" w:firstLineChars="200"/>
    </w:pPr>
    <w:rPr>
      <w:rFonts w:ascii="仿宋_GB2312" w:eastAsia="仿宋_GB2312" w:cs="宋体"/>
      <w:bCs/>
      <w:color w:val="000000"/>
      <w:kern w:val="0"/>
      <w:sz w:val="28"/>
      <w:szCs w:val="28"/>
    </w:rPr>
  </w:style>
  <w:style w:type="paragraph" w:customStyle="1" w:styleId="112">
    <w:name w:val="标准文本"/>
    <w:basedOn w:val="1"/>
    <w:link w:val="113"/>
    <w:qFormat/>
    <w:uiPriority w:val="0"/>
    <w:pPr>
      <w:spacing w:line="360" w:lineRule="auto"/>
      <w:ind w:firstLine="480" w:firstLineChars="200"/>
    </w:pPr>
    <w:rPr>
      <w:rFonts w:cs="宋体"/>
      <w:sz w:val="24"/>
      <w:szCs w:val="20"/>
    </w:rPr>
  </w:style>
  <w:style w:type="character" w:customStyle="1" w:styleId="113">
    <w:name w:val="标准文本 Char"/>
    <w:link w:val="112"/>
    <w:qFormat/>
    <w:uiPriority w:val="0"/>
    <w:rPr>
      <w:rFonts w:eastAsia="宋体" w:cs="宋体"/>
      <w:kern w:val="2"/>
      <w:sz w:val="24"/>
      <w:lang w:val="en-US" w:eastAsia="zh-CN" w:bidi="ar-SA"/>
    </w:rPr>
  </w:style>
  <w:style w:type="paragraph" w:customStyle="1" w:styleId="11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5">
    <w:name w:val="自定义正文"/>
    <w:basedOn w:val="1"/>
    <w:link w:val="116"/>
    <w:qFormat/>
    <w:uiPriority w:val="0"/>
    <w:pPr>
      <w:spacing w:line="480" w:lineRule="exact"/>
      <w:ind w:firstLine="200" w:firstLineChars="200"/>
      <w:jc w:val="left"/>
    </w:pPr>
    <w:rPr>
      <w:rFonts w:ascii="仿宋_GB2312" w:eastAsia="仿宋_GB2312"/>
      <w:sz w:val="28"/>
    </w:rPr>
  </w:style>
  <w:style w:type="character" w:customStyle="1" w:styleId="116">
    <w:name w:val="自定义正文 Char"/>
    <w:link w:val="115"/>
    <w:qFormat/>
    <w:uiPriority w:val="0"/>
    <w:rPr>
      <w:rFonts w:ascii="仿宋_GB2312" w:eastAsia="仿宋_GB2312"/>
      <w:kern w:val="2"/>
      <w:sz w:val="28"/>
      <w:szCs w:val="24"/>
      <w:lang w:val="en-US" w:eastAsia="zh-CN" w:bidi="ar-SA"/>
    </w:rPr>
  </w:style>
  <w:style w:type="paragraph" w:customStyle="1" w:styleId="117">
    <w:name w:val="样式 小四 行距: 1.5 倍行距 首行缩进:  2 字符"/>
    <w:basedOn w:val="1"/>
    <w:qFormat/>
    <w:uiPriority w:val="0"/>
    <w:pPr>
      <w:spacing w:line="360" w:lineRule="auto"/>
      <w:ind w:firstLine="480" w:firstLineChars="200"/>
    </w:pPr>
    <w:rPr>
      <w:rFonts w:cs="宋体"/>
      <w:sz w:val="24"/>
      <w:szCs w:val="20"/>
    </w:rPr>
  </w:style>
  <w:style w:type="paragraph" w:customStyle="1" w:styleId="118">
    <w:name w:val="自定义表格文字"/>
    <w:basedOn w:val="1"/>
    <w:qFormat/>
    <w:uiPriority w:val="0"/>
    <w:pPr>
      <w:spacing w:before="60" w:after="60" w:line="320" w:lineRule="exact"/>
      <w:jc w:val="left"/>
    </w:pPr>
    <w:rPr>
      <w:rFonts w:ascii="宋体" w:eastAsia="楷体_GB2312"/>
    </w:rPr>
  </w:style>
  <w:style w:type="paragraph" w:customStyle="1" w:styleId="119">
    <w:name w:val="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0">
    <w:name w:val="Char Char Char1 Char11"/>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21">
    <w:name w:val="文档结构图 Char"/>
    <w:link w:val="18"/>
    <w:semiHidden/>
    <w:qFormat/>
    <w:uiPriority w:val="0"/>
    <w:rPr>
      <w:rFonts w:eastAsia="宋体"/>
      <w:kern w:val="2"/>
      <w:sz w:val="21"/>
      <w:szCs w:val="24"/>
      <w:lang w:val="en-US" w:eastAsia="zh-CN" w:bidi="ar-SA"/>
    </w:rPr>
  </w:style>
  <w:style w:type="character" w:customStyle="1" w:styleId="122">
    <w:name w:val="Char Char12"/>
    <w:qFormat/>
    <w:uiPriority w:val="0"/>
    <w:rPr>
      <w:rFonts w:ascii="宋体" w:hAnsi="Courier New" w:eastAsia="宋体"/>
      <w:kern w:val="2"/>
      <w:sz w:val="21"/>
      <w:lang w:val="en-US" w:eastAsia="zh-CN" w:bidi="ar-SA"/>
    </w:rPr>
  </w:style>
  <w:style w:type="character" w:customStyle="1" w:styleId="123">
    <w:name w:val="H4 Char"/>
    <w:qFormat/>
    <w:uiPriority w:val="0"/>
    <w:rPr>
      <w:rFonts w:ascii="宋体" w:hAnsi="宋体" w:eastAsia="黑体"/>
      <w:b/>
      <w:bCs/>
      <w:color w:val="000000"/>
      <w:spacing w:val="-4"/>
      <w:kern w:val="2"/>
      <w:sz w:val="24"/>
      <w:szCs w:val="30"/>
      <w:lang w:val="en-US" w:eastAsia="zh-CN" w:bidi="ar-SA"/>
    </w:rPr>
  </w:style>
  <w:style w:type="character" w:customStyle="1" w:styleId="124">
    <w:name w:val="H5 Char"/>
    <w:qFormat/>
    <w:uiPriority w:val="0"/>
    <w:rPr>
      <w:rFonts w:ascii="Arial" w:hAnsi="Arial" w:eastAsia="宋体"/>
      <w:sz w:val="24"/>
      <w:lang w:val="en-US" w:eastAsia="zh-CN" w:bidi="ar-SA"/>
    </w:rPr>
  </w:style>
  <w:style w:type="character" w:customStyle="1" w:styleId="125">
    <w:name w:val="Char Char8"/>
    <w:qFormat/>
    <w:uiPriority w:val="0"/>
    <w:rPr>
      <w:rFonts w:ascii="宋体" w:eastAsia="宋体"/>
      <w:kern w:val="2"/>
      <w:sz w:val="28"/>
      <w:lang w:val="en-US" w:eastAsia="zh-CN" w:bidi="ar-SA"/>
    </w:rPr>
  </w:style>
  <w:style w:type="character" w:customStyle="1" w:styleId="126">
    <w:name w:val="Char Char7"/>
    <w:qFormat/>
    <w:uiPriority w:val="0"/>
    <w:rPr>
      <w:rFonts w:eastAsia="仿宋_GB2312"/>
      <w:kern w:val="2"/>
      <w:sz w:val="24"/>
      <w:szCs w:val="24"/>
      <w:lang w:val="en-US" w:eastAsia="zh-CN" w:bidi="ar-SA"/>
    </w:rPr>
  </w:style>
  <w:style w:type="paragraph" w:customStyle="1" w:styleId="127">
    <w:name w:val="表内文字"/>
    <w:basedOn w:val="1"/>
    <w:qFormat/>
    <w:uiPriority w:val="0"/>
    <w:pPr>
      <w:jc w:val="center"/>
    </w:pPr>
    <w:rPr>
      <w:color w:val="FF0000"/>
      <w:kern w:val="0"/>
      <w:sz w:val="24"/>
    </w:rPr>
  </w:style>
  <w:style w:type="character" w:customStyle="1" w:styleId="128">
    <w:name w:val="Char Char3"/>
    <w:qFormat/>
    <w:uiPriority w:val="0"/>
    <w:rPr>
      <w:rFonts w:eastAsia="仿宋_GB2312"/>
      <w:kern w:val="2"/>
      <w:sz w:val="28"/>
      <w:szCs w:val="24"/>
      <w:lang w:val="en-US" w:eastAsia="zh-CN" w:bidi="ar-SA"/>
    </w:rPr>
  </w:style>
  <w:style w:type="paragraph" w:customStyle="1" w:styleId="129">
    <w:name w:val="xl25"/>
    <w:basedOn w:val="1"/>
    <w:qFormat/>
    <w:uiPriority w:val="0"/>
    <w:pPr>
      <w:widowControl/>
      <w:spacing w:before="100" w:beforeAutospacing="1" w:after="100" w:afterAutospacing="1"/>
      <w:jc w:val="center"/>
      <w:textAlignment w:val="center"/>
    </w:pPr>
    <w:rPr>
      <w:rFonts w:ascii="宋体" w:hAnsi="宋体"/>
      <w:kern w:val="0"/>
      <w:sz w:val="20"/>
      <w:szCs w:val="20"/>
    </w:rPr>
  </w:style>
  <w:style w:type="paragraph" w:customStyle="1" w:styleId="130">
    <w:name w:val="font7"/>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31">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32">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3">
    <w:name w:val="项目1"/>
    <w:basedOn w:val="1"/>
    <w:qFormat/>
    <w:uiPriority w:val="0"/>
    <w:pPr>
      <w:tabs>
        <w:tab w:val="left" w:pos="840"/>
      </w:tabs>
      <w:spacing w:after="60"/>
      <w:ind w:left="840" w:hanging="420"/>
    </w:pPr>
    <w:rPr>
      <w:rFonts w:ascii="宋体"/>
      <w:spacing w:val="4"/>
      <w:szCs w:val="20"/>
    </w:rPr>
  </w:style>
  <w:style w:type="paragraph" w:customStyle="1" w:styleId="134">
    <w:name w:val="编10号"/>
    <w:basedOn w:val="1"/>
    <w:qFormat/>
    <w:uiPriority w:val="0"/>
    <w:pPr>
      <w:tabs>
        <w:tab w:val="left" w:pos="1620"/>
      </w:tabs>
      <w:ind w:left="1620" w:hanging="360"/>
    </w:pPr>
  </w:style>
  <w:style w:type="paragraph" w:customStyle="1" w:styleId="135">
    <w:name w:val="段"/>
    <w:basedOn w:val="1"/>
    <w:qFormat/>
    <w:uiPriority w:val="0"/>
    <w:pPr>
      <w:ind w:firstLine="425"/>
    </w:pPr>
    <w:rPr>
      <w:rFonts w:ascii="宋体"/>
      <w:szCs w:val="20"/>
    </w:rPr>
  </w:style>
  <w:style w:type="paragraph" w:customStyle="1" w:styleId="136">
    <w:name w:val="Char Char Char Char"/>
    <w:basedOn w:val="1"/>
    <w:qFormat/>
    <w:uiPriority w:val="0"/>
    <w:pPr>
      <w:widowControl/>
      <w:spacing w:after="160" w:line="240" w:lineRule="exact"/>
      <w:jc w:val="left"/>
    </w:pPr>
    <w:rPr>
      <w:kern w:val="0"/>
      <w:sz w:val="24"/>
    </w:rPr>
  </w:style>
  <w:style w:type="paragraph" w:customStyle="1" w:styleId="137">
    <w:name w:val="Char Char1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38">
    <w:name w:val="bulletintext1"/>
    <w:qFormat/>
    <w:uiPriority w:val="0"/>
    <w:rPr>
      <w:rFonts w:hint="eastAsia" w:ascii="宋体" w:hAnsi="宋体" w:eastAsia="宋体"/>
      <w:sz w:val="18"/>
      <w:szCs w:val="18"/>
    </w:rPr>
  </w:style>
  <w:style w:type="paragraph" w:customStyle="1" w:styleId="139">
    <w:name w:val="Char1 Char Char Char Char Char Char"/>
    <w:basedOn w:val="1"/>
    <w:qFormat/>
    <w:uiPriority w:val="0"/>
    <w:rPr>
      <w:rFonts w:ascii="Tahoma" w:hAnsi="Tahoma"/>
      <w:sz w:val="24"/>
      <w:szCs w:val="20"/>
    </w:rPr>
  </w:style>
  <w:style w:type="paragraph" w:customStyle="1" w:styleId="140">
    <w:name w:val="Char Char2 Char Char Char Char"/>
    <w:basedOn w:val="18"/>
    <w:qFormat/>
    <w:uiPriority w:val="0"/>
    <w:rPr>
      <w:rFonts w:ascii="Tahoma" w:hAnsi="Tahoma"/>
      <w:sz w:val="24"/>
    </w:rPr>
  </w:style>
  <w:style w:type="paragraph" w:customStyle="1" w:styleId="141">
    <w:name w:val="Char Char Char"/>
    <w:basedOn w:val="18"/>
    <w:qFormat/>
    <w:uiPriority w:val="0"/>
    <w:rPr>
      <w:rFonts w:ascii="Tahoma" w:hAnsi="Tahoma"/>
      <w:sz w:val="24"/>
    </w:rPr>
  </w:style>
  <w:style w:type="paragraph" w:customStyle="1" w:styleId="142">
    <w:name w:val="正文缩进 New"/>
    <w:basedOn w:val="1"/>
    <w:qFormat/>
    <w:uiPriority w:val="0"/>
    <w:pPr>
      <w:ind w:firstLine="420" w:firstLineChars="200"/>
    </w:pPr>
    <w:rPr>
      <w:szCs w:val="20"/>
    </w:rPr>
  </w:style>
  <w:style w:type="paragraph" w:customStyle="1" w:styleId="143">
    <w:name w:val="正文 New New New New New New New New New New New New New New New New New New New New New New New New New"/>
    <w:qFormat/>
    <w:uiPriority w:val="0"/>
    <w:pPr>
      <w:widowControl w:val="0"/>
      <w:spacing w:line="440" w:lineRule="exact"/>
      <w:jc w:val="both"/>
    </w:pPr>
    <w:rPr>
      <w:rFonts w:ascii="Times New Roman" w:hAnsi="Times New Roman" w:eastAsia="宋体" w:cs="Times New Roman"/>
      <w:kern w:val="2"/>
      <w:sz w:val="28"/>
      <w:szCs w:val="24"/>
      <w:lang w:val="en-US" w:eastAsia="zh-CN" w:bidi="ar-SA"/>
    </w:rPr>
  </w:style>
  <w:style w:type="character" w:customStyle="1" w:styleId="144">
    <w:name w:val="tpc_content1"/>
    <w:qFormat/>
    <w:uiPriority w:val="0"/>
    <w:rPr>
      <w:sz w:val="20"/>
      <w:szCs w:val="20"/>
    </w:rPr>
  </w:style>
  <w:style w:type="character" w:customStyle="1" w:styleId="145">
    <w:name w:val="Char Char11"/>
    <w:qFormat/>
    <w:uiPriority w:val="0"/>
    <w:rPr>
      <w:b/>
      <w:kern w:val="44"/>
      <w:sz w:val="44"/>
    </w:rPr>
  </w:style>
  <w:style w:type="character" w:customStyle="1" w:styleId="146">
    <w:name w:val="Char Char10"/>
    <w:qFormat/>
    <w:uiPriority w:val="0"/>
    <w:rPr>
      <w:b/>
      <w:kern w:val="2"/>
      <w:sz w:val="28"/>
      <w:szCs w:val="28"/>
    </w:rPr>
  </w:style>
  <w:style w:type="character" w:customStyle="1" w:styleId="147">
    <w:name w:val="Char Char9"/>
    <w:qFormat/>
    <w:uiPriority w:val="0"/>
    <w:rPr>
      <w:b/>
      <w:kern w:val="2"/>
      <w:sz w:val="24"/>
      <w:szCs w:val="24"/>
    </w:rPr>
  </w:style>
  <w:style w:type="paragraph" w:customStyle="1" w:styleId="148">
    <w:name w:val="Char Char Char 字元 字元"/>
    <w:basedOn w:val="1"/>
    <w:qFormat/>
    <w:uiPriority w:val="0"/>
    <w:pPr>
      <w:spacing w:line="360" w:lineRule="auto"/>
      <w:ind w:firstLine="200" w:firstLineChars="200"/>
    </w:pPr>
    <w:rPr>
      <w:szCs w:val="20"/>
    </w:rPr>
  </w:style>
  <w:style w:type="paragraph" w:customStyle="1" w:styleId="149">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0">
    <w:name w:val="正文 New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1">
    <w:name w:val="style11"/>
    <w:qFormat/>
    <w:uiPriority w:val="0"/>
    <w:rPr>
      <w:b/>
      <w:bCs/>
      <w:color w:val="FF0000"/>
    </w:rPr>
  </w:style>
  <w:style w:type="character" w:customStyle="1" w:styleId="152">
    <w:name w:val="info"/>
    <w:basedOn w:val="46"/>
    <w:qFormat/>
    <w:uiPriority w:val="0"/>
  </w:style>
  <w:style w:type="paragraph" w:customStyle="1" w:styleId="153">
    <w:name w:val="样式 正文缩进 + 首行缩进:  2 字符"/>
    <w:basedOn w:val="6"/>
    <w:link w:val="154"/>
    <w:qFormat/>
    <w:uiPriority w:val="0"/>
    <w:pPr>
      <w:spacing w:line="360" w:lineRule="auto"/>
      <w:ind w:firstLine="480"/>
    </w:pPr>
    <w:rPr>
      <w:rFonts w:ascii="宋体" w:hAnsi="宋体"/>
      <w:color w:val="000000"/>
      <w:kern w:val="0"/>
      <w:sz w:val="24"/>
      <w:szCs w:val="20"/>
    </w:rPr>
  </w:style>
  <w:style w:type="character" w:customStyle="1" w:styleId="154">
    <w:name w:val="样式 正文缩进 + 首行缩进:  2 字符 Char"/>
    <w:link w:val="153"/>
    <w:qFormat/>
    <w:locked/>
    <w:uiPriority w:val="0"/>
    <w:rPr>
      <w:rFonts w:ascii="宋体" w:hAnsi="宋体" w:eastAsia="宋体"/>
      <w:color w:val="000000"/>
      <w:sz w:val="24"/>
      <w:lang w:bidi="ar-SA"/>
    </w:rPr>
  </w:style>
  <w:style w:type="paragraph" w:customStyle="1" w:styleId="155">
    <w:name w:val="正文2"/>
    <w:basedOn w:val="1"/>
    <w:link w:val="156"/>
    <w:qFormat/>
    <w:uiPriority w:val="0"/>
    <w:pPr>
      <w:spacing w:before="156" w:line="360" w:lineRule="auto"/>
      <w:ind w:firstLine="510" w:firstLineChars="200"/>
    </w:pPr>
    <w:rPr>
      <w:sz w:val="24"/>
      <w:szCs w:val="20"/>
    </w:rPr>
  </w:style>
  <w:style w:type="character" w:customStyle="1" w:styleId="156">
    <w:name w:val="正文2 Char"/>
    <w:link w:val="155"/>
    <w:qFormat/>
    <w:uiPriority w:val="0"/>
    <w:rPr>
      <w:rFonts w:eastAsia="宋体"/>
      <w:kern w:val="2"/>
      <w:sz w:val="24"/>
      <w:lang w:val="en-US" w:eastAsia="zh-CN" w:bidi="ar-SA"/>
    </w:rPr>
  </w:style>
  <w:style w:type="paragraph" w:customStyle="1" w:styleId="157">
    <w:name w:val="p0"/>
    <w:basedOn w:val="1"/>
    <w:qFormat/>
    <w:uiPriority w:val="0"/>
    <w:pPr>
      <w:widowControl/>
    </w:pPr>
    <w:rPr>
      <w:kern w:val="0"/>
      <w:szCs w:val="21"/>
    </w:rPr>
  </w:style>
  <w:style w:type="character" w:customStyle="1" w:styleId="158">
    <w:name w:val="param-name"/>
    <w:basedOn w:val="46"/>
    <w:qFormat/>
    <w:uiPriority w:val="0"/>
  </w:style>
  <w:style w:type="character" w:customStyle="1" w:styleId="159">
    <w:name w:val="日期 Char"/>
    <w:qFormat/>
    <w:uiPriority w:val="0"/>
    <w:rPr>
      <w:rFonts w:ascii="楷体_GB2312" w:eastAsia="楷体_GB2312"/>
      <w:b/>
      <w:kern w:val="2"/>
      <w:sz w:val="28"/>
      <w:lang w:val="en-US" w:eastAsia="zh-CN" w:bidi="ar-SA"/>
    </w:rPr>
  </w:style>
  <w:style w:type="character" w:customStyle="1" w:styleId="160">
    <w:name w:val="标题 4 Char"/>
    <w:qFormat/>
    <w:uiPriority w:val="0"/>
    <w:rPr>
      <w:rFonts w:ascii="Arial" w:hAnsi="Arial" w:eastAsia="黑体"/>
      <w:b/>
      <w:kern w:val="2"/>
      <w:sz w:val="28"/>
      <w:lang w:val="en-US" w:eastAsia="zh-CN" w:bidi="ar-SA"/>
    </w:rPr>
  </w:style>
  <w:style w:type="character" w:customStyle="1" w:styleId="161">
    <w:name w:val="标题 6 Char"/>
    <w:qFormat/>
    <w:uiPriority w:val="0"/>
    <w:rPr>
      <w:rFonts w:ascii="宋体" w:hAnsi="Arial" w:eastAsia="宋体"/>
      <w:sz w:val="24"/>
      <w:lang w:val="en-US" w:eastAsia="zh-CN" w:bidi="ar-SA"/>
    </w:rPr>
  </w:style>
  <w:style w:type="character" w:customStyle="1" w:styleId="162">
    <w:name w:val="标题 8 Char"/>
    <w:qFormat/>
    <w:uiPriority w:val="0"/>
    <w:rPr>
      <w:rFonts w:ascii="Arial" w:hAnsi="Arial" w:eastAsia="黑体"/>
      <w:sz w:val="24"/>
      <w:lang w:val="en-US" w:eastAsia="zh-CN" w:bidi="ar-SA"/>
    </w:rPr>
  </w:style>
  <w:style w:type="character" w:customStyle="1" w:styleId="163">
    <w:name w:val="标题 9 Char"/>
    <w:qFormat/>
    <w:uiPriority w:val="0"/>
    <w:rPr>
      <w:rFonts w:ascii="Arial" w:hAnsi="Arial" w:eastAsia="黑体"/>
      <w:sz w:val="24"/>
      <w:lang w:val="en-US" w:eastAsia="zh-CN" w:bidi="ar-SA"/>
    </w:rPr>
  </w:style>
  <w:style w:type="character" w:customStyle="1" w:styleId="164">
    <w:name w:val="标题 5 Char"/>
    <w:qFormat/>
    <w:uiPriority w:val="0"/>
    <w:rPr>
      <w:rFonts w:eastAsia="宋体"/>
      <w:sz w:val="24"/>
      <w:lang w:val="en-US" w:eastAsia="zh-CN" w:bidi="ar-SA"/>
    </w:rPr>
  </w:style>
  <w:style w:type="character" w:customStyle="1" w:styleId="165">
    <w:name w:val="正文文本 Char"/>
    <w:qFormat/>
    <w:locked/>
    <w:uiPriority w:val="0"/>
    <w:rPr>
      <w:rFonts w:eastAsia="仿宋_GB2312"/>
      <w:kern w:val="2"/>
      <w:sz w:val="28"/>
      <w:szCs w:val="24"/>
      <w:lang w:val="en-US" w:eastAsia="zh-CN" w:bidi="ar-SA"/>
    </w:rPr>
  </w:style>
  <w:style w:type="character" w:customStyle="1" w:styleId="166">
    <w:name w:val="正文文本缩进 2 Char"/>
    <w:qFormat/>
    <w:locked/>
    <w:uiPriority w:val="0"/>
    <w:rPr>
      <w:rFonts w:eastAsia="宋体"/>
      <w:kern w:val="2"/>
      <w:sz w:val="21"/>
      <w:szCs w:val="24"/>
      <w:lang w:val="en-US" w:eastAsia="zh-CN" w:bidi="ar-SA"/>
    </w:rPr>
  </w:style>
  <w:style w:type="character" w:customStyle="1" w:styleId="167">
    <w:name w:val="正文文本 2 Char"/>
    <w:qFormat/>
    <w:uiPriority w:val="0"/>
    <w:rPr>
      <w:rFonts w:ascii="隶书" w:eastAsia="隶书"/>
      <w:bCs/>
      <w:sz w:val="72"/>
      <w:szCs w:val="84"/>
      <w:lang w:val="en-US" w:eastAsia="zh-CN" w:bidi="ar-SA"/>
    </w:rPr>
  </w:style>
  <w:style w:type="character" w:customStyle="1" w:styleId="168">
    <w:name w:val="标题 7 Char"/>
    <w:qFormat/>
    <w:uiPriority w:val="0"/>
    <w:rPr>
      <w:rFonts w:ascii="宋体" w:hAnsi="Arial" w:eastAsia="宋体"/>
      <w:b/>
      <w:sz w:val="24"/>
      <w:lang w:val="en-US" w:eastAsia="zh-CN" w:bidi="ar-SA"/>
    </w:rPr>
  </w:style>
  <w:style w:type="character" w:customStyle="1" w:styleId="169">
    <w:name w:val="页眉 Char"/>
    <w:qFormat/>
    <w:uiPriority w:val="99"/>
    <w:rPr>
      <w:rFonts w:eastAsia="宋体"/>
      <w:kern w:val="2"/>
      <w:sz w:val="18"/>
      <w:szCs w:val="18"/>
      <w:lang w:val="en-US" w:eastAsia="zh-CN" w:bidi="ar-SA"/>
    </w:rPr>
  </w:style>
  <w:style w:type="character" w:customStyle="1" w:styleId="170">
    <w:name w:val="批注文字 Char"/>
    <w:qFormat/>
    <w:uiPriority w:val="0"/>
    <w:rPr>
      <w:rFonts w:eastAsia="宋体"/>
      <w:kern w:val="2"/>
      <w:sz w:val="21"/>
      <w:szCs w:val="24"/>
      <w:lang w:val="en-US" w:eastAsia="zh-CN" w:bidi="ar-SA"/>
    </w:rPr>
  </w:style>
  <w:style w:type="character" w:customStyle="1" w:styleId="171">
    <w:name w:val="汇视源正文 Char"/>
    <w:link w:val="172"/>
    <w:qFormat/>
    <w:uiPriority w:val="0"/>
    <w:rPr>
      <w:rFonts w:cs="宋体"/>
      <w:kern w:val="2"/>
      <w:sz w:val="24"/>
      <w:lang w:val="en-US" w:eastAsia="zh-CN" w:bidi="ar-SA"/>
    </w:rPr>
  </w:style>
  <w:style w:type="paragraph" w:customStyle="1" w:styleId="172">
    <w:name w:val="汇视源正文"/>
    <w:link w:val="171"/>
    <w:qFormat/>
    <w:uiPriority w:val="0"/>
    <w:pPr>
      <w:widowControl w:val="0"/>
      <w:spacing w:beforeLines="50" w:line="360" w:lineRule="auto"/>
      <w:ind w:firstLine="480" w:firstLineChars="200"/>
      <w:jc w:val="both"/>
    </w:pPr>
    <w:rPr>
      <w:rFonts w:ascii="Times New Roman" w:hAnsi="Times New Roman" w:eastAsia="宋体" w:cs="宋体"/>
      <w:kern w:val="2"/>
      <w:sz w:val="24"/>
      <w:lang w:val="en-US" w:eastAsia="zh-CN" w:bidi="ar-SA"/>
    </w:rPr>
  </w:style>
  <w:style w:type="paragraph" w:customStyle="1" w:styleId="173">
    <w:name w:val="样式 列表编号 + 段后: 0.5 行"/>
    <w:basedOn w:val="16"/>
    <w:qFormat/>
    <w:uiPriority w:val="0"/>
    <w:pPr>
      <w:tabs>
        <w:tab w:val="left" w:pos="840"/>
      </w:tabs>
      <w:spacing w:afterLines="0"/>
      <w:ind w:left="425" w:hanging="425"/>
    </w:pPr>
    <w:rPr>
      <w:rFonts w:cs="宋体"/>
    </w:rPr>
  </w:style>
  <w:style w:type="paragraph" w:customStyle="1" w:styleId="174">
    <w:name w:val="正文缩近"/>
    <w:basedOn w:val="1"/>
    <w:qFormat/>
    <w:uiPriority w:val="0"/>
    <w:pPr>
      <w:adjustRightInd w:val="0"/>
      <w:snapToGrid w:val="0"/>
      <w:spacing w:line="540" w:lineRule="atLeast"/>
      <w:ind w:firstLine="608"/>
      <w:textAlignment w:val="baseline"/>
    </w:pPr>
    <w:rPr>
      <w:rFonts w:ascii="仿宋_GB2312" w:eastAsia="仿宋_GB2312" w:cs="宋体"/>
      <w:kern w:val="0"/>
      <w:sz w:val="30"/>
      <w:szCs w:val="20"/>
    </w:rPr>
  </w:style>
  <w:style w:type="paragraph" w:customStyle="1" w:styleId="175">
    <w:name w:val="TOC 标题1"/>
    <w:basedOn w:val="4"/>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character" w:customStyle="1" w:styleId="176">
    <w:name w:val="标题 Char"/>
    <w:link w:val="40"/>
    <w:qFormat/>
    <w:locked/>
    <w:uiPriority w:val="0"/>
    <w:rPr>
      <w:rFonts w:ascii="Calibri Light" w:hAnsi="Calibri Light" w:eastAsia="宋体"/>
      <w:b/>
      <w:bCs/>
      <w:kern w:val="2"/>
      <w:sz w:val="32"/>
      <w:szCs w:val="32"/>
      <w:lang w:val="en-US" w:eastAsia="zh-CN" w:bidi="ar-SA"/>
    </w:rPr>
  </w:style>
  <w:style w:type="character" w:customStyle="1" w:styleId="177">
    <w:name w:val="Date Char"/>
    <w:qFormat/>
    <w:locked/>
    <w:uiPriority w:val="0"/>
    <w:rPr>
      <w:rFonts w:ascii="宋体"/>
      <w:sz w:val="21"/>
      <w:lang w:val="zh-CN"/>
    </w:rPr>
  </w:style>
  <w:style w:type="character" w:customStyle="1" w:styleId="178">
    <w:name w:val="Normal Indent Char"/>
    <w:qFormat/>
    <w:locked/>
    <w:uiPriority w:val="0"/>
    <w:rPr>
      <w:rFonts w:ascii="宋体" w:eastAsia="宋体"/>
      <w:snapToGrid w:val="0"/>
      <w:color w:val="000000"/>
      <w:kern w:val="28"/>
      <w:sz w:val="28"/>
    </w:rPr>
  </w:style>
  <w:style w:type="character" w:customStyle="1" w:styleId="179">
    <w:name w:val="Plain Text Char"/>
    <w:qFormat/>
    <w:locked/>
    <w:uiPriority w:val="0"/>
    <w:rPr>
      <w:rFonts w:ascii="宋体" w:hAnsi="Courier New" w:eastAsia="宋体"/>
      <w:snapToGrid w:val="0"/>
      <w:sz w:val="21"/>
    </w:rPr>
  </w:style>
  <w:style w:type="character" w:customStyle="1" w:styleId="180">
    <w:name w:val="日期 Char1"/>
    <w:qFormat/>
    <w:uiPriority w:val="0"/>
    <w:rPr>
      <w:rFonts w:ascii="Times New Roman" w:hAnsi="Times New Roman" w:eastAsia="宋体" w:cs="Times New Roman"/>
      <w:sz w:val="24"/>
      <w:szCs w:val="24"/>
    </w:rPr>
  </w:style>
  <w:style w:type="character" w:customStyle="1" w:styleId="181">
    <w:name w:val="纯文本 Char1"/>
    <w:link w:val="182"/>
    <w:qFormat/>
    <w:uiPriority w:val="0"/>
    <w:rPr>
      <w:rFonts w:ascii="宋体" w:hAnsi="Courier New" w:eastAsia="宋体" w:cs="Courier New"/>
      <w:sz w:val="21"/>
      <w:szCs w:val="21"/>
    </w:rPr>
  </w:style>
  <w:style w:type="paragraph" w:customStyle="1" w:styleId="182">
    <w:name w:val="纯文本1"/>
    <w:basedOn w:val="1"/>
    <w:link w:val="181"/>
    <w:qFormat/>
    <w:uiPriority w:val="0"/>
    <w:rPr>
      <w:rFonts w:ascii="宋体" w:hAnsi="Courier New" w:cs="Courier New"/>
      <w:kern w:val="0"/>
      <w:szCs w:val="21"/>
    </w:rPr>
  </w:style>
  <w:style w:type="paragraph" w:customStyle="1" w:styleId="183">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184">
    <w:name w:val="列出段落112"/>
    <w:basedOn w:val="1"/>
    <w:link w:val="208"/>
    <w:qFormat/>
    <w:uiPriority w:val="0"/>
    <w:pPr>
      <w:adjustRightInd w:val="0"/>
      <w:spacing w:line="360" w:lineRule="auto"/>
      <w:ind w:firstLine="200" w:firstLineChars="200"/>
    </w:pPr>
    <w:rPr>
      <w:rFonts w:eastAsia="楷体_GB2312" w:cs="Lucida Sans"/>
      <w:sz w:val="24"/>
    </w:rPr>
  </w:style>
  <w:style w:type="paragraph" w:customStyle="1" w:styleId="185">
    <w:name w:val="标题2def"/>
    <w:basedOn w:val="40"/>
    <w:qFormat/>
    <w:uiPriority w:val="0"/>
    <w:pPr>
      <w:widowControl/>
      <w:overflowPunct w:val="0"/>
      <w:autoSpaceDE w:val="0"/>
      <w:autoSpaceDN w:val="0"/>
      <w:snapToGrid w:val="0"/>
      <w:spacing w:before="160" w:after="200" w:line="360" w:lineRule="auto"/>
      <w:textAlignment w:val="baseline"/>
    </w:pPr>
    <w:rPr>
      <w:rFonts w:ascii="Times New Roman" w:hAnsi="宋体" w:eastAsia="仿宋_GB2312"/>
      <w:bCs w:val="0"/>
      <w:kern w:val="0"/>
      <w:szCs w:val="20"/>
      <w:lang w:val="en-GB"/>
    </w:rPr>
  </w:style>
  <w:style w:type="paragraph" w:customStyle="1" w:styleId="186">
    <w:name w:val="标题3def"/>
    <w:basedOn w:val="8"/>
    <w:next w:val="1"/>
    <w:qFormat/>
    <w:uiPriority w:val="0"/>
    <w:pPr>
      <w:numPr>
        <w:numId w:val="0"/>
      </w:numPr>
      <w:adjustRightInd w:val="0"/>
      <w:snapToGrid w:val="0"/>
      <w:spacing w:before="80" w:after="160" w:line="400" w:lineRule="exact"/>
    </w:pPr>
    <w:rPr>
      <w:rFonts w:ascii="仿宋_GB2312" w:hAnsi="宋体"/>
      <w:sz w:val="24"/>
    </w:rPr>
  </w:style>
  <w:style w:type="character" w:customStyle="1" w:styleId="187">
    <w:name w:val="Header Char"/>
    <w:qFormat/>
    <w:locked/>
    <w:uiPriority w:val="0"/>
    <w:rPr>
      <w:rFonts w:ascii="Times New Roman" w:hAnsi="Times New Roman" w:eastAsia="宋体" w:cs="Times New Roman"/>
      <w:sz w:val="18"/>
      <w:szCs w:val="18"/>
    </w:rPr>
  </w:style>
  <w:style w:type="paragraph" w:customStyle="1" w:styleId="18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89">
    <w:name w:val="Char Char2 Char Char"/>
    <w:basedOn w:val="1"/>
    <w:qFormat/>
    <w:uiPriority w:val="0"/>
    <w:pPr>
      <w:widowControl/>
      <w:spacing w:line="400" w:lineRule="exact"/>
      <w:jc w:val="center"/>
    </w:pPr>
    <w:rPr>
      <w:rFonts w:ascii="Verdana" w:hAnsi="Verdana"/>
      <w:kern w:val="0"/>
      <w:szCs w:val="20"/>
      <w:lang w:eastAsia="en-US"/>
    </w:rPr>
  </w:style>
  <w:style w:type="character" w:customStyle="1" w:styleId="190">
    <w:name w:val="Comment Text Char"/>
    <w:qFormat/>
    <w:locked/>
    <w:uiPriority w:val="0"/>
    <w:rPr>
      <w:rFonts w:ascii="Times New Roman" w:hAnsi="Times New Roman" w:eastAsia="宋体" w:cs="Times New Roman"/>
      <w:kern w:val="0"/>
      <w:sz w:val="24"/>
      <w:szCs w:val="24"/>
      <w:lang w:val="zh-CN" w:eastAsia="zh-CN"/>
    </w:rPr>
  </w:style>
  <w:style w:type="paragraph" w:customStyle="1" w:styleId="191">
    <w:name w:val="正文文本缩进 21"/>
    <w:basedOn w:val="1"/>
    <w:qFormat/>
    <w:uiPriority w:val="0"/>
    <w:pPr>
      <w:spacing w:line="520" w:lineRule="exact"/>
      <w:ind w:firstLine="848" w:firstLineChars="303"/>
    </w:pPr>
    <w:rPr>
      <w:rFonts w:ascii="黑体" w:hAnsi="Calibri" w:eastAsia="黑体" w:cs="黑体"/>
      <w:sz w:val="28"/>
      <w:szCs w:val="22"/>
    </w:rPr>
  </w:style>
  <w:style w:type="paragraph" w:customStyle="1" w:styleId="1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93">
    <w:name w:val="Char Char Char Char1"/>
    <w:basedOn w:val="1"/>
    <w:qFormat/>
    <w:uiPriority w:val="0"/>
    <w:rPr>
      <w:rFonts w:ascii="Tahoma" w:hAnsi="Tahoma"/>
      <w:sz w:val="24"/>
      <w:szCs w:val="20"/>
    </w:rPr>
  </w:style>
  <w:style w:type="paragraph" w:customStyle="1" w:styleId="194">
    <w:name w:val="Char Char27"/>
    <w:basedOn w:val="1"/>
    <w:qFormat/>
    <w:uiPriority w:val="0"/>
    <w:pPr>
      <w:snapToGrid w:val="0"/>
      <w:spacing w:line="360" w:lineRule="auto"/>
    </w:pPr>
    <w:rPr>
      <w:rFonts w:ascii="Arial" w:hAnsi="Arial" w:eastAsia="黑体"/>
      <w:snapToGrid w:val="0"/>
      <w:kern w:val="0"/>
      <w:sz w:val="20"/>
      <w:szCs w:val="21"/>
    </w:rPr>
  </w:style>
  <w:style w:type="paragraph" w:customStyle="1" w:styleId="195">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196">
    <w:name w:val="样式4"/>
    <w:basedOn w:val="1"/>
    <w:qFormat/>
    <w:uiPriority w:val="0"/>
    <w:pPr>
      <w:adjustRightInd w:val="0"/>
      <w:spacing w:line="360" w:lineRule="auto"/>
      <w:ind w:firstLine="420"/>
      <w:jc w:val="center"/>
      <w:outlineLvl w:val="2"/>
    </w:pPr>
    <w:rPr>
      <w:rFonts w:ascii="仿宋_GB2312" w:hAnsi="仿宋" w:eastAsia="仿宋_GB2312"/>
      <w:b/>
      <w:sz w:val="32"/>
      <w:szCs w:val="32"/>
    </w:rPr>
  </w:style>
  <w:style w:type="character" w:customStyle="1" w:styleId="197">
    <w:name w:val="正文2 Char Char"/>
    <w:qFormat/>
    <w:uiPriority w:val="0"/>
    <w:rPr>
      <w:kern w:val="2"/>
      <w:sz w:val="24"/>
    </w:rPr>
  </w:style>
  <w:style w:type="character" w:customStyle="1" w:styleId="198">
    <w:name w:val="普通文字 Char Char3"/>
    <w:qFormat/>
    <w:uiPriority w:val="0"/>
    <w:rPr>
      <w:rFonts w:ascii="宋体" w:hAnsi="Courier New"/>
      <w:kern w:val="2"/>
      <w:sz w:val="24"/>
      <w:szCs w:val="24"/>
    </w:rPr>
  </w:style>
  <w:style w:type="character" w:customStyle="1" w:styleId="199">
    <w:name w:val="特点 Char2"/>
    <w:qFormat/>
    <w:uiPriority w:val="0"/>
    <w:rPr>
      <w:rFonts w:ascii="Times New Roman" w:hAnsi="Times New Roman" w:eastAsia="宋体" w:cs="Times New Roman"/>
      <w:szCs w:val="24"/>
    </w:rPr>
  </w:style>
  <w:style w:type="character" w:customStyle="1" w:styleId="200">
    <w:name w:val="批注框文本 Char"/>
    <w:basedOn w:val="46"/>
    <w:link w:val="28"/>
    <w:qFormat/>
    <w:uiPriority w:val="0"/>
    <w:rPr>
      <w:kern w:val="2"/>
      <w:sz w:val="18"/>
      <w:szCs w:val="18"/>
    </w:rPr>
  </w:style>
  <w:style w:type="character" w:customStyle="1" w:styleId="201">
    <w:name w:val="正文文本缩进 3 Char"/>
    <w:basedOn w:val="46"/>
    <w:link w:val="33"/>
    <w:qFormat/>
    <w:uiPriority w:val="0"/>
    <w:rPr>
      <w:kern w:val="2"/>
      <w:sz w:val="16"/>
      <w:szCs w:val="16"/>
    </w:rPr>
  </w:style>
  <w:style w:type="character" w:customStyle="1" w:styleId="202">
    <w:name w:val="HTML 预设格式 Char"/>
    <w:basedOn w:val="46"/>
    <w:link w:val="37"/>
    <w:qFormat/>
    <w:uiPriority w:val="0"/>
    <w:rPr>
      <w:rFonts w:ascii="黑体" w:hAnsi="Courier New" w:eastAsia="黑体" w:cs="Courier New"/>
    </w:rPr>
  </w:style>
  <w:style w:type="character" w:customStyle="1" w:styleId="203">
    <w:name w:val="批注主题 Char"/>
    <w:basedOn w:val="170"/>
    <w:link w:val="41"/>
    <w:qFormat/>
    <w:uiPriority w:val="0"/>
    <w:rPr>
      <w:rFonts w:eastAsia="宋体"/>
      <w:b/>
      <w:bCs/>
      <w:kern w:val="2"/>
      <w:sz w:val="24"/>
      <w:szCs w:val="24"/>
      <w:lang w:val="en-US" w:eastAsia="zh-CN" w:bidi="ar-SA"/>
    </w:rPr>
  </w:style>
  <w:style w:type="character" w:customStyle="1" w:styleId="204">
    <w:name w:val="正文首行缩进 Char"/>
    <w:basedOn w:val="165"/>
    <w:link w:val="42"/>
    <w:qFormat/>
    <w:uiPriority w:val="0"/>
    <w:rPr>
      <w:rFonts w:eastAsia="仿宋_GB2312"/>
      <w:kern w:val="2"/>
      <w:sz w:val="21"/>
      <w:szCs w:val="24"/>
      <w:lang w:val="en-US" w:eastAsia="zh-CN" w:bidi="ar-SA"/>
    </w:rPr>
  </w:style>
  <w:style w:type="character" w:customStyle="1" w:styleId="205">
    <w:name w:val="正文首行缩进 2 Char"/>
    <w:basedOn w:val="67"/>
    <w:link w:val="43"/>
    <w:qFormat/>
    <w:uiPriority w:val="0"/>
    <w:rPr>
      <w:rFonts w:eastAsia="宋体"/>
      <w:kern w:val="2"/>
      <w:sz w:val="21"/>
      <w:szCs w:val="24"/>
      <w:lang w:val="en-US" w:eastAsia="zh-CN" w:bidi="ar-SA"/>
    </w:rPr>
  </w:style>
  <w:style w:type="paragraph" w:customStyle="1" w:styleId="206">
    <w:name w:val="_Style 11"/>
    <w:basedOn w:val="1"/>
    <w:qFormat/>
    <w:uiPriority w:val="0"/>
    <w:pPr>
      <w:spacing w:line="440" w:lineRule="exact"/>
      <w:ind w:firstLine="200" w:firstLineChars="200"/>
    </w:pPr>
    <w:rPr>
      <w:rFonts w:ascii="Tahoma" w:hAnsi="Tahoma" w:eastAsia="仿宋_GB2312"/>
      <w:sz w:val="24"/>
      <w:szCs w:val="20"/>
    </w:rPr>
  </w:style>
  <w:style w:type="paragraph" w:customStyle="1" w:styleId="207">
    <w:name w:val="Char11"/>
    <w:basedOn w:val="1"/>
    <w:qFormat/>
    <w:uiPriority w:val="0"/>
    <w:pPr>
      <w:tabs>
        <w:tab w:val="left" w:pos="432"/>
      </w:tabs>
      <w:spacing w:beforeLines="50" w:afterLines="50" w:line="440" w:lineRule="exact"/>
      <w:ind w:left="432" w:hanging="432" w:firstLineChars="200"/>
      <w:jc w:val="center"/>
    </w:pPr>
    <w:rPr>
      <w:rFonts w:eastAsia="仿宋_GB2312"/>
      <w:sz w:val="24"/>
    </w:rPr>
  </w:style>
  <w:style w:type="character" w:customStyle="1" w:styleId="208">
    <w:name w:val="列出段落 Char"/>
    <w:link w:val="184"/>
    <w:qFormat/>
    <w:uiPriority w:val="0"/>
    <w:rPr>
      <w:rFonts w:eastAsia="楷体_GB2312" w:cs="Lucida Sans"/>
      <w:kern w:val="2"/>
      <w:sz w:val="24"/>
      <w:szCs w:val="24"/>
    </w:rPr>
  </w:style>
  <w:style w:type="paragraph" w:customStyle="1" w:styleId="209">
    <w:name w:val="列出段落12"/>
    <w:basedOn w:val="1"/>
    <w:qFormat/>
    <w:uiPriority w:val="1"/>
    <w:pPr>
      <w:spacing w:line="440" w:lineRule="exact"/>
      <w:ind w:firstLine="420" w:firstLineChars="200"/>
    </w:pPr>
    <w:rPr>
      <w:rFonts w:ascii="Calibri" w:hAnsi="Calibri" w:eastAsia="仿宋_GB2312"/>
      <w:sz w:val="24"/>
      <w:szCs w:val="22"/>
    </w:rPr>
  </w:style>
  <w:style w:type="paragraph" w:customStyle="1" w:styleId="210">
    <w:name w:val="Char Char Char1 Char1"/>
    <w:basedOn w:val="1"/>
    <w:qFormat/>
    <w:uiPriority w:val="0"/>
    <w:pPr>
      <w:widowControl/>
      <w:spacing w:after="160" w:line="240" w:lineRule="exact"/>
      <w:ind w:firstLine="200" w:firstLineChars="200"/>
      <w:jc w:val="left"/>
    </w:pPr>
    <w:rPr>
      <w:rFonts w:ascii="Verdana" w:hAnsi="Verdana" w:eastAsia="仿宋_GB2312"/>
      <w:kern w:val="0"/>
      <w:sz w:val="24"/>
      <w:szCs w:val="20"/>
      <w:lang w:eastAsia="en-US"/>
    </w:rPr>
  </w:style>
  <w:style w:type="paragraph" w:customStyle="1" w:styleId="211">
    <w:name w:val="TOC 标题11"/>
    <w:basedOn w:val="4"/>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12">
    <w:name w:val="列出段落111"/>
    <w:basedOn w:val="1"/>
    <w:qFormat/>
    <w:uiPriority w:val="0"/>
    <w:pPr>
      <w:adjustRightInd w:val="0"/>
      <w:spacing w:line="360" w:lineRule="auto"/>
      <w:ind w:firstLine="200" w:firstLineChars="200"/>
    </w:pPr>
    <w:rPr>
      <w:rFonts w:eastAsia="楷体_GB2312" w:cs="Lucida Sans"/>
      <w:sz w:val="24"/>
    </w:rPr>
  </w:style>
  <w:style w:type="paragraph" w:customStyle="1" w:styleId="213">
    <w:name w:val="正文缩进2格"/>
    <w:basedOn w:val="1"/>
    <w:link w:val="214"/>
    <w:qFormat/>
    <w:uiPriority w:val="0"/>
    <w:pPr>
      <w:spacing w:line="600" w:lineRule="exact"/>
      <w:ind w:firstLine="639" w:firstLineChars="206"/>
    </w:pPr>
    <w:rPr>
      <w:rFonts w:ascii="仿宋_GB2312" w:hAnsi="宋体" w:eastAsia="仿宋_GB2312"/>
      <w:kern w:val="0"/>
      <w:sz w:val="31"/>
      <w:szCs w:val="20"/>
    </w:rPr>
  </w:style>
  <w:style w:type="character" w:customStyle="1" w:styleId="214">
    <w:name w:val="正文缩进2格 Char"/>
    <w:link w:val="213"/>
    <w:qFormat/>
    <w:uiPriority w:val="0"/>
    <w:rPr>
      <w:rFonts w:ascii="仿宋_GB2312" w:hAnsi="宋体" w:eastAsia="仿宋_GB2312"/>
      <w:sz w:val="31"/>
    </w:rPr>
  </w:style>
  <w:style w:type="paragraph" w:customStyle="1" w:styleId="215">
    <w:name w:val="列出段落11"/>
    <w:basedOn w:val="1"/>
    <w:qFormat/>
    <w:uiPriority w:val="0"/>
    <w:pPr>
      <w:adjustRightInd w:val="0"/>
      <w:spacing w:line="360" w:lineRule="auto"/>
      <w:ind w:firstLine="200" w:firstLineChars="200"/>
    </w:pPr>
    <w:rPr>
      <w:rFonts w:eastAsia="楷体_GB2312" w:cs="Lucida Sans"/>
      <w:sz w:val="24"/>
    </w:rPr>
  </w:style>
  <w:style w:type="paragraph" w:customStyle="1" w:styleId="216">
    <w:name w:val="font8"/>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18"/>
      <w:szCs w:val="18"/>
    </w:rPr>
  </w:style>
  <w:style w:type="paragraph" w:customStyle="1" w:styleId="217">
    <w:name w:val="font9"/>
    <w:basedOn w:val="1"/>
    <w:qFormat/>
    <w:uiPriority w:val="0"/>
    <w:pPr>
      <w:widowControl/>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18">
    <w:name w:val="font10"/>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color w:val="FF0000"/>
      <w:kern w:val="0"/>
      <w:sz w:val="20"/>
      <w:szCs w:val="20"/>
    </w:rPr>
  </w:style>
  <w:style w:type="paragraph" w:customStyle="1" w:styleId="21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1">
    <w:name w:val="xl72"/>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2">
    <w:name w:val="xl73"/>
    <w:basedOn w:val="1"/>
    <w:qFormat/>
    <w:uiPriority w:val="0"/>
    <w:pPr>
      <w:widowControl/>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textAlignment w:val="bottom"/>
    </w:pPr>
    <w:rPr>
      <w:rFonts w:ascii="宋体" w:hAnsi="宋体" w:eastAsia="仿宋_GB2312" w:cs="宋体"/>
      <w:kern w:val="0"/>
      <w:sz w:val="24"/>
    </w:rPr>
  </w:style>
  <w:style w:type="paragraph" w:customStyle="1" w:styleId="22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pPr>
    <w:rPr>
      <w:rFonts w:ascii="宋体" w:hAnsi="宋体" w:eastAsia="仿宋_GB2312" w:cs="宋体"/>
      <w:kern w:val="0"/>
      <w:sz w:val="24"/>
    </w:rPr>
  </w:style>
  <w:style w:type="paragraph" w:customStyle="1" w:styleId="22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3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7">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8">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4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4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4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43">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4">
    <w:name w:val="xl95"/>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5">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6">
    <w:name w:val="xl97"/>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7">
    <w:name w:val="xl98"/>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8">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50">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1">
    <w:name w:val="xl102"/>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2">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3">
    <w:name w:val="正文1级"/>
    <w:link w:val="254"/>
    <w:qFormat/>
    <w:uiPriority w:val="0"/>
    <w:pPr>
      <w:widowControl w:val="0"/>
      <w:tabs>
        <w:tab w:val="left" w:pos="0"/>
        <w:tab w:val="left" w:pos="420"/>
      </w:tabs>
      <w:spacing w:after="60" w:line="400" w:lineRule="exact"/>
      <w:ind w:left="839" w:hanging="419"/>
      <w:jc w:val="both"/>
    </w:pPr>
    <w:rPr>
      <w:rFonts w:ascii="Times New Roman" w:hAnsi="Times New Roman" w:eastAsia="宋体" w:cs="Times New Roman"/>
      <w:bCs/>
      <w:kern w:val="44"/>
      <w:sz w:val="24"/>
      <w:szCs w:val="44"/>
      <w:lang w:val="en-US" w:eastAsia="zh-CN" w:bidi="ar-SA"/>
    </w:rPr>
  </w:style>
  <w:style w:type="character" w:customStyle="1" w:styleId="254">
    <w:name w:val="正文1级 Char Char"/>
    <w:link w:val="253"/>
    <w:qFormat/>
    <w:uiPriority w:val="0"/>
    <w:rPr>
      <w:bCs/>
      <w:kern w:val="44"/>
      <w:sz w:val="24"/>
      <w:szCs w:val="44"/>
    </w:rPr>
  </w:style>
  <w:style w:type="character" w:customStyle="1" w:styleId="255">
    <w:name w:val="Char Char1"/>
    <w:qFormat/>
    <w:uiPriority w:val="0"/>
    <w:rPr>
      <w:rFonts w:ascii="宋体" w:hAnsi="Courier New" w:eastAsia="宋体"/>
      <w:kern w:val="2"/>
      <w:sz w:val="21"/>
      <w:lang w:val="en-US" w:eastAsia="zh-CN" w:bidi="ar-SA"/>
    </w:rPr>
  </w:style>
  <w:style w:type="paragraph" w:customStyle="1" w:styleId="256">
    <w:name w:val="列出段落2"/>
    <w:basedOn w:val="1"/>
    <w:qFormat/>
    <w:uiPriority w:val="0"/>
    <w:pPr>
      <w:spacing w:line="440" w:lineRule="exact"/>
      <w:ind w:firstLine="420" w:firstLineChars="200"/>
    </w:pPr>
    <w:rPr>
      <w:rFonts w:eastAsia="仿宋_GB2312"/>
      <w:sz w:val="24"/>
    </w:rPr>
  </w:style>
  <w:style w:type="paragraph" w:customStyle="1" w:styleId="257">
    <w:name w:val="TOC 标题2"/>
    <w:basedOn w:val="4"/>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58">
    <w:name w:val="reader-word-layer reader-word-s6-18"/>
    <w:basedOn w:val="1"/>
    <w:qFormat/>
    <w:uiPriority w:val="0"/>
    <w:pPr>
      <w:widowControl/>
      <w:spacing w:before="100" w:beforeAutospacing="1" w:after="100" w:afterAutospacing="1"/>
      <w:jc w:val="left"/>
    </w:pPr>
    <w:rPr>
      <w:rFonts w:ascii="宋体" w:hAnsi="宋体" w:cs="宋体"/>
      <w:kern w:val="0"/>
      <w:sz w:val="24"/>
    </w:rPr>
  </w:style>
  <w:style w:type="paragraph" w:customStyle="1" w:styleId="259">
    <w:name w:val="列出段落21"/>
    <w:basedOn w:val="1"/>
    <w:qFormat/>
    <w:uiPriority w:val="0"/>
    <w:pPr>
      <w:ind w:firstLine="420" w:firstLineChars="200"/>
    </w:pPr>
    <w:rPr>
      <w:rFonts w:ascii="Calibri" w:hAnsi="Calibri"/>
      <w:szCs w:val="22"/>
    </w:rPr>
  </w:style>
  <w:style w:type="paragraph" w:customStyle="1" w:styleId="260">
    <w:name w:val="reader-word-layer reader-word-s2-2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1">
    <w:name w:val="正文3"/>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262">
    <w:name w:val="reader-word-layer reader-word-s6-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63">
    <w:name w:val="reader-word-layer reader-word-s6-10"/>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reader-word-layer reader-word-s2-23"/>
    <w:basedOn w:val="1"/>
    <w:qFormat/>
    <w:uiPriority w:val="0"/>
    <w:pPr>
      <w:widowControl/>
      <w:spacing w:before="100" w:beforeAutospacing="1" w:after="100" w:afterAutospacing="1"/>
      <w:jc w:val="left"/>
    </w:pPr>
    <w:rPr>
      <w:rFonts w:ascii="宋体" w:hAnsi="宋体" w:cs="宋体"/>
      <w:kern w:val="0"/>
      <w:sz w:val="24"/>
    </w:rPr>
  </w:style>
  <w:style w:type="paragraph" w:customStyle="1" w:styleId="265">
    <w:name w:val="_Style 151"/>
    <w:basedOn w:val="1"/>
    <w:qFormat/>
    <w:uiPriority w:val="0"/>
    <w:rPr>
      <w:rFonts w:ascii="Tahoma" w:hAnsi="Tahoma"/>
      <w:sz w:val="24"/>
      <w:szCs w:val="20"/>
    </w:rPr>
  </w:style>
  <w:style w:type="paragraph" w:customStyle="1" w:styleId="266">
    <w:name w:val="p1"/>
    <w:basedOn w:val="1"/>
    <w:qFormat/>
    <w:uiPriority w:val="0"/>
    <w:pPr>
      <w:spacing w:line="380" w:lineRule="atLeast"/>
      <w:jc w:val="left"/>
    </w:pPr>
    <w:rPr>
      <w:rFonts w:ascii="Helvetica Neue" w:hAnsi="Helvetica Neue" w:eastAsia="Helvetica Neue"/>
      <w:kern w:val="0"/>
      <w:sz w:val="26"/>
      <w:szCs w:val="26"/>
    </w:rPr>
  </w:style>
  <w:style w:type="character" w:customStyle="1" w:styleId="267">
    <w:name w:val="font01"/>
    <w:basedOn w:val="46"/>
    <w:qFormat/>
    <w:uiPriority w:val="0"/>
    <w:rPr>
      <w:rFonts w:hint="eastAsia" w:ascii="宋体" w:hAnsi="宋体" w:eastAsia="宋体" w:cs="宋体"/>
      <w:color w:val="000000"/>
      <w:sz w:val="22"/>
      <w:szCs w:val="22"/>
      <w:u w:val="none"/>
    </w:rPr>
  </w:style>
  <w:style w:type="character" w:customStyle="1" w:styleId="268">
    <w:name w:val="font11"/>
    <w:basedOn w:val="46"/>
    <w:qFormat/>
    <w:uiPriority w:val="0"/>
    <w:rPr>
      <w:rFonts w:hint="eastAsia" w:ascii="宋体" w:hAnsi="宋体" w:eastAsia="宋体" w:cs="宋体"/>
      <w:color w:val="FF0000"/>
      <w:sz w:val="22"/>
      <w:szCs w:val="22"/>
      <w:u w:val="none"/>
    </w:rPr>
  </w:style>
  <w:style w:type="character" w:customStyle="1" w:styleId="269">
    <w:name w:val="font41"/>
    <w:basedOn w:val="270"/>
    <w:qFormat/>
    <w:uiPriority w:val="0"/>
    <w:rPr>
      <w:rFonts w:hint="default" w:ascii="等线" w:hAnsi="等线" w:eastAsia="等线" w:cs="等线"/>
      <w:color w:val="FF0000"/>
      <w:sz w:val="22"/>
      <w:szCs w:val="22"/>
      <w:u w:val="none"/>
    </w:rPr>
  </w:style>
  <w:style w:type="character" w:customStyle="1" w:styleId="270">
    <w:name w:val="默认段落字体1"/>
    <w:qFormat/>
    <w:uiPriority w:val="1723"/>
  </w:style>
  <w:style w:type="character" w:customStyle="1" w:styleId="271">
    <w:name w:val="font21"/>
    <w:basedOn w:val="46"/>
    <w:qFormat/>
    <w:uiPriority w:val="0"/>
    <w:rPr>
      <w:rFonts w:hint="default" w:ascii="等线" w:hAnsi="等线" w:eastAsia="等线" w:cs="等线"/>
      <w:color w:val="000000"/>
      <w:sz w:val="22"/>
      <w:szCs w:val="22"/>
      <w:u w:val="none"/>
    </w:rPr>
  </w:style>
  <w:style w:type="character" w:customStyle="1" w:styleId="272">
    <w:name w:val="font51"/>
    <w:basedOn w:val="46"/>
    <w:qFormat/>
    <w:uiPriority w:val="0"/>
    <w:rPr>
      <w:rFonts w:hint="default" w:ascii="等线" w:hAnsi="等线" w:eastAsia="等线" w:cs="等线"/>
      <w:color w:val="FF0000"/>
      <w:sz w:val="22"/>
      <w:szCs w:val="22"/>
      <w:u w:val="none"/>
    </w:rPr>
  </w:style>
  <w:style w:type="character" w:customStyle="1" w:styleId="273">
    <w:name w:val="font61"/>
    <w:basedOn w:val="46"/>
    <w:qFormat/>
    <w:uiPriority w:val="0"/>
    <w:rPr>
      <w:rFonts w:hint="default" w:ascii="等线" w:hAnsi="等线" w:eastAsia="等线" w:cs="等线"/>
      <w:color w:val="000000"/>
      <w:sz w:val="22"/>
      <w:szCs w:val="22"/>
      <w:u w:val="none"/>
    </w:rPr>
  </w:style>
  <w:style w:type="paragraph" w:customStyle="1" w:styleId="274">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仿宋" w:hAnsi="仿宋" w:eastAsia="仿宋" w:cs="宋体"/>
      <w:kern w:val="0"/>
      <w:sz w:val="20"/>
      <w:szCs w:val="20"/>
    </w:rPr>
  </w:style>
  <w:style w:type="paragraph" w:customStyle="1" w:styleId="27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27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27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27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character" w:customStyle="1" w:styleId="279">
    <w:name w:val="未处理的提及1"/>
    <w:basedOn w:val="46"/>
    <w:unhideWhenUsed/>
    <w:qFormat/>
    <w:uiPriority w:val="99"/>
    <w:rPr>
      <w:color w:val="605E5C"/>
      <w:shd w:val="clear" w:color="auto" w:fill="E1DFDD"/>
    </w:rPr>
  </w:style>
  <w:style w:type="paragraph" w:customStyle="1" w:styleId="280">
    <w:name w:val="p15"/>
    <w:basedOn w:val="1"/>
    <w:qFormat/>
    <w:uiPriority w:val="0"/>
    <w:pPr>
      <w:widowControl/>
      <w:adjustRightInd w:val="0"/>
    </w:pPr>
    <w:rPr>
      <w:rFonts w:ascii="宋体" w:hAnsi="宋体" w:cs="宋体"/>
      <w:kern w:val="0"/>
      <w:sz w:val="20"/>
      <w:szCs w:val="20"/>
    </w:rPr>
  </w:style>
  <w:style w:type="character" w:customStyle="1" w:styleId="281">
    <w:name w:val="bookmark-item"/>
    <w:basedOn w:val="46"/>
    <w:qFormat/>
    <w:uiPriority w:val="0"/>
  </w:style>
  <w:style w:type="paragraph" w:customStyle="1" w:styleId="282">
    <w:name w:val="indent"/>
    <w:basedOn w:val="1"/>
    <w:qFormat/>
    <w:uiPriority w:val="0"/>
    <w:pPr>
      <w:widowControl/>
      <w:spacing w:before="100" w:beforeAutospacing="1" w:after="100" w:afterAutospacing="1"/>
      <w:jc w:val="left"/>
    </w:pPr>
    <w:rPr>
      <w:rFonts w:ascii="宋体" w:hAnsi="宋体" w:cs="宋体"/>
      <w:kern w:val="0"/>
      <w:sz w:val="24"/>
    </w:rPr>
  </w:style>
  <w:style w:type="character" w:customStyle="1" w:styleId="283">
    <w:name w:val="题注 Char"/>
    <w:link w:val="17"/>
    <w:qFormat/>
    <w:uiPriority w:val="0"/>
    <w:rPr>
      <w:rFonts w:ascii="Calibri" w:hAnsi="Calibri"/>
      <w:kern w:val="2"/>
    </w:rPr>
  </w:style>
  <w:style w:type="paragraph" w:customStyle="1" w:styleId="284">
    <w:name w:val="索引 11"/>
    <w:basedOn w:val="1"/>
    <w:next w:val="1"/>
    <w:qFormat/>
    <w:uiPriority w:val="99"/>
    <w:pPr>
      <w:spacing w:line="360" w:lineRule="auto"/>
    </w:pPr>
    <w:rPr>
      <w:rFonts w:ascii="仿宋_GB2312" w:eastAsia="仿宋_GB2312"/>
      <w:sz w:val="24"/>
      <w:szCs w:val="20"/>
    </w:rPr>
  </w:style>
  <w:style w:type="paragraph" w:customStyle="1" w:styleId="285">
    <w:name w:val="正文缩进1"/>
    <w:basedOn w:val="1"/>
    <w:next w:val="7"/>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286">
    <w:name w:val="text-tag"/>
    <w:basedOn w:val="1"/>
    <w:semiHidden/>
    <w:qFormat/>
    <w:uiPriority w:val="99"/>
    <w:pPr>
      <w:widowControl/>
      <w:spacing w:before="100" w:beforeAutospacing="1" w:after="100" w:afterAutospacing="1"/>
      <w:jc w:val="left"/>
    </w:pPr>
    <w:rPr>
      <w:rFonts w:ascii="宋体" w:hAnsi="宋体" w:cs="宋体"/>
      <w:kern w:val="0"/>
      <w:sz w:val="24"/>
    </w:rPr>
  </w:style>
  <w:style w:type="character" w:customStyle="1" w:styleId="287">
    <w:name w:val="页脚 Char2"/>
    <w:qFormat/>
    <w:locked/>
    <w:uiPriority w:val="99"/>
    <w:rPr>
      <w:kern w:val="2"/>
      <w:sz w:val="18"/>
      <w:szCs w:val="18"/>
    </w:rPr>
  </w:style>
  <w:style w:type="character" w:customStyle="1" w:styleId="288">
    <w:name w:val="页眉 Char2"/>
    <w:qFormat/>
    <w:uiPriority w:val="99"/>
    <w:rPr>
      <w:kern w:val="2"/>
      <w:sz w:val="18"/>
      <w:szCs w:val="18"/>
    </w:rPr>
  </w:style>
  <w:style w:type="paragraph" w:customStyle="1" w:styleId="289">
    <w:name w:val="TOC 标题112"/>
    <w:basedOn w:val="4"/>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90">
    <w:name w:val="TOC 标题111"/>
    <w:basedOn w:val="4"/>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character" w:customStyle="1" w:styleId="291">
    <w:name w:val="批注文字 字符1"/>
    <w:qFormat/>
    <w:uiPriority w:val="0"/>
    <w:rPr>
      <w:rFonts w:eastAsia="宋体"/>
      <w:kern w:val="2"/>
      <w:sz w:val="21"/>
      <w:szCs w:val="24"/>
      <w:lang w:val="en-US" w:eastAsia="zh-CN" w:bidi="ar-SA"/>
    </w:rPr>
  </w:style>
  <w:style w:type="paragraph" w:customStyle="1" w:styleId="292">
    <w:name w:val="标题B"/>
    <w:basedOn w:val="1"/>
    <w:qFormat/>
    <w:uiPriority w:val="0"/>
    <w:pPr>
      <w:numPr>
        <w:ilvl w:val="1"/>
        <w:numId w:val="5"/>
      </w:numPr>
      <w:tabs>
        <w:tab w:val="left" w:pos="360"/>
      </w:tabs>
      <w:adjustRightInd w:val="0"/>
      <w:snapToGrid w:val="0"/>
      <w:spacing w:line="360" w:lineRule="auto"/>
      <w:ind w:left="360" w:hanging="360"/>
    </w:pPr>
    <w:rPr>
      <w:rFonts w:ascii="微软雅黑" w:hAnsi="微软雅黑" w:eastAsia="微软雅黑"/>
      <w:b/>
      <w:bCs/>
      <w:sz w:val="30"/>
      <w:szCs w:val="30"/>
    </w:rPr>
  </w:style>
  <w:style w:type="paragraph" w:customStyle="1" w:styleId="293">
    <w:name w:val="标题A"/>
    <w:basedOn w:val="93"/>
    <w:qFormat/>
    <w:uiPriority w:val="0"/>
    <w:pPr>
      <w:numPr>
        <w:ilvl w:val="0"/>
        <w:numId w:val="5"/>
      </w:numPr>
      <w:tabs>
        <w:tab w:val="left" w:pos="360"/>
      </w:tabs>
      <w:adjustRightInd w:val="0"/>
      <w:snapToGrid w:val="0"/>
      <w:spacing w:line="360" w:lineRule="auto"/>
      <w:ind w:left="360" w:firstLine="0" w:firstLineChars="0"/>
    </w:pPr>
    <w:rPr>
      <w:rFonts w:ascii="微软雅黑" w:hAnsi="微软雅黑" w:eastAsia="微软雅黑"/>
      <w:b/>
      <w:bCs/>
      <w:sz w:val="32"/>
      <w:szCs w:val="32"/>
    </w:rPr>
  </w:style>
  <w:style w:type="paragraph" w:customStyle="1" w:styleId="29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295">
    <w:name w:val="未处理的提及2"/>
    <w:basedOn w:val="46"/>
    <w:unhideWhenUsed/>
    <w:qFormat/>
    <w:uiPriority w:val="99"/>
    <w:rPr>
      <w:color w:val="605E5C"/>
      <w:shd w:val="clear" w:color="auto" w:fill="E1DFDD"/>
    </w:rPr>
  </w:style>
  <w:style w:type="paragraph" w:customStyle="1" w:styleId="296">
    <w:name w:val="xl63"/>
    <w:basedOn w:val="1"/>
    <w:qFormat/>
    <w:uiPriority w:val="0"/>
    <w:pPr>
      <w:widowControl/>
      <w:spacing w:before="100" w:beforeAutospacing="1" w:after="100" w:afterAutospacing="1"/>
      <w:jc w:val="left"/>
    </w:pPr>
    <w:rPr>
      <w:rFonts w:ascii="宋体" w:hAnsi="宋体" w:cs="宋体"/>
      <w:kern w:val="0"/>
      <w:sz w:val="24"/>
    </w:rPr>
  </w:style>
  <w:style w:type="paragraph" w:customStyle="1" w:styleId="29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styleId="298">
    <w:name w:val="No Spacing"/>
    <w:qFormat/>
    <w:uiPriority w:val="1"/>
    <w:pPr>
      <w:widowControl w:val="0"/>
      <w:ind w:firstLine="480" w:firstLineChars="200"/>
      <w:jc w:val="both"/>
    </w:pPr>
    <w:rPr>
      <w:rFonts w:ascii="Calibri" w:hAnsi="Calibri" w:eastAsia="宋体" w:cs="Times New Roman"/>
      <w:kern w:val="2"/>
      <w:sz w:val="24"/>
      <w:szCs w:val="22"/>
      <w:lang w:val="en-US" w:eastAsia="zh-CN" w:bidi="ar-SA"/>
    </w:rPr>
  </w:style>
  <w:style w:type="paragraph" w:customStyle="1" w:styleId="299">
    <w:name w:val="[Normal]"/>
    <w:qFormat/>
    <w:uiPriority w:val="0"/>
    <w:rPr>
      <w:rFonts w:ascii="宋体" w:hAnsi="宋体" w:eastAsia="宋体" w:cs="Times New Roman"/>
      <w:sz w:val="24"/>
      <w:szCs w:val="22"/>
      <w:lang w:val="zh-CN" w:eastAsia="zh-CN" w:bidi="ar-SA"/>
    </w:rPr>
  </w:style>
  <w:style w:type="paragraph" w:customStyle="1" w:styleId="300">
    <w:name w:val="Table Paragraph"/>
    <w:basedOn w:val="1"/>
    <w:qFormat/>
    <w:uiPriority w:val="1"/>
    <w:rPr>
      <w:rFonts w:ascii="宋体" w:hAnsi="宋体" w:eastAsia="宋体" w:cs="宋体"/>
      <w:lang w:val="zh-CN" w:bidi="zh-CN"/>
    </w:rPr>
  </w:style>
  <w:style w:type="paragraph" w:customStyle="1" w:styleId="301">
    <w:name w:val="__正文"/>
    <w:qFormat/>
    <w:uiPriority w:val="0"/>
    <w:pPr>
      <w:spacing w:line="360" w:lineRule="auto"/>
      <w:ind w:firstLine="200" w:firstLineChars="200"/>
    </w:pPr>
    <w:rPr>
      <w:rFonts w:ascii="Calibri" w:hAnsi="Calibri" w:eastAsia="宋体" w:cs="Times New Roman"/>
      <w:kern w:val="2"/>
      <w:sz w:val="21"/>
      <w:szCs w:val="21"/>
      <w:lang w:val="en-US" w:eastAsia="zh-CN" w:bidi="ar-SA"/>
    </w:rPr>
  </w:style>
  <w:style w:type="paragraph" w:customStyle="1" w:styleId="302">
    <w:name w:val="列出段落"/>
    <w:basedOn w:val="1"/>
    <w:qFormat/>
    <w:uiPriority w:val="34"/>
    <w:pPr>
      <w:ind w:firstLine="420" w:firstLineChars="200"/>
    </w:pPr>
  </w:style>
  <w:style w:type="paragraph" w:customStyle="1" w:styleId="303">
    <w:name w:val="Body text|1"/>
    <w:basedOn w:val="1"/>
    <w:qFormat/>
    <w:uiPriority w:val="0"/>
    <w:pPr>
      <w:widowControl w:val="0"/>
      <w:shd w:val="clear" w:color="auto" w:fill="auto"/>
      <w:spacing w:line="458" w:lineRule="auto"/>
      <w:ind w:firstLine="200"/>
    </w:pPr>
    <w:rPr>
      <w:rFonts w:ascii="宋体" w:hAnsi="宋体" w:eastAsia="宋体" w:cs="宋体"/>
      <w:sz w:val="26"/>
      <w:szCs w:val="26"/>
      <w:u w:val="none"/>
      <w:shd w:val="clear" w:color="auto" w:fill="auto"/>
      <w:lang w:val="zh-TW" w:eastAsia="zh-TW" w:bidi="zh-TW"/>
    </w:rPr>
  </w:style>
  <w:style w:type="paragraph" w:customStyle="1" w:styleId="304">
    <w:name w:val="Plain Text"/>
    <w:basedOn w:val="305"/>
    <w:qFormat/>
    <w:uiPriority w:val="0"/>
    <w:pPr>
      <w:widowControl/>
      <w:jc w:val="left"/>
    </w:pPr>
    <w:rPr>
      <w:rFonts w:ascii="宋体" w:hAnsi="Courier New"/>
    </w:rPr>
  </w:style>
  <w:style w:type="paragraph" w:customStyle="1" w:styleId="305">
    <w:name w:val="LO-Normal"/>
    <w:qFormat/>
    <w:uiPriority w:val="2"/>
    <w:pPr>
      <w:widowControl w:val="0"/>
      <w:suppressAutoHyphens/>
      <w:bidi w:val="0"/>
      <w:jc w:val="both"/>
    </w:pPr>
    <w:rPr>
      <w:rFonts w:hint="eastAsia" w:ascii="Times New Roman" w:hAnsi="Times New Roman" w:eastAsia="宋体" w:cs="Times New Roman"/>
      <w:color w:val="auto"/>
      <w:kern w:val="2"/>
      <w:sz w:val="21"/>
      <w:szCs w:val="20"/>
      <w:lang w:val="en-US" w:eastAsia="zh-CN" w:bidi="ar-SA"/>
    </w:rPr>
  </w:style>
  <w:style w:type="paragraph" w:customStyle="1" w:styleId="306">
    <w:name w:val="Normal"/>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307">
    <w:name w:val="font71"/>
    <w:basedOn w:val="270"/>
    <w:qFormat/>
    <w:uiPriority w:val="0"/>
    <w:rPr>
      <w:rFonts w:hint="default" w:ascii="Times New Roman" w:hAnsi="Times New Roman" w:cs="Times New Roman"/>
      <w:color w:val="000000"/>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82"/>
    <customShpInfo spid="_x0000_s208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8EFB2D-5EA4-4C48-AF09-C23388147349}">
  <ds:schemaRefs/>
</ds:datastoreItem>
</file>

<file path=docProps/app.xml><?xml version="1.0" encoding="utf-8"?>
<Properties xmlns="http://schemas.openxmlformats.org/officeDocument/2006/extended-properties" xmlns:vt="http://schemas.openxmlformats.org/officeDocument/2006/docPropsVTypes">
  <Template>Normal.dotm</Template>
  <Pages>57</Pages>
  <Words>63</Words>
  <Characters>81</Characters>
  <Lines>490</Lines>
  <Paragraphs>138</Paragraphs>
  <TotalTime>1</TotalTime>
  <ScaleCrop>false</ScaleCrop>
  <LinksUpToDate>false</LinksUpToDate>
  <CharactersWithSpaces>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2022-11-04T09:21:00Z</dcterms:created>
  <dc:creator>Administrator</dc:creator>
  <cp:lastModifiedBy>ZF</cp:lastModifiedBy>
  <cp:lastPrinted>2022-11-15T09:02:00Z</cp:lastPrinted>
  <dcterms:modified xsi:type="dcterms:W3CDTF">2026-11-03T03:49:00Z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woTemplateTypoMode" linkTarget="0">
    <vt:lpwstr>web</vt:lpwstr>
  </property>
  <property fmtid="{D5CDD505-2E9C-101B-9397-08002B2CF9AE}" pid="4" name="woTemplate" linkTarget="0">
    <vt:i4>1</vt:i4>
  </property>
  <property fmtid="{D5CDD505-2E9C-101B-9397-08002B2CF9AE}" pid="5" name="ICV">
    <vt:lpwstr>71E56E4DFC2F4E3D9239AD46D67D7E35</vt:lpwstr>
  </property>
  <property fmtid="{D5CDD505-2E9C-101B-9397-08002B2CF9AE}" pid="6" name="KSOTemplateDocerSaveRecord">
    <vt:lpwstr>eyJoZGlkIjoiYTU0ZDdlMmEyZjhlMTE3M2JiOTFiYjJmYjQ0MDE4YjgiLCJ1c2VySWQiOiI2OTYxNjA2NDIifQ==</vt:lpwstr>
  </property>
</Properties>
</file>