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3726C">
      <w:pPr>
        <w:ind w:left="723" w:hanging="723" w:hangingChars="200"/>
        <w:jc w:val="both"/>
        <w:rPr>
          <w:rFonts w:hint="eastAsia" w:ascii="宋体" w:hAnsi="宋体" w:eastAsia="宋体"/>
          <w:b/>
          <w:sz w:val="36"/>
          <w:szCs w:val="36"/>
        </w:rPr>
      </w:pPr>
    </w:p>
    <w:p w14:paraId="5BDFE883">
      <w:pPr>
        <w:ind w:left="723" w:hanging="723" w:hangingChars="200"/>
        <w:jc w:val="center"/>
        <w:rPr>
          <w:rFonts w:hint="eastAsia" w:ascii="宋体" w:hAnsi="宋体" w:eastAsia="宋体"/>
          <w:b/>
          <w:sz w:val="36"/>
          <w:szCs w:val="36"/>
        </w:rPr>
      </w:pPr>
      <w:r>
        <w:rPr>
          <w:rFonts w:hint="eastAsia" w:ascii="宋体" w:hAnsi="宋体" w:eastAsia="宋体"/>
          <w:b/>
          <w:sz w:val="36"/>
          <w:szCs w:val="36"/>
        </w:rPr>
        <w:t>绍兴市中医院血液净化中心管理信息系统维保项目</w:t>
      </w:r>
    </w:p>
    <w:p w14:paraId="02001E48">
      <w:pPr>
        <w:ind w:left="723" w:hanging="723" w:hangingChars="200"/>
        <w:jc w:val="center"/>
        <w:rPr>
          <w:rFonts w:hint="eastAsia" w:ascii="宋体" w:hAnsi="宋体" w:eastAsia="宋体"/>
          <w:b/>
          <w:sz w:val="36"/>
          <w:szCs w:val="36"/>
        </w:rPr>
      </w:pPr>
      <w:r>
        <w:rPr>
          <w:rFonts w:hint="eastAsia" w:ascii="宋体" w:hAnsi="宋体" w:eastAsia="宋体"/>
          <w:b/>
          <w:sz w:val="36"/>
          <w:szCs w:val="36"/>
        </w:rPr>
        <w:t>采购议价公告</w:t>
      </w:r>
    </w:p>
    <w:p w14:paraId="2E0FEA7D">
      <w:pPr>
        <w:spacing w:after="0" w:line="360" w:lineRule="auto"/>
        <w:rPr>
          <w:rFonts w:hint="eastAsia" w:ascii="仿宋" w:hAnsi="仿宋" w:eastAsia="仿宋"/>
          <w:b/>
          <w:sz w:val="28"/>
          <w:szCs w:val="28"/>
        </w:rPr>
      </w:pPr>
    </w:p>
    <w:p w14:paraId="38CB1013">
      <w:pPr>
        <w:spacing w:after="0" w:line="360" w:lineRule="auto"/>
        <w:rPr>
          <w:rFonts w:hint="eastAsia" w:ascii="仿宋" w:hAnsi="仿宋" w:eastAsia="仿宋"/>
          <w:sz w:val="28"/>
          <w:szCs w:val="28"/>
        </w:rPr>
      </w:pPr>
      <w:r>
        <w:rPr>
          <w:rFonts w:hint="eastAsia" w:ascii="仿宋" w:hAnsi="仿宋" w:eastAsia="仿宋"/>
          <w:sz w:val="28"/>
          <w:szCs w:val="28"/>
        </w:rPr>
        <w:t>项目一：</w:t>
      </w:r>
    </w:p>
    <w:p w14:paraId="4AA4ADCE">
      <w:pPr>
        <w:keepLines w:val="0"/>
        <w:pageBreakBefore w:val="0"/>
        <w:kinsoku/>
        <w:wordWrap/>
        <w:overflowPunct/>
        <w:topLinePunct w:val="0"/>
        <w:autoSpaceDE/>
        <w:autoSpaceDN/>
        <w:bidi w:val="0"/>
        <w:adjustRightInd w:val="0"/>
        <w:snapToGrid w:val="0"/>
        <w:spacing w:after="0" w:line="360" w:lineRule="auto"/>
        <w:textAlignment w:val="auto"/>
        <w:rPr>
          <w:rFonts w:hint="eastAsia" w:ascii="仿宋" w:hAnsi="仿宋" w:eastAsia="仿宋"/>
          <w:sz w:val="28"/>
          <w:szCs w:val="28"/>
        </w:rPr>
      </w:pPr>
      <w:r>
        <w:rPr>
          <w:rFonts w:hint="eastAsia" w:ascii="仿宋" w:hAnsi="仿宋" w:eastAsia="仿宋"/>
          <w:sz w:val="28"/>
          <w:szCs w:val="28"/>
        </w:rPr>
        <w:t>项目名称：绍兴市中医院血液净化中心管理信息系统维保项目</w:t>
      </w:r>
    </w:p>
    <w:p w14:paraId="7629CEFD">
      <w:pPr>
        <w:keepLines w:val="0"/>
        <w:pageBreakBefore w:val="0"/>
        <w:kinsoku/>
        <w:wordWrap/>
        <w:overflowPunct/>
        <w:topLinePunct w:val="0"/>
        <w:autoSpaceDE/>
        <w:autoSpaceDN/>
        <w:bidi w:val="0"/>
        <w:adjustRightInd w:val="0"/>
        <w:snapToGrid w:val="0"/>
        <w:spacing w:after="0" w:line="360" w:lineRule="auto"/>
        <w:textAlignment w:val="auto"/>
        <w:rPr>
          <w:rFonts w:hint="eastAsia" w:ascii="仿宋" w:hAnsi="仿宋" w:eastAsia="仿宋"/>
          <w:sz w:val="28"/>
          <w:szCs w:val="28"/>
        </w:rPr>
      </w:pPr>
      <w:r>
        <w:rPr>
          <w:rFonts w:hint="eastAsia" w:ascii="仿宋" w:hAnsi="仿宋" w:eastAsia="仿宋"/>
          <w:sz w:val="28"/>
          <w:szCs w:val="28"/>
        </w:rPr>
        <w:t>项目预算：预算45000.00元(最高限价）</w:t>
      </w:r>
    </w:p>
    <w:p w14:paraId="5F0B6DBF">
      <w:pPr>
        <w:keepLines w:val="0"/>
        <w:pageBreakBefore w:val="0"/>
        <w:kinsoku/>
        <w:wordWrap/>
        <w:overflowPunct/>
        <w:topLinePunct w:val="0"/>
        <w:autoSpaceDE/>
        <w:autoSpaceDN/>
        <w:bidi w:val="0"/>
        <w:adjustRightInd w:val="0"/>
        <w:snapToGrid w:val="0"/>
        <w:spacing w:after="0" w:line="360" w:lineRule="auto"/>
        <w:textAlignment w:val="auto"/>
        <w:rPr>
          <w:rFonts w:hint="eastAsia" w:ascii="仿宋" w:hAnsi="仿宋" w:eastAsia="仿宋"/>
          <w:sz w:val="28"/>
          <w:szCs w:val="28"/>
        </w:rPr>
      </w:pPr>
      <w:r>
        <w:rPr>
          <w:rFonts w:hint="eastAsia" w:ascii="仿宋" w:hAnsi="仿宋" w:eastAsia="仿宋"/>
          <w:sz w:val="28"/>
          <w:szCs w:val="28"/>
        </w:rPr>
        <w:t>采购方式：议价</w:t>
      </w:r>
    </w:p>
    <w:p w14:paraId="7A298BE0">
      <w:pPr>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sz w:val="28"/>
          <w:szCs w:val="28"/>
        </w:rPr>
      </w:pPr>
      <w:r>
        <w:rPr>
          <w:rFonts w:hint="eastAsia" w:ascii="仿宋" w:hAnsi="仿宋" w:eastAsia="仿宋"/>
          <w:sz w:val="28"/>
          <w:szCs w:val="28"/>
        </w:rPr>
        <w:t>资格要求：能为我院提供一年血液净化中心管理信息系统维保服务</w:t>
      </w:r>
    </w:p>
    <w:p w14:paraId="2D8F0933">
      <w:pPr>
        <w:pStyle w:val="4"/>
        <w:keepLines w:val="0"/>
        <w:pageBreakBefore w:val="0"/>
        <w:kinsoku/>
        <w:wordWrap/>
        <w:overflowPunct/>
        <w:topLinePunct w:val="0"/>
        <w:autoSpaceDE/>
        <w:autoSpaceDN/>
        <w:bidi w:val="0"/>
        <w:adjustRightInd w:val="0"/>
        <w:snapToGrid w:val="0"/>
        <w:spacing w:line="360" w:lineRule="auto"/>
        <w:jc w:val="both"/>
        <w:textAlignment w:val="auto"/>
        <w:rPr>
          <w:rFonts w:hint="eastAsia" w:ascii="仿宋" w:hAnsi="仿宋" w:eastAsia="仿宋"/>
          <w:b w:val="0"/>
          <w:color w:val="auto"/>
          <w:sz w:val="28"/>
          <w:szCs w:val="28"/>
          <w:lang w:eastAsia="zh-CN"/>
        </w:rPr>
      </w:pPr>
      <w:r>
        <w:rPr>
          <w:rFonts w:hint="eastAsia" w:ascii="仿宋" w:hAnsi="仿宋" w:eastAsia="仿宋"/>
          <w:b w:val="0"/>
          <w:color w:val="auto"/>
          <w:sz w:val="28"/>
          <w:szCs w:val="28"/>
          <w:lang w:eastAsia="zh-CN"/>
        </w:rPr>
        <w:t>采购需求：详见附件</w:t>
      </w:r>
    </w:p>
    <w:p w14:paraId="4B79772C">
      <w:pPr>
        <w:spacing w:after="0" w:line="360" w:lineRule="auto"/>
        <w:rPr>
          <w:rFonts w:hint="eastAsia" w:ascii="仿宋" w:hAnsi="仿宋" w:eastAsia="仿宋"/>
          <w:b/>
          <w:sz w:val="28"/>
          <w:szCs w:val="28"/>
        </w:rPr>
      </w:pPr>
      <w:r>
        <w:rPr>
          <w:rFonts w:hint="eastAsia" w:ascii="仿宋" w:hAnsi="仿宋" w:eastAsia="仿宋"/>
          <w:b/>
          <w:sz w:val="28"/>
          <w:szCs w:val="28"/>
        </w:rPr>
        <w:t>二、投标人资格：</w:t>
      </w:r>
    </w:p>
    <w:p w14:paraId="3B8CEAE9">
      <w:pPr>
        <w:spacing w:after="0" w:line="360" w:lineRule="auto"/>
        <w:rPr>
          <w:rFonts w:hint="eastAsia" w:ascii="仿宋" w:hAnsi="仿宋" w:eastAsia="仿宋" w:cs="仿宋"/>
          <w:sz w:val="28"/>
          <w:szCs w:val="28"/>
        </w:rPr>
      </w:pPr>
      <w:r>
        <w:rPr>
          <w:rFonts w:hint="eastAsia" w:ascii="仿宋" w:hAnsi="仿宋" w:eastAsia="仿宋"/>
          <w:sz w:val="28"/>
          <w:szCs w:val="28"/>
        </w:rPr>
        <w:t>1、</w:t>
      </w:r>
      <w:r>
        <w:rPr>
          <w:rFonts w:hint="eastAsia" w:ascii="仿宋" w:hAnsi="仿宋" w:eastAsia="仿宋" w:cs="仿宋"/>
          <w:sz w:val="28"/>
          <w:szCs w:val="28"/>
        </w:rPr>
        <w:t>符合政府采购法第二十二条之供应商资格规定。</w:t>
      </w:r>
    </w:p>
    <w:p w14:paraId="6F3774D5">
      <w:pPr>
        <w:spacing w:after="0" w:line="360" w:lineRule="auto"/>
        <w:rPr>
          <w:rFonts w:hint="eastAsia" w:ascii="仿宋" w:hAnsi="仿宋" w:eastAsia="仿宋"/>
          <w:sz w:val="28"/>
          <w:szCs w:val="28"/>
        </w:rPr>
      </w:pPr>
      <w:r>
        <w:rPr>
          <w:rFonts w:hint="eastAsia" w:ascii="仿宋" w:hAnsi="仿宋" w:eastAsia="仿宋"/>
          <w:sz w:val="28"/>
          <w:szCs w:val="28"/>
        </w:rPr>
        <w:t>2、本次</w:t>
      </w:r>
      <w:r>
        <w:rPr>
          <w:rFonts w:hint="eastAsia" w:ascii="仿宋" w:hAnsi="仿宋" w:eastAsia="仿宋" w:cs="仿宋"/>
          <w:sz w:val="28"/>
          <w:szCs w:val="28"/>
        </w:rPr>
        <w:t>招标不接受联合体投标。</w:t>
      </w:r>
    </w:p>
    <w:p w14:paraId="1CAB249A">
      <w:pPr>
        <w:spacing w:line="440" w:lineRule="exact"/>
        <w:rPr>
          <w:rFonts w:hint="eastAsia" w:ascii="仿宋" w:hAnsi="仿宋" w:eastAsia="仿宋" w:cs="仿宋"/>
          <w:b/>
          <w:sz w:val="28"/>
          <w:szCs w:val="28"/>
        </w:rPr>
      </w:pPr>
      <w:r>
        <w:rPr>
          <w:rFonts w:hint="eastAsia" w:ascii="仿宋" w:hAnsi="仿宋" w:eastAsia="仿宋" w:cs="仿宋"/>
          <w:b/>
          <w:sz w:val="28"/>
          <w:szCs w:val="28"/>
        </w:rPr>
        <w:t>三、报名的供应商须提供下列资料：</w:t>
      </w:r>
    </w:p>
    <w:p w14:paraId="0845F3EB">
      <w:pPr>
        <w:spacing w:line="440" w:lineRule="exact"/>
        <w:rPr>
          <w:rFonts w:hint="eastAsia" w:ascii="仿宋" w:hAnsi="仿宋" w:eastAsia="仿宋" w:cs="仿宋"/>
          <w:bCs/>
          <w:sz w:val="28"/>
          <w:szCs w:val="28"/>
        </w:rPr>
      </w:pPr>
      <w:r>
        <w:rPr>
          <w:rFonts w:hint="eastAsia" w:ascii="仿宋" w:hAnsi="仿宋" w:eastAsia="仿宋" w:cs="仿宋"/>
          <w:bCs/>
          <w:sz w:val="28"/>
          <w:szCs w:val="28"/>
        </w:rPr>
        <w:t>1.介绍信或授权委托书原件（加盖公章）；</w:t>
      </w:r>
    </w:p>
    <w:p w14:paraId="6887636E">
      <w:pPr>
        <w:spacing w:line="440" w:lineRule="exact"/>
        <w:rPr>
          <w:rFonts w:hint="eastAsia" w:ascii="仿宋" w:hAnsi="仿宋" w:eastAsia="仿宋" w:cs="仿宋"/>
          <w:bCs/>
          <w:sz w:val="28"/>
          <w:szCs w:val="28"/>
        </w:rPr>
      </w:pPr>
      <w:r>
        <w:rPr>
          <w:rFonts w:hint="eastAsia" w:ascii="仿宋" w:hAnsi="仿宋" w:eastAsia="仿宋" w:cs="仿宋"/>
          <w:bCs/>
          <w:sz w:val="28"/>
          <w:szCs w:val="28"/>
        </w:rPr>
        <w:t>2.营业执照复印件（加盖公章）；</w:t>
      </w:r>
    </w:p>
    <w:p w14:paraId="619144F2">
      <w:pPr>
        <w:spacing w:line="440" w:lineRule="exact"/>
        <w:rPr>
          <w:rFonts w:hint="eastAsia" w:ascii="仿宋" w:hAnsi="仿宋" w:eastAsia="仿宋" w:cs="仿宋"/>
          <w:bCs/>
          <w:sz w:val="32"/>
          <w:szCs w:val="32"/>
        </w:rPr>
      </w:pPr>
      <w:r>
        <w:rPr>
          <w:rFonts w:hint="eastAsia" w:ascii="仿宋" w:hAnsi="仿宋" w:eastAsia="仿宋" w:cs="仿宋"/>
          <w:bCs/>
          <w:sz w:val="28"/>
          <w:szCs w:val="28"/>
        </w:rPr>
        <w:t>3.委托代理人身份证复印件（加盖公章）。</w:t>
      </w:r>
    </w:p>
    <w:p w14:paraId="42C01B4F">
      <w:pPr>
        <w:pStyle w:val="13"/>
        <w:spacing w:beforeAutospacing="0" w:afterAutospacing="0" w:line="440" w:lineRule="exact"/>
        <w:rPr>
          <w:rFonts w:hint="eastAsia" w:ascii="仿宋" w:hAnsi="仿宋" w:eastAsia="仿宋" w:cs="仿宋"/>
          <w:b/>
          <w:sz w:val="28"/>
          <w:szCs w:val="28"/>
        </w:rPr>
      </w:pPr>
      <w:r>
        <w:rPr>
          <w:rFonts w:hint="eastAsia" w:ascii="仿宋" w:hAnsi="仿宋" w:eastAsia="仿宋" w:cs="仿宋"/>
          <w:b/>
          <w:sz w:val="28"/>
          <w:szCs w:val="28"/>
        </w:rPr>
        <w:t>四、报名时间、地点及联系人</w:t>
      </w:r>
    </w:p>
    <w:p w14:paraId="1801197E">
      <w:pPr>
        <w:pStyle w:val="13"/>
        <w:spacing w:beforeAutospacing="0" w:afterAutospacing="0" w:line="440" w:lineRule="exact"/>
        <w:rPr>
          <w:sz w:val="28"/>
          <w:szCs w:val="28"/>
        </w:rPr>
      </w:pPr>
      <w:r>
        <w:rPr>
          <w:rFonts w:hint="eastAsia" w:ascii="仿宋" w:hAnsi="仿宋" w:eastAsia="仿宋" w:cs="仿宋"/>
          <w:color w:val="3F3F3F"/>
          <w:sz w:val="28"/>
          <w:szCs w:val="28"/>
        </w:rPr>
        <w:t>1.</w:t>
      </w:r>
      <w:r>
        <w:rPr>
          <w:rFonts w:ascii="仿宋" w:hAnsi="仿宋" w:eastAsia="仿宋" w:cs="仿宋"/>
          <w:color w:val="3F3F3F"/>
          <w:sz w:val="28"/>
          <w:szCs w:val="28"/>
        </w:rPr>
        <w:t>采购人信息</w:t>
      </w:r>
    </w:p>
    <w:p w14:paraId="7C6730C3">
      <w:pPr>
        <w:pStyle w:val="13"/>
        <w:spacing w:beforeAutospacing="0" w:afterAutospacing="0" w:line="440" w:lineRule="exact"/>
        <w:rPr>
          <w:sz w:val="28"/>
          <w:szCs w:val="28"/>
        </w:rPr>
      </w:pPr>
      <w:r>
        <w:rPr>
          <w:rFonts w:hint="eastAsia" w:ascii="仿宋" w:hAnsi="仿宋" w:eastAsia="仿宋" w:cs="仿宋"/>
          <w:color w:val="3F3F3F"/>
          <w:sz w:val="28"/>
          <w:szCs w:val="28"/>
        </w:rPr>
        <w:t>  名    称：绍兴市中医院 </w:t>
      </w:r>
    </w:p>
    <w:p w14:paraId="1BFC6019">
      <w:pPr>
        <w:pStyle w:val="13"/>
        <w:spacing w:beforeAutospacing="0" w:afterAutospacing="0" w:line="440" w:lineRule="exact"/>
        <w:rPr>
          <w:sz w:val="28"/>
          <w:szCs w:val="28"/>
        </w:rPr>
      </w:pPr>
      <w:r>
        <w:rPr>
          <w:rFonts w:hint="eastAsia" w:ascii="仿宋" w:hAnsi="仿宋" w:eastAsia="仿宋" w:cs="仿宋"/>
          <w:color w:val="3F3F3F"/>
          <w:sz w:val="28"/>
          <w:szCs w:val="28"/>
        </w:rPr>
        <w:t>  地    址：绍兴市越城区人民中路641号 </w:t>
      </w:r>
    </w:p>
    <w:p w14:paraId="58E56A03">
      <w:pPr>
        <w:pStyle w:val="13"/>
        <w:spacing w:beforeAutospacing="0" w:afterAutospacing="0" w:line="440" w:lineRule="exact"/>
        <w:rPr>
          <w:rFonts w:eastAsia="仿宋"/>
          <w:sz w:val="28"/>
          <w:szCs w:val="28"/>
        </w:rPr>
      </w:pPr>
      <w:r>
        <w:rPr>
          <w:rFonts w:hint="eastAsia" w:ascii="仿宋" w:hAnsi="仿宋" w:eastAsia="仿宋" w:cs="仿宋"/>
          <w:color w:val="3F3F3F"/>
          <w:sz w:val="28"/>
          <w:szCs w:val="28"/>
        </w:rPr>
        <w:t>  联系电话：（0575）89102270</w:t>
      </w:r>
    </w:p>
    <w:p w14:paraId="6E9045B7">
      <w:pPr>
        <w:pStyle w:val="13"/>
        <w:spacing w:beforeAutospacing="0" w:afterAutospacing="0" w:line="440" w:lineRule="exact"/>
        <w:rPr>
          <w:rFonts w:hint="eastAsia" w:ascii="仿宋" w:hAnsi="仿宋" w:eastAsia="仿宋" w:cs="仿宋"/>
          <w:color w:val="3F3F3F"/>
          <w:sz w:val="28"/>
          <w:szCs w:val="28"/>
        </w:rPr>
      </w:pPr>
      <w:r>
        <w:rPr>
          <w:rFonts w:hint="eastAsia" w:ascii="仿宋" w:hAnsi="仿宋" w:eastAsia="仿宋" w:cs="仿宋"/>
          <w:color w:val="3F3F3F"/>
          <w:sz w:val="28"/>
          <w:szCs w:val="28"/>
        </w:rPr>
        <w:t>  项目联系人（询问）：王宁</w:t>
      </w:r>
    </w:p>
    <w:p w14:paraId="17CC3ABC">
      <w:pPr>
        <w:pStyle w:val="13"/>
        <w:numPr>
          <w:ilvl w:val="0"/>
          <w:numId w:val="2"/>
        </w:numPr>
        <w:spacing w:beforeAutospacing="0" w:afterAutospacing="0" w:line="440" w:lineRule="exact"/>
        <w:rPr>
          <w:rFonts w:hint="eastAsia" w:ascii="仿宋" w:hAnsi="仿宋" w:eastAsia="仿宋" w:cs="仿宋"/>
          <w:color w:val="3F3F3F"/>
          <w:sz w:val="28"/>
          <w:szCs w:val="28"/>
        </w:rPr>
      </w:pPr>
      <w:r>
        <w:rPr>
          <w:rFonts w:hint="eastAsia" w:ascii="仿宋" w:hAnsi="仿宋" w:eastAsia="仿宋" w:cs="仿宋"/>
          <w:color w:val="3F3F3F"/>
          <w:sz w:val="28"/>
          <w:szCs w:val="28"/>
        </w:rPr>
        <w:t>报名时间：</w:t>
      </w:r>
      <w:r>
        <w:rPr>
          <w:rFonts w:hint="eastAsia" w:ascii="仿宋" w:hAnsi="仿宋" w:eastAsia="仿宋" w:cs="仿宋"/>
          <w:bCs/>
          <w:sz w:val="28"/>
          <w:szCs w:val="28"/>
        </w:rPr>
        <w:t>截止至</w:t>
      </w:r>
      <w:r>
        <w:rPr>
          <w:rFonts w:hint="eastAsia" w:ascii="仿宋" w:hAnsi="仿宋" w:eastAsia="仿宋" w:cs="仿宋"/>
          <w:bCs/>
          <w:sz w:val="28"/>
          <w:szCs w:val="28"/>
          <w:highlight w:val="yellow"/>
        </w:rPr>
        <w:t>202</w:t>
      </w:r>
      <w:r>
        <w:rPr>
          <w:rFonts w:hint="eastAsia" w:ascii="仿宋" w:hAnsi="仿宋" w:eastAsia="仿宋" w:cs="仿宋"/>
          <w:bCs/>
          <w:sz w:val="28"/>
          <w:szCs w:val="28"/>
          <w:highlight w:val="yellow"/>
          <w:lang w:val="en-US" w:eastAsia="zh-CN"/>
        </w:rPr>
        <w:t>6</w:t>
      </w:r>
      <w:r>
        <w:rPr>
          <w:rFonts w:hint="eastAsia" w:ascii="仿宋" w:hAnsi="仿宋" w:eastAsia="仿宋" w:cs="仿宋"/>
          <w:bCs/>
          <w:sz w:val="28"/>
          <w:szCs w:val="28"/>
          <w:highlight w:val="yellow"/>
        </w:rPr>
        <w:t>年</w:t>
      </w:r>
      <w:r>
        <w:rPr>
          <w:rFonts w:hint="eastAsia" w:ascii="仿宋" w:hAnsi="仿宋" w:eastAsia="仿宋" w:cs="仿宋"/>
          <w:bCs/>
          <w:sz w:val="28"/>
          <w:szCs w:val="28"/>
          <w:highlight w:val="yellow"/>
          <w:lang w:val="en-US" w:eastAsia="zh-CN"/>
        </w:rPr>
        <w:t>8</w:t>
      </w:r>
      <w:r>
        <w:rPr>
          <w:rFonts w:hint="eastAsia" w:ascii="仿宋" w:hAnsi="仿宋" w:eastAsia="仿宋" w:cs="仿宋"/>
          <w:bCs/>
          <w:sz w:val="28"/>
          <w:szCs w:val="28"/>
          <w:highlight w:val="yellow"/>
        </w:rPr>
        <w:t>月</w:t>
      </w:r>
      <w:r>
        <w:rPr>
          <w:rFonts w:hint="eastAsia" w:ascii="仿宋" w:hAnsi="仿宋" w:eastAsia="仿宋" w:cs="仿宋"/>
          <w:bCs/>
          <w:sz w:val="28"/>
          <w:szCs w:val="28"/>
          <w:highlight w:val="yellow"/>
          <w:lang w:val="en-US" w:eastAsia="zh-CN"/>
        </w:rPr>
        <w:t>10</w:t>
      </w:r>
      <w:r>
        <w:rPr>
          <w:rFonts w:hint="eastAsia" w:ascii="仿宋" w:hAnsi="仿宋" w:eastAsia="仿宋" w:cs="仿宋"/>
          <w:bCs/>
          <w:sz w:val="28"/>
          <w:szCs w:val="28"/>
          <w:highlight w:val="yellow"/>
        </w:rPr>
        <w:t>日</w:t>
      </w:r>
      <w:r>
        <w:rPr>
          <w:rFonts w:hint="eastAsia" w:ascii="仿宋" w:hAnsi="仿宋" w:eastAsia="仿宋" w:cs="仿宋"/>
          <w:bCs/>
          <w:sz w:val="28"/>
          <w:szCs w:val="28"/>
          <w:highlight w:val="yellow"/>
          <w:lang w:val="en-US" w:eastAsia="zh-CN"/>
        </w:rPr>
        <w:t>10</w:t>
      </w:r>
      <w:r>
        <w:rPr>
          <w:rFonts w:hint="eastAsia" w:ascii="仿宋" w:hAnsi="仿宋" w:eastAsia="仿宋" w:cs="仿宋"/>
          <w:bCs/>
          <w:sz w:val="28"/>
          <w:szCs w:val="28"/>
          <w:highlight w:val="yellow"/>
        </w:rPr>
        <w:t>：00</w:t>
      </w:r>
      <w:r>
        <w:rPr>
          <w:rFonts w:hint="eastAsia" w:ascii="仿宋" w:hAnsi="仿宋" w:eastAsia="仿宋" w:cs="仿宋"/>
          <w:bCs/>
          <w:sz w:val="28"/>
          <w:szCs w:val="28"/>
        </w:rPr>
        <w:t>，报名时段每天上午8:00至12:00，下午14:00至17:00。</w:t>
      </w:r>
    </w:p>
    <w:p w14:paraId="67DB65E8">
      <w:pPr>
        <w:pStyle w:val="13"/>
        <w:numPr>
          <w:ilvl w:val="0"/>
          <w:numId w:val="2"/>
        </w:numPr>
        <w:spacing w:beforeAutospacing="0" w:afterAutospacing="0" w:line="440" w:lineRule="exact"/>
        <w:rPr>
          <w:rFonts w:hint="eastAsia" w:ascii="仿宋" w:hAnsi="仿宋" w:eastAsia="仿宋" w:cs="仿宋"/>
          <w:color w:val="3F3F3F"/>
          <w:sz w:val="27"/>
          <w:szCs w:val="27"/>
        </w:rPr>
      </w:pPr>
      <w:r>
        <w:rPr>
          <w:rFonts w:hint="eastAsia" w:ascii="仿宋" w:hAnsi="仿宋" w:eastAsia="仿宋" w:cs="仿宋"/>
          <w:color w:val="3F3F3F"/>
          <w:sz w:val="28"/>
          <w:szCs w:val="28"/>
        </w:rPr>
        <w:t>报名地点：绍兴市中医院2#楼4楼（信息科）</w:t>
      </w:r>
      <w:r>
        <w:rPr>
          <w:rFonts w:hint="eastAsia" w:ascii="仿宋" w:hAnsi="仿宋" w:eastAsia="仿宋" w:cs="仿宋"/>
          <w:color w:val="3F3F3F"/>
          <w:sz w:val="27"/>
          <w:szCs w:val="27"/>
        </w:rPr>
        <w:t xml:space="preserve"> </w:t>
      </w:r>
    </w:p>
    <w:p w14:paraId="77636900">
      <w:pPr>
        <w:pStyle w:val="13"/>
        <w:numPr>
          <w:ilvl w:val="0"/>
          <w:numId w:val="2"/>
        </w:numPr>
        <w:spacing w:beforeAutospacing="0" w:afterAutospacing="0" w:line="440" w:lineRule="exact"/>
        <w:rPr>
          <w:rFonts w:hint="eastAsia" w:ascii="仿宋" w:hAnsi="仿宋" w:eastAsia="仿宋" w:cs="仿宋"/>
          <w:color w:val="3F3F3F"/>
          <w:sz w:val="27"/>
          <w:szCs w:val="27"/>
        </w:rPr>
      </w:pPr>
      <w:r>
        <w:rPr>
          <w:rFonts w:hint="eastAsia" w:ascii="仿宋" w:hAnsi="仿宋" w:eastAsia="仿宋" w:cs="仿宋"/>
          <w:color w:val="3F3F3F"/>
          <w:sz w:val="27"/>
          <w:szCs w:val="27"/>
        </w:rPr>
        <w:t>接受电话报名，电话：18069625920（张泽伟）</w:t>
      </w:r>
    </w:p>
    <w:p w14:paraId="42263843">
      <w:pPr>
        <w:pStyle w:val="13"/>
        <w:spacing w:beforeAutospacing="0" w:afterAutospacing="0" w:line="440" w:lineRule="exact"/>
        <w:rPr>
          <w:rFonts w:hint="eastAsia" w:ascii="仿宋" w:hAnsi="仿宋" w:eastAsia="仿宋" w:cs="仿宋"/>
          <w:color w:val="3F3F3F"/>
          <w:sz w:val="28"/>
          <w:szCs w:val="28"/>
        </w:rPr>
      </w:pPr>
      <w:r>
        <w:rPr>
          <w:rFonts w:hint="eastAsia" w:ascii="仿宋" w:hAnsi="仿宋" w:eastAsia="仿宋" w:cs="仿宋"/>
          <w:b/>
          <w:bCs/>
          <w:color w:val="3F3F3F"/>
          <w:sz w:val="28"/>
          <w:szCs w:val="28"/>
        </w:rPr>
        <w:t>五、投标截止时间、投标地点</w:t>
      </w:r>
    </w:p>
    <w:p w14:paraId="17997CC0">
      <w:pPr>
        <w:pStyle w:val="13"/>
        <w:spacing w:beforeAutospacing="0" w:afterAutospacing="0" w:line="440" w:lineRule="exact"/>
        <w:rPr>
          <w:rFonts w:hint="eastAsia" w:ascii="仿宋" w:hAnsi="仿宋" w:eastAsia="仿宋" w:cs="仿宋"/>
          <w:color w:val="3F3F3F"/>
          <w:sz w:val="28"/>
          <w:szCs w:val="28"/>
        </w:rPr>
      </w:pPr>
      <w:r>
        <w:rPr>
          <w:rFonts w:hint="eastAsia" w:ascii="仿宋" w:hAnsi="仿宋" w:eastAsia="仿宋" w:cs="仿宋"/>
          <w:color w:val="3F3F3F"/>
          <w:sz w:val="28"/>
          <w:szCs w:val="28"/>
        </w:rPr>
        <w:t>1.投标截止时间</w:t>
      </w:r>
      <w:r>
        <w:rPr>
          <w:rFonts w:hint="eastAsia" w:ascii="仿宋" w:hAnsi="仿宋" w:eastAsia="仿宋" w:cs="仿宋"/>
          <w:bCs/>
          <w:sz w:val="28"/>
          <w:szCs w:val="28"/>
          <w:highlight w:val="yellow"/>
        </w:rPr>
        <w:t>202</w:t>
      </w:r>
      <w:r>
        <w:rPr>
          <w:rFonts w:hint="eastAsia" w:ascii="仿宋" w:hAnsi="仿宋" w:eastAsia="仿宋" w:cs="仿宋"/>
          <w:bCs/>
          <w:sz w:val="28"/>
          <w:szCs w:val="28"/>
          <w:highlight w:val="yellow"/>
          <w:lang w:val="en-US" w:eastAsia="zh-CN"/>
        </w:rPr>
        <w:t>6</w:t>
      </w:r>
      <w:r>
        <w:rPr>
          <w:rFonts w:hint="eastAsia" w:ascii="仿宋" w:hAnsi="仿宋" w:eastAsia="仿宋" w:cs="仿宋"/>
          <w:bCs/>
          <w:sz w:val="28"/>
          <w:szCs w:val="28"/>
          <w:highlight w:val="yellow"/>
        </w:rPr>
        <w:t>年</w:t>
      </w:r>
      <w:r>
        <w:rPr>
          <w:rFonts w:hint="eastAsia" w:ascii="仿宋" w:hAnsi="仿宋" w:eastAsia="仿宋" w:cs="仿宋"/>
          <w:bCs/>
          <w:sz w:val="28"/>
          <w:szCs w:val="28"/>
          <w:highlight w:val="yellow"/>
          <w:lang w:val="en-US" w:eastAsia="zh-CN"/>
        </w:rPr>
        <w:t>8</w:t>
      </w:r>
      <w:r>
        <w:rPr>
          <w:rFonts w:hint="eastAsia" w:ascii="仿宋" w:hAnsi="仿宋" w:eastAsia="仿宋" w:cs="仿宋"/>
          <w:bCs/>
          <w:sz w:val="28"/>
          <w:szCs w:val="28"/>
          <w:highlight w:val="yellow"/>
        </w:rPr>
        <w:t>月</w:t>
      </w:r>
      <w:r>
        <w:rPr>
          <w:rFonts w:hint="eastAsia" w:ascii="仿宋" w:hAnsi="仿宋" w:eastAsia="仿宋" w:cs="仿宋"/>
          <w:bCs/>
          <w:sz w:val="28"/>
          <w:szCs w:val="28"/>
          <w:highlight w:val="yellow"/>
          <w:lang w:val="en-US" w:eastAsia="zh-CN"/>
        </w:rPr>
        <w:t>10</w:t>
      </w:r>
      <w:r>
        <w:rPr>
          <w:rFonts w:hint="eastAsia" w:ascii="仿宋" w:hAnsi="仿宋" w:eastAsia="仿宋" w:cs="仿宋"/>
          <w:bCs/>
          <w:sz w:val="28"/>
          <w:szCs w:val="28"/>
          <w:highlight w:val="yellow"/>
        </w:rPr>
        <w:t>日</w:t>
      </w:r>
      <w:r>
        <w:rPr>
          <w:rFonts w:hint="eastAsia" w:ascii="仿宋" w:hAnsi="仿宋" w:eastAsia="仿宋" w:cs="仿宋"/>
          <w:bCs/>
          <w:sz w:val="28"/>
          <w:szCs w:val="28"/>
          <w:highlight w:val="yellow"/>
          <w:lang w:val="en-US" w:eastAsia="zh-CN"/>
        </w:rPr>
        <w:t>10</w:t>
      </w:r>
      <w:r>
        <w:rPr>
          <w:rFonts w:hint="eastAsia" w:ascii="仿宋" w:hAnsi="仿宋" w:eastAsia="仿宋" w:cs="仿宋"/>
          <w:bCs/>
          <w:sz w:val="28"/>
          <w:szCs w:val="28"/>
          <w:highlight w:val="yellow"/>
        </w:rPr>
        <w:t xml:space="preserve">：00 </w:t>
      </w:r>
      <w:r>
        <w:rPr>
          <w:rFonts w:hint="eastAsia" w:ascii="仿宋" w:hAnsi="仿宋" w:eastAsia="仿宋" w:cs="仿宋"/>
          <w:color w:val="3F3F3F"/>
          <w:sz w:val="28"/>
          <w:szCs w:val="28"/>
        </w:rPr>
        <w:t>。</w:t>
      </w:r>
    </w:p>
    <w:p w14:paraId="7DAC5E62">
      <w:pPr>
        <w:spacing w:line="440" w:lineRule="exact"/>
        <w:rPr>
          <w:rFonts w:hint="eastAsia" w:ascii="仿宋" w:hAnsi="仿宋" w:eastAsia="仿宋" w:cs="仿宋"/>
          <w:color w:val="3F3F3F"/>
          <w:sz w:val="27"/>
          <w:szCs w:val="27"/>
        </w:rPr>
      </w:pPr>
      <w:r>
        <w:rPr>
          <w:rFonts w:hint="eastAsia" w:ascii="仿宋" w:hAnsi="仿宋" w:eastAsia="仿宋" w:cs="仿宋"/>
          <w:bCs/>
          <w:sz w:val="28"/>
          <w:szCs w:val="28"/>
        </w:rPr>
        <w:t>2.投标地点：</w:t>
      </w:r>
      <w:r>
        <w:rPr>
          <w:rFonts w:hint="eastAsia" w:ascii="仿宋" w:hAnsi="仿宋" w:eastAsia="仿宋" w:cs="仿宋"/>
          <w:color w:val="3F3F3F"/>
          <w:sz w:val="28"/>
          <w:szCs w:val="28"/>
        </w:rPr>
        <w:t>绍兴市中医院2#楼204室</w:t>
      </w:r>
    </w:p>
    <w:p w14:paraId="6FD2FAA2">
      <w:pPr>
        <w:spacing w:line="440" w:lineRule="exact"/>
        <w:rPr>
          <w:rFonts w:hint="eastAsia" w:ascii="仿宋" w:hAnsi="仿宋" w:eastAsia="仿宋" w:cs="仿宋"/>
          <w:b/>
          <w:bCs/>
          <w:color w:val="3F3F3F"/>
          <w:sz w:val="28"/>
          <w:szCs w:val="28"/>
        </w:rPr>
      </w:pPr>
      <w:r>
        <w:rPr>
          <w:rFonts w:hint="eastAsia" w:ascii="仿宋" w:hAnsi="仿宋" w:eastAsia="仿宋" w:cs="仿宋"/>
          <w:b/>
          <w:bCs/>
          <w:color w:val="3F3F3F"/>
          <w:sz w:val="27"/>
          <w:szCs w:val="27"/>
        </w:rPr>
        <w:t>六、开</w:t>
      </w:r>
      <w:r>
        <w:rPr>
          <w:rFonts w:hint="eastAsia" w:ascii="仿宋" w:hAnsi="仿宋" w:eastAsia="仿宋" w:cs="仿宋"/>
          <w:b/>
          <w:bCs/>
          <w:color w:val="3F3F3F"/>
          <w:sz w:val="28"/>
          <w:szCs w:val="28"/>
        </w:rPr>
        <w:t>标时间及地点</w:t>
      </w:r>
    </w:p>
    <w:p w14:paraId="110ACE8D">
      <w:pPr>
        <w:pStyle w:val="13"/>
        <w:spacing w:beforeAutospacing="0" w:afterAutospacing="0" w:line="440" w:lineRule="exact"/>
        <w:rPr>
          <w:rFonts w:hint="eastAsia" w:ascii="仿宋" w:hAnsi="仿宋" w:eastAsia="仿宋" w:cs="仿宋"/>
          <w:color w:val="3F3F3F"/>
          <w:sz w:val="28"/>
          <w:szCs w:val="28"/>
        </w:rPr>
      </w:pPr>
      <w:r>
        <w:rPr>
          <w:rFonts w:hint="eastAsia" w:ascii="仿宋" w:hAnsi="仿宋" w:eastAsia="仿宋" w:cs="仿宋"/>
          <w:color w:val="3F3F3F"/>
          <w:sz w:val="28"/>
          <w:szCs w:val="28"/>
        </w:rPr>
        <w:t>1.开标时间</w:t>
      </w:r>
      <w:r>
        <w:rPr>
          <w:rFonts w:hint="eastAsia" w:ascii="仿宋" w:hAnsi="仿宋" w:eastAsia="仿宋" w:cs="仿宋"/>
          <w:bCs/>
          <w:sz w:val="28"/>
          <w:szCs w:val="28"/>
          <w:highlight w:val="yellow"/>
        </w:rPr>
        <w:t>202</w:t>
      </w:r>
      <w:r>
        <w:rPr>
          <w:rFonts w:hint="eastAsia" w:ascii="仿宋" w:hAnsi="仿宋" w:eastAsia="仿宋" w:cs="仿宋"/>
          <w:bCs/>
          <w:sz w:val="28"/>
          <w:szCs w:val="28"/>
          <w:highlight w:val="yellow"/>
          <w:lang w:val="en-US" w:eastAsia="zh-CN"/>
        </w:rPr>
        <w:t>6</w:t>
      </w:r>
      <w:r>
        <w:rPr>
          <w:rFonts w:hint="eastAsia" w:ascii="仿宋" w:hAnsi="仿宋" w:eastAsia="仿宋" w:cs="仿宋"/>
          <w:bCs/>
          <w:sz w:val="28"/>
          <w:szCs w:val="28"/>
          <w:highlight w:val="yellow"/>
        </w:rPr>
        <w:t>年</w:t>
      </w:r>
      <w:r>
        <w:rPr>
          <w:rFonts w:hint="eastAsia" w:ascii="仿宋" w:hAnsi="仿宋" w:eastAsia="仿宋" w:cs="仿宋"/>
          <w:bCs/>
          <w:sz w:val="28"/>
          <w:szCs w:val="28"/>
          <w:highlight w:val="yellow"/>
          <w:lang w:val="en-US" w:eastAsia="zh-CN"/>
        </w:rPr>
        <w:t>8</w:t>
      </w:r>
      <w:r>
        <w:rPr>
          <w:rFonts w:hint="eastAsia" w:ascii="仿宋" w:hAnsi="仿宋" w:eastAsia="仿宋" w:cs="仿宋"/>
          <w:bCs/>
          <w:sz w:val="28"/>
          <w:szCs w:val="28"/>
          <w:highlight w:val="yellow"/>
        </w:rPr>
        <w:t>月</w:t>
      </w:r>
      <w:r>
        <w:rPr>
          <w:rFonts w:hint="eastAsia" w:ascii="仿宋" w:hAnsi="仿宋" w:eastAsia="仿宋" w:cs="仿宋"/>
          <w:bCs/>
          <w:sz w:val="28"/>
          <w:szCs w:val="28"/>
          <w:highlight w:val="yellow"/>
          <w:lang w:val="en-US" w:eastAsia="zh-CN"/>
        </w:rPr>
        <w:t>10</w:t>
      </w:r>
      <w:r>
        <w:rPr>
          <w:rFonts w:hint="eastAsia" w:ascii="仿宋" w:hAnsi="仿宋" w:eastAsia="仿宋" w:cs="仿宋"/>
          <w:bCs/>
          <w:sz w:val="28"/>
          <w:szCs w:val="28"/>
          <w:highlight w:val="yellow"/>
        </w:rPr>
        <w:t>日</w:t>
      </w:r>
      <w:r>
        <w:rPr>
          <w:rFonts w:hint="eastAsia" w:ascii="仿宋" w:hAnsi="仿宋" w:eastAsia="仿宋" w:cs="仿宋"/>
          <w:bCs/>
          <w:sz w:val="28"/>
          <w:szCs w:val="28"/>
          <w:highlight w:val="yellow"/>
          <w:lang w:val="en-US" w:eastAsia="zh-CN"/>
        </w:rPr>
        <w:t>10</w:t>
      </w:r>
      <w:r>
        <w:rPr>
          <w:rFonts w:hint="eastAsia" w:ascii="仿宋" w:hAnsi="仿宋" w:eastAsia="仿宋" w:cs="仿宋"/>
          <w:bCs/>
          <w:sz w:val="28"/>
          <w:szCs w:val="28"/>
          <w:highlight w:val="yellow"/>
        </w:rPr>
        <w:t>：00</w:t>
      </w:r>
      <w:r>
        <w:rPr>
          <w:rFonts w:hint="eastAsia" w:ascii="仿宋" w:hAnsi="仿宋" w:eastAsia="仿宋" w:cs="仿宋"/>
          <w:color w:val="3F3F3F"/>
          <w:sz w:val="28"/>
          <w:szCs w:val="28"/>
        </w:rPr>
        <w:t>。</w:t>
      </w:r>
    </w:p>
    <w:p w14:paraId="3338A00A">
      <w:pPr>
        <w:spacing w:line="440" w:lineRule="exact"/>
        <w:rPr>
          <w:rFonts w:hint="eastAsia" w:ascii="仿宋" w:hAnsi="仿宋" w:eastAsia="仿宋" w:cs="仿宋"/>
          <w:color w:val="3F3F3F"/>
          <w:sz w:val="27"/>
          <w:szCs w:val="27"/>
        </w:rPr>
      </w:pPr>
      <w:r>
        <w:rPr>
          <w:rFonts w:hint="eastAsia" w:ascii="仿宋" w:hAnsi="仿宋" w:eastAsia="仿宋" w:cs="仿宋"/>
          <w:bCs/>
          <w:sz w:val="28"/>
          <w:szCs w:val="28"/>
        </w:rPr>
        <w:t>2.开标地点：</w:t>
      </w:r>
      <w:r>
        <w:rPr>
          <w:rFonts w:hint="eastAsia" w:ascii="仿宋" w:hAnsi="仿宋" w:eastAsia="仿宋" w:cs="仿宋"/>
          <w:color w:val="3F3F3F"/>
          <w:sz w:val="28"/>
          <w:szCs w:val="28"/>
        </w:rPr>
        <w:t>绍兴市中医院2#楼204室</w:t>
      </w:r>
    </w:p>
    <w:p w14:paraId="1034AC2F">
      <w:pPr>
        <w:spacing w:line="360" w:lineRule="auto"/>
        <w:rPr>
          <w:rFonts w:hint="eastAsia" w:ascii="仿宋" w:hAnsi="仿宋" w:eastAsia="仿宋"/>
          <w:b/>
          <w:sz w:val="28"/>
          <w:szCs w:val="28"/>
        </w:rPr>
      </w:pPr>
      <w:r>
        <w:rPr>
          <w:rFonts w:hint="eastAsia" w:ascii="仿宋" w:hAnsi="仿宋" w:eastAsia="仿宋"/>
          <w:b/>
          <w:sz w:val="28"/>
          <w:szCs w:val="28"/>
        </w:rPr>
        <w:t>七、评标方法：议价</w:t>
      </w:r>
      <w:r>
        <w:rPr>
          <w:rFonts w:hint="eastAsia" w:ascii="仿宋" w:hAnsi="仿宋" w:eastAsia="仿宋" w:cs="仿宋"/>
          <w:color w:val="3F3F3F"/>
          <w:sz w:val="28"/>
          <w:szCs w:val="28"/>
        </w:rPr>
        <w:t>投标人或实质性响应招标文件的投标人有两家及两家以上时，综合考虑该采购项目的公司报价、采购成本和产品可靠性、先进性等因素确定供应商；只有一家时，采用单一来源采购方式确定供应商。</w:t>
      </w:r>
      <w:r>
        <w:rPr>
          <w:rFonts w:hint="eastAsia" w:ascii="仿宋" w:hAnsi="仿宋" w:eastAsia="仿宋"/>
          <w:b/>
          <w:sz w:val="28"/>
          <w:szCs w:val="28"/>
        </w:rPr>
        <w:t>（超过最高限价作无效标处理）</w:t>
      </w:r>
    </w:p>
    <w:p w14:paraId="191EEF61">
      <w:pPr>
        <w:rPr>
          <w:rFonts w:hint="eastAsia" w:ascii="仿宋" w:hAnsi="仿宋" w:eastAsia="仿宋"/>
          <w:b/>
          <w:bCs/>
          <w:sz w:val="28"/>
          <w:szCs w:val="28"/>
        </w:rPr>
      </w:pPr>
      <w:r>
        <w:rPr>
          <w:rFonts w:hint="eastAsia" w:ascii="仿宋" w:hAnsi="仿宋" w:eastAsia="仿宋"/>
          <w:b/>
          <w:bCs/>
          <w:sz w:val="28"/>
          <w:szCs w:val="28"/>
        </w:rPr>
        <w:t>八、投标文件组成内容(投标文件一式三份)</w:t>
      </w:r>
    </w:p>
    <w:p w14:paraId="24C0ADD3">
      <w:pPr>
        <w:pStyle w:val="17"/>
        <w:spacing w:after="156" w:line="360" w:lineRule="auto"/>
        <w:ind w:left="0" w:firstLine="0" w:firstLineChars="0"/>
        <w:rPr>
          <w:rFonts w:hint="eastAsia" w:ascii="仿宋" w:eastAsia="仿宋" w:cs="仿宋_GB2312"/>
        </w:rPr>
      </w:pPr>
      <w:r>
        <w:rPr>
          <w:rFonts w:hint="eastAsia" w:ascii="仿宋" w:eastAsia="仿宋" w:cs="仿宋_GB2312"/>
        </w:rPr>
        <w:t>1.</w:t>
      </w:r>
      <w:r>
        <w:rPr>
          <w:rFonts w:hint="eastAsia" w:ascii="仿宋" w:eastAsia="仿宋" w:cs="仿宋_GB2312"/>
          <w:spacing w:val="16"/>
        </w:rPr>
        <w:t>法定代表人授权委托书</w:t>
      </w:r>
      <w:r>
        <w:rPr>
          <w:rFonts w:hint="eastAsia" w:ascii="仿宋" w:eastAsia="仿宋" w:cs="仿宋_GB2312"/>
        </w:rPr>
        <w:t>…………………………………………………（页码）</w:t>
      </w:r>
    </w:p>
    <w:p w14:paraId="5F4409B2">
      <w:pPr>
        <w:pStyle w:val="17"/>
        <w:spacing w:line="360" w:lineRule="auto"/>
        <w:ind w:left="0" w:firstLine="0" w:firstLineChars="0"/>
        <w:rPr>
          <w:rFonts w:hint="eastAsia" w:ascii="仿宋" w:eastAsia="仿宋" w:cs="仿宋_GB2312"/>
          <w:spacing w:val="3"/>
        </w:rPr>
      </w:pPr>
      <w:r>
        <w:rPr>
          <w:rFonts w:hint="eastAsia" w:ascii="仿宋" w:eastAsia="仿宋" w:cs="仿宋_GB2312"/>
          <w:spacing w:val="10"/>
          <w:kern w:val="0"/>
          <w:fitText w:val="9116" w:id="1027807747"/>
        </w:rPr>
        <w:t>2.法定代表人及其委托代理人的身份证（复印件）………………………（页码</w:t>
      </w:r>
      <w:r>
        <w:rPr>
          <w:rFonts w:hint="eastAsia" w:ascii="仿宋" w:eastAsia="仿宋" w:cs="仿宋_GB2312"/>
          <w:spacing w:val="18"/>
          <w:kern w:val="0"/>
          <w:fitText w:val="9116" w:id="1027807747"/>
        </w:rPr>
        <w:t>）</w:t>
      </w:r>
    </w:p>
    <w:p w14:paraId="18C1EB7C">
      <w:pPr>
        <w:pStyle w:val="17"/>
        <w:spacing w:line="360" w:lineRule="auto"/>
        <w:ind w:left="0" w:firstLine="0" w:firstLineChars="0"/>
        <w:rPr>
          <w:rFonts w:hint="eastAsia" w:ascii="仿宋" w:eastAsia="仿宋" w:cs="仿宋_GB2312"/>
          <w:spacing w:val="3"/>
        </w:rPr>
      </w:pPr>
      <w:r>
        <w:rPr>
          <w:rFonts w:hint="eastAsia" w:ascii="仿宋" w:eastAsia="仿宋" w:cs="仿宋_GB2312"/>
          <w:spacing w:val="10"/>
          <w:kern w:val="0"/>
          <w:fitText w:val="9119" w:id="1786711821"/>
        </w:rPr>
        <w:t>3.法定代表人身份证明书……………………………………………………（页码</w:t>
      </w:r>
      <w:r>
        <w:rPr>
          <w:rFonts w:hint="eastAsia" w:ascii="仿宋" w:eastAsia="仿宋" w:cs="仿宋_GB2312"/>
          <w:spacing w:val="19"/>
          <w:kern w:val="0"/>
          <w:fitText w:val="9119" w:id="1786711821"/>
        </w:rPr>
        <w:t>）</w:t>
      </w:r>
    </w:p>
    <w:p w14:paraId="26D3B959">
      <w:pPr>
        <w:pStyle w:val="17"/>
        <w:spacing w:line="360" w:lineRule="auto"/>
        <w:ind w:left="0" w:firstLine="0" w:firstLineChars="0"/>
        <w:rPr>
          <w:rFonts w:hint="eastAsia" w:ascii="仿宋" w:eastAsia="仿宋" w:cs="仿宋_GB2312"/>
          <w:spacing w:val="3"/>
        </w:rPr>
      </w:pPr>
      <w:r>
        <w:rPr>
          <w:rFonts w:hint="eastAsia" w:ascii="仿宋" w:eastAsia="仿宋" w:cs="仿宋_GB2312"/>
          <w:spacing w:val="6"/>
          <w:kern w:val="0"/>
          <w:fitText w:val="9119" w:id="1575951206"/>
        </w:rPr>
        <w:t>4.营业执照(或事业法人登记证或其他登记证明材料)复印件………………（页码</w:t>
      </w:r>
      <w:r>
        <w:rPr>
          <w:rFonts w:hint="eastAsia" w:ascii="仿宋" w:eastAsia="仿宋" w:cs="仿宋_GB2312"/>
          <w:spacing w:val="29"/>
          <w:kern w:val="0"/>
          <w:fitText w:val="9119" w:id="1575951206"/>
        </w:rPr>
        <w:t>）</w:t>
      </w:r>
    </w:p>
    <w:p w14:paraId="4C722C28">
      <w:pPr>
        <w:pStyle w:val="17"/>
        <w:spacing w:line="360" w:lineRule="auto"/>
        <w:ind w:left="0" w:firstLine="0" w:firstLineChars="0"/>
        <w:rPr>
          <w:rFonts w:hint="eastAsia" w:ascii="仿宋" w:eastAsia="仿宋" w:cs="仿宋_GB2312"/>
          <w:color w:val="FF0000"/>
        </w:rPr>
      </w:pPr>
      <w:r>
        <w:rPr>
          <w:rFonts w:hint="eastAsia" w:ascii="仿宋" w:eastAsia="仿宋" w:cs="仿宋_GB2312"/>
          <w:spacing w:val="8"/>
          <w:kern w:val="0"/>
          <w:fitText w:val="9116" w:id="307788231"/>
        </w:rPr>
        <w:t>5.重大违法记录的声明 ………………………………………………………（页码</w:t>
      </w:r>
      <w:r>
        <w:rPr>
          <w:rFonts w:hint="eastAsia" w:ascii="仿宋" w:eastAsia="仿宋" w:cs="仿宋_GB2312"/>
          <w:spacing w:val="18"/>
          <w:kern w:val="0"/>
          <w:fitText w:val="9116" w:id="307788231"/>
        </w:rPr>
        <w:t>）</w:t>
      </w:r>
    </w:p>
    <w:p w14:paraId="6D431B9A">
      <w:pPr>
        <w:pStyle w:val="17"/>
        <w:spacing w:line="360" w:lineRule="auto"/>
        <w:ind w:left="0" w:firstLine="0" w:firstLineChars="0"/>
        <w:rPr>
          <w:rFonts w:hint="eastAsia" w:ascii="仿宋" w:eastAsia="仿宋" w:cs="仿宋_GB2312"/>
        </w:rPr>
      </w:pPr>
      <w:r>
        <w:rPr>
          <w:rFonts w:hint="eastAsia" w:ascii="仿宋" w:eastAsia="仿宋" w:cs="仿宋_GB2312"/>
          <w:lang w:val="en-US" w:eastAsia="zh-CN"/>
        </w:rPr>
        <w:t>6</w:t>
      </w:r>
      <w:r>
        <w:rPr>
          <w:rFonts w:hint="eastAsia" w:ascii="仿宋" w:eastAsia="仿宋" w:cs="仿宋_GB2312"/>
        </w:rPr>
        <w:t>.廉政承诺书 …………………………………………………………………（页码）</w:t>
      </w:r>
    </w:p>
    <w:p w14:paraId="3E71F9FD">
      <w:pPr>
        <w:pStyle w:val="17"/>
        <w:spacing w:line="360" w:lineRule="auto"/>
        <w:ind w:left="0" w:firstLine="0" w:firstLineChars="0"/>
        <w:rPr>
          <w:rFonts w:hint="eastAsia" w:ascii="仿宋" w:eastAsia="仿宋" w:cs="仿宋_GB2312"/>
        </w:rPr>
      </w:pPr>
      <w:r>
        <w:rPr>
          <w:rFonts w:hint="eastAsia" w:ascii="仿宋" w:eastAsia="仿宋" w:cs="仿宋_GB2312"/>
          <w:lang w:val="en-US" w:eastAsia="zh-CN"/>
        </w:rPr>
        <w:t>7</w:t>
      </w:r>
      <w:r>
        <w:rPr>
          <w:rFonts w:hint="eastAsia" w:ascii="仿宋" w:eastAsia="仿宋" w:cs="仿宋_GB2312"/>
        </w:rPr>
        <w:t>.供应商认为需要的其他技术文件或说明…………………………………（页码）</w:t>
      </w:r>
    </w:p>
    <w:p w14:paraId="50104AE8">
      <w:pPr>
        <w:pStyle w:val="17"/>
        <w:spacing w:line="360" w:lineRule="auto"/>
        <w:ind w:left="0" w:firstLine="0" w:firstLineChars="0"/>
        <w:rPr>
          <w:rFonts w:hint="eastAsia" w:ascii="仿宋" w:eastAsia="仿宋" w:cs="仿宋"/>
        </w:rPr>
      </w:pPr>
      <w:r>
        <w:rPr>
          <w:rFonts w:hint="eastAsia" w:ascii="仿宋" w:eastAsia="仿宋" w:cs="仿宋_GB2312"/>
          <w:lang w:val="en-US" w:eastAsia="zh-CN"/>
        </w:rPr>
        <w:t>8</w:t>
      </w:r>
      <w:r>
        <w:rPr>
          <w:rFonts w:hint="eastAsia" w:ascii="仿宋" w:eastAsia="仿宋" w:cs="仿宋_GB2312"/>
        </w:rPr>
        <w:t>.供应商</w:t>
      </w:r>
      <w:r>
        <w:rPr>
          <w:rFonts w:hint="eastAsia" w:ascii="仿宋" w:eastAsia="仿宋" w:cs="仿宋"/>
        </w:rPr>
        <w:t>提供202</w:t>
      </w:r>
      <w:r>
        <w:rPr>
          <w:rFonts w:hint="eastAsia" w:ascii="仿宋" w:eastAsia="仿宋" w:cs="仿宋"/>
          <w:lang w:val="en-US" w:eastAsia="zh-CN"/>
        </w:rPr>
        <w:t>3</w:t>
      </w:r>
      <w:r>
        <w:rPr>
          <w:rFonts w:hint="eastAsia" w:ascii="仿宋" w:eastAsia="仿宋" w:cs="仿宋"/>
        </w:rPr>
        <w:t>年1月1日</w:t>
      </w:r>
      <w:r>
        <w:rPr>
          <w:rFonts w:hint="eastAsia" w:ascii="仿宋" w:eastAsia="仿宋" w:cs="仿宋"/>
        </w:rPr>
        <w:t>以来完成同类项目销售合同的复印件（三例）</w:t>
      </w:r>
    </w:p>
    <w:p w14:paraId="76B044C1">
      <w:pPr>
        <w:pStyle w:val="17"/>
        <w:spacing w:line="360" w:lineRule="auto"/>
        <w:ind w:left="0" w:firstLine="0" w:firstLineChars="0"/>
        <w:rPr>
          <w:rFonts w:hint="eastAsia" w:ascii="仿宋" w:eastAsia="仿宋" w:cs="仿宋"/>
          <w:color w:val="FF0000"/>
        </w:rPr>
      </w:pPr>
      <w:r>
        <w:rPr>
          <w:rFonts w:hint="eastAsia" w:ascii="仿宋" w:eastAsia="仿宋" w:cs="仿宋"/>
          <w:lang w:val="en-US" w:eastAsia="zh-CN"/>
        </w:rPr>
        <w:t>9</w:t>
      </w:r>
      <w:r>
        <w:rPr>
          <w:rFonts w:hint="eastAsia" w:ascii="仿宋" w:eastAsia="仿宋" w:cs="仿宋"/>
        </w:rPr>
        <w:t>.维保服务方案（自拟）…………………………………（页码）</w:t>
      </w:r>
    </w:p>
    <w:p w14:paraId="51D59C92">
      <w:pPr>
        <w:spacing w:line="360" w:lineRule="auto"/>
        <w:rPr>
          <w:rFonts w:hint="eastAsia" w:ascii="仿宋_GB2312" w:hAnsi="仿宋_GB2312" w:eastAsia="仿宋_GB2312" w:cs="仿宋_GB2312"/>
          <w:b/>
          <w:bCs/>
          <w:sz w:val="24"/>
        </w:rPr>
      </w:pPr>
      <w:r>
        <w:rPr>
          <w:rFonts w:hint="eastAsia" w:ascii="仿宋_GB2312" w:hAnsi="仿宋_GB2312" w:eastAsia="仿宋_GB2312" w:cs="仿宋_GB2312"/>
          <w:b/>
          <w:bCs/>
          <w:sz w:val="24"/>
        </w:rPr>
        <w:t>注：以上目录是基本格式要求，各供应商可根据自身情况进一步细化。</w:t>
      </w:r>
    </w:p>
    <w:p w14:paraId="23312916">
      <w:pPr>
        <w:pStyle w:val="18"/>
        <w:spacing w:afterLines="0" w:line="440" w:lineRule="exact"/>
        <w:ind w:firstLine="0" w:firstLineChars="0"/>
        <w:rPr>
          <w:rFonts w:hint="eastAsia" w:ascii="仿宋_GB2312" w:hAnsi="宋体" w:eastAsia="仿宋_GB2312"/>
        </w:rPr>
      </w:pPr>
      <w:r>
        <w:rPr>
          <w:rFonts w:hint="eastAsia" w:ascii="仿宋_GB2312" w:hAnsi="仿宋_GB2312" w:eastAsia="仿宋_GB2312" w:cs="仿宋_GB2312"/>
        </w:rPr>
        <w:t>11.</w:t>
      </w:r>
      <w:r>
        <w:rPr>
          <w:rFonts w:hint="eastAsia" w:ascii="仿宋_GB2312" w:hAnsi="仿宋_GB2312" w:eastAsia="仿宋_GB2312" w:cs="仿宋_GB2312"/>
          <w:bCs/>
          <w:szCs w:val="24"/>
        </w:rPr>
        <w:t>开标一览表（格式）</w:t>
      </w:r>
    </w:p>
    <w:p w14:paraId="4862D84B">
      <w:pPr>
        <w:ind w:right="960"/>
        <w:rPr>
          <w:rFonts w:hint="eastAsia" w:ascii="仿宋" w:hAnsi="仿宋" w:eastAsia="仿宋"/>
          <w:sz w:val="24"/>
        </w:rPr>
      </w:pPr>
      <w:r>
        <w:rPr>
          <w:rFonts w:hint="eastAsia" w:ascii="仿宋" w:hAnsi="仿宋" w:eastAsia="仿宋"/>
          <w:sz w:val="24"/>
        </w:rPr>
        <w:t xml:space="preserve">项目名称:  </w:t>
      </w:r>
      <w:r>
        <w:rPr>
          <w:rFonts w:hint="eastAsia" w:ascii="仿宋" w:hAnsi="仿宋" w:eastAsia="仿宋"/>
          <w:sz w:val="24"/>
          <w:u w:val="single"/>
        </w:rPr>
        <w:t xml:space="preserve">                    </w:t>
      </w:r>
      <w:r>
        <w:rPr>
          <w:rFonts w:hint="eastAsia" w:ascii="仿宋" w:hAnsi="仿宋" w:eastAsia="仿宋"/>
          <w:sz w:val="24"/>
        </w:rPr>
        <w:t>项目</w:t>
      </w:r>
    </w:p>
    <w:tbl>
      <w:tblPr>
        <w:tblStyle w:val="14"/>
        <w:tblW w:w="78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4153"/>
        <w:gridCol w:w="2850"/>
      </w:tblGrid>
      <w:tr w14:paraId="709A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828" w:type="dxa"/>
            <w:noWrap/>
            <w:vAlign w:val="center"/>
          </w:tcPr>
          <w:p w14:paraId="2A230812">
            <w:pPr>
              <w:spacing w:after="0"/>
              <w:jc w:val="center"/>
              <w:rPr>
                <w:rFonts w:hint="eastAsia" w:ascii="仿宋" w:hAnsi="仿宋" w:eastAsia="仿宋"/>
                <w:sz w:val="24"/>
                <w:szCs w:val="24"/>
              </w:rPr>
            </w:pPr>
            <w:r>
              <w:rPr>
                <w:rFonts w:hint="eastAsia" w:ascii="仿宋" w:hAnsi="仿宋" w:eastAsia="仿宋"/>
                <w:sz w:val="24"/>
                <w:szCs w:val="24"/>
              </w:rPr>
              <w:t>序号</w:t>
            </w:r>
          </w:p>
        </w:tc>
        <w:tc>
          <w:tcPr>
            <w:tcW w:w="4153" w:type="dxa"/>
            <w:noWrap/>
            <w:vAlign w:val="center"/>
          </w:tcPr>
          <w:p w14:paraId="71E7553F">
            <w:pPr>
              <w:spacing w:after="0"/>
              <w:jc w:val="center"/>
              <w:rPr>
                <w:rFonts w:hint="eastAsia" w:ascii="仿宋" w:hAnsi="仿宋" w:eastAsia="仿宋"/>
                <w:sz w:val="24"/>
                <w:szCs w:val="24"/>
              </w:rPr>
            </w:pPr>
            <w:r>
              <w:rPr>
                <w:rFonts w:hint="eastAsia" w:ascii="仿宋" w:hAnsi="仿宋" w:eastAsia="仿宋"/>
                <w:sz w:val="24"/>
                <w:szCs w:val="24"/>
              </w:rPr>
              <w:t>项目名称</w:t>
            </w:r>
          </w:p>
        </w:tc>
        <w:tc>
          <w:tcPr>
            <w:tcW w:w="2850" w:type="dxa"/>
            <w:noWrap/>
            <w:vAlign w:val="center"/>
          </w:tcPr>
          <w:p w14:paraId="1039C1A3">
            <w:pPr>
              <w:spacing w:after="0"/>
              <w:jc w:val="center"/>
              <w:rPr>
                <w:rFonts w:hint="eastAsia" w:ascii="仿宋" w:hAnsi="仿宋" w:eastAsia="仿宋"/>
                <w:sz w:val="24"/>
                <w:szCs w:val="24"/>
              </w:rPr>
            </w:pPr>
            <w:r>
              <w:rPr>
                <w:rFonts w:hint="eastAsia" w:ascii="仿宋" w:hAnsi="仿宋" w:eastAsia="仿宋"/>
                <w:sz w:val="24"/>
                <w:szCs w:val="24"/>
              </w:rPr>
              <w:t>报价</w:t>
            </w:r>
          </w:p>
          <w:p w14:paraId="4645EC7C">
            <w:pPr>
              <w:spacing w:after="0"/>
              <w:jc w:val="center"/>
              <w:rPr>
                <w:rFonts w:hint="eastAsia" w:ascii="仿宋" w:hAnsi="仿宋" w:eastAsia="仿宋"/>
                <w:sz w:val="24"/>
                <w:szCs w:val="24"/>
              </w:rPr>
            </w:pPr>
            <w:r>
              <w:rPr>
                <w:rFonts w:hint="eastAsia" w:ascii="仿宋" w:hAnsi="仿宋" w:eastAsia="仿宋"/>
                <w:sz w:val="24"/>
                <w:szCs w:val="24"/>
              </w:rPr>
              <w:t>（单位</w:t>
            </w:r>
            <w:r>
              <w:rPr>
                <w:rFonts w:ascii="仿宋" w:hAnsi="仿宋" w:eastAsia="仿宋"/>
                <w:sz w:val="24"/>
                <w:szCs w:val="24"/>
              </w:rPr>
              <w:t>：元）</w:t>
            </w:r>
          </w:p>
        </w:tc>
      </w:tr>
      <w:tr w14:paraId="60D7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28" w:type="dxa"/>
            <w:noWrap/>
            <w:vAlign w:val="center"/>
          </w:tcPr>
          <w:p w14:paraId="7332BAC5">
            <w:pPr>
              <w:spacing w:after="0"/>
              <w:jc w:val="center"/>
              <w:rPr>
                <w:rFonts w:hint="eastAsia" w:ascii="仿宋" w:hAnsi="仿宋" w:eastAsia="仿宋"/>
                <w:sz w:val="24"/>
                <w:szCs w:val="24"/>
              </w:rPr>
            </w:pPr>
            <w:r>
              <w:rPr>
                <w:rFonts w:hint="eastAsia" w:ascii="仿宋" w:hAnsi="仿宋" w:eastAsia="仿宋"/>
                <w:sz w:val="24"/>
                <w:szCs w:val="24"/>
              </w:rPr>
              <w:t>01</w:t>
            </w:r>
          </w:p>
        </w:tc>
        <w:tc>
          <w:tcPr>
            <w:tcW w:w="4153" w:type="dxa"/>
            <w:noWrap/>
            <w:vAlign w:val="center"/>
          </w:tcPr>
          <w:p w14:paraId="287CD37E">
            <w:pPr>
              <w:tabs>
                <w:tab w:val="left" w:pos="879"/>
              </w:tabs>
              <w:spacing w:after="0"/>
              <w:jc w:val="center"/>
              <w:rPr>
                <w:rFonts w:hint="eastAsia" w:ascii="仿宋" w:hAnsi="仿宋" w:eastAsia="仿宋"/>
                <w:sz w:val="24"/>
                <w:szCs w:val="24"/>
              </w:rPr>
            </w:pPr>
          </w:p>
        </w:tc>
        <w:tc>
          <w:tcPr>
            <w:tcW w:w="2850" w:type="dxa"/>
            <w:noWrap/>
            <w:vAlign w:val="center"/>
          </w:tcPr>
          <w:p w14:paraId="23435F15">
            <w:pPr>
              <w:spacing w:after="0"/>
              <w:jc w:val="center"/>
              <w:rPr>
                <w:rFonts w:hint="eastAsia" w:ascii="仿宋" w:hAnsi="仿宋" w:eastAsia="仿宋"/>
                <w:sz w:val="24"/>
                <w:szCs w:val="24"/>
              </w:rPr>
            </w:pPr>
          </w:p>
        </w:tc>
      </w:tr>
      <w:tr w14:paraId="43C4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28" w:type="dxa"/>
            <w:noWrap/>
            <w:vAlign w:val="center"/>
          </w:tcPr>
          <w:p w14:paraId="045DA360">
            <w:pPr>
              <w:spacing w:after="0"/>
              <w:jc w:val="center"/>
              <w:rPr>
                <w:rFonts w:hint="eastAsia" w:ascii="仿宋" w:hAnsi="仿宋" w:eastAsia="仿宋"/>
                <w:sz w:val="24"/>
                <w:szCs w:val="24"/>
              </w:rPr>
            </w:pPr>
            <w:r>
              <w:rPr>
                <w:rFonts w:hint="eastAsia" w:ascii="仿宋" w:hAnsi="仿宋" w:eastAsia="仿宋"/>
                <w:sz w:val="24"/>
                <w:szCs w:val="24"/>
              </w:rPr>
              <w:t>02</w:t>
            </w:r>
          </w:p>
        </w:tc>
        <w:tc>
          <w:tcPr>
            <w:tcW w:w="4153" w:type="dxa"/>
            <w:noWrap/>
            <w:vAlign w:val="center"/>
          </w:tcPr>
          <w:p w14:paraId="416CB749">
            <w:pPr>
              <w:tabs>
                <w:tab w:val="left" w:pos="879"/>
              </w:tabs>
              <w:spacing w:after="0"/>
              <w:jc w:val="center"/>
              <w:rPr>
                <w:rFonts w:hint="eastAsia" w:ascii="仿宋" w:hAnsi="仿宋" w:eastAsia="仿宋"/>
                <w:sz w:val="24"/>
                <w:szCs w:val="24"/>
              </w:rPr>
            </w:pPr>
          </w:p>
        </w:tc>
        <w:tc>
          <w:tcPr>
            <w:tcW w:w="2850" w:type="dxa"/>
            <w:noWrap/>
            <w:vAlign w:val="center"/>
          </w:tcPr>
          <w:p w14:paraId="71954B1F">
            <w:pPr>
              <w:spacing w:after="0"/>
              <w:jc w:val="center"/>
              <w:rPr>
                <w:rFonts w:hint="eastAsia" w:ascii="仿宋" w:hAnsi="仿宋" w:eastAsia="仿宋"/>
                <w:sz w:val="24"/>
                <w:szCs w:val="24"/>
              </w:rPr>
            </w:pPr>
          </w:p>
        </w:tc>
      </w:tr>
      <w:tr w14:paraId="27FB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28" w:type="dxa"/>
            <w:noWrap/>
            <w:vAlign w:val="center"/>
          </w:tcPr>
          <w:p w14:paraId="38936D9E">
            <w:pPr>
              <w:spacing w:after="0"/>
              <w:jc w:val="center"/>
              <w:rPr>
                <w:rFonts w:hint="eastAsia" w:ascii="仿宋" w:hAnsi="仿宋" w:eastAsia="仿宋"/>
                <w:sz w:val="24"/>
                <w:szCs w:val="24"/>
              </w:rPr>
            </w:pPr>
            <w:r>
              <w:rPr>
                <w:rFonts w:hint="eastAsia" w:ascii="仿宋" w:hAnsi="仿宋" w:eastAsia="仿宋"/>
                <w:sz w:val="24"/>
                <w:szCs w:val="24"/>
              </w:rPr>
              <w:t>03</w:t>
            </w:r>
          </w:p>
        </w:tc>
        <w:tc>
          <w:tcPr>
            <w:tcW w:w="4153" w:type="dxa"/>
            <w:noWrap/>
            <w:vAlign w:val="center"/>
          </w:tcPr>
          <w:p w14:paraId="4647C291">
            <w:pPr>
              <w:tabs>
                <w:tab w:val="left" w:pos="879"/>
              </w:tabs>
              <w:spacing w:after="0"/>
              <w:jc w:val="center"/>
              <w:rPr>
                <w:rFonts w:hint="eastAsia" w:ascii="仿宋" w:hAnsi="仿宋" w:eastAsia="仿宋"/>
                <w:sz w:val="24"/>
                <w:szCs w:val="24"/>
              </w:rPr>
            </w:pPr>
          </w:p>
        </w:tc>
        <w:tc>
          <w:tcPr>
            <w:tcW w:w="2850" w:type="dxa"/>
            <w:noWrap/>
            <w:vAlign w:val="center"/>
          </w:tcPr>
          <w:p w14:paraId="0AED24B2">
            <w:pPr>
              <w:spacing w:after="0"/>
              <w:jc w:val="center"/>
              <w:rPr>
                <w:rFonts w:hint="eastAsia" w:ascii="仿宋" w:hAnsi="仿宋" w:eastAsia="仿宋"/>
                <w:sz w:val="24"/>
                <w:szCs w:val="24"/>
              </w:rPr>
            </w:pPr>
          </w:p>
        </w:tc>
      </w:tr>
      <w:tr w14:paraId="7DF9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28" w:type="dxa"/>
            <w:noWrap/>
            <w:vAlign w:val="center"/>
          </w:tcPr>
          <w:p w14:paraId="22B39E67">
            <w:pPr>
              <w:spacing w:after="0"/>
              <w:jc w:val="center"/>
              <w:rPr>
                <w:rFonts w:hint="eastAsia" w:ascii="仿宋" w:hAnsi="仿宋" w:eastAsia="仿宋"/>
                <w:sz w:val="24"/>
                <w:szCs w:val="24"/>
              </w:rPr>
            </w:pPr>
            <w:r>
              <w:rPr>
                <w:rFonts w:hint="eastAsia" w:ascii="仿宋" w:hAnsi="仿宋" w:eastAsia="仿宋"/>
                <w:sz w:val="24"/>
                <w:szCs w:val="24"/>
              </w:rPr>
              <w:t>04</w:t>
            </w:r>
          </w:p>
        </w:tc>
        <w:tc>
          <w:tcPr>
            <w:tcW w:w="4153" w:type="dxa"/>
            <w:noWrap/>
            <w:vAlign w:val="center"/>
          </w:tcPr>
          <w:p w14:paraId="415FE114">
            <w:pPr>
              <w:tabs>
                <w:tab w:val="left" w:pos="879"/>
              </w:tabs>
              <w:spacing w:after="0"/>
              <w:jc w:val="center"/>
              <w:rPr>
                <w:rFonts w:hint="eastAsia" w:ascii="仿宋" w:hAnsi="仿宋" w:eastAsia="仿宋"/>
                <w:sz w:val="24"/>
                <w:szCs w:val="24"/>
              </w:rPr>
            </w:pPr>
          </w:p>
        </w:tc>
        <w:tc>
          <w:tcPr>
            <w:tcW w:w="2850" w:type="dxa"/>
            <w:noWrap/>
            <w:vAlign w:val="center"/>
          </w:tcPr>
          <w:p w14:paraId="1BA1A695">
            <w:pPr>
              <w:spacing w:after="0"/>
              <w:jc w:val="center"/>
              <w:rPr>
                <w:rFonts w:hint="eastAsia" w:ascii="仿宋" w:hAnsi="仿宋" w:eastAsia="仿宋"/>
                <w:sz w:val="24"/>
                <w:szCs w:val="24"/>
              </w:rPr>
            </w:pPr>
          </w:p>
        </w:tc>
      </w:tr>
      <w:tr w14:paraId="0194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28" w:type="dxa"/>
            <w:noWrap/>
            <w:vAlign w:val="center"/>
          </w:tcPr>
          <w:p w14:paraId="0CE5B839">
            <w:pPr>
              <w:spacing w:after="0"/>
              <w:jc w:val="center"/>
              <w:rPr>
                <w:rFonts w:hint="eastAsia" w:ascii="仿宋" w:hAnsi="仿宋" w:eastAsia="仿宋"/>
                <w:sz w:val="24"/>
                <w:szCs w:val="24"/>
              </w:rPr>
            </w:pPr>
            <w:r>
              <w:rPr>
                <w:rFonts w:hint="eastAsia" w:ascii="仿宋" w:hAnsi="仿宋" w:eastAsia="仿宋"/>
                <w:sz w:val="24"/>
                <w:szCs w:val="24"/>
              </w:rPr>
              <w:t>大写</w:t>
            </w:r>
          </w:p>
        </w:tc>
        <w:tc>
          <w:tcPr>
            <w:tcW w:w="7003" w:type="dxa"/>
            <w:gridSpan w:val="2"/>
            <w:noWrap/>
            <w:vAlign w:val="center"/>
          </w:tcPr>
          <w:p w14:paraId="195F1CB3">
            <w:pPr>
              <w:spacing w:after="0"/>
              <w:rPr>
                <w:rFonts w:hint="eastAsia" w:ascii="仿宋" w:hAnsi="仿宋" w:eastAsia="仿宋"/>
                <w:sz w:val="24"/>
                <w:szCs w:val="24"/>
              </w:rPr>
            </w:pPr>
            <w:r>
              <w:rPr>
                <w:rFonts w:hint="eastAsia" w:ascii="仿宋" w:hAnsi="仿宋" w:eastAsia="仿宋"/>
                <w:sz w:val="24"/>
                <w:szCs w:val="24"/>
              </w:rPr>
              <w:t>人民币                           元整</w:t>
            </w:r>
          </w:p>
        </w:tc>
      </w:tr>
    </w:tbl>
    <w:p w14:paraId="2D00EC8C">
      <w:pPr>
        <w:pStyle w:val="10"/>
        <w:spacing w:line="400" w:lineRule="exact"/>
        <w:rPr>
          <w:rFonts w:hint="eastAsia" w:ascii="仿宋_GB2312" w:hAnsi="宋体" w:eastAsia="仿宋_GB2312"/>
          <w:kern w:val="2"/>
          <w:sz w:val="24"/>
          <w:szCs w:val="24"/>
        </w:rPr>
      </w:pPr>
      <w:r>
        <w:rPr>
          <w:rFonts w:hint="eastAsia" w:ascii="仿宋_GB2312" w:hAnsi="宋体" w:eastAsia="仿宋_GB2312"/>
          <w:kern w:val="2"/>
          <w:sz w:val="24"/>
          <w:szCs w:val="24"/>
        </w:rPr>
        <w:t>注：</w:t>
      </w:r>
    </w:p>
    <w:p w14:paraId="2B5DEA61">
      <w:pPr>
        <w:pStyle w:val="10"/>
        <w:keepNext w:val="0"/>
        <w:keepLines w:val="0"/>
        <w:pageBreakBefore w:val="0"/>
        <w:widowControl/>
        <w:kinsoku/>
        <w:wordWrap/>
        <w:overflowPunct/>
        <w:topLinePunct w:val="0"/>
        <w:autoSpaceDE/>
        <w:autoSpaceDN/>
        <w:bidi w:val="0"/>
        <w:adjustRightInd w:val="0"/>
        <w:snapToGrid w:val="0"/>
        <w:spacing w:line="400" w:lineRule="exact"/>
        <w:ind w:firstLine="482" w:firstLineChars="200"/>
        <w:jc w:val="both"/>
        <w:textAlignment w:val="auto"/>
        <w:rPr>
          <w:rFonts w:ascii="FangSong_GB2312" w:hAnsi="宋体" w:eastAsia="FangSong_GB2312"/>
          <w:kern w:val="2"/>
          <w:sz w:val="24"/>
          <w:szCs w:val="24"/>
        </w:rPr>
      </w:pPr>
      <w:r>
        <w:rPr>
          <w:rFonts w:hint="eastAsia" w:ascii="FangSong_GB2312" w:hAnsi="宋体" w:eastAsia="FangSong_GB2312" w:cs="Times New Roman"/>
          <w:b/>
          <w:bCs/>
          <w:color w:val="000000"/>
          <w:kern w:val="2"/>
          <w:sz w:val="24"/>
          <w:szCs w:val="24"/>
          <w:highlight w:val="yellow"/>
        </w:rPr>
        <w:t>1.投标金额不能高于预算金额。</w:t>
      </w:r>
      <w:r>
        <w:rPr>
          <w:rFonts w:hint="eastAsia" w:ascii="FangSong_GB2312" w:hAnsi="宋体" w:eastAsia="FangSong_GB2312" w:cs="Times New Roman"/>
          <w:kern w:val="2"/>
          <w:sz w:val="24"/>
          <w:szCs w:val="24"/>
        </w:rPr>
        <w:t>报</w:t>
      </w:r>
      <w:r>
        <w:rPr>
          <w:rFonts w:hint="eastAsia" w:ascii="FangSong_GB2312" w:hAnsi="宋体" w:eastAsia="FangSong_GB2312"/>
          <w:kern w:val="2"/>
          <w:sz w:val="24"/>
          <w:szCs w:val="24"/>
        </w:rPr>
        <w:t>价一经涂改，应在涂改处加盖单位公章或者由法定代表人或其委托代理人签字或盖章，否则作无效投标处理。</w:t>
      </w:r>
    </w:p>
    <w:p w14:paraId="1503232F">
      <w:pPr>
        <w:pStyle w:val="10"/>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FangSong_GB2312" w:hAnsi="宋体" w:eastAsia="FangSong_GB2312"/>
          <w:kern w:val="2"/>
          <w:sz w:val="24"/>
          <w:szCs w:val="24"/>
        </w:rPr>
      </w:pPr>
      <w:r>
        <w:rPr>
          <w:rFonts w:hint="eastAsia" w:ascii="FangSong_GB2312" w:hAnsi="宋体" w:eastAsia="FangSong_GB2312"/>
          <w:kern w:val="2"/>
          <w:sz w:val="24"/>
          <w:szCs w:val="24"/>
        </w:rPr>
        <w:t>2.采购人不接受有2个(含)以上的报价或方案，若供应商在此表中有2个（含）以上的报价或方案，作无效投标处理。</w:t>
      </w:r>
    </w:p>
    <w:p w14:paraId="5056680F">
      <w:pPr>
        <w:pStyle w:val="10"/>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FangSong_GB2312" w:hAnsi="宋体" w:eastAsia="FangSong_GB2312"/>
          <w:kern w:val="2"/>
          <w:sz w:val="24"/>
          <w:szCs w:val="24"/>
        </w:rPr>
      </w:pPr>
      <w:r>
        <w:rPr>
          <w:rFonts w:hint="eastAsia" w:ascii="FangSong_GB2312" w:hAnsi="宋体" w:eastAsia="FangSong_GB2312"/>
          <w:kern w:val="2"/>
          <w:sz w:val="24"/>
          <w:szCs w:val="24"/>
        </w:rPr>
        <w:t>3.供应商须按本表格式填写，不得自行更改。</w:t>
      </w:r>
    </w:p>
    <w:p w14:paraId="0F8EA302">
      <w:pPr>
        <w:pStyle w:val="10"/>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FangSong_GB2312" w:hAnsi="宋体" w:eastAsia="FangSong_GB2312"/>
          <w:kern w:val="2"/>
          <w:sz w:val="24"/>
          <w:szCs w:val="24"/>
        </w:rPr>
      </w:pPr>
      <w:r>
        <w:rPr>
          <w:rFonts w:hint="eastAsia" w:ascii="FangSong_GB2312" w:hAnsi="宋体" w:eastAsia="FangSong_GB2312"/>
          <w:kern w:val="2"/>
          <w:sz w:val="24"/>
          <w:szCs w:val="24"/>
        </w:rPr>
        <w:t>4.有关本项目实施所涉及的一切费用均计入报价。</w:t>
      </w:r>
    </w:p>
    <w:p w14:paraId="12FD6B56">
      <w:pPr>
        <w:pStyle w:val="10"/>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FangSong_GB2312" w:hAnsi="宋体" w:eastAsia="FangSong_GB2312"/>
          <w:kern w:val="2"/>
          <w:sz w:val="24"/>
          <w:szCs w:val="24"/>
        </w:rPr>
      </w:pPr>
      <w:r>
        <w:rPr>
          <w:rFonts w:hint="eastAsia" w:ascii="FangSong_GB2312" w:hAnsi="宋体" w:eastAsia="FangSong_GB2312"/>
          <w:kern w:val="2"/>
          <w:sz w:val="24"/>
          <w:szCs w:val="24"/>
        </w:rPr>
        <w:t>5.开表一览表中在小写金额与大写金额不一致时，以大写金额为准。</w:t>
      </w:r>
    </w:p>
    <w:p w14:paraId="5E8EF5A5">
      <w:pPr>
        <w:pStyle w:val="10"/>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FangSong_GB2312" w:hAnsi="宋体" w:eastAsia="FangSong_GB2312"/>
          <w:kern w:val="2"/>
          <w:sz w:val="24"/>
          <w:szCs w:val="24"/>
        </w:rPr>
      </w:pPr>
    </w:p>
    <w:p w14:paraId="3E1B6FC8">
      <w:pPr>
        <w:pStyle w:val="10"/>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FangSong_GB2312" w:hAnsi="宋体" w:eastAsia="FangSong_GB2312"/>
          <w:kern w:val="2"/>
          <w:sz w:val="24"/>
          <w:szCs w:val="24"/>
        </w:rPr>
      </w:pPr>
    </w:p>
    <w:p w14:paraId="3455787A">
      <w:pPr>
        <w:pStyle w:val="10"/>
        <w:keepNext w:val="0"/>
        <w:keepLines w:val="0"/>
        <w:pageBreakBefore w:val="0"/>
        <w:widowControl/>
        <w:kinsoku/>
        <w:wordWrap/>
        <w:overflowPunct/>
        <w:topLinePunct w:val="0"/>
        <w:autoSpaceDE/>
        <w:autoSpaceDN/>
        <w:bidi w:val="0"/>
        <w:adjustRightInd w:val="0"/>
        <w:snapToGrid w:val="0"/>
        <w:spacing w:line="400" w:lineRule="exact"/>
        <w:ind w:firstLine="5520" w:firstLineChars="2300"/>
        <w:textAlignment w:val="auto"/>
        <w:rPr>
          <w:rFonts w:ascii="FangSong_GB2312" w:hAnsi="宋体" w:eastAsia="FangSong_GB2312"/>
          <w:kern w:val="2"/>
          <w:sz w:val="24"/>
          <w:szCs w:val="24"/>
        </w:rPr>
      </w:pPr>
      <w:r>
        <w:rPr>
          <w:rFonts w:hint="eastAsia" w:ascii="FangSong_GB2312" w:hAnsi="宋体" w:eastAsia="FangSong_GB2312"/>
          <w:kern w:val="2"/>
          <w:sz w:val="24"/>
          <w:szCs w:val="24"/>
        </w:rPr>
        <w:t>供应商：（盖章）</w:t>
      </w:r>
    </w:p>
    <w:p w14:paraId="1B2067E5">
      <w:pPr>
        <w:pStyle w:val="10"/>
        <w:keepNext w:val="0"/>
        <w:keepLines w:val="0"/>
        <w:pageBreakBefore w:val="0"/>
        <w:widowControl/>
        <w:kinsoku/>
        <w:wordWrap/>
        <w:overflowPunct/>
        <w:topLinePunct w:val="0"/>
        <w:autoSpaceDE/>
        <w:autoSpaceDN/>
        <w:bidi w:val="0"/>
        <w:adjustRightInd w:val="0"/>
        <w:snapToGrid w:val="0"/>
        <w:spacing w:line="400" w:lineRule="exact"/>
        <w:ind w:firstLine="3600" w:firstLineChars="1500"/>
        <w:textAlignment w:val="auto"/>
        <w:rPr>
          <w:rFonts w:ascii="FangSong_GB2312" w:hAnsi="宋体" w:eastAsia="FangSong_GB2312"/>
          <w:kern w:val="2"/>
          <w:sz w:val="24"/>
          <w:szCs w:val="24"/>
        </w:rPr>
      </w:pPr>
      <w:r>
        <w:rPr>
          <w:rFonts w:hint="eastAsia" w:ascii="FangSong_GB2312" w:hAnsi="宋体" w:eastAsia="FangSong_GB2312"/>
          <w:kern w:val="2"/>
          <w:sz w:val="24"/>
          <w:szCs w:val="24"/>
        </w:rPr>
        <w:t>法定代表人或其委托代理人：（签字或盖章）</w:t>
      </w:r>
    </w:p>
    <w:p w14:paraId="374555BB">
      <w:pPr>
        <w:keepNext w:val="0"/>
        <w:keepLines w:val="0"/>
        <w:pageBreakBefore w:val="0"/>
        <w:widowControl/>
        <w:kinsoku/>
        <w:wordWrap/>
        <w:overflowPunct/>
        <w:topLinePunct w:val="0"/>
        <w:autoSpaceDE/>
        <w:autoSpaceDN/>
        <w:bidi w:val="0"/>
        <w:adjustRightInd w:val="0"/>
        <w:snapToGrid w:val="0"/>
        <w:spacing w:line="400" w:lineRule="exact"/>
        <w:ind w:firstLine="5520" w:firstLineChars="2300"/>
        <w:textAlignment w:val="auto"/>
        <w:rPr>
          <w:rFonts w:hint="eastAsia" w:ascii="仿宋" w:hAnsi="仿宋" w:eastAsia="仿宋"/>
          <w:b/>
          <w:bCs/>
          <w:sz w:val="28"/>
          <w:szCs w:val="28"/>
        </w:rPr>
      </w:pPr>
      <w:r>
        <w:rPr>
          <w:rFonts w:hint="eastAsia" w:ascii="FangSong_GB2312" w:hAnsi="宋体" w:eastAsia="FangSong_GB2312"/>
          <w:kern w:val="2"/>
          <w:sz w:val="24"/>
          <w:szCs w:val="24"/>
        </w:rPr>
        <w:t>日期：   年    月   日</w:t>
      </w:r>
      <w:bookmarkStart w:id="2" w:name="_GoBack"/>
      <w:bookmarkEnd w:id="2"/>
    </w:p>
    <w:p w14:paraId="6685EEB6">
      <w:pPr>
        <w:rPr>
          <w:rFonts w:hint="eastAsia" w:ascii="仿宋" w:hAnsi="仿宋" w:eastAsia="仿宋"/>
          <w:b/>
          <w:bCs/>
          <w:sz w:val="28"/>
          <w:szCs w:val="28"/>
          <w:lang w:eastAsia="zh-CN"/>
        </w:rPr>
      </w:pPr>
      <w:r>
        <w:rPr>
          <w:rFonts w:hint="eastAsia" w:ascii="仿宋" w:hAnsi="仿宋" w:eastAsia="仿宋"/>
          <w:b/>
          <w:bCs/>
          <w:sz w:val="28"/>
          <w:szCs w:val="28"/>
          <w:lang w:eastAsia="zh-CN"/>
        </w:rPr>
        <w:t>附件：采购内容及需求</w:t>
      </w:r>
    </w:p>
    <w:p w14:paraId="490F8E0F">
      <w:pPr>
        <w:jc w:val="center"/>
        <w:rPr>
          <w:rFonts w:hint="eastAsia" w:ascii="仿宋" w:hAnsi="仿宋" w:eastAsia="仿宋" w:cs="仿宋"/>
          <w:sz w:val="28"/>
          <w:szCs w:val="28"/>
        </w:rPr>
      </w:pPr>
      <w:r>
        <w:rPr>
          <w:rFonts w:hint="eastAsia" w:ascii="仿宋" w:hAnsi="仿宋" w:eastAsia="仿宋" w:cs="仿宋"/>
          <w:sz w:val="28"/>
          <w:szCs w:val="28"/>
        </w:rPr>
        <w:t>（一）采购内容一览表</w:t>
      </w:r>
    </w:p>
    <w:tbl>
      <w:tblPr>
        <w:tblStyle w:val="14"/>
        <w:tblW w:w="9000" w:type="dxa"/>
        <w:tblInd w:w="-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3303"/>
        <w:gridCol w:w="3420"/>
        <w:gridCol w:w="1470"/>
      </w:tblGrid>
      <w:tr w14:paraId="2C2B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tcPr>
          <w:p w14:paraId="213F4871">
            <w:pPr>
              <w:pStyle w:val="13"/>
              <w:spacing w:before="210" w:beforeAutospacing="0" w:after="210" w:afterAutospacing="0" w:line="315" w:lineRule="atLeast"/>
              <w:jc w:val="center"/>
              <w:rPr>
                <w:rFonts w:hint="eastAsia" w:ascii="仿宋" w:hAnsi="仿宋" w:eastAsia="仿宋" w:cs="仿宋"/>
                <w:b/>
                <w:bCs/>
                <w:kern w:val="2"/>
                <w:sz w:val="28"/>
                <w:szCs w:val="28"/>
              </w:rPr>
            </w:pPr>
            <w:r>
              <w:rPr>
                <w:rFonts w:hint="eastAsia" w:ascii="仿宋" w:hAnsi="仿宋" w:eastAsia="仿宋" w:cs="仿宋"/>
                <w:b/>
                <w:bCs/>
                <w:kern w:val="2"/>
                <w:sz w:val="28"/>
                <w:szCs w:val="28"/>
              </w:rPr>
              <w:t>序号</w:t>
            </w:r>
          </w:p>
        </w:tc>
        <w:tc>
          <w:tcPr>
            <w:tcW w:w="3303" w:type="dxa"/>
          </w:tcPr>
          <w:p w14:paraId="3726664E">
            <w:pPr>
              <w:pStyle w:val="13"/>
              <w:spacing w:before="210" w:beforeAutospacing="0" w:after="210" w:afterAutospacing="0" w:line="315" w:lineRule="atLeast"/>
              <w:jc w:val="center"/>
              <w:rPr>
                <w:rFonts w:hint="eastAsia" w:ascii="仿宋" w:hAnsi="仿宋" w:eastAsia="仿宋" w:cs="仿宋"/>
                <w:b/>
                <w:bCs/>
                <w:kern w:val="2"/>
                <w:sz w:val="28"/>
                <w:szCs w:val="28"/>
              </w:rPr>
            </w:pPr>
            <w:r>
              <w:rPr>
                <w:rFonts w:hint="eastAsia" w:ascii="仿宋" w:hAnsi="仿宋" w:eastAsia="仿宋" w:cs="仿宋"/>
                <w:b/>
                <w:bCs/>
                <w:kern w:val="2"/>
                <w:sz w:val="28"/>
                <w:szCs w:val="28"/>
              </w:rPr>
              <w:t>名称</w:t>
            </w:r>
          </w:p>
        </w:tc>
        <w:tc>
          <w:tcPr>
            <w:tcW w:w="3420" w:type="dxa"/>
          </w:tcPr>
          <w:p w14:paraId="3778E85D">
            <w:pPr>
              <w:pStyle w:val="13"/>
              <w:spacing w:before="210" w:beforeAutospacing="0" w:after="210" w:afterAutospacing="0" w:line="315" w:lineRule="atLeast"/>
              <w:jc w:val="center"/>
              <w:rPr>
                <w:rFonts w:hint="eastAsia" w:ascii="仿宋" w:hAnsi="仿宋" w:eastAsia="仿宋" w:cs="仿宋"/>
                <w:b/>
                <w:bCs/>
                <w:kern w:val="2"/>
                <w:sz w:val="28"/>
                <w:szCs w:val="28"/>
              </w:rPr>
            </w:pPr>
            <w:r>
              <w:rPr>
                <w:rFonts w:hint="eastAsia" w:ascii="仿宋" w:hAnsi="仿宋" w:eastAsia="仿宋" w:cs="仿宋"/>
                <w:b/>
                <w:bCs/>
                <w:kern w:val="2"/>
                <w:sz w:val="28"/>
                <w:szCs w:val="28"/>
              </w:rPr>
              <w:t>服务内容</w:t>
            </w:r>
          </w:p>
        </w:tc>
        <w:tc>
          <w:tcPr>
            <w:tcW w:w="1470" w:type="dxa"/>
          </w:tcPr>
          <w:p w14:paraId="68467572">
            <w:pPr>
              <w:pStyle w:val="13"/>
              <w:spacing w:before="210" w:beforeAutospacing="0" w:after="210" w:afterAutospacing="0" w:line="315" w:lineRule="atLeast"/>
              <w:jc w:val="center"/>
              <w:rPr>
                <w:rFonts w:hint="eastAsia" w:ascii="仿宋" w:hAnsi="仿宋" w:eastAsia="仿宋" w:cs="仿宋"/>
                <w:b/>
                <w:bCs/>
                <w:kern w:val="2"/>
                <w:sz w:val="28"/>
                <w:szCs w:val="28"/>
              </w:rPr>
            </w:pPr>
            <w:r>
              <w:rPr>
                <w:rFonts w:hint="eastAsia" w:ascii="仿宋" w:hAnsi="仿宋" w:eastAsia="仿宋" w:cs="仿宋"/>
                <w:b/>
                <w:bCs/>
                <w:kern w:val="2"/>
                <w:sz w:val="28"/>
                <w:szCs w:val="28"/>
              </w:rPr>
              <w:t>维保年限</w:t>
            </w:r>
          </w:p>
        </w:tc>
      </w:tr>
      <w:tr w14:paraId="221B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807" w:type="dxa"/>
          </w:tcPr>
          <w:p w14:paraId="66F399E2">
            <w:pPr>
              <w:pStyle w:val="23"/>
              <w:widowControl w:val="0"/>
              <w:spacing w:line="48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1</w:t>
            </w:r>
          </w:p>
        </w:tc>
        <w:tc>
          <w:tcPr>
            <w:tcW w:w="3303" w:type="dxa"/>
            <w:vAlign w:val="center"/>
          </w:tcPr>
          <w:p w14:paraId="4F5EE643">
            <w:pPr>
              <w:pStyle w:val="23"/>
              <w:widowControl w:val="0"/>
              <w:spacing w:line="36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血液净化中心管理信息系统维保</w:t>
            </w:r>
          </w:p>
        </w:tc>
        <w:tc>
          <w:tcPr>
            <w:tcW w:w="3420" w:type="dxa"/>
          </w:tcPr>
          <w:p w14:paraId="12912FAD">
            <w:pPr>
              <w:pStyle w:val="23"/>
              <w:widowControl w:val="0"/>
              <w:spacing w:line="480" w:lineRule="auto"/>
              <w:jc w:val="center"/>
              <w:rPr>
                <w:rFonts w:hint="eastAsia" w:ascii="仿宋" w:hAnsi="仿宋" w:eastAsia="仿宋" w:cs="仿宋"/>
                <w:kern w:val="0"/>
                <w:sz w:val="28"/>
                <w:szCs w:val="28"/>
              </w:rPr>
            </w:pPr>
            <w:r>
              <w:rPr>
                <w:rFonts w:hint="eastAsia" w:ascii="仿宋" w:hAnsi="仿宋" w:eastAsia="仿宋" w:cs="仿宋"/>
                <w:sz w:val="28"/>
                <w:szCs w:val="28"/>
              </w:rPr>
              <w:t>项目技术要求及服务内容</w:t>
            </w:r>
          </w:p>
        </w:tc>
        <w:tc>
          <w:tcPr>
            <w:tcW w:w="1470" w:type="dxa"/>
          </w:tcPr>
          <w:p w14:paraId="255AD414">
            <w:pPr>
              <w:pStyle w:val="23"/>
              <w:widowControl w:val="0"/>
              <w:spacing w:line="480" w:lineRule="auto"/>
              <w:jc w:val="center"/>
              <w:rPr>
                <w:rFonts w:hint="eastAsia" w:ascii="仿宋" w:hAnsi="仿宋" w:eastAsia="仿宋" w:cs="仿宋"/>
                <w:kern w:val="0"/>
                <w:sz w:val="28"/>
                <w:szCs w:val="28"/>
              </w:rPr>
            </w:pPr>
            <w:r>
              <w:rPr>
                <w:rFonts w:hint="eastAsia" w:ascii="仿宋" w:hAnsi="仿宋" w:eastAsia="仿宋" w:cs="仿宋"/>
                <w:kern w:val="0"/>
                <w:sz w:val="28"/>
                <w:szCs w:val="28"/>
              </w:rPr>
              <w:t>1年</w:t>
            </w:r>
          </w:p>
        </w:tc>
      </w:tr>
    </w:tbl>
    <w:p w14:paraId="424F0A11">
      <w:pPr>
        <w:jc w:val="center"/>
        <w:rPr>
          <w:rFonts w:hint="eastAsia" w:ascii="仿宋" w:hAnsi="仿宋" w:eastAsia="仿宋" w:cs="仿宋"/>
          <w:sz w:val="28"/>
          <w:szCs w:val="28"/>
        </w:rPr>
      </w:pPr>
    </w:p>
    <w:p w14:paraId="5BF5763F">
      <w:pPr>
        <w:jc w:val="center"/>
        <w:rPr>
          <w:rFonts w:hint="eastAsia" w:ascii="仿宋" w:hAnsi="仿宋" w:eastAsia="仿宋" w:cs="仿宋"/>
          <w:sz w:val="28"/>
          <w:szCs w:val="28"/>
        </w:rPr>
      </w:pPr>
      <w:r>
        <w:rPr>
          <w:rFonts w:hint="eastAsia" w:ascii="仿宋" w:hAnsi="仿宋" w:eastAsia="仿宋" w:cs="仿宋"/>
          <w:sz w:val="28"/>
          <w:szCs w:val="28"/>
        </w:rPr>
        <w:t>（二）项目技术要求及服务内容</w:t>
      </w:r>
    </w:p>
    <w:p w14:paraId="5255E7A7">
      <w:pPr>
        <w:spacing w:line="360" w:lineRule="auto"/>
        <w:rPr>
          <w:rFonts w:hint="eastAsia" w:ascii="仿宋" w:hAnsi="仿宋" w:eastAsia="仿宋" w:cs="仿宋"/>
          <w:b/>
          <w:kern w:val="2"/>
          <w:sz w:val="24"/>
          <w:szCs w:val="24"/>
        </w:rPr>
      </w:pPr>
      <w:r>
        <w:rPr>
          <w:rFonts w:hint="eastAsia" w:ascii="仿宋" w:hAnsi="仿宋" w:eastAsia="仿宋" w:cs="仿宋"/>
          <w:b/>
          <w:kern w:val="2"/>
          <w:sz w:val="24"/>
          <w:szCs w:val="24"/>
        </w:rPr>
        <w:t>2.1服务内容：</w:t>
      </w:r>
    </w:p>
    <w:p w14:paraId="17E73472">
      <w:pPr>
        <w:spacing w:line="360" w:lineRule="auto"/>
        <w:rPr>
          <w:rStyle w:val="24"/>
          <w:rFonts w:hint="eastAsia" w:ascii="仿宋" w:hAnsi="仿宋" w:eastAsia="仿宋" w:cs="仿宋"/>
          <w:sz w:val="24"/>
          <w:szCs w:val="24"/>
        </w:rPr>
      </w:pPr>
      <w:r>
        <w:rPr>
          <w:rStyle w:val="24"/>
          <w:rFonts w:hint="eastAsia" w:ascii="仿宋" w:hAnsi="仿宋" w:eastAsia="仿宋" w:cs="仿宋"/>
          <w:b/>
          <w:bCs/>
          <w:sz w:val="24"/>
          <w:szCs w:val="24"/>
        </w:rPr>
        <w:t>2.1.1现场与远程问题处理：</w:t>
      </w:r>
      <w:r>
        <w:rPr>
          <w:rStyle w:val="24"/>
          <w:rFonts w:hint="eastAsia" w:ascii="仿宋" w:hAnsi="仿宋" w:eastAsia="仿宋" w:cs="仿宋"/>
          <w:sz w:val="24"/>
          <w:szCs w:val="24"/>
        </w:rPr>
        <w:t>在双方约定的维护服务期限内，乙方将对于软件操作中的重大问题或无法通过远程解决的问题由乙方协调资深技术人员到现场进行技术支持，提供免费现场排障服务。</w:t>
      </w:r>
    </w:p>
    <w:p w14:paraId="073FD08A">
      <w:pPr>
        <w:spacing w:line="360" w:lineRule="auto"/>
        <w:ind w:firstLine="480" w:firstLineChars="200"/>
        <w:rPr>
          <w:rStyle w:val="24"/>
          <w:rFonts w:hint="eastAsia" w:ascii="仿宋" w:hAnsi="仿宋" w:eastAsia="仿宋" w:cs="仿宋"/>
          <w:sz w:val="24"/>
          <w:szCs w:val="24"/>
        </w:rPr>
      </w:pPr>
      <w:r>
        <w:rPr>
          <w:rStyle w:val="24"/>
          <w:rFonts w:hint="eastAsia" w:ascii="仿宋" w:hAnsi="仿宋" w:eastAsia="仿宋" w:cs="仿宋"/>
          <w:sz w:val="24"/>
          <w:szCs w:val="24"/>
        </w:rPr>
        <w:t>在医院信息科的配合下通过电话、VPN等远程工具为客户提供专业的技术服务。服务响应时间要求：在线响应时间30分钟内，现场响应时间在3小时内。</w:t>
      </w:r>
    </w:p>
    <w:p w14:paraId="217D8134">
      <w:pPr>
        <w:spacing w:line="360" w:lineRule="auto"/>
        <w:rPr>
          <w:rStyle w:val="24"/>
          <w:rFonts w:hint="eastAsia" w:ascii="仿宋" w:hAnsi="仿宋" w:eastAsia="仿宋" w:cs="仿宋"/>
          <w:sz w:val="24"/>
          <w:szCs w:val="24"/>
        </w:rPr>
      </w:pPr>
      <w:r>
        <w:rPr>
          <w:rStyle w:val="24"/>
          <w:rFonts w:hint="eastAsia" w:ascii="仿宋" w:hAnsi="仿宋" w:eastAsia="仿宋" w:cs="仿宋"/>
          <w:sz w:val="24"/>
          <w:szCs w:val="24"/>
        </w:rPr>
        <w:t>提供7*24小时不间断的在线、电子邮件或电话技术支持，提供产品咨询和方案支持。这包括有关正确使用软件的建议，以及解释软件产品技术文档的信息，现场维护响应时间在3小时以内。</w:t>
      </w:r>
    </w:p>
    <w:p w14:paraId="5586BDF5">
      <w:pPr>
        <w:spacing w:line="360" w:lineRule="auto"/>
        <w:ind w:firstLine="480" w:firstLineChars="200"/>
        <w:rPr>
          <w:rStyle w:val="24"/>
          <w:rFonts w:hint="eastAsia" w:ascii="仿宋" w:hAnsi="仿宋" w:eastAsia="仿宋" w:cs="仿宋"/>
          <w:sz w:val="24"/>
          <w:szCs w:val="24"/>
        </w:rPr>
      </w:pPr>
      <w:r>
        <w:rPr>
          <w:rStyle w:val="24"/>
          <w:rFonts w:hint="eastAsia" w:ascii="仿宋" w:hAnsi="仿宋" w:eastAsia="仿宋" w:cs="仿宋"/>
          <w:sz w:val="24"/>
          <w:szCs w:val="24"/>
        </w:rPr>
        <w:t>提供7*24小时实时远程联机服务解决系统运行过程中的各类突发问题。远程无法解决的，视情况严重程度必须在相应时间以内到达现场维护。</w:t>
      </w:r>
    </w:p>
    <w:p w14:paraId="71AA0256">
      <w:pPr>
        <w:spacing w:line="360" w:lineRule="auto"/>
        <w:ind w:firstLine="480" w:firstLineChars="200"/>
        <w:rPr>
          <w:rStyle w:val="24"/>
          <w:rFonts w:hint="eastAsia" w:ascii="仿宋" w:hAnsi="仿宋" w:eastAsia="仿宋" w:cs="仿宋"/>
          <w:sz w:val="24"/>
          <w:szCs w:val="24"/>
        </w:rPr>
      </w:pPr>
      <w:r>
        <w:rPr>
          <w:rStyle w:val="24"/>
          <w:rFonts w:hint="eastAsia" w:ascii="仿宋" w:hAnsi="仿宋" w:eastAsia="仿宋" w:cs="仿宋"/>
          <w:sz w:val="24"/>
          <w:szCs w:val="24"/>
        </w:rPr>
        <w:t>要求对于错误性、程序本身的Bug并影响业务流程的需求，立即响应(时间不超过2个小时)。</w:t>
      </w:r>
    </w:p>
    <w:p w14:paraId="5CFF1E4C">
      <w:pPr>
        <w:spacing w:line="360" w:lineRule="auto"/>
        <w:rPr>
          <w:rStyle w:val="24"/>
          <w:rFonts w:hint="eastAsia" w:ascii="仿宋" w:hAnsi="仿宋" w:eastAsia="仿宋" w:cs="仿宋"/>
          <w:sz w:val="24"/>
          <w:szCs w:val="24"/>
        </w:rPr>
      </w:pPr>
      <w:r>
        <w:rPr>
          <w:rStyle w:val="24"/>
          <w:rFonts w:hint="eastAsia" w:ascii="仿宋" w:hAnsi="仿宋" w:eastAsia="仿宋" w:cs="仿宋"/>
          <w:b/>
          <w:bCs/>
          <w:sz w:val="24"/>
          <w:szCs w:val="24"/>
        </w:rPr>
        <w:t>2.1.2软件错误程序更新：</w:t>
      </w:r>
      <w:r>
        <w:rPr>
          <w:rStyle w:val="24"/>
          <w:rFonts w:hint="eastAsia" w:ascii="仿宋" w:hAnsi="仿宋" w:eastAsia="仿宋" w:cs="仿宋"/>
          <w:sz w:val="24"/>
          <w:szCs w:val="24"/>
        </w:rPr>
        <w:t>快速解决因程序缺陷或错误造成的用户使用过程中的各类问题，提供升级同版本最新程序，保证现有软件模块的正常稳定运行。</w:t>
      </w:r>
    </w:p>
    <w:p w14:paraId="2B92657A">
      <w:pPr>
        <w:spacing w:line="360" w:lineRule="auto"/>
        <w:rPr>
          <w:rStyle w:val="24"/>
          <w:rFonts w:hint="eastAsia" w:ascii="仿宋" w:hAnsi="仿宋" w:eastAsia="仿宋" w:cs="仿宋"/>
          <w:sz w:val="24"/>
          <w:szCs w:val="24"/>
        </w:rPr>
      </w:pPr>
      <w:r>
        <w:rPr>
          <w:rStyle w:val="24"/>
          <w:rFonts w:hint="eastAsia" w:ascii="仿宋" w:hAnsi="仿宋" w:eastAsia="仿宋" w:cs="仿宋"/>
          <w:b/>
          <w:bCs/>
          <w:sz w:val="24"/>
          <w:szCs w:val="24"/>
        </w:rPr>
        <w:t>2.1.3系统使用咨询</w:t>
      </w:r>
      <w:r>
        <w:rPr>
          <w:rStyle w:val="24"/>
          <w:rFonts w:hint="eastAsia" w:ascii="仿宋" w:hAnsi="仿宋" w:eastAsia="仿宋" w:cs="仿宋"/>
          <w:sz w:val="24"/>
          <w:szCs w:val="24"/>
        </w:rPr>
        <w:t>：在双方约定的维护服务期限内，乙方将为甲方提供操作流程解疑、软件使用指导以及日常使用过程的排障服务。对于日常问题，乙方将提供400客服热线及网络（邮件、QQ）等远程技术支持。</w:t>
      </w:r>
    </w:p>
    <w:p w14:paraId="05AC6B9E">
      <w:pPr>
        <w:spacing w:line="360" w:lineRule="auto"/>
        <w:rPr>
          <w:rStyle w:val="24"/>
          <w:rFonts w:hint="eastAsia" w:ascii="仿宋" w:hAnsi="仿宋" w:eastAsia="仿宋" w:cs="仿宋"/>
          <w:sz w:val="24"/>
          <w:szCs w:val="24"/>
        </w:rPr>
      </w:pPr>
      <w:r>
        <w:rPr>
          <w:rStyle w:val="24"/>
          <w:rFonts w:hint="eastAsia" w:ascii="仿宋" w:hAnsi="仿宋" w:eastAsia="仿宋" w:cs="仿宋"/>
          <w:b/>
          <w:bCs/>
          <w:sz w:val="24"/>
          <w:szCs w:val="24"/>
        </w:rPr>
        <w:t>2.1.4系统巡检服务：</w:t>
      </w:r>
      <w:r>
        <w:rPr>
          <w:rStyle w:val="24"/>
          <w:rFonts w:hint="eastAsia" w:ascii="仿宋" w:hAnsi="仿宋" w:eastAsia="仿宋" w:cs="仿宋"/>
          <w:sz w:val="24"/>
          <w:szCs w:val="24"/>
        </w:rPr>
        <w:t>在服务期内，提供故障排除、定期巡检、性能调优的服务。 每3个月进行一次巡检，主动发现问题并进行解决并提交巡检报告，保证临床正常使用。</w:t>
      </w:r>
    </w:p>
    <w:p w14:paraId="1116CF1B">
      <w:pPr>
        <w:spacing w:line="360" w:lineRule="auto"/>
        <w:rPr>
          <w:rStyle w:val="24"/>
          <w:rFonts w:hint="eastAsia" w:ascii="仿宋" w:hAnsi="仿宋" w:eastAsia="仿宋" w:cs="仿宋"/>
          <w:sz w:val="24"/>
          <w:szCs w:val="24"/>
        </w:rPr>
      </w:pPr>
      <w:r>
        <w:rPr>
          <w:rStyle w:val="24"/>
          <w:rFonts w:hint="eastAsia" w:ascii="仿宋" w:hAnsi="仿宋" w:eastAsia="仿宋" w:cs="仿宋"/>
          <w:b/>
          <w:bCs/>
          <w:sz w:val="24"/>
          <w:szCs w:val="24"/>
        </w:rPr>
        <w:t>2.1.5培训服务：</w:t>
      </w:r>
      <w:r>
        <w:rPr>
          <w:rStyle w:val="24"/>
          <w:rFonts w:hint="eastAsia" w:ascii="仿宋" w:hAnsi="仿宋" w:eastAsia="仿宋" w:cs="仿宋"/>
          <w:sz w:val="24"/>
          <w:szCs w:val="24"/>
        </w:rPr>
        <w:t>乙方将向甲方就透析信息管理系统提供管理员和使用者的培训服务，包括甲方人员日常操作规范、如何管理、应用、备份、维护等。为医院提供维护性技术资料，使用户及时掌握最新的维护经验和技巧，了解所维护软件的一些预防性措施、获得最新的软件产品知识等。</w:t>
      </w:r>
    </w:p>
    <w:p w14:paraId="6D2C114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2.2 技术要求：</w:t>
      </w:r>
    </w:p>
    <w:p w14:paraId="5E3A0AED">
      <w:pPr>
        <w:spacing w:line="360" w:lineRule="auto"/>
        <w:rPr>
          <w:rStyle w:val="24"/>
          <w:rFonts w:hint="eastAsia" w:ascii="仿宋" w:hAnsi="仿宋" w:eastAsia="仿宋" w:cs="仿宋"/>
          <w:sz w:val="24"/>
          <w:szCs w:val="24"/>
        </w:rPr>
      </w:pPr>
      <w:r>
        <w:rPr>
          <w:rStyle w:val="24"/>
          <w:rFonts w:hint="eastAsia" w:ascii="仿宋" w:hAnsi="仿宋" w:eastAsia="仿宋" w:cs="仿宋"/>
          <w:sz w:val="24"/>
          <w:szCs w:val="24"/>
        </w:rPr>
        <w:t>2.2.1 本次维保项目应包含血透、血透系统目前所有在用软件模块及与其他系统的接口。主要功能模块见下表：</w:t>
      </w:r>
    </w:p>
    <w:tbl>
      <w:tblPr>
        <w:tblStyle w:val="14"/>
        <w:tblW w:w="9076"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4040"/>
        <w:gridCol w:w="2743"/>
        <w:gridCol w:w="1506"/>
      </w:tblGrid>
      <w:tr w14:paraId="76C7CD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787" w:type="dxa"/>
            <w:noWrap/>
            <w:vAlign w:val="center"/>
          </w:tcPr>
          <w:p w14:paraId="115B3E1F">
            <w:pPr>
              <w:spacing w:after="0" w:line="360" w:lineRule="auto"/>
              <w:jc w:val="center"/>
              <w:rPr>
                <w:rFonts w:hint="eastAsia" w:ascii="仿宋" w:hAnsi="仿宋" w:eastAsia="仿宋" w:cs="仿宋"/>
                <w:color w:val="000000"/>
                <w:sz w:val="24"/>
                <w:szCs w:val="24"/>
              </w:rPr>
            </w:pPr>
            <w:bookmarkStart w:id="0" w:name="RANGE!B1:E22"/>
            <w:bookmarkStart w:id="1" w:name="_Hlk45625524"/>
            <w:r>
              <w:rPr>
                <w:rFonts w:hint="eastAsia" w:ascii="仿宋" w:hAnsi="仿宋" w:eastAsia="仿宋" w:cs="仿宋"/>
                <w:color w:val="000000"/>
                <w:sz w:val="24"/>
                <w:szCs w:val="24"/>
              </w:rPr>
              <w:t>No.</w:t>
            </w:r>
            <w:bookmarkEnd w:id="0"/>
          </w:p>
        </w:tc>
        <w:tc>
          <w:tcPr>
            <w:tcW w:w="4040" w:type="dxa"/>
            <w:noWrap/>
            <w:vAlign w:val="center"/>
          </w:tcPr>
          <w:p w14:paraId="36EAF28C">
            <w:pPr>
              <w:spacing w:after="0"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模块名称</w:t>
            </w:r>
          </w:p>
        </w:tc>
        <w:tc>
          <w:tcPr>
            <w:tcW w:w="2743" w:type="dxa"/>
            <w:noWrap/>
            <w:vAlign w:val="center"/>
          </w:tcPr>
          <w:p w14:paraId="7E8A6604">
            <w:pPr>
              <w:spacing w:after="0"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备注</w:t>
            </w:r>
          </w:p>
        </w:tc>
        <w:tc>
          <w:tcPr>
            <w:tcW w:w="1506" w:type="dxa"/>
            <w:vAlign w:val="center"/>
          </w:tcPr>
          <w:p w14:paraId="428637AD">
            <w:pPr>
              <w:spacing w:after="0"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投标响应</w:t>
            </w:r>
          </w:p>
        </w:tc>
      </w:tr>
      <w:tr w14:paraId="615E8C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9076" w:type="dxa"/>
            <w:gridSpan w:val="4"/>
            <w:noWrap/>
            <w:vAlign w:val="center"/>
          </w:tcPr>
          <w:p w14:paraId="032C12B4">
            <w:pPr>
              <w:spacing w:after="0"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一、血透服务器端软件</w:t>
            </w:r>
          </w:p>
        </w:tc>
      </w:tr>
      <w:tr w14:paraId="109D77E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787" w:type="dxa"/>
            <w:noWrap/>
            <w:vAlign w:val="center"/>
          </w:tcPr>
          <w:p w14:paraId="3154CDB5">
            <w:pPr>
              <w:spacing w:after="0"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1</w:t>
            </w:r>
          </w:p>
        </w:tc>
        <w:tc>
          <w:tcPr>
            <w:tcW w:w="4040" w:type="dxa"/>
            <w:vAlign w:val="center"/>
          </w:tcPr>
          <w:p w14:paraId="496AA23C">
            <w:pPr>
              <w:spacing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血透服务器相关配套软件</w:t>
            </w:r>
          </w:p>
        </w:tc>
        <w:tc>
          <w:tcPr>
            <w:tcW w:w="2743" w:type="dxa"/>
            <w:noWrap/>
            <w:vAlign w:val="center"/>
          </w:tcPr>
          <w:p w14:paraId="7608EED7">
            <w:pPr>
              <w:spacing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包含在年度维保服务中</w:t>
            </w:r>
          </w:p>
        </w:tc>
        <w:tc>
          <w:tcPr>
            <w:tcW w:w="1506" w:type="dxa"/>
            <w:vAlign w:val="center"/>
          </w:tcPr>
          <w:p w14:paraId="6D69CAFC">
            <w:pPr>
              <w:spacing w:after="0" w:line="360" w:lineRule="auto"/>
              <w:jc w:val="both"/>
              <w:rPr>
                <w:rFonts w:hint="eastAsia" w:ascii="仿宋" w:hAnsi="仿宋" w:eastAsia="仿宋" w:cs="仿宋"/>
                <w:color w:val="000000"/>
                <w:sz w:val="24"/>
                <w:szCs w:val="24"/>
              </w:rPr>
            </w:pPr>
          </w:p>
        </w:tc>
      </w:tr>
      <w:tr w14:paraId="28D7C4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9076" w:type="dxa"/>
            <w:gridSpan w:val="4"/>
            <w:noWrap/>
            <w:vAlign w:val="center"/>
          </w:tcPr>
          <w:p w14:paraId="3F81647C">
            <w:pPr>
              <w:spacing w:after="0"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二、血透科室客户端软件</w:t>
            </w:r>
          </w:p>
        </w:tc>
      </w:tr>
      <w:tr w14:paraId="09B1A8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787" w:type="dxa"/>
            <w:noWrap/>
            <w:vAlign w:val="center"/>
          </w:tcPr>
          <w:p w14:paraId="4FDCA8D6">
            <w:pPr>
              <w:spacing w:after="0"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1</w:t>
            </w:r>
          </w:p>
        </w:tc>
        <w:tc>
          <w:tcPr>
            <w:tcW w:w="4040" w:type="dxa"/>
            <w:vAlign w:val="center"/>
          </w:tcPr>
          <w:p w14:paraId="015F34C9">
            <w:pPr>
              <w:spacing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医生工作站软件</w:t>
            </w:r>
          </w:p>
        </w:tc>
        <w:tc>
          <w:tcPr>
            <w:tcW w:w="2743" w:type="dxa"/>
            <w:vMerge w:val="restart"/>
            <w:noWrap/>
            <w:vAlign w:val="center"/>
          </w:tcPr>
          <w:p w14:paraId="4FDE8A05">
            <w:pPr>
              <w:spacing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包含在年度维保服务中</w:t>
            </w:r>
          </w:p>
        </w:tc>
        <w:tc>
          <w:tcPr>
            <w:tcW w:w="1506" w:type="dxa"/>
            <w:vAlign w:val="center"/>
          </w:tcPr>
          <w:p w14:paraId="3B04AC62">
            <w:pPr>
              <w:spacing w:after="0" w:line="360" w:lineRule="auto"/>
              <w:jc w:val="both"/>
              <w:rPr>
                <w:rFonts w:hint="eastAsia" w:ascii="仿宋" w:hAnsi="仿宋" w:eastAsia="仿宋" w:cs="仿宋"/>
                <w:color w:val="000000"/>
                <w:sz w:val="24"/>
                <w:szCs w:val="24"/>
              </w:rPr>
            </w:pPr>
          </w:p>
        </w:tc>
      </w:tr>
      <w:tr w14:paraId="22E950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787" w:type="dxa"/>
            <w:noWrap/>
            <w:vAlign w:val="center"/>
          </w:tcPr>
          <w:p w14:paraId="29725CAC">
            <w:pPr>
              <w:spacing w:after="0"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2</w:t>
            </w:r>
          </w:p>
        </w:tc>
        <w:tc>
          <w:tcPr>
            <w:tcW w:w="4040" w:type="dxa"/>
            <w:vAlign w:val="center"/>
          </w:tcPr>
          <w:p w14:paraId="25C943BA">
            <w:pPr>
              <w:spacing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护士工作站软件</w:t>
            </w:r>
          </w:p>
        </w:tc>
        <w:tc>
          <w:tcPr>
            <w:tcW w:w="2743" w:type="dxa"/>
            <w:vMerge w:val="continue"/>
            <w:noWrap/>
            <w:vAlign w:val="center"/>
          </w:tcPr>
          <w:p w14:paraId="5C3A4FDF">
            <w:pPr>
              <w:spacing w:after="0" w:line="360" w:lineRule="auto"/>
              <w:jc w:val="both"/>
              <w:rPr>
                <w:rFonts w:hint="eastAsia" w:ascii="仿宋" w:hAnsi="仿宋" w:eastAsia="仿宋" w:cs="仿宋"/>
                <w:color w:val="000000"/>
                <w:sz w:val="24"/>
                <w:szCs w:val="24"/>
              </w:rPr>
            </w:pPr>
          </w:p>
        </w:tc>
        <w:tc>
          <w:tcPr>
            <w:tcW w:w="1506" w:type="dxa"/>
            <w:vAlign w:val="center"/>
          </w:tcPr>
          <w:p w14:paraId="1260062C">
            <w:pPr>
              <w:spacing w:after="0" w:line="360" w:lineRule="auto"/>
              <w:jc w:val="both"/>
              <w:rPr>
                <w:rFonts w:hint="eastAsia" w:ascii="仿宋" w:hAnsi="仿宋" w:eastAsia="仿宋" w:cs="仿宋"/>
                <w:color w:val="000000"/>
                <w:sz w:val="24"/>
                <w:szCs w:val="24"/>
              </w:rPr>
            </w:pPr>
          </w:p>
        </w:tc>
      </w:tr>
      <w:tr w14:paraId="163693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787" w:type="dxa"/>
            <w:noWrap/>
            <w:vAlign w:val="center"/>
          </w:tcPr>
          <w:p w14:paraId="46EF036E">
            <w:pPr>
              <w:spacing w:after="0"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3</w:t>
            </w:r>
          </w:p>
        </w:tc>
        <w:tc>
          <w:tcPr>
            <w:tcW w:w="4040" w:type="dxa"/>
            <w:vAlign w:val="center"/>
          </w:tcPr>
          <w:p w14:paraId="660880DA">
            <w:pPr>
              <w:spacing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移动平板软件</w:t>
            </w:r>
          </w:p>
        </w:tc>
        <w:tc>
          <w:tcPr>
            <w:tcW w:w="2743" w:type="dxa"/>
            <w:vMerge w:val="continue"/>
            <w:noWrap/>
            <w:vAlign w:val="center"/>
          </w:tcPr>
          <w:p w14:paraId="30A6FE3B">
            <w:pPr>
              <w:spacing w:after="0" w:line="360" w:lineRule="auto"/>
              <w:jc w:val="both"/>
              <w:rPr>
                <w:rFonts w:hint="eastAsia" w:ascii="仿宋" w:hAnsi="仿宋" w:eastAsia="仿宋" w:cs="仿宋"/>
                <w:color w:val="000000"/>
                <w:sz w:val="24"/>
                <w:szCs w:val="24"/>
              </w:rPr>
            </w:pPr>
          </w:p>
        </w:tc>
        <w:tc>
          <w:tcPr>
            <w:tcW w:w="1506" w:type="dxa"/>
            <w:vAlign w:val="center"/>
          </w:tcPr>
          <w:p w14:paraId="345BF33F">
            <w:pPr>
              <w:spacing w:after="0" w:line="360" w:lineRule="auto"/>
              <w:jc w:val="both"/>
              <w:rPr>
                <w:rFonts w:hint="eastAsia" w:ascii="仿宋" w:hAnsi="仿宋" w:eastAsia="仿宋" w:cs="仿宋"/>
                <w:color w:val="000000"/>
                <w:sz w:val="24"/>
                <w:szCs w:val="24"/>
              </w:rPr>
            </w:pPr>
          </w:p>
        </w:tc>
      </w:tr>
      <w:tr w14:paraId="3EF135D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787" w:type="dxa"/>
            <w:noWrap/>
            <w:vAlign w:val="center"/>
          </w:tcPr>
          <w:p w14:paraId="030E023C">
            <w:pPr>
              <w:spacing w:after="0"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4</w:t>
            </w:r>
          </w:p>
        </w:tc>
        <w:tc>
          <w:tcPr>
            <w:tcW w:w="4040" w:type="dxa"/>
            <w:vAlign w:val="center"/>
          </w:tcPr>
          <w:p w14:paraId="2B8E49DB">
            <w:pPr>
              <w:spacing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自助接诊软件</w:t>
            </w:r>
          </w:p>
        </w:tc>
        <w:tc>
          <w:tcPr>
            <w:tcW w:w="2743" w:type="dxa"/>
            <w:vMerge w:val="continue"/>
            <w:noWrap/>
            <w:vAlign w:val="center"/>
          </w:tcPr>
          <w:p w14:paraId="388373B6">
            <w:pPr>
              <w:spacing w:after="0" w:line="360" w:lineRule="auto"/>
              <w:jc w:val="both"/>
              <w:rPr>
                <w:rFonts w:hint="eastAsia" w:ascii="仿宋" w:hAnsi="仿宋" w:eastAsia="仿宋" w:cs="仿宋"/>
                <w:color w:val="000000"/>
                <w:sz w:val="24"/>
                <w:szCs w:val="24"/>
              </w:rPr>
            </w:pPr>
          </w:p>
        </w:tc>
        <w:tc>
          <w:tcPr>
            <w:tcW w:w="1506" w:type="dxa"/>
            <w:vAlign w:val="center"/>
          </w:tcPr>
          <w:p w14:paraId="1836BFF2">
            <w:pPr>
              <w:spacing w:after="0" w:line="360" w:lineRule="auto"/>
              <w:jc w:val="both"/>
              <w:rPr>
                <w:rFonts w:hint="eastAsia" w:ascii="仿宋" w:hAnsi="仿宋" w:eastAsia="仿宋" w:cs="仿宋"/>
                <w:color w:val="000000"/>
                <w:sz w:val="24"/>
                <w:szCs w:val="24"/>
              </w:rPr>
            </w:pPr>
          </w:p>
        </w:tc>
      </w:tr>
      <w:tr w14:paraId="6F6D6B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787" w:type="dxa"/>
            <w:noWrap/>
            <w:vAlign w:val="center"/>
          </w:tcPr>
          <w:p w14:paraId="610B123A">
            <w:pPr>
              <w:spacing w:after="0"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5</w:t>
            </w:r>
          </w:p>
        </w:tc>
        <w:tc>
          <w:tcPr>
            <w:tcW w:w="4040" w:type="dxa"/>
            <w:vAlign w:val="center"/>
          </w:tcPr>
          <w:p w14:paraId="71DC65A0">
            <w:pPr>
              <w:spacing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大屏呼叫软件</w:t>
            </w:r>
          </w:p>
        </w:tc>
        <w:tc>
          <w:tcPr>
            <w:tcW w:w="2743" w:type="dxa"/>
            <w:vMerge w:val="continue"/>
            <w:noWrap/>
            <w:vAlign w:val="center"/>
          </w:tcPr>
          <w:p w14:paraId="467FC2B9">
            <w:pPr>
              <w:spacing w:after="0" w:line="360" w:lineRule="auto"/>
              <w:jc w:val="both"/>
              <w:rPr>
                <w:rFonts w:hint="eastAsia" w:ascii="仿宋" w:hAnsi="仿宋" w:eastAsia="仿宋" w:cs="仿宋"/>
                <w:color w:val="000000"/>
                <w:sz w:val="24"/>
                <w:szCs w:val="24"/>
              </w:rPr>
            </w:pPr>
          </w:p>
        </w:tc>
        <w:tc>
          <w:tcPr>
            <w:tcW w:w="1506" w:type="dxa"/>
            <w:vAlign w:val="center"/>
          </w:tcPr>
          <w:p w14:paraId="45E440BA">
            <w:pPr>
              <w:spacing w:after="0" w:line="360" w:lineRule="auto"/>
              <w:jc w:val="both"/>
              <w:rPr>
                <w:rFonts w:hint="eastAsia" w:ascii="仿宋" w:hAnsi="仿宋" w:eastAsia="仿宋" w:cs="仿宋"/>
                <w:color w:val="000000"/>
                <w:sz w:val="24"/>
                <w:szCs w:val="24"/>
              </w:rPr>
            </w:pPr>
          </w:p>
        </w:tc>
      </w:tr>
      <w:tr w14:paraId="50210A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9076" w:type="dxa"/>
            <w:gridSpan w:val="4"/>
            <w:noWrap/>
            <w:vAlign w:val="center"/>
          </w:tcPr>
          <w:p w14:paraId="2A0D88E6">
            <w:pPr>
              <w:spacing w:after="0"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三、血透机</w:t>
            </w:r>
          </w:p>
        </w:tc>
      </w:tr>
      <w:tr w14:paraId="4952A4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787" w:type="dxa"/>
            <w:noWrap/>
            <w:vAlign w:val="center"/>
          </w:tcPr>
          <w:p w14:paraId="0ABEFEC0">
            <w:pPr>
              <w:spacing w:after="0"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1</w:t>
            </w:r>
          </w:p>
        </w:tc>
        <w:tc>
          <w:tcPr>
            <w:tcW w:w="4040" w:type="dxa"/>
            <w:vAlign w:val="center"/>
          </w:tcPr>
          <w:p w14:paraId="79AD4D2B">
            <w:pPr>
              <w:spacing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保障26台血透机数据采集的稳定性</w:t>
            </w:r>
          </w:p>
        </w:tc>
        <w:tc>
          <w:tcPr>
            <w:tcW w:w="2743" w:type="dxa"/>
            <w:noWrap/>
            <w:vAlign w:val="center"/>
          </w:tcPr>
          <w:p w14:paraId="15DCDB50">
            <w:pPr>
              <w:spacing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不包含新增机器</w:t>
            </w:r>
          </w:p>
        </w:tc>
        <w:tc>
          <w:tcPr>
            <w:tcW w:w="1506" w:type="dxa"/>
            <w:vAlign w:val="center"/>
          </w:tcPr>
          <w:p w14:paraId="749BC343">
            <w:pPr>
              <w:spacing w:after="0" w:line="360" w:lineRule="auto"/>
              <w:jc w:val="both"/>
              <w:rPr>
                <w:rFonts w:hint="eastAsia" w:ascii="仿宋" w:hAnsi="仿宋" w:eastAsia="仿宋" w:cs="仿宋"/>
                <w:color w:val="000000"/>
                <w:sz w:val="24"/>
                <w:szCs w:val="24"/>
              </w:rPr>
            </w:pPr>
          </w:p>
        </w:tc>
      </w:tr>
      <w:bookmarkEnd w:id="1"/>
    </w:tbl>
    <w:p w14:paraId="0251F310">
      <w:pPr>
        <w:pStyle w:val="12"/>
        <w:pBdr>
          <w:bottom w:val="none" w:color="auto" w:sz="0" w:space="0"/>
        </w:pBdr>
      </w:pPr>
    </w:p>
    <w:p w14:paraId="1407E397">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2.2.2系统维保软件功能清单：</w:t>
      </w:r>
    </w:p>
    <w:tbl>
      <w:tblPr>
        <w:tblStyle w:val="14"/>
        <w:tblW w:w="9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8200"/>
      </w:tblGrid>
      <w:tr w14:paraId="2D54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50" w:type="dxa"/>
            <w:vAlign w:val="center"/>
          </w:tcPr>
          <w:p w14:paraId="7946BB9C">
            <w:pPr>
              <w:spacing w:line="440" w:lineRule="exact"/>
              <w:jc w:val="center"/>
              <w:rPr>
                <w:rFonts w:hint="eastAsia" w:ascii="仿宋_GB2312" w:hAnsi="仿宋" w:eastAsia="仿宋_GB2312" w:cs="宋体"/>
                <w:b/>
                <w:color w:val="000000"/>
                <w:sz w:val="24"/>
                <w:szCs w:val="24"/>
              </w:rPr>
            </w:pPr>
            <w:r>
              <w:rPr>
                <w:rFonts w:hint="eastAsia" w:ascii="仿宋_GB2312" w:hAnsi="仿宋" w:eastAsia="仿宋_GB2312" w:cs="宋体"/>
                <w:b/>
                <w:color w:val="000000"/>
                <w:sz w:val="24"/>
                <w:szCs w:val="24"/>
              </w:rPr>
              <w:t>序号</w:t>
            </w:r>
          </w:p>
        </w:tc>
        <w:tc>
          <w:tcPr>
            <w:tcW w:w="8200" w:type="dxa"/>
            <w:vAlign w:val="center"/>
          </w:tcPr>
          <w:p w14:paraId="0B9AA5AE">
            <w:pPr>
              <w:spacing w:line="440" w:lineRule="exact"/>
              <w:jc w:val="center"/>
              <w:rPr>
                <w:rFonts w:hint="eastAsia" w:ascii="仿宋_GB2312" w:hAnsi="仿宋" w:eastAsia="仿宋_GB2312" w:cs="宋体"/>
                <w:b/>
                <w:color w:val="000000"/>
                <w:sz w:val="24"/>
                <w:szCs w:val="24"/>
              </w:rPr>
            </w:pPr>
            <w:r>
              <w:rPr>
                <w:rFonts w:hint="eastAsia" w:ascii="仿宋_GB2312" w:hAnsi="仿宋" w:eastAsia="仿宋_GB2312" w:cs="宋体"/>
                <w:b/>
                <w:color w:val="000000"/>
                <w:sz w:val="24"/>
                <w:szCs w:val="24"/>
              </w:rPr>
              <w:t>业务功能技术及性能要求</w:t>
            </w:r>
          </w:p>
        </w:tc>
      </w:tr>
      <w:tr w14:paraId="2EF2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50" w:type="dxa"/>
            <w:vAlign w:val="center"/>
          </w:tcPr>
          <w:p w14:paraId="3DAC2B88">
            <w:pPr>
              <w:spacing w:line="440" w:lineRule="exact"/>
              <w:jc w:val="center"/>
              <w:rPr>
                <w:rFonts w:hint="eastAsia" w:ascii="仿宋_GB2312" w:hAnsi="仿宋" w:eastAsia="仿宋_GB2312" w:cs="宋体"/>
                <w:b/>
                <w:color w:val="000000"/>
                <w:sz w:val="24"/>
                <w:szCs w:val="24"/>
              </w:rPr>
            </w:pPr>
            <w:r>
              <w:rPr>
                <w:rFonts w:hint="eastAsia" w:ascii="仿宋_GB2312" w:hAnsi="仿宋" w:eastAsia="仿宋_GB2312" w:cs="宋体"/>
                <w:b/>
                <w:color w:val="000000"/>
                <w:sz w:val="24"/>
                <w:szCs w:val="24"/>
              </w:rPr>
              <w:t>一</w:t>
            </w:r>
          </w:p>
        </w:tc>
        <w:tc>
          <w:tcPr>
            <w:tcW w:w="8200" w:type="dxa"/>
            <w:vAlign w:val="center"/>
          </w:tcPr>
          <w:p w14:paraId="4D2D1CA9">
            <w:pPr>
              <w:spacing w:line="440" w:lineRule="exact"/>
              <w:rPr>
                <w:rFonts w:hint="eastAsia" w:ascii="仿宋_GB2312" w:hAnsi="仿宋" w:eastAsia="仿宋_GB2312" w:cs="宋体"/>
                <w:b/>
                <w:color w:val="000000"/>
                <w:sz w:val="24"/>
                <w:szCs w:val="24"/>
              </w:rPr>
            </w:pPr>
            <w:r>
              <w:rPr>
                <w:rFonts w:hint="eastAsia" w:ascii="仿宋_GB2312" w:hAnsi="仿宋" w:eastAsia="仿宋_GB2312" w:cs="宋体"/>
                <w:b/>
                <w:bCs/>
                <w:color w:val="000000"/>
                <w:sz w:val="24"/>
                <w:szCs w:val="24"/>
              </w:rPr>
              <w:t>病人管理技术参数：</w:t>
            </w:r>
          </w:p>
        </w:tc>
      </w:tr>
      <w:tr w14:paraId="1B98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50" w:type="dxa"/>
            <w:vAlign w:val="center"/>
          </w:tcPr>
          <w:p w14:paraId="48FB36A3">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1.1</w:t>
            </w:r>
          </w:p>
        </w:tc>
        <w:tc>
          <w:tcPr>
            <w:tcW w:w="8200" w:type="dxa"/>
            <w:vAlign w:val="center"/>
          </w:tcPr>
          <w:p w14:paraId="35CCC1A4">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病人基本信息登记：病人基本信息、血透信息的新增、修改、删除等；可通过HIS接口实现与HIS信息的同步；支持病人照片信息上传和下载。</w:t>
            </w:r>
          </w:p>
          <w:p w14:paraId="1286BE33">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病人入科登记：病人诊断信息、传染信息、血管通路、透析方案的制定；各类知情同意书的生成打印。</w:t>
            </w:r>
          </w:p>
        </w:tc>
      </w:tr>
      <w:tr w14:paraId="0AB9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50" w:type="dxa"/>
            <w:vAlign w:val="center"/>
          </w:tcPr>
          <w:p w14:paraId="19EF0FE8">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1.2</w:t>
            </w:r>
          </w:p>
        </w:tc>
        <w:tc>
          <w:tcPr>
            <w:tcW w:w="8200" w:type="dxa"/>
            <w:vAlign w:val="center"/>
          </w:tcPr>
          <w:p w14:paraId="7FC2513B">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疾病诊断：诊断名称、诊断类别、并发症、诊断日期、诊断医生的维护，同一病人可以有多条诊断信息。</w:t>
            </w:r>
          </w:p>
          <w:p w14:paraId="42A694D5">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传染诊断：传染诊断名称、诊断日期、诊断医生、传染病上报情况的编辑维护。</w:t>
            </w:r>
          </w:p>
        </w:tc>
      </w:tr>
      <w:tr w14:paraId="6DD9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dxa"/>
            <w:vAlign w:val="center"/>
          </w:tcPr>
          <w:p w14:paraId="3B400360">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1.3</w:t>
            </w:r>
          </w:p>
        </w:tc>
        <w:tc>
          <w:tcPr>
            <w:tcW w:w="8200" w:type="dxa"/>
            <w:vAlign w:val="center"/>
          </w:tcPr>
          <w:p w14:paraId="61602B7A">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血管通路：通路类型、建立部位、建立时间、导管型号、停用信息的编辑维护。</w:t>
            </w:r>
          </w:p>
        </w:tc>
      </w:tr>
      <w:tr w14:paraId="4B5B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Align w:val="center"/>
          </w:tcPr>
          <w:p w14:paraId="3D254C44">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1.4</w:t>
            </w:r>
          </w:p>
        </w:tc>
        <w:tc>
          <w:tcPr>
            <w:tcW w:w="8200" w:type="dxa"/>
            <w:vAlign w:val="center"/>
          </w:tcPr>
          <w:p w14:paraId="32DF7820">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透析处方：透析方案的建立日期，病人分期、透析方式、频率制定、干体重制定。针对每种透析方式，可制定的默认的透析处方：包括制定日期、医生、透析时间、透析器或血滤器的型号、抗凝方案、透析液的配方、血流量、置换量等编辑维护。</w:t>
            </w:r>
          </w:p>
        </w:tc>
      </w:tr>
      <w:tr w14:paraId="7978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850" w:type="dxa"/>
            <w:vAlign w:val="center"/>
          </w:tcPr>
          <w:p w14:paraId="18A189EF">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1.5</w:t>
            </w:r>
          </w:p>
        </w:tc>
        <w:tc>
          <w:tcPr>
            <w:tcW w:w="8200" w:type="dxa"/>
            <w:vAlign w:val="center"/>
          </w:tcPr>
          <w:p w14:paraId="3CC0622B">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透析记录：可查看病人所有历史透析记录，可查看透析单明细情况，可手工录入新增透析单。</w:t>
            </w:r>
          </w:p>
        </w:tc>
      </w:tr>
      <w:tr w14:paraId="4BF9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850" w:type="dxa"/>
            <w:vAlign w:val="center"/>
          </w:tcPr>
          <w:p w14:paraId="4E53DE63">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1.6</w:t>
            </w:r>
          </w:p>
        </w:tc>
        <w:tc>
          <w:tcPr>
            <w:tcW w:w="8200" w:type="dxa"/>
            <w:vAlign w:val="center"/>
          </w:tcPr>
          <w:p w14:paraId="50050B3D">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诊疗费用：可查看、录入、修改病人的诊疗费用。</w:t>
            </w:r>
          </w:p>
          <w:p w14:paraId="3ED6B248">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医嘱处理：可查看、编辑病人的各类医嘱：急诊用药、长期医嘱、临时医嘱。</w:t>
            </w:r>
          </w:p>
        </w:tc>
      </w:tr>
      <w:tr w14:paraId="1289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0F36CA4F">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1.7</w:t>
            </w:r>
          </w:p>
        </w:tc>
        <w:tc>
          <w:tcPr>
            <w:tcW w:w="8200" w:type="dxa"/>
            <w:vAlign w:val="center"/>
          </w:tcPr>
          <w:p w14:paraId="6AA7E3BB">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检查检验：可查看病人所有检查检验信息，可手工添加新的检查检验信息</w:t>
            </w:r>
          </w:p>
          <w:p w14:paraId="4850C09E">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护理记录：可查看、新增、编辑病人的护理记录。</w:t>
            </w:r>
          </w:p>
        </w:tc>
      </w:tr>
      <w:tr w14:paraId="1597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2313790B">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1.8</w:t>
            </w:r>
          </w:p>
        </w:tc>
        <w:tc>
          <w:tcPr>
            <w:tcW w:w="8200" w:type="dxa"/>
            <w:vAlign w:val="center"/>
          </w:tcPr>
          <w:p w14:paraId="6D3B04DC">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交班记录：可查看、新增、编辑病人的交班记录。</w:t>
            </w:r>
          </w:p>
        </w:tc>
      </w:tr>
      <w:tr w14:paraId="173E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2747CF03">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1.9</w:t>
            </w:r>
          </w:p>
        </w:tc>
        <w:tc>
          <w:tcPr>
            <w:tcW w:w="8200" w:type="dxa"/>
            <w:vAlign w:val="center"/>
          </w:tcPr>
          <w:p w14:paraId="01B0A462">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电子病历：可查看编辑病人的入院记录、病程记录、用药记录、透析记录手术记录、评估记录、出院记录、各类知情同意书。</w:t>
            </w:r>
          </w:p>
        </w:tc>
      </w:tr>
      <w:tr w14:paraId="2A90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099ECCE8">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1.10</w:t>
            </w:r>
          </w:p>
        </w:tc>
        <w:tc>
          <w:tcPr>
            <w:tcW w:w="8200" w:type="dxa"/>
            <w:vAlign w:val="center"/>
          </w:tcPr>
          <w:p w14:paraId="2523ADC5">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病人转归：可进行病人转归的操作，录入转归原因、转归日期可同步生成出院记录。</w:t>
            </w:r>
          </w:p>
        </w:tc>
      </w:tr>
      <w:tr w14:paraId="7242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5911E152">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1.11</w:t>
            </w:r>
          </w:p>
        </w:tc>
        <w:tc>
          <w:tcPr>
            <w:tcW w:w="8200" w:type="dxa"/>
            <w:vAlign w:val="center"/>
          </w:tcPr>
          <w:p w14:paraId="1AD00834">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呼叫：可以呼叫病人或病人家属。</w:t>
            </w:r>
          </w:p>
        </w:tc>
      </w:tr>
      <w:tr w14:paraId="5D92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4806935D">
            <w:pPr>
              <w:spacing w:line="440" w:lineRule="exact"/>
              <w:jc w:val="center"/>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二</w:t>
            </w:r>
          </w:p>
        </w:tc>
        <w:tc>
          <w:tcPr>
            <w:tcW w:w="8200" w:type="dxa"/>
            <w:vAlign w:val="center"/>
          </w:tcPr>
          <w:p w14:paraId="293D3800">
            <w:pPr>
              <w:spacing w:line="440" w:lineRule="exact"/>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病人排班</w:t>
            </w:r>
          </w:p>
        </w:tc>
      </w:tr>
      <w:tr w14:paraId="1DF3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43688D22">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2.1</w:t>
            </w:r>
          </w:p>
        </w:tc>
        <w:tc>
          <w:tcPr>
            <w:tcW w:w="8200" w:type="dxa"/>
            <w:vAlign w:val="center"/>
          </w:tcPr>
          <w:p w14:paraId="1AF66B5C">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排班模板：支持排班模板的制定、修改维护，排班的模板分为单双周，可从实际排班中保存为排班模板。排班的天数、班别可以灵活设置。支持点击、拖动、快捷键等多种便捷操作。</w:t>
            </w:r>
          </w:p>
        </w:tc>
      </w:tr>
      <w:tr w14:paraId="2C30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563BD3B1">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2.2</w:t>
            </w:r>
          </w:p>
        </w:tc>
        <w:tc>
          <w:tcPr>
            <w:tcW w:w="8200" w:type="dxa"/>
            <w:vAlign w:val="center"/>
          </w:tcPr>
          <w:p w14:paraId="3B0F01EB">
            <w:pPr>
              <w:numPr>
                <w:ilvl w:val="0"/>
                <w:numId w:val="3"/>
              </w:num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实际排班：</w:t>
            </w:r>
          </w:p>
          <w:p w14:paraId="2DF791CE">
            <w:pPr>
              <w:numPr>
                <w:ilvl w:val="0"/>
                <w:numId w:val="3"/>
              </w:num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支持从排班模板中自动生成实际排班信息；阴性阳性病人要有醒目标识；</w:t>
            </w:r>
          </w:p>
          <w:p w14:paraId="173CD1B9">
            <w:pPr>
              <w:spacing w:line="440" w:lineRule="exact"/>
              <w:rPr>
                <w:rFonts w:hint="eastAsia" w:ascii="仿宋_GB2312" w:hAnsi="仿宋" w:eastAsia="仿宋_GB2312" w:cs="宋体"/>
                <w:color w:val="FF0000"/>
                <w:sz w:val="24"/>
                <w:szCs w:val="24"/>
              </w:rPr>
            </w:pPr>
            <w:r>
              <w:rPr>
                <w:rFonts w:hint="eastAsia" w:ascii="仿宋_GB2312" w:hAnsi="仿宋" w:eastAsia="仿宋_GB2312" w:cs="宋体"/>
                <w:color w:val="000000"/>
                <w:sz w:val="24"/>
                <w:szCs w:val="24"/>
              </w:rPr>
              <w:t>3、支持按病人排班和按设备排班，两种排班模式在排班过程中可以随时切换;</w:t>
            </w:r>
          </w:p>
          <w:p w14:paraId="40391709">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4、要能清晰的反映某个病人已排的日期、班别、透析方式、机器型号；</w:t>
            </w:r>
          </w:p>
          <w:p w14:paraId="0B012B0A">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5、要能随时反映某个病人的排班完成情况，要能随时反映整体病人的排班完成情况。</w:t>
            </w:r>
          </w:p>
        </w:tc>
      </w:tr>
      <w:tr w14:paraId="6243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553CDCA4">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2.3</w:t>
            </w:r>
          </w:p>
        </w:tc>
        <w:tc>
          <w:tcPr>
            <w:tcW w:w="8200" w:type="dxa"/>
            <w:vAlign w:val="center"/>
          </w:tcPr>
          <w:p w14:paraId="776741A9">
            <w:pPr>
              <w:spacing w:line="440" w:lineRule="exact"/>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排班查看：提供仅用于查看排班信息但不能编辑修改的功能。</w:t>
            </w:r>
          </w:p>
        </w:tc>
      </w:tr>
      <w:tr w14:paraId="71EC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6EDCB112">
            <w:pPr>
              <w:spacing w:line="440" w:lineRule="exact"/>
              <w:jc w:val="center"/>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三</w:t>
            </w:r>
          </w:p>
        </w:tc>
        <w:tc>
          <w:tcPr>
            <w:tcW w:w="8200" w:type="dxa"/>
            <w:vAlign w:val="center"/>
          </w:tcPr>
          <w:p w14:paraId="61C26613">
            <w:pPr>
              <w:spacing w:line="440" w:lineRule="exact"/>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透析管理</w:t>
            </w:r>
          </w:p>
        </w:tc>
      </w:tr>
      <w:tr w14:paraId="34E5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54D1F6BC">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3.1</w:t>
            </w:r>
          </w:p>
        </w:tc>
        <w:tc>
          <w:tcPr>
            <w:tcW w:w="8200" w:type="dxa"/>
            <w:vAlign w:val="center"/>
          </w:tcPr>
          <w:p w14:paraId="3059BC9B">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实现当班透析病人的接诊、透前、透析中、透后等全过程的管理。</w:t>
            </w:r>
          </w:p>
          <w:p w14:paraId="122B8FF8">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病人接诊：接诊界面自动列出当天已排班病人的列表，可根据当前时间自动切换成不同班别的病人。可通过刷卡直接定位病人，也可通过病人拼音、姓名、血透号码定位。未排班病人也可通过血透号码进行接诊，已排班病人可直接取消透析。病人接诊时需自动调入该病人的透析处方，可根据本次具体情况进行调整。接诊时可自动从称重设备、血压仪设备读取数据。</w:t>
            </w:r>
          </w:p>
        </w:tc>
      </w:tr>
      <w:tr w14:paraId="2CCA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76F2F117">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3.2</w:t>
            </w:r>
          </w:p>
        </w:tc>
        <w:tc>
          <w:tcPr>
            <w:tcW w:w="8200" w:type="dxa"/>
            <w:vAlign w:val="center"/>
          </w:tcPr>
          <w:p w14:paraId="227EE6E2">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透析治疗：透析治疗的列表中列出所有当班病人，界面应清晰直观的展现每个病人的基本信息、诊断、传染情况、本次透析方式、状态。在透析治疗界面，可对已接诊未排班的病人分配床位，可直接在透析治疗界面进行换床、取消透析等操作。透析界面中要随时反映当班所有病人及迅速区分过滤未到病人、接诊病人、透析病人，可按血透床号、病人拼音、姓名等多种方式定位病人，可按区域过滤病人。透析过程中对于应完成的各类操作具备智能、自动的各类提醒和标识。</w:t>
            </w:r>
          </w:p>
        </w:tc>
      </w:tr>
      <w:tr w14:paraId="7A82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3E57562B">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3.3</w:t>
            </w:r>
          </w:p>
        </w:tc>
        <w:tc>
          <w:tcPr>
            <w:tcW w:w="8200" w:type="dxa"/>
            <w:vAlign w:val="center"/>
          </w:tcPr>
          <w:p w14:paraId="2207BDCB">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透析单：病人的透析单自动生成，透析治疗过程中，可以随时录入病人的体症与症状，并开立相应的医嘱。可以自动获取透析仪中的数据，并自动产生透析病历。能够自动生成耗材消耗记录、消毒记录、费用记录，并均可根据此次透析的具体情况进行修改。录入中支持各类模板，支持同步上传交班记录。支持透析单按照不同格式展现，支持生成曲线图。</w:t>
            </w:r>
          </w:p>
        </w:tc>
      </w:tr>
      <w:tr w14:paraId="7F35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53F419AA">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3.4</w:t>
            </w:r>
          </w:p>
        </w:tc>
        <w:tc>
          <w:tcPr>
            <w:tcW w:w="8200" w:type="dxa"/>
            <w:vAlign w:val="center"/>
          </w:tcPr>
          <w:p w14:paraId="2BD00D10">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治疗数据监测：具备对患者的透析过程实时全程监控。</w:t>
            </w:r>
          </w:p>
        </w:tc>
      </w:tr>
      <w:tr w14:paraId="43CD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55DF8C45">
            <w:pPr>
              <w:spacing w:line="440" w:lineRule="exact"/>
              <w:jc w:val="center"/>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四</w:t>
            </w:r>
          </w:p>
        </w:tc>
        <w:tc>
          <w:tcPr>
            <w:tcW w:w="8200" w:type="dxa"/>
            <w:vAlign w:val="center"/>
          </w:tcPr>
          <w:p w14:paraId="02C8EA87">
            <w:pPr>
              <w:spacing w:line="440" w:lineRule="exact"/>
              <w:rPr>
                <w:rFonts w:hint="eastAsia" w:ascii="仿宋_GB2312" w:hAnsi="仿宋" w:eastAsia="仿宋_GB2312" w:cs="宋体"/>
                <w:b/>
                <w:bCs/>
                <w:sz w:val="24"/>
                <w:szCs w:val="24"/>
              </w:rPr>
            </w:pPr>
            <w:r>
              <w:rPr>
                <w:rFonts w:hint="eastAsia" w:ascii="仿宋_GB2312" w:hAnsi="仿宋" w:eastAsia="仿宋_GB2312" w:cs="宋体"/>
                <w:b/>
                <w:bCs/>
                <w:sz w:val="24"/>
                <w:szCs w:val="24"/>
              </w:rPr>
              <w:t>医生查房</w:t>
            </w:r>
          </w:p>
        </w:tc>
      </w:tr>
      <w:tr w14:paraId="0BCF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5BC13CE5">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4.1</w:t>
            </w:r>
          </w:p>
        </w:tc>
        <w:tc>
          <w:tcPr>
            <w:tcW w:w="8200" w:type="dxa"/>
            <w:vAlign w:val="center"/>
          </w:tcPr>
          <w:p w14:paraId="3B57BFC6">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医生查房系统，可以方便医生在查房时查看该病人上次透析的主要情况，并方便修改透析参数，录入医嘱等的查房操作，支持实现与医院原有系统的无缝对接，实现无纸化的操作，不需要使用病人的纸质病历。</w:t>
            </w:r>
          </w:p>
          <w:p w14:paraId="650F1AB4">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（1）透前参数设置：医生可以在查房的时候，实时调整透析参数的设置值，系统会以消息的方式提醒该病人所在区域的护士，由护士进行核实与确认。</w:t>
            </w:r>
          </w:p>
        </w:tc>
      </w:tr>
      <w:tr w14:paraId="10A6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39469455">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4.2</w:t>
            </w:r>
          </w:p>
        </w:tc>
        <w:tc>
          <w:tcPr>
            <w:tcW w:w="8200" w:type="dxa"/>
            <w:vAlign w:val="center"/>
          </w:tcPr>
          <w:p w14:paraId="76782594">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（2）透析历史查看：医生在查房过程中，可以很方便查看所有历次的透析记录。</w:t>
            </w:r>
          </w:p>
        </w:tc>
      </w:tr>
      <w:tr w14:paraId="7441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75A5C5D8">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4.3</w:t>
            </w:r>
          </w:p>
        </w:tc>
        <w:tc>
          <w:tcPr>
            <w:tcW w:w="8200" w:type="dxa"/>
            <w:vAlign w:val="center"/>
          </w:tcPr>
          <w:p w14:paraId="67153C51">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（3）医嘱录入：医生在查房过程中，可以方便根据病人的透析记录情况和检验指标情况，录入透析用药。</w:t>
            </w:r>
          </w:p>
        </w:tc>
      </w:tr>
      <w:tr w14:paraId="5BBD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46E18E64">
            <w:pPr>
              <w:spacing w:line="440" w:lineRule="exact"/>
              <w:jc w:val="center"/>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五</w:t>
            </w:r>
          </w:p>
        </w:tc>
        <w:tc>
          <w:tcPr>
            <w:tcW w:w="8200" w:type="dxa"/>
            <w:vAlign w:val="center"/>
          </w:tcPr>
          <w:p w14:paraId="3FDA4D27">
            <w:pPr>
              <w:spacing w:line="440" w:lineRule="exact"/>
              <w:rPr>
                <w:rFonts w:hint="eastAsia" w:ascii="仿宋_GB2312" w:hAnsi="仿宋" w:eastAsia="仿宋_GB2312" w:cs="宋体"/>
                <w:b/>
                <w:bCs/>
                <w:sz w:val="24"/>
                <w:szCs w:val="24"/>
              </w:rPr>
            </w:pPr>
            <w:r>
              <w:rPr>
                <w:rFonts w:hint="eastAsia" w:ascii="仿宋_GB2312" w:hAnsi="仿宋" w:eastAsia="仿宋_GB2312" w:cs="宋体"/>
                <w:b/>
                <w:bCs/>
                <w:sz w:val="24"/>
                <w:szCs w:val="24"/>
              </w:rPr>
              <w:t>评估管理</w:t>
            </w:r>
          </w:p>
        </w:tc>
      </w:tr>
      <w:tr w14:paraId="3925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78648FE8">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5.1</w:t>
            </w:r>
          </w:p>
        </w:tc>
        <w:tc>
          <w:tcPr>
            <w:tcW w:w="8200" w:type="dxa"/>
            <w:vAlign w:val="center"/>
          </w:tcPr>
          <w:p w14:paraId="0EC776C1">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规范合理的评估及管理模式对延缓慢性肾脏病进展、改善患者生存质量具有重要意义。需提供各类透析病人的评估功能：跌倒坠床评估、皮肤瘙痒评估、动静脉内瘘闭塞高危因素评估、护理评估措施记录单、艾森克人格成人问卷、生物阻抗评估、握力（左、右）评估、症状自评量表（SCL-90）、生活质量问卷（KDQOL SFTM）、主观综合性营养评估（SGA）等，对血透病人的临床研究提供有价值的基础数据。</w:t>
            </w:r>
          </w:p>
        </w:tc>
      </w:tr>
      <w:tr w14:paraId="703E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5ADAF44D">
            <w:pPr>
              <w:spacing w:line="440" w:lineRule="exact"/>
              <w:jc w:val="center"/>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六</w:t>
            </w:r>
          </w:p>
        </w:tc>
        <w:tc>
          <w:tcPr>
            <w:tcW w:w="8200" w:type="dxa"/>
            <w:vAlign w:val="center"/>
          </w:tcPr>
          <w:p w14:paraId="6BADB16B">
            <w:pPr>
              <w:spacing w:line="440" w:lineRule="exact"/>
              <w:rPr>
                <w:rFonts w:hint="eastAsia" w:ascii="仿宋_GB2312" w:hAnsi="仿宋" w:eastAsia="仿宋_GB2312" w:cs="宋体"/>
                <w:b/>
                <w:bCs/>
                <w:sz w:val="24"/>
                <w:szCs w:val="24"/>
              </w:rPr>
            </w:pPr>
            <w:r>
              <w:rPr>
                <w:rFonts w:hint="eastAsia" w:ascii="仿宋_GB2312" w:hAnsi="仿宋" w:eastAsia="仿宋_GB2312" w:cs="宋体"/>
                <w:b/>
                <w:bCs/>
                <w:sz w:val="24"/>
                <w:szCs w:val="24"/>
              </w:rPr>
              <w:t>水处理管理</w:t>
            </w:r>
          </w:p>
        </w:tc>
      </w:tr>
      <w:tr w14:paraId="2613B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51211CB4">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6.1</w:t>
            </w:r>
          </w:p>
        </w:tc>
        <w:tc>
          <w:tcPr>
            <w:tcW w:w="8200" w:type="dxa"/>
            <w:vAlign w:val="center"/>
          </w:tcPr>
          <w:p w14:paraId="73B10A4D">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水处理设备的登记：包括品牌、型号、出水量、带动透析机数量、生产日期、采购日期、安装日期、设备状态等信息的编辑维护。</w:t>
            </w:r>
          </w:p>
          <w:p w14:paraId="1052B0D7">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水处理设备的保养：包括保养日期、保养人员、保养频率、保养内容等。</w:t>
            </w:r>
          </w:p>
          <w:p w14:paraId="029416C2">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水处理设备的维修：包括维修日期、维修人员、故障原因、维修内容等。</w:t>
            </w:r>
          </w:p>
        </w:tc>
      </w:tr>
      <w:tr w14:paraId="781F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850" w:type="dxa"/>
            <w:vAlign w:val="center"/>
          </w:tcPr>
          <w:p w14:paraId="2A18C5F3">
            <w:pPr>
              <w:spacing w:line="440" w:lineRule="exact"/>
              <w:jc w:val="center"/>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七</w:t>
            </w:r>
          </w:p>
        </w:tc>
        <w:tc>
          <w:tcPr>
            <w:tcW w:w="8200" w:type="dxa"/>
            <w:vAlign w:val="center"/>
          </w:tcPr>
          <w:p w14:paraId="0A74F6F9">
            <w:pPr>
              <w:spacing w:line="440" w:lineRule="exact"/>
              <w:rPr>
                <w:rFonts w:hint="eastAsia" w:ascii="仿宋_GB2312" w:hAnsi="仿宋" w:eastAsia="仿宋_GB2312" w:cs="宋体"/>
                <w:b/>
                <w:bCs/>
                <w:sz w:val="24"/>
                <w:szCs w:val="24"/>
              </w:rPr>
            </w:pPr>
            <w:r>
              <w:rPr>
                <w:rFonts w:hint="eastAsia" w:ascii="仿宋_GB2312" w:hAnsi="仿宋" w:eastAsia="仿宋_GB2312" w:cs="宋体"/>
                <w:b/>
                <w:bCs/>
                <w:sz w:val="24"/>
                <w:szCs w:val="24"/>
              </w:rPr>
              <w:t>物资管理</w:t>
            </w:r>
          </w:p>
        </w:tc>
      </w:tr>
      <w:tr w14:paraId="7415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3E0A1410">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7.1</w:t>
            </w:r>
          </w:p>
        </w:tc>
        <w:tc>
          <w:tcPr>
            <w:tcW w:w="8200" w:type="dxa"/>
            <w:vAlign w:val="center"/>
          </w:tcPr>
          <w:p w14:paraId="09498908">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透析耗材基本信息维护：耗材类型、名称、规格、单位等基本信息维护。耗材厂家维护，支持同一耗材多个厂家。</w:t>
            </w:r>
          </w:p>
          <w:p w14:paraId="2BEC8B12">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耗材出入库管理：支持耗材多种入库方式：采购入库、申领入库、调拨入库、盘盈入库；支持耗材多种出库方式：使用出库、盘亏出库、损坏出库。耗材的使用出库在透析中自动生成记录。</w:t>
            </w:r>
          </w:p>
          <w:p w14:paraId="7C209B41">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耗材库存查询：支持耗材库存随时查询及高低储的报警。</w:t>
            </w:r>
          </w:p>
        </w:tc>
      </w:tr>
      <w:tr w14:paraId="2C8E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0610C4EB">
            <w:pPr>
              <w:spacing w:line="440" w:lineRule="exact"/>
              <w:jc w:val="center"/>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八</w:t>
            </w:r>
          </w:p>
        </w:tc>
        <w:tc>
          <w:tcPr>
            <w:tcW w:w="8200" w:type="dxa"/>
            <w:vAlign w:val="center"/>
          </w:tcPr>
          <w:p w14:paraId="1B26A7B0">
            <w:pPr>
              <w:spacing w:line="440" w:lineRule="exact"/>
              <w:rPr>
                <w:rFonts w:hint="eastAsia" w:ascii="仿宋_GB2312" w:hAnsi="仿宋" w:eastAsia="仿宋_GB2312" w:cs="宋体"/>
                <w:b/>
                <w:bCs/>
                <w:sz w:val="24"/>
                <w:szCs w:val="24"/>
              </w:rPr>
            </w:pPr>
            <w:r>
              <w:rPr>
                <w:rFonts w:hint="eastAsia" w:ascii="仿宋_GB2312" w:hAnsi="仿宋" w:eastAsia="仿宋_GB2312" w:cs="宋体"/>
                <w:b/>
                <w:bCs/>
                <w:sz w:val="24"/>
                <w:szCs w:val="24"/>
              </w:rPr>
              <w:t>科室管理</w:t>
            </w:r>
          </w:p>
        </w:tc>
      </w:tr>
      <w:tr w14:paraId="743C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74474779">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8.1</w:t>
            </w:r>
          </w:p>
        </w:tc>
        <w:tc>
          <w:tcPr>
            <w:tcW w:w="8200" w:type="dxa"/>
            <w:vAlign w:val="center"/>
          </w:tcPr>
          <w:p w14:paraId="62078C59">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科室管理主要实现对医生、护士的排班以及考勤管理，并对医生、护士的管辖区域进行设定。护士排班后，在透析界面每个护士只能操作自己分管区域的病人。</w:t>
            </w:r>
          </w:p>
        </w:tc>
      </w:tr>
      <w:tr w14:paraId="3F67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611F4AEA">
            <w:pPr>
              <w:spacing w:line="440" w:lineRule="exact"/>
              <w:jc w:val="center"/>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九</w:t>
            </w:r>
          </w:p>
        </w:tc>
        <w:tc>
          <w:tcPr>
            <w:tcW w:w="8200" w:type="dxa"/>
            <w:vAlign w:val="center"/>
          </w:tcPr>
          <w:p w14:paraId="61953FBB">
            <w:pPr>
              <w:spacing w:line="440" w:lineRule="exact"/>
              <w:rPr>
                <w:rFonts w:hint="eastAsia" w:ascii="仿宋_GB2312" w:hAnsi="仿宋" w:eastAsia="仿宋_GB2312" w:cs="宋体"/>
                <w:b/>
                <w:bCs/>
                <w:sz w:val="24"/>
                <w:szCs w:val="24"/>
              </w:rPr>
            </w:pPr>
            <w:r>
              <w:rPr>
                <w:rFonts w:hint="eastAsia" w:ascii="仿宋_GB2312" w:hAnsi="仿宋" w:eastAsia="仿宋_GB2312" w:cs="宋体"/>
                <w:b/>
                <w:bCs/>
                <w:sz w:val="24"/>
                <w:szCs w:val="24"/>
              </w:rPr>
              <w:t>设备管理</w:t>
            </w:r>
          </w:p>
        </w:tc>
      </w:tr>
      <w:tr w14:paraId="62FC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7BFD4926">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9.1</w:t>
            </w:r>
          </w:p>
        </w:tc>
        <w:tc>
          <w:tcPr>
            <w:tcW w:w="8200" w:type="dxa"/>
            <w:vAlign w:val="center"/>
          </w:tcPr>
          <w:p w14:paraId="350E7838">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血透机登记：新增、修改血透机的基本资料，包括品牌、序列号、供应商、购买日期、生产日期、使用日期、关联的床位号、区域，对于同一品牌的血透机可采用复制的便捷录入方式。</w:t>
            </w:r>
          </w:p>
          <w:p w14:paraId="20A2AE5F">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血透机消毒记录：消毒日期、人员、消毒类别、消毒类型、消毒时长、消毒剂、浓度，支持一次消毒使用多种消毒剂录入和维护。</w:t>
            </w:r>
          </w:p>
          <w:p w14:paraId="51A42583">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血透机保养：保养日期、保养频率、保养内容的录入和维护</w:t>
            </w:r>
          </w:p>
          <w:p w14:paraId="7020A65A">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血透机修理：故障现象、故障日期、故障原因、修复日期、错误代码、维修人员、维修费用的录入和维护。</w:t>
            </w:r>
          </w:p>
        </w:tc>
      </w:tr>
      <w:tr w14:paraId="2AEC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41D72B3C">
            <w:pPr>
              <w:spacing w:line="440" w:lineRule="exact"/>
              <w:jc w:val="center"/>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十</w:t>
            </w:r>
          </w:p>
        </w:tc>
        <w:tc>
          <w:tcPr>
            <w:tcW w:w="8200" w:type="dxa"/>
            <w:vAlign w:val="center"/>
          </w:tcPr>
          <w:p w14:paraId="69C1E046">
            <w:pPr>
              <w:spacing w:line="440" w:lineRule="exact"/>
              <w:rPr>
                <w:rFonts w:hint="eastAsia" w:ascii="仿宋_GB2312" w:hAnsi="仿宋" w:eastAsia="仿宋_GB2312" w:cs="宋体"/>
                <w:b/>
                <w:bCs/>
                <w:sz w:val="24"/>
                <w:szCs w:val="24"/>
              </w:rPr>
            </w:pPr>
            <w:r>
              <w:rPr>
                <w:rFonts w:hint="eastAsia" w:ascii="仿宋_GB2312" w:hAnsi="仿宋" w:eastAsia="仿宋_GB2312" w:cs="宋体"/>
                <w:b/>
                <w:bCs/>
                <w:sz w:val="24"/>
                <w:szCs w:val="24"/>
              </w:rPr>
              <w:t>统计查询</w:t>
            </w:r>
          </w:p>
        </w:tc>
      </w:tr>
      <w:tr w14:paraId="3573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0CB625DC">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10.1</w:t>
            </w:r>
          </w:p>
        </w:tc>
        <w:tc>
          <w:tcPr>
            <w:tcW w:w="8200" w:type="dxa"/>
            <w:vAlign w:val="center"/>
          </w:tcPr>
          <w:p w14:paraId="59978F42">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需提供丰富的统计报表和查询功能，如：透析病人统计、病人性别统计、透析龄统计、透析人次统计、新增患者统计、病人转归统计、透析疾病统计、年龄分区统计、传染病统计、血管通路统计、评估数据统计、透析相关数据查询等多角度、多维度的各类报表。</w:t>
            </w:r>
          </w:p>
          <w:p w14:paraId="5A9A5A6E">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具有自定义学术分析功能，可以自定义统计条件进行查询分析所有相关数据。</w:t>
            </w:r>
          </w:p>
        </w:tc>
      </w:tr>
      <w:tr w14:paraId="0EB0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63629817">
            <w:pPr>
              <w:spacing w:line="440" w:lineRule="exact"/>
              <w:jc w:val="center"/>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十一</w:t>
            </w:r>
          </w:p>
        </w:tc>
        <w:tc>
          <w:tcPr>
            <w:tcW w:w="8200" w:type="dxa"/>
            <w:vAlign w:val="center"/>
          </w:tcPr>
          <w:p w14:paraId="01070FF1">
            <w:pPr>
              <w:spacing w:line="440" w:lineRule="exact"/>
              <w:rPr>
                <w:rFonts w:hint="eastAsia" w:ascii="仿宋_GB2312" w:hAnsi="仿宋" w:eastAsia="仿宋_GB2312" w:cs="宋体"/>
                <w:b/>
                <w:bCs/>
                <w:sz w:val="24"/>
                <w:szCs w:val="24"/>
              </w:rPr>
            </w:pPr>
            <w:r>
              <w:rPr>
                <w:rFonts w:hint="eastAsia" w:ascii="仿宋_GB2312" w:hAnsi="仿宋" w:eastAsia="仿宋_GB2312" w:cs="宋体"/>
                <w:b/>
                <w:bCs/>
                <w:sz w:val="24"/>
                <w:szCs w:val="24"/>
              </w:rPr>
              <w:t>与上级质控平台系统接口</w:t>
            </w:r>
          </w:p>
        </w:tc>
      </w:tr>
      <w:tr w14:paraId="4485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3DDED891">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11.1</w:t>
            </w:r>
          </w:p>
        </w:tc>
        <w:tc>
          <w:tcPr>
            <w:tcW w:w="8200" w:type="dxa"/>
            <w:vAlign w:val="center"/>
          </w:tcPr>
          <w:p w14:paraId="5268A342">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通过本系统，可以把透析业务数据通过接口，上传到省透析质控中心。具备上传数据质量校验功能。</w:t>
            </w:r>
          </w:p>
        </w:tc>
      </w:tr>
      <w:tr w14:paraId="702B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70C9E385">
            <w:pPr>
              <w:spacing w:line="440" w:lineRule="exact"/>
              <w:jc w:val="center"/>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十二</w:t>
            </w:r>
          </w:p>
        </w:tc>
        <w:tc>
          <w:tcPr>
            <w:tcW w:w="8200" w:type="dxa"/>
            <w:vAlign w:val="center"/>
          </w:tcPr>
          <w:p w14:paraId="62C4B7F9">
            <w:pPr>
              <w:spacing w:line="440" w:lineRule="exact"/>
              <w:rPr>
                <w:rFonts w:hint="eastAsia" w:ascii="仿宋_GB2312" w:hAnsi="仿宋" w:eastAsia="仿宋_GB2312" w:cs="宋体"/>
                <w:b/>
                <w:bCs/>
                <w:sz w:val="24"/>
                <w:szCs w:val="24"/>
              </w:rPr>
            </w:pPr>
            <w:r>
              <w:rPr>
                <w:rFonts w:hint="eastAsia" w:ascii="仿宋_GB2312" w:hAnsi="仿宋" w:eastAsia="仿宋_GB2312" w:cs="宋体"/>
                <w:b/>
                <w:bCs/>
                <w:sz w:val="24"/>
                <w:szCs w:val="24"/>
              </w:rPr>
              <w:t>大屏呼叫系统</w:t>
            </w:r>
          </w:p>
        </w:tc>
      </w:tr>
      <w:tr w14:paraId="6BC6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5944285A">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12.1</w:t>
            </w:r>
          </w:p>
        </w:tc>
        <w:tc>
          <w:tcPr>
            <w:tcW w:w="8200" w:type="dxa"/>
            <w:vAlign w:val="center"/>
          </w:tcPr>
          <w:p w14:paraId="4B3E6008">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血透病人大屏呼叫系统，是在血透候诊室以大屏的方式显示当日各病人床位、透析方式、治疗进展情况等信息。通过本系统，患者家属或陪护可以了解透析治疗进展，有序等待，医护人员在需要时可随时通过该系统呼叫患者、患者家属或陪护。</w:t>
            </w:r>
          </w:p>
        </w:tc>
      </w:tr>
      <w:tr w14:paraId="29F8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48711A48">
            <w:pPr>
              <w:spacing w:line="440" w:lineRule="exact"/>
              <w:jc w:val="center"/>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十三</w:t>
            </w:r>
          </w:p>
        </w:tc>
        <w:tc>
          <w:tcPr>
            <w:tcW w:w="8200" w:type="dxa"/>
            <w:vAlign w:val="center"/>
          </w:tcPr>
          <w:p w14:paraId="504E8BDD">
            <w:pPr>
              <w:spacing w:line="440" w:lineRule="exact"/>
              <w:rPr>
                <w:rFonts w:hint="eastAsia" w:ascii="仿宋_GB2312" w:hAnsi="仿宋" w:eastAsia="仿宋_GB2312" w:cs="宋体"/>
                <w:b/>
                <w:bCs/>
                <w:sz w:val="24"/>
                <w:szCs w:val="24"/>
              </w:rPr>
            </w:pPr>
            <w:r>
              <w:rPr>
                <w:rFonts w:hint="eastAsia" w:ascii="仿宋_GB2312" w:hAnsi="仿宋" w:eastAsia="仿宋_GB2312" w:cs="宋体"/>
                <w:b/>
                <w:bCs/>
                <w:sz w:val="24"/>
                <w:szCs w:val="24"/>
              </w:rPr>
              <w:t>自助接诊系统</w:t>
            </w:r>
          </w:p>
        </w:tc>
      </w:tr>
      <w:tr w14:paraId="389B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270614E7">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13.1</w:t>
            </w:r>
          </w:p>
        </w:tc>
        <w:tc>
          <w:tcPr>
            <w:tcW w:w="8200" w:type="dxa"/>
            <w:vAlign w:val="center"/>
          </w:tcPr>
          <w:p w14:paraId="2E7E290E">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血透病人自助接诊系统，血透病人在透析前后进行自助称重、测压，并把体重、血压数据上传给血透管理系统。整个过程可由病人自助完成，无须护士干预。称重过程中，可通过打印体重单、语音播报多种方式提醒病人称重已完成。支持同一病人多次自助称重，系统自动取用最后一条有效数据。</w:t>
            </w:r>
          </w:p>
          <w:p w14:paraId="65CB938B">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医护人员可通过自助接诊系统随时掌握当班病人的总人数、已称人数、未称人数，可在自助接诊系统中直接呼叫病人或病人家属，支持体重、减重数据的修改、支持体重单的补打。</w:t>
            </w:r>
          </w:p>
        </w:tc>
      </w:tr>
      <w:tr w14:paraId="7824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7CFDF596">
            <w:pPr>
              <w:spacing w:line="440" w:lineRule="exact"/>
              <w:jc w:val="center"/>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十四</w:t>
            </w:r>
          </w:p>
        </w:tc>
        <w:tc>
          <w:tcPr>
            <w:tcW w:w="8200" w:type="dxa"/>
            <w:vAlign w:val="center"/>
          </w:tcPr>
          <w:p w14:paraId="01381DBF">
            <w:pPr>
              <w:spacing w:line="440" w:lineRule="exact"/>
              <w:rPr>
                <w:rFonts w:hint="eastAsia" w:ascii="仿宋_GB2312" w:hAnsi="仿宋" w:eastAsia="仿宋_GB2312" w:cs="宋体"/>
                <w:b/>
                <w:bCs/>
                <w:sz w:val="24"/>
                <w:szCs w:val="24"/>
              </w:rPr>
            </w:pPr>
            <w:r>
              <w:rPr>
                <w:rFonts w:hint="eastAsia" w:ascii="仿宋_GB2312" w:hAnsi="仿宋" w:eastAsia="仿宋_GB2312" w:cs="宋体"/>
                <w:b/>
                <w:bCs/>
                <w:sz w:val="24"/>
                <w:szCs w:val="24"/>
              </w:rPr>
              <w:t>移动平板应用</w:t>
            </w:r>
          </w:p>
        </w:tc>
      </w:tr>
      <w:tr w14:paraId="5606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19C4E46F">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14.1</w:t>
            </w:r>
          </w:p>
        </w:tc>
        <w:tc>
          <w:tcPr>
            <w:tcW w:w="8200" w:type="dxa"/>
            <w:vAlign w:val="center"/>
          </w:tcPr>
          <w:p w14:paraId="7F002A93">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移动护理系统是由护士手持平板电脑，在血透机前完成病人的基本信息查看、透前情况查看、透析记录录入、核对执行医嘱、进行坠床跌倒、皮肤瘙痒评估、动静脉内瘘闭塞高危因素评估、中心静脉透析导管评估、护理评估措施记录单、健康宣教评估等各类评估等操作。</w:t>
            </w:r>
          </w:p>
        </w:tc>
      </w:tr>
      <w:tr w14:paraId="090B0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7D6BDBDC">
            <w:pPr>
              <w:spacing w:line="440" w:lineRule="exact"/>
              <w:jc w:val="center"/>
              <w:rPr>
                <w:rFonts w:hint="eastAsia" w:ascii="仿宋_GB2312" w:hAnsi="仿宋" w:eastAsia="仿宋_GB2312" w:cs="宋体"/>
                <w:b/>
                <w:bCs/>
                <w:color w:val="000000"/>
                <w:sz w:val="24"/>
                <w:szCs w:val="24"/>
              </w:rPr>
            </w:pPr>
            <w:r>
              <w:rPr>
                <w:rFonts w:hint="eastAsia" w:ascii="仿宋_GB2312" w:hAnsi="仿宋" w:eastAsia="仿宋_GB2312" w:cs="宋体"/>
                <w:b/>
                <w:bCs/>
                <w:color w:val="000000"/>
                <w:sz w:val="24"/>
                <w:szCs w:val="24"/>
              </w:rPr>
              <w:t>十五</w:t>
            </w:r>
          </w:p>
        </w:tc>
        <w:tc>
          <w:tcPr>
            <w:tcW w:w="8200" w:type="dxa"/>
            <w:vAlign w:val="center"/>
          </w:tcPr>
          <w:p w14:paraId="7F97D0D7">
            <w:pPr>
              <w:spacing w:line="440" w:lineRule="exact"/>
              <w:rPr>
                <w:rFonts w:hint="eastAsia" w:ascii="仿宋_GB2312" w:hAnsi="仿宋" w:eastAsia="仿宋_GB2312" w:cs="宋体"/>
                <w:b/>
                <w:bCs/>
                <w:sz w:val="24"/>
                <w:szCs w:val="24"/>
              </w:rPr>
            </w:pPr>
            <w:r>
              <w:rPr>
                <w:rFonts w:hint="eastAsia" w:ascii="仿宋_GB2312" w:hAnsi="仿宋" w:eastAsia="仿宋_GB2312" w:cs="宋体"/>
                <w:b/>
                <w:bCs/>
                <w:sz w:val="24"/>
                <w:szCs w:val="24"/>
              </w:rPr>
              <w:t>血透机数据采集</w:t>
            </w:r>
          </w:p>
        </w:tc>
      </w:tr>
      <w:tr w14:paraId="63E3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0" w:type="dxa"/>
            <w:vAlign w:val="center"/>
          </w:tcPr>
          <w:p w14:paraId="0A26C8AD">
            <w:pPr>
              <w:spacing w:line="44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sz w:val="24"/>
                <w:szCs w:val="24"/>
              </w:rPr>
              <w:t>15.1</w:t>
            </w:r>
          </w:p>
        </w:tc>
        <w:tc>
          <w:tcPr>
            <w:tcW w:w="8200" w:type="dxa"/>
            <w:vAlign w:val="center"/>
          </w:tcPr>
          <w:p w14:paraId="0284C602">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血透机数据采集系统，主要用于实时地向血透机采集透析数据，并把透析数据传给血透管理系统。要求采集的数据准确完整，需自动采集以下数据：</w:t>
            </w:r>
          </w:p>
          <w:p w14:paraId="43156B42">
            <w:pPr>
              <w:spacing w:line="440" w:lineRule="exact"/>
              <w:rPr>
                <w:rFonts w:hint="eastAsia" w:ascii="仿宋_GB2312" w:hAnsi="仿宋" w:eastAsia="仿宋_GB2312" w:cs="宋体"/>
                <w:sz w:val="24"/>
                <w:szCs w:val="24"/>
              </w:rPr>
            </w:pPr>
            <w:r>
              <w:rPr>
                <w:rFonts w:hint="eastAsia" w:ascii="仿宋_GB2312" w:hAnsi="仿宋" w:eastAsia="仿宋_GB2312" w:cs="宋体"/>
                <w:sz w:val="24"/>
                <w:szCs w:val="24"/>
              </w:rPr>
              <w:t>静脉压、动脉压、血流量设置值、血流量、超滤率、超滤量设置值、超滤量、剩余时间、已透时间、收缩压、舒张压、平均压、心率、置换量。</w:t>
            </w:r>
          </w:p>
        </w:tc>
      </w:tr>
    </w:tbl>
    <w:p w14:paraId="048F749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FPHei Std W5">
    <w:altName w:val="宋体"/>
    <w:panose1 w:val="00000000000000000000"/>
    <w:charset w:val="86"/>
    <w:family w:val="swiss"/>
    <w:pitch w:val="default"/>
    <w:sig w:usb0="00000000" w:usb1="00000000" w:usb2="00000010" w:usb3="00000000" w:csb0="00040000" w:csb1="00000000"/>
  </w:font>
  <w:font w:name="FangSong_GB2312">
    <w:altName w:val="仿宋"/>
    <w:panose1 w:val="00000000000000000000"/>
    <w:charset w:val="00"/>
    <w:family w:val="modern"/>
    <w:pitch w:val="default"/>
    <w:sig w:usb0="00000000" w:usb1="0000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08EDE0"/>
    <w:multiLevelType w:val="singleLevel"/>
    <w:tmpl w:val="2908EDE0"/>
    <w:lvl w:ilvl="0" w:tentative="0">
      <w:start w:val="2"/>
      <w:numFmt w:val="decimal"/>
      <w:lvlText w:val="%1."/>
      <w:lvlJc w:val="left"/>
      <w:pPr>
        <w:tabs>
          <w:tab w:val="left" w:pos="312"/>
        </w:tabs>
      </w:pPr>
    </w:lvl>
  </w:abstractNum>
  <w:abstractNum w:abstractNumId="1">
    <w:nsid w:val="4FA808C2"/>
    <w:multiLevelType w:val="singleLevel"/>
    <w:tmpl w:val="4FA808C2"/>
    <w:lvl w:ilvl="0" w:tentative="0">
      <w:start w:val="1"/>
      <w:numFmt w:val="decimal"/>
      <w:suff w:val="nothing"/>
      <w:lvlText w:val="%1、"/>
      <w:lvlJc w:val="left"/>
    </w:lvl>
  </w:abstractNum>
  <w:abstractNum w:abstractNumId="2">
    <w:nsid w:val="5CB017FC"/>
    <w:multiLevelType w:val="multilevel"/>
    <w:tmpl w:val="5CB017FC"/>
    <w:lvl w:ilvl="0" w:tentative="0">
      <w:start w:val="1"/>
      <w:numFmt w:val="decimal"/>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pStyle w:val="3"/>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hmOTZiMGUwZDA3YjgwM2IyZGZiYWJmMDJhMjI1MDgifQ=="/>
  </w:docVars>
  <w:rsids>
    <w:rsidRoot w:val="00AA702E"/>
    <w:rsid w:val="00065E3A"/>
    <w:rsid w:val="00264D10"/>
    <w:rsid w:val="008D2711"/>
    <w:rsid w:val="00A95EE9"/>
    <w:rsid w:val="00AA702E"/>
    <w:rsid w:val="00AD03A2"/>
    <w:rsid w:val="00B43A9B"/>
    <w:rsid w:val="00B55519"/>
    <w:rsid w:val="02FD3643"/>
    <w:rsid w:val="033F220E"/>
    <w:rsid w:val="06452EB2"/>
    <w:rsid w:val="08121744"/>
    <w:rsid w:val="097925B9"/>
    <w:rsid w:val="0EA40E94"/>
    <w:rsid w:val="104E6254"/>
    <w:rsid w:val="138B521B"/>
    <w:rsid w:val="15647C90"/>
    <w:rsid w:val="17620C0A"/>
    <w:rsid w:val="1A4E0116"/>
    <w:rsid w:val="1A9D14F1"/>
    <w:rsid w:val="1D247EFE"/>
    <w:rsid w:val="1DDC10AA"/>
    <w:rsid w:val="215917AA"/>
    <w:rsid w:val="21A45E52"/>
    <w:rsid w:val="21CF5C86"/>
    <w:rsid w:val="263F40F2"/>
    <w:rsid w:val="267974A0"/>
    <w:rsid w:val="288127C9"/>
    <w:rsid w:val="29EB1216"/>
    <w:rsid w:val="2AAC50F5"/>
    <w:rsid w:val="2D234C38"/>
    <w:rsid w:val="2D651283"/>
    <w:rsid w:val="37580EF5"/>
    <w:rsid w:val="375D2C93"/>
    <w:rsid w:val="39385F06"/>
    <w:rsid w:val="40F41266"/>
    <w:rsid w:val="42A7431B"/>
    <w:rsid w:val="4362793A"/>
    <w:rsid w:val="4459759F"/>
    <w:rsid w:val="447669E1"/>
    <w:rsid w:val="44DB36FC"/>
    <w:rsid w:val="46803ECC"/>
    <w:rsid w:val="47AF0E72"/>
    <w:rsid w:val="4C8E628B"/>
    <w:rsid w:val="4D2C6D40"/>
    <w:rsid w:val="4FF2798A"/>
    <w:rsid w:val="519B08FF"/>
    <w:rsid w:val="530541C7"/>
    <w:rsid w:val="56C45599"/>
    <w:rsid w:val="59975F5C"/>
    <w:rsid w:val="5DA758AC"/>
    <w:rsid w:val="5DD67B2C"/>
    <w:rsid w:val="5EF2224C"/>
    <w:rsid w:val="607B17DC"/>
    <w:rsid w:val="65293EFC"/>
    <w:rsid w:val="68972B1C"/>
    <w:rsid w:val="693E4ADA"/>
    <w:rsid w:val="6CC40F41"/>
    <w:rsid w:val="6FA62963"/>
    <w:rsid w:val="73C15B4B"/>
    <w:rsid w:val="754058DD"/>
    <w:rsid w:val="76F6353C"/>
    <w:rsid w:val="792D35BE"/>
    <w:rsid w:val="7CB85E31"/>
    <w:rsid w:val="7D181A6A"/>
    <w:rsid w:val="FB79475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4">
    <w:name w:val="heading 1"/>
    <w:basedOn w:val="1"/>
    <w:next w:val="1"/>
    <w:qFormat/>
    <w:uiPriority w:val="0"/>
    <w:pPr>
      <w:keepNext/>
      <w:spacing w:line="360" w:lineRule="auto"/>
      <w:jc w:val="center"/>
      <w:outlineLvl w:val="0"/>
    </w:pPr>
    <w:rPr>
      <w:rFonts w:ascii="Arial" w:hAnsi="Arial" w:eastAsia="华文中宋"/>
      <w:b/>
      <w:color w:val="000000"/>
      <w:sz w:val="32"/>
    </w:rPr>
  </w:style>
  <w:style w:type="paragraph" w:styleId="5">
    <w:name w:val="heading 2"/>
    <w:basedOn w:val="1"/>
    <w:next w:val="1"/>
    <w:qFormat/>
    <w:uiPriority w:val="0"/>
    <w:pPr>
      <w:keepNext/>
      <w:keepLines/>
      <w:spacing w:line="300" w:lineRule="auto"/>
      <w:ind w:firstLine="200" w:firstLineChars="200"/>
      <w:outlineLvl w:val="1"/>
    </w:pPr>
    <w:rPr>
      <w:rFonts w:ascii="Arial" w:hAnsi="Arial"/>
      <w:b/>
      <w:bCs/>
      <w:szCs w:val="32"/>
    </w:rPr>
  </w:style>
  <w:style w:type="paragraph" w:styleId="3">
    <w:name w:val="heading 4"/>
    <w:basedOn w:val="1"/>
    <w:next w:val="1"/>
    <w:qFormat/>
    <w:uiPriority w:val="0"/>
    <w:pPr>
      <w:keepNext/>
      <w:keepLines/>
      <w:numPr>
        <w:ilvl w:val="3"/>
        <w:numId w:val="1"/>
      </w:numPr>
      <w:spacing w:before="280" w:after="290" w:line="376" w:lineRule="auto"/>
      <w:outlineLvl w:val="3"/>
    </w:pPr>
    <w:rPr>
      <w:rFonts w:ascii="Arial" w:hAnsi="Arial" w:eastAsia="黑体"/>
      <w:b/>
      <w:sz w:val="28"/>
      <w:szCs w:val="20"/>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line="360" w:lineRule="auto"/>
    </w:pPr>
    <w:rPr>
      <w:rFonts w:ascii="Calibri" w:hAnsi="Calibri" w:eastAsia="仿宋" w:cs="Times New Roman"/>
      <w:sz w:val="32"/>
    </w:rPr>
  </w:style>
  <w:style w:type="paragraph" w:styleId="6">
    <w:name w:val="Normal Indent"/>
    <w:basedOn w:val="1"/>
    <w:semiHidden/>
    <w:unhideWhenUsed/>
    <w:qFormat/>
    <w:uiPriority w:val="99"/>
    <w:pPr>
      <w:ind w:firstLine="420" w:firstLineChars="200"/>
    </w:pPr>
  </w:style>
  <w:style w:type="paragraph" w:styleId="7">
    <w:name w:val="annotation text"/>
    <w:basedOn w:val="1"/>
    <w:qFormat/>
    <w:uiPriority w:val="0"/>
  </w:style>
  <w:style w:type="paragraph" w:styleId="8">
    <w:name w:val="Body Text Indent"/>
    <w:basedOn w:val="1"/>
    <w:qFormat/>
    <w:uiPriority w:val="0"/>
    <w:pPr>
      <w:autoSpaceDE w:val="0"/>
      <w:autoSpaceDN w:val="0"/>
      <w:spacing w:before="120" w:line="400" w:lineRule="atLeast"/>
      <w:ind w:firstLine="570"/>
      <w:textAlignment w:val="bottom"/>
    </w:pPr>
    <w:rPr>
      <w:rFonts w:ascii="宋体"/>
      <w:sz w:val="24"/>
      <w:szCs w:val="20"/>
    </w:rPr>
  </w:style>
  <w:style w:type="paragraph" w:styleId="9">
    <w:name w:val="List 2"/>
    <w:basedOn w:val="1"/>
    <w:qFormat/>
    <w:uiPriority w:val="0"/>
    <w:pPr>
      <w:ind w:left="100" w:leftChars="200" w:hanging="200" w:hangingChars="200"/>
    </w:pPr>
  </w:style>
  <w:style w:type="paragraph" w:styleId="10">
    <w:name w:val="Plain Text"/>
    <w:basedOn w:val="1"/>
    <w:qFormat/>
    <w:uiPriority w:val="0"/>
    <w:rPr>
      <w:rFonts w:ascii="宋体" w:hAnsi="Courier New"/>
      <w:szCs w:val="20"/>
    </w:rPr>
  </w:style>
  <w:style w:type="paragraph" w:styleId="11">
    <w:name w:val="footer"/>
    <w:basedOn w:val="1"/>
    <w:qFormat/>
    <w:uiPriority w:val="99"/>
    <w:pPr>
      <w:tabs>
        <w:tab w:val="center" w:pos="4153"/>
        <w:tab w:val="right" w:pos="8306"/>
      </w:tabs>
    </w:pPr>
    <w:rPr>
      <w:rFonts w:ascii="Times New Roman"/>
      <w:kern w:val="2"/>
      <w:sz w:val="18"/>
      <w:szCs w:val="18"/>
    </w:rPr>
  </w:style>
  <w:style w:type="paragraph" w:styleId="12">
    <w:name w:val="header"/>
    <w:basedOn w:val="1"/>
    <w:qFormat/>
    <w:uiPriority w:val="99"/>
    <w:pPr>
      <w:pBdr>
        <w:bottom w:val="single" w:color="auto" w:sz="6" w:space="1"/>
      </w:pBdr>
      <w:tabs>
        <w:tab w:val="center" w:pos="4153"/>
        <w:tab w:val="right" w:pos="8306"/>
      </w:tabs>
      <w:jc w:val="center"/>
    </w:pPr>
    <w:rPr>
      <w:rFonts w:ascii="Times New Roman"/>
      <w:kern w:val="2"/>
      <w:sz w:val="18"/>
      <w:szCs w:val="18"/>
    </w:rPr>
  </w:style>
  <w:style w:type="paragraph" w:styleId="13">
    <w:name w:val="Normal (Web)"/>
    <w:basedOn w:val="1"/>
    <w:qFormat/>
    <w:uiPriority w:val="0"/>
    <w:pPr>
      <w:spacing w:beforeAutospacing="1" w:after="100" w:afterAutospacing="1"/>
    </w:pPr>
    <w:rPr>
      <w:sz w:val="24"/>
    </w:rPr>
  </w:style>
  <w:style w:type="character" w:styleId="16">
    <w:name w:val="annotation reference"/>
    <w:basedOn w:val="15"/>
    <w:qFormat/>
    <w:uiPriority w:val="0"/>
    <w:rPr>
      <w:sz w:val="21"/>
      <w:szCs w:val="21"/>
    </w:rPr>
  </w:style>
  <w:style w:type="paragraph" w:customStyle="1" w:styleId="17">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
    <w:name w:val="正文段"/>
    <w:basedOn w:val="1"/>
    <w:qFormat/>
    <w:uiPriority w:val="0"/>
    <w:pPr>
      <w:spacing w:afterLines="50"/>
      <w:ind w:firstLine="200" w:firstLineChars="200"/>
    </w:pPr>
    <w:rPr>
      <w:sz w:val="24"/>
      <w:szCs w:val="20"/>
    </w:rPr>
  </w:style>
  <w:style w:type="paragraph" w:customStyle="1" w:styleId="19">
    <w:name w:val="表格标题"/>
    <w:basedOn w:val="20"/>
    <w:qFormat/>
    <w:uiPriority w:val="0"/>
    <w:pPr>
      <w:jc w:val="center"/>
    </w:pPr>
    <w:rPr>
      <w:b/>
    </w:rPr>
  </w:style>
  <w:style w:type="paragraph" w:customStyle="1" w:styleId="20">
    <w:name w:val="表格正文"/>
    <w:basedOn w:val="6"/>
    <w:qFormat/>
    <w:uiPriority w:val="0"/>
    <w:pPr>
      <w:ind w:firstLine="0" w:firstLineChars="0"/>
    </w:pPr>
    <w:rPr>
      <w:bCs/>
    </w:rPr>
  </w:style>
  <w:style w:type="character" w:customStyle="1" w:styleId="21">
    <w:name w:val="NormalCharacter"/>
    <w:qFormat/>
    <w:uiPriority w:val="0"/>
  </w:style>
  <w:style w:type="paragraph" w:customStyle="1" w:styleId="22">
    <w:name w:val="Default"/>
    <w:qFormat/>
    <w:uiPriority w:val="0"/>
    <w:pPr>
      <w:autoSpaceDE w:val="0"/>
      <w:autoSpaceDN w:val="0"/>
      <w:adjustRightInd w:val="0"/>
    </w:pPr>
    <w:rPr>
      <w:rFonts w:ascii="DFPHei Std W5" w:hAnsi="Calibri" w:eastAsia="DFPHei Std W5" w:cs="DFPHei Std W5"/>
      <w:color w:val="000000"/>
      <w:sz w:val="24"/>
      <w:szCs w:val="24"/>
      <w:lang w:val="en-US" w:eastAsia="zh-CN" w:bidi="ar-SA"/>
    </w:rPr>
  </w:style>
  <w:style w:type="paragraph" w:styleId="23">
    <w:name w:val="No Spacing"/>
    <w:qFormat/>
    <w:uiPriority w:val="0"/>
    <w:rPr>
      <w:rFonts w:ascii="Times New Roman" w:hAnsi="Times New Roman" w:eastAsia="宋体" w:cs="Times New Roman"/>
      <w:kern w:val="2"/>
      <w:sz w:val="22"/>
      <w:szCs w:val="22"/>
      <w:lang w:val="en-US" w:eastAsia="zh-CN" w:bidi="ar-SA"/>
    </w:rPr>
  </w:style>
  <w:style w:type="character" w:customStyle="1" w:styleId="24">
    <w:name w:val="15"/>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5421</Words>
  <Characters>5660</Characters>
  <Lines>193</Lines>
  <Paragraphs>233</Paragraphs>
  <TotalTime>0</TotalTime>
  <ScaleCrop>false</ScaleCrop>
  <LinksUpToDate>false</LinksUpToDate>
  <CharactersWithSpaces>5735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2025-10-17T05:58:00Z</dcterms:created>
  <dc:creator>2123</dc:creator>
  <cp:lastModifiedBy>沈勇</cp:lastModifiedBy>
  <dcterms:modified xsi:type="dcterms:W3CDTF">2026-08-03T03:24:58Z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7A5521557C334BE694659C25357B0036_13</vt:lpwstr>
  </property>
  <property fmtid="{D5CDD505-2E9C-101B-9397-08002B2CF9AE}" pid="4" name="KSOTemplateDocerSaveRecord">
    <vt:lpwstr>eyJoZGlkIjoiOWQ5YjI0NGU1OTIyNGExOWIwYmFjOGY0YTViYzBiY2QiLCJ1c2VySWQiOiIyNzg0MzMxMTUifQ==</vt:lpwstr>
  </property>
</Properties>
</file>