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绍兴市中医院内脏脂肪检测仪采购项目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bookmarkStart w:id="203" w:name="_GoBack"/>
      <w:bookmarkEnd w:id="203"/>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 xml:space="preserve">330600263010080000177-ZJXSC-2026-133     </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年</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_Toc91899870"/>
      <w:bookmarkStart w:id="8" w:name="第二部分"/>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绍兴市中医院内脏脂肪检测仪采购项目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 xml:space="preserve">330600263010080000177-ZJXSC-2026-133     </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绍兴市中医院内脏脂肪检测仪采购项目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400000.00</w:t>
      </w:r>
    </w:p>
    <w:p w14:paraId="6D15CB97">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400000.00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483BDC6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内脏脂肪检测仪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5EDF54C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400000.00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35393806"/>
      <w:bookmarkStart w:id="16" w:name="_Toc28359019"/>
      <w:bookmarkStart w:id="17" w:name="_Toc35393637"/>
      <w:bookmarkStart w:id="18" w:name="_Toc28359096"/>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2B7A388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0" w:name="OLE_LINK6"/>
      <w:r>
        <w:rPr>
          <w:rFonts w:hint="eastAsia" w:ascii="仿宋" w:hAnsi="仿宋" w:eastAsia="仿宋" w:cs="仿宋"/>
          <w:color w:val="auto"/>
          <w:kern w:val="0"/>
          <w:sz w:val="24"/>
          <w:highlight w:val="none"/>
        </w:rPr>
        <w:t>绍兴市越城区阳明北路692号</w:t>
      </w:r>
    </w:p>
    <w:bookmarkEnd w:id="20"/>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1" w:name="OLE_LINK9"/>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bookmarkEnd w:id="21"/>
    <w:p w14:paraId="42FFEB84">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6BA7731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2" w:name="OLE_LINK1"/>
            <w:r>
              <w:rPr>
                <w:rFonts w:hint="eastAsia" w:ascii="仿宋" w:hAnsi="仿宋" w:eastAsia="仿宋" w:cs="仿宋"/>
                <w:color w:val="auto"/>
                <w:kern w:val="0"/>
                <w:sz w:val="24"/>
                <w:szCs w:val="24"/>
                <w:highlight w:val="none"/>
                <w:u w:val="single"/>
                <w:lang w:eastAsia="zh-CN"/>
              </w:rPr>
              <w:t>标项一</w:t>
            </w:r>
            <w:bookmarkEnd w:id="22"/>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highlight w:val="none"/>
              </w:rPr>
            </w:pPr>
            <w:bookmarkStart w:id="23" w:name="OLE_LINK7"/>
            <w:r>
              <w:rPr>
                <w:rFonts w:hint="eastAsia" w:ascii="仿宋" w:hAnsi="仿宋" w:eastAsia="仿宋" w:cs="仿宋"/>
                <w:color w:val="auto"/>
                <w:sz w:val="24"/>
                <w:highlight w:val="none"/>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1FE55CE">
            <w:pPr>
              <w:widowControl/>
              <w:jc w:val="left"/>
              <w:rPr>
                <w:rFonts w:ascii="仿宋" w:hAnsi="仿宋" w:eastAsia="仿宋" w:cs="仿宋"/>
                <w:snapToGrid w:val="0"/>
                <w:color w:val="auto"/>
                <w:kern w:val="28"/>
                <w:sz w:val="24"/>
                <w:highlight w:val="none"/>
              </w:rPr>
            </w:pPr>
            <w:r>
              <w:rPr>
                <w:rFonts w:hint="eastAsia" w:ascii="仿宋" w:hAnsi="仿宋" w:eastAsia="仿宋" w:cs="仿宋"/>
                <w:color w:val="auto"/>
                <w:sz w:val="24"/>
                <w:highlight w:val="none"/>
              </w:rPr>
              <w:t>结算方式及时间为：中标通知书发出之日起7日内由中标人一次性向采购代理机构付清。</w:t>
            </w:r>
          </w:p>
          <w:bookmarkEnd w:id="23"/>
          <w:p w14:paraId="7BBA0E5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49427C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54AD421D">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4D66FE5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9899A4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0D568B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4" w:name="_Hlt75236290"/>
      <w:bookmarkEnd w:id="24"/>
      <w:bookmarkStart w:id="25" w:name="_Hlt75236101"/>
      <w:bookmarkEnd w:id="25"/>
      <w:bookmarkStart w:id="26" w:name="_Hlt74730295"/>
      <w:bookmarkEnd w:id="26"/>
      <w:bookmarkStart w:id="27" w:name="_Hlt68403820"/>
      <w:bookmarkEnd w:id="27"/>
      <w:bookmarkStart w:id="28" w:name="_Hlt74729768"/>
      <w:bookmarkEnd w:id="28"/>
      <w:bookmarkStart w:id="29" w:name="_Hlt74714665"/>
      <w:bookmarkEnd w:id="29"/>
      <w:bookmarkStart w:id="30" w:name="_Hlt68057669"/>
      <w:bookmarkEnd w:id="30"/>
      <w:bookmarkStart w:id="31" w:name="_Hlt68072990"/>
      <w:bookmarkEnd w:id="31"/>
      <w:bookmarkStart w:id="32" w:name="_Hlt75236011"/>
      <w:bookmarkEnd w:id="32"/>
      <w:bookmarkStart w:id="33" w:name="_Hlt68072998"/>
      <w:bookmarkEnd w:id="33"/>
      <w:bookmarkStart w:id="34" w:name="_Hlt74707468"/>
      <w:bookmarkEnd w:id="34"/>
      <w:bookmarkStart w:id="35" w:name="_Hlt68073093"/>
      <w:bookmarkEnd w:id="35"/>
      <w:bookmarkStart w:id="36" w:name="第三部分"/>
      <w:bookmarkStart w:id="37" w:name="_Toc164416483"/>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D5E3C4">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0E3C92B">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B948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6B3D4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5949A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66E79070">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4BA5BB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1FA03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73C5071C">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5D8729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5CFF5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6AF4E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E5162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0052B5">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1409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17F827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2A592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482B5036">
      <w:pPr>
        <w:adjustRightInd w:val="0"/>
        <w:snapToGrid w:val="0"/>
        <w:spacing w:line="440" w:lineRule="exact"/>
        <w:ind w:firstLine="720" w:firstLineChars="300"/>
        <w:jc w:val="both"/>
        <w:rPr>
          <w:rFonts w:hint="eastAsia" w:ascii="仿宋" w:eastAsia="仿宋" w:cs="仿宋"/>
          <w:b w:val="0"/>
          <w:bCs w:val="0"/>
          <w:color w:val="auto"/>
          <w:sz w:val="24"/>
          <w:highlight w:val="none"/>
          <w:lang w:eastAsia="zh-CN"/>
        </w:rPr>
      </w:pPr>
      <w:r>
        <w:rPr>
          <w:rFonts w:hint="eastAsia" w:ascii="仿宋" w:eastAsia="仿宋" w:cs="仿宋"/>
          <w:b w:val="0"/>
          <w:bCs w:val="0"/>
          <w:color w:val="auto"/>
          <w:sz w:val="24"/>
          <w:highlight w:val="none"/>
          <w:lang w:val="en-US" w:eastAsia="zh-CN"/>
        </w:rPr>
        <w:t>2.3.4</w:t>
      </w:r>
      <w:r>
        <w:rPr>
          <w:rFonts w:hint="eastAsia" w:ascii="仿宋" w:eastAsia="仿宋" w:cs="仿宋"/>
          <w:b w:val="0"/>
          <w:bCs w:val="0"/>
          <w:color w:val="auto"/>
          <w:sz w:val="24"/>
          <w:highlight w:val="none"/>
          <w:lang w:eastAsia="zh-CN"/>
        </w:rPr>
        <w:t>关于符合本国产品标准的声明函或有关证明文件(如有）</w:t>
      </w:r>
    </w:p>
    <w:p w14:paraId="4457DF00">
      <w:pPr>
        <w:adjustRightInd w:val="0"/>
        <w:snapToGrid w:val="0"/>
        <w:spacing w:line="440" w:lineRule="exact"/>
        <w:ind w:firstLine="720" w:firstLineChars="300"/>
        <w:jc w:val="both"/>
        <w:rPr>
          <w:rFonts w:hint="default" w:ascii="仿宋" w:eastAsia="仿宋" w:cs="仿宋"/>
          <w:b w:val="0"/>
          <w:bCs w:val="0"/>
          <w:color w:val="auto"/>
          <w:sz w:val="24"/>
          <w:highlight w:val="none"/>
          <w:lang w:val="en-US" w:eastAsia="zh-CN"/>
        </w:rPr>
      </w:pPr>
      <w:r>
        <w:rPr>
          <w:rFonts w:hint="eastAsia" w:ascii="仿宋" w:eastAsia="仿宋" w:cs="仿宋"/>
          <w:b w:val="0"/>
          <w:bCs w:val="0"/>
          <w:color w:val="auto"/>
          <w:sz w:val="24"/>
          <w:highlight w:val="none"/>
          <w:lang w:val="en-US" w:eastAsia="zh-CN"/>
        </w:rPr>
        <w:t>2.3.5关于符合本国产品标准的成本占比的承诺函（如有）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8"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62CB0B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7.6汇总（商务技术得分情况）。评标委员会各成员应当独立对每个投标人的商务技术文件进行评价，并汇总商务技术得分情况。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0EFA8C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7.7.1政府采购异常低价审查：</w:t>
      </w:r>
    </w:p>
    <w:p w14:paraId="0C26F9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7.7.1.1政府采购评审中出现下列情形之一的，评审委员会应当启动异常低价投标（响应）审查程序：</w:t>
      </w:r>
    </w:p>
    <w:p w14:paraId="056B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C5D0B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44D9E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3.投标（响应）报价低于采购项目最高限价45%的，即投标（响应）报价&lt;采购项目最高限价×45%；</w:t>
      </w:r>
    </w:p>
    <w:p w14:paraId="43F60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4.评审委员会基于专业判断，认为供应商报价过低，有可能影响产品质量或者不能诚信履约的其他情形。</w:t>
      </w:r>
    </w:p>
    <w:p w14:paraId="3A9B3F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相关法律法规对供应商报价有规定的，从其规定。</w:t>
      </w:r>
    </w:p>
    <w:p w14:paraId="6BE642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52CB2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E01F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673B2C4C">
      <w:pPr>
        <w:pStyle w:val="15"/>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投标文件“商务技术文件资料”部分中出现《开标一览表》相关内容的；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553479A4">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8"/>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9" w:name="_Toc81372776"/>
      <w:bookmarkStart w:id="40" w:name="_Toc81372953"/>
      <w:bookmarkStart w:id="41" w:name="_Toc84325929"/>
      <w:r>
        <w:rPr>
          <w:rFonts w:hint="eastAsia" w:ascii="仿宋" w:hAnsi="仿宋" w:eastAsia="仿宋" w:cs="仿宋"/>
          <w:b/>
          <w:color w:val="auto"/>
          <w:sz w:val="32"/>
          <w:szCs w:val="32"/>
          <w:highlight w:val="none"/>
        </w:rPr>
        <w:t>五、授予合同</w:t>
      </w:r>
    </w:p>
    <w:bookmarkEnd w:id="39"/>
    <w:bookmarkEnd w:id="40"/>
    <w:bookmarkEnd w:id="41"/>
    <w:p w14:paraId="006E370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6"/>
    <w:bookmarkEnd w:id="37"/>
    <w:p w14:paraId="44D5BE6D">
      <w:pPr>
        <w:spacing w:line="360" w:lineRule="auto"/>
        <w:outlineLvl w:val="0"/>
        <w:rPr>
          <w:rFonts w:hint="eastAsia" w:ascii="仿宋" w:hAnsi="仿宋" w:eastAsia="仿宋" w:cs="仿宋"/>
          <w:b/>
          <w:color w:val="auto"/>
          <w:sz w:val="36"/>
          <w:szCs w:val="36"/>
          <w:highlight w:val="none"/>
        </w:rPr>
      </w:pPr>
      <w:bookmarkStart w:id="42" w:name="第五部分"/>
      <w:bookmarkStart w:id="43"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招标项目设备名称及数量：</w:t>
      </w:r>
    </w:p>
    <w:p w14:paraId="63D601B2">
      <w:pPr>
        <w:numPr>
          <w:ilvl w:val="0"/>
          <w:numId w:val="2"/>
        </w:numPr>
        <w:autoSpaceDE w:val="0"/>
        <w:autoSpaceDN w:val="0"/>
        <w:spacing w:line="360" w:lineRule="auto"/>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 xml:space="preserve">330600263010080000177-ZJXSC-2026-133     </w:t>
      </w:r>
    </w:p>
    <w:p w14:paraId="01D2CBC6">
      <w:pPr>
        <w:numPr>
          <w:ilvl w:val="0"/>
          <w:numId w:val="2"/>
        </w:numPr>
        <w:autoSpaceDE w:val="0"/>
        <w:autoSpaceDN w:val="0"/>
        <w:spacing w:line="360" w:lineRule="auto"/>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采购单位名称：</w:t>
      </w:r>
      <w:r>
        <w:rPr>
          <w:rFonts w:hint="eastAsia" w:ascii="仿宋" w:hAnsi="仿宋" w:eastAsia="仿宋" w:cs="仿宋"/>
          <w:color w:val="auto"/>
          <w:sz w:val="24"/>
          <w:szCs w:val="24"/>
          <w:highlight w:val="none"/>
          <w:lang w:eastAsia="zh-CN"/>
        </w:rPr>
        <w:t>绍兴市中医院</w:t>
      </w:r>
    </w:p>
    <w:p w14:paraId="10805167">
      <w:pPr>
        <w:numPr>
          <w:ilvl w:val="0"/>
          <w:numId w:val="2"/>
        </w:numPr>
        <w:autoSpaceDE w:val="0"/>
        <w:autoSpaceDN w:val="0"/>
        <w:spacing w:line="360" w:lineRule="auto"/>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6C619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单位及数量</w:t>
            </w:r>
          </w:p>
        </w:tc>
      </w:tr>
      <w:tr w14:paraId="571E8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内脏脂肪检测仪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1台</w:t>
            </w:r>
          </w:p>
        </w:tc>
      </w:tr>
    </w:tbl>
    <w:p w14:paraId="007C0D25">
      <w:pPr>
        <w:numPr>
          <w:ilvl w:val="0"/>
          <w:numId w:val="2"/>
        </w:numPr>
        <w:autoSpaceDE w:val="0"/>
        <w:autoSpaceDN w:val="0"/>
        <w:spacing w:line="360" w:lineRule="auto"/>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技术需求及商务要求</w:t>
      </w:r>
    </w:p>
    <w:p w14:paraId="6F2F5265">
      <w:pPr>
        <w:rPr>
          <w:rFonts w:hint="eastAsia" w:ascii="仿宋" w:hAnsi="仿宋" w:eastAsia="仿宋" w:cs="仿宋"/>
          <w:b/>
          <w:color w:val="auto"/>
          <w:sz w:val="24"/>
          <w:szCs w:val="24"/>
          <w:highlight w:val="none"/>
        </w:rPr>
      </w:pPr>
      <w:r>
        <w:rPr>
          <w:rFonts w:hint="eastAsia" w:ascii="仿宋" w:hAnsi="仿宋" w:eastAsia="仿宋" w:cs="仿宋"/>
          <w:b/>
          <w:bCs w:val="0"/>
          <w:color w:val="auto"/>
          <w:sz w:val="24"/>
          <w:szCs w:val="24"/>
          <w:highlight w:val="none"/>
          <w:bdr w:val="single" w:color="auto" w:sz="4" w:space="0"/>
        </w:rPr>
        <w:t>01标</w:t>
      </w:r>
      <w:r>
        <w:rPr>
          <w:rFonts w:hint="eastAsia" w:ascii="仿宋" w:hAnsi="仿宋" w:eastAsia="仿宋" w:cs="仿宋"/>
          <w:b/>
          <w:color w:val="auto"/>
          <w:sz w:val="24"/>
          <w:szCs w:val="24"/>
          <w:highlight w:val="none"/>
          <w:lang w:eastAsia="zh-CN"/>
        </w:rPr>
        <w:t>内脏脂肪检测仪</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lang w:val="en-US" w:eastAsia="zh-CN"/>
        </w:rPr>
        <w:t xml:space="preserve">1台  </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40</w:t>
      </w:r>
      <w:r>
        <w:rPr>
          <w:rFonts w:hint="eastAsia" w:ascii="仿宋" w:hAnsi="仿宋" w:eastAsia="仿宋" w:cs="仿宋"/>
          <w:b/>
          <w:color w:val="auto"/>
          <w:sz w:val="24"/>
          <w:szCs w:val="24"/>
          <w:highlight w:val="none"/>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72F7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11C67EBC">
            <w:pPr>
              <w:rPr>
                <w:color w:val="auto"/>
                <w:highlight w:val="none"/>
              </w:rPr>
            </w:pPr>
            <w:r>
              <w:rPr>
                <w:color w:val="auto"/>
                <w:highlight w:val="none"/>
              </w:rPr>
              <w:t>一、品牌、型号：</w:t>
            </w:r>
            <w:r>
              <w:rPr>
                <w:rFonts w:hint="eastAsia"/>
                <w:color w:val="auto"/>
                <w:highlight w:val="none"/>
              </w:rPr>
              <w:t>品牌型号自选，须提供</w:t>
            </w:r>
            <w:r>
              <w:rPr>
                <w:rFonts w:hint="eastAsia"/>
                <w:color w:val="auto"/>
                <w:highlight w:val="none"/>
              </w:rPr>
              <w:t>最新硬件、软件版本产品</w:t>
            </w:r>
            <w:r>
              <w:rPr>
                <w:color w:val="auto"/>
                <w:highlight w:val="none"/>
              </w:rPr>
              <w:t>。</w:t>
            </w:r>
          </w:p>
        </w:tc>
      </w:tr>
      <w:tr w14:paraId="3092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570B0F29">
            <w:pPr>
              <w:rPr>
                <w:color w:val="auto"/>
                <w:highlight w:val="none"/>
              </w:rPr>
            </w:pPr>
            <w:r>
              <w:rPr>
                <w:color w:val="auto"/>
                <w:highlight w:val="none"/>
              </w:rPr>
              <w:t>二、适用范围：</w:t>
            </w:r>
            <w:r>
              <w:rPr>
                <w:rFonts w:hint="eastAsia"/>
                <w:color w:val="auto"/>
                <w:highlight w:val="none"/>
              </w:rPr>
              <w:t>用于内脏脂肪</w:t>
            </w:r>
            <w:r>
              <w:rPr>
                <w:rFonts w:hint="eastAsia"/>
                <w:color w:val="auto"/>
                <w:highlight w:val="none"/>
                <w:lang w:eastAsia="zh-CN"/>
              </w:rPr>
              <w:t>水平</w:t>
            </w:r>
            <w:r>
              <w:rPr>
                <w:rFonts w:hint="eastAsia"/>
                <w:color w:val="auto"/>
                <w:highlight w:val="none"/>
              </w:rPr>
              <w:t>的定量检测</w:t>
            </w:r>
            <w:r>
              <w:rPr>
                <w:rFonts w:hint="eastAsia"/>
                <w:color w:val="auto"/>
                <w:highlight w:val="none"/>
                <w:lang w:eastAsia="zh-CN"/>
              </w:rPr>
              <w:t>，评估代谢风险</w:t>
            </w:r>
            <w:r>
              <w:rPr>
                <w:color w:val="auto"/>
                <w:highlight w:val="none"/>
              </w:rPr>
              <w:t>。</w:t>
            </w:r>
          </w:p>
        </w:tc>
      </w:tr>
      <w:tr w14:paraId="4015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B091259">
            <w:pPr>
              <w:rPr>
                <w:color w:val="auto"/>
                <w:highlight w:val="none"/>
              </w:rPr>
            </w:pPr>
            <w:r>
              <w:rPr>
                <w:color w:val="auto"/>
                <w:highlight w:val="none"/>
              </w:rPr>
              <w:t>三、主要技术要求（技术参数和功能）及配置要求：</w:t>
            </w:r>
          </w:p>
        </w:tc>
      </w:tr>
      <w:tr w14:paraId="46CC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4E26CB1E">
            <w:pPr>
              <w:rPr>
                <w:color w:val="auto"/>
                <w:highlight w:val="none"/>
              </w:rPr>
            </w:pPr>
            <w:r>
              <w:rPr>
                <w:color w:val="auto"/>
                <w:highlight w:val="none"/>
              </w:rPr>
              <w:t>3.1 主要技术参数</w:t>
            </w:r>
          </w:p>
        </w:tc>
      </w:tr>
      <w:tr w14:paraId="1090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top"/>
          </w:tcPr>
          <w:p w14:paraId="39A2093C">
            <w:pPr>
              <w:jc w:val="right"/>
              <w:rPr>
                <w:rFonts w:ascii="宋体" w:hAnsi="宋体" w:eastAsia="宋体" w:cs="宋体"/>
                <w:b w:val="0"/>
                <w:bCs w:val="0"/>
                <w:color w:val="auto"/>
                <w:kern w:val="2"/>
                <w:sz w:val="21"/>
                <w:szCs w:val="21"/>
                <w:highlight w:val="none"/>
                <w:lang w:val="en-US" w:eastAsia="zh-CN" w:bidi="ar-SA"/>
              </w:rPr>
            </w:pPr>
            <w:r>
              <w:rPr>
                <w:rFonts w:hint="eastAsia" w:ascii="宋体" w:hAnsi="宋体" w:cs="宋体"/>
                <w:bCs/>
                <w:color w:val="auto"/>
                <w:highlight w:val="none"/>
              </w:rPr>
              <w:t>▲</w:t>
            </w:r>
            <w:r>
              <w:rPr>
                <w:rFonts w:hint="eastAsia"/>
                <w:b w:val="0"/>
                <w:bCs w:val="0"/>
                <w:color w:val="auto"/>
                <w:highlight w:val="none"/>
              </w:rPr>
              <w:t>3.1.1</w:t>
            </w:r>
          </w:p>
        </w:tc>
        <w:tc>
          <w:tcPr>
            <w:tcW w:w="6912" w:type="dxa"/>
            <w:tcBorders>
              <w:top w:val="single" w:color="auto" w:sz="4" w:space="0"/>
              <w:left w:val="single" w:color="auto" w:sz="4" w:space="0"/>
              <w:bottom w:val="single" w:color="auto" w:sz="4" w:space="0"/>
              <w:right w:val="single" w:color="auto" w:sz="4" w:space="0"/>
            </w:tcBorders>
            <w:vAlign w:val="center"/>
          </w:tcPr>
          <w:p w14:paraId="2B233C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测量方式：采用</w:t>
            </w:r>
            <w:r>
              <w:rPr>
                <w:rFonts w:hint="eastAsia" w:ascii="宋体" w:hAnsi="宋体" w:cs="宋体"/>
                <w:bCs/>
                <w:color w:val="auto"/>
                <w:sz w:val="21"/>
                <w:szCs w:val="21"/>
                <w:highlight w:val="none"/>
              </w:rPr>
              <w:t>双重生物电阻抗技术检测非脂肪面积和皮下脂肪面积</w:t>
            </w:r>
            <w:r>
              <w:rPr>
                <w:rFonts w:hint="eastAsia" w:cs="宋体"/>
                <w:bCs/>
                <w:color w:val="auto"/>
                <w:sz w:val="21"/>
                <w:szCs w:val="21"/>
                <w:highlight w:val="none"/>
                <w:lang w:eastAsia="zh-CN"/>
              </w:rPr>
              <w:t>，</w:t>
            </w:r>
            <w:r>
              <w:rPr>
                <w:rFonts w:hint="eastAsia" w:ascii="宋体" w:hAnsi="宋体" w:cs="宋体"/>
                <w:bCs/>
                <w:color w:val="auto"/>
                <w:sz w:val="21"/>
                <w:szCs w:val="21"/>
                <w:highlight w:val="none"/>
              </w:rPr>
              <w:t>得出内脏脂肪面积</w:t>
            </w:r>
            <w:r>
              <w:rPr>
                <w:rFonts w:hint="eastAsia" w:ascii="宋体" w:hAnsi="宋体" w:eastAsia="宋体" w:cs="宋体"/>
                <w:b w:val="0"/>
                <w:bCs w:val="0"/>
                <w:color w:val="auto"/>
                <w:kern w:val="2"/>
                <w:sz w:val="21"/>
                <w:szCs w:val="21"/>
                <w:highlight w:val="none"/>
                <w:lang w:val="en-US" w:eastAsia="zh-CN" w:bidi="ar-SA"/>
              </w:rPr>
              <w:t>（</w:t>
            </w:r>
            <w:r>
              <w:rPr>
                <w:rFonts w:hint="eastAsia" w:cs="宋体"/>
                <w:b w:val="0"/>
                <w:bCs w:val="0"/>
                <w:color w:val="auto"/>
                <w:kern w:val="2"/>
                <w:sz w:val="21"/>
                <w:szCs w:val="21"/>
                <w:highlight w:val="none"/>
                <w:lang w:val="en-US" w:eastAsia="zh-CN" w:bidi="ar-SA"/>
              </w:rPr>
              <w:t>投标时</w:t>
            </w:r>
            <w:r>
              <w:rPr>
                <w:rFonts w:hint="eastAsia" w:ascii="宋体" w:hAnsi="宋体" w:eastAsia="宋体" w:cs="宋体"/>
                <w:b w:val="0"/>
                <w:bCs w:val="0"/>
                <w:color w:val="auto"/>
                <w:kern w:val="2"/>
                <w:sz w:val="21"/>
                <w:szCs w:val="21"/>
                <w:highlight w:val="none"/>
                <w:lang w:val="en-US" w:eastAsia="zh-CN" w:bidi="ar-SA"/>
              </w:rPr>
              <w:t>提供证明材料）</w:t>
            </w:r>
          </w:p>
        </w:tc>
      </w:tr>
      <w:tr w14:paraId="4CDD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9174D53">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3.1.2</w:t>
            </w:r>
          </w:p>
        </w:tc>
        <w:tc>
          <w:tcPr>
            <w:tcW w:w="6912" w:type="dxa"/>
            <w:tcBorders>
              <w:top w:val="single" w:color="auto" w:sz="4" w:space="0"/>
              <w:left w:val="single" w:color="auto" w:sz="4" w:space="0"/>
              <w:bottom w:val="single" w:color="auto" w:sz="4" w:space="0"/>
              <w:right w:val="single" w:color="auto" w:sz="4" w:space="0"/>
            </w:tcBorders>
            <w:vAlign w:val="center"/>
          </w:tcPr>
          <w:p w14:paraId="1A1BB0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测量时间≤5分钟</w:t>
            </w:r>
          </w:p>
        </w:tc>
      </w:tr>
      <w:tr w14:paraId="42A7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91C64C4">
            <w:pPr>
              <w:widowControl/>
              <w:spacing w:line="360" w:lineRule="exact"/>
              <w:jc w:val="righ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3.1.3</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41A3E1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测量频率：50KHZ±5%</w:t>
            </w:r>
          </w:p>
        </w:tc>
      </w:tr>
      <w:tr w14:paraId="07CD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90C529">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3.1.4</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6FAACA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测量电流：500ｕArms±50ｕArms</w:t>
            </w:r>
          </w:p>
        </w:tc>
      </w:tr>
      <w:tr w14:paraId="79AB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CBD526">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3.1.5</w:t>
            </w:r>
          </w:p>
        </w:tc>
        <w:tc>
          <w:tcPr>
            <w:tcW w:w="6912" w:type="dxa"/>
            <w:tcBorders>
              <w:top w:val="single" w:color="auto" w:sz="4" w:space="0"/>
              <w:left w:val="single" w:color="auto" w:sz="4" w:space="0"/>
              <w:bottom w:val="single" w:color="auto" w:sz="4" w:space="0"/>
              <w:right w:val="single" w:color="auto" w:sz="4" w:space="0"/>
            </w:tcBorders>
            <w:vAlign w:val="center"/>
          </w:tcPr>
          <w:p w14:paraId="7C74BA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与X线CT相关性≥0.85</w:t>
            </w:r>
          </w:p>
        </w:tc>
      </w:tr>
      <w:tr w14:paraId="32D0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6B3DD7">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3.1.6</w:t>
            </w:r>
          </w:p>
        </w:tc>
        <w:tc>
          <w:tcPr>
            <w:tcW w:w="6912" w:type="dxa"/>
            <w:tcBorders>
              <w:top w:val="single" w:color="auto" w:sz="4" w:space="0"/>
              <w:left w:val="single" w:color="auto" w:sz="4" w:space="0"/>
              <w:bottom w:val="single" w:color="auto" w:sz="4" w:space="0"/>
              <w:right w:val="single" w:color="auto" w:sz="4" w:space="0"/>
            </w:tcBorders>
            <w:vAlign w:val="center"/>
          </w:tcPr>
          <w:p w14:paraId="5B730F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皮下脂肪面积：采用腹部八点式电极检测</w:t>
            </w:r>
          </w:p>
        </w:tc>
      </w:tr>
      <w:tr w14:paraId="4F62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7A4569">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3.1.7</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76F3C0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腹部脂肪以外（骨骼肌肉/内脏/水分等）的组织面积：由专用四肢电极检测</w:t>
            </w:r>
          </w:p>
        </w:tc>
      </w:tr>
      <w:tr w14:paraId="40B5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AB0365">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3.1.8</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31BED4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内脏脂肪面积：测量范围≥5cm</w:t>
            </w:r>
            <w:r>
              <w:rPr>
                <w:rFonts w:hint="eastAsia" w:ascii="Times New Roman" w:hAnsi="Times New Roman" w:cs="宋体"/>
                <w:color w:val="auto"/>
                <w:kern w:val="0"/>
                <w:sz w:val="21"/>
                <w:szCs w:val="21"/>
                <w:highlight w:val="none"/>
                <w:vertAlign w:val="superscript"/>
                <w:lang w:val="en-US" w:eastAsia="zh-CN" w:bidi="ar-SA"/>
              </w:rPr>
              <w:t>2</w:t>
            </w:r>
            <w:r>
              <w:rPr>
                <w:rFonts w:hint="eastAsia" w:ascii="Times New Roman" w:hAnsi="Times New Roman" w:cs="宋体"/>
                <w:color w:val="auto"/>
                <w:kern w:val="0"/>
                <w:sz w:val="21"/>
                <w:szCs w:val="21"/>
                <w:highlight w:val="none"/>
                <w:lang w:val="en-US" w:eastAsia="zh-CN" w:bidi="ar-SA"/>
              </w:rPr>
              <w:t>~500cm</w:t>
            </w:r>
            <w:r>
              <w:rPr>
                <w:rFonts w:hint="eastAsia" w:ascii="Times New Roman" w:hAnsi="Times New Roman" w:cs="宋体"/>
                <w:color w:val="auto"/>
                <w:kern w:val="0"/>
                <w:sz w:val="21"/>
                <w:szCs w:val="21"/>
                <w:highlight w:val="none"/>
                <w:vertAlign w:val="superscript"/>
                <w:lang w:val="en-US" w:eastAsia="zh-CN" w:bidi="ar-SA"/>
              </w:rPr>
              <w:t>2</w:t>
            </w:r>
            <w:r>
              <w:rPr>
                <w:rFonts w:hint="eastAsia" w:ascii="Times New Roman" w:hAnsi="Times New Roman" w:cs="宋体"/>
                <w:color w:val="auto"/>
                <w:kern w:val="0"/>
                <w:sz w:val="21"/>
                <w:szCs w:val="21"/>
                <w:highlight w:val="none"/>
                <w:lang w:val="en-US" w:eastAsia="zh-CN" w:bidi="ar-SA"/>
              </w:rPr>
              <w:t>，最小显示单位≤1cm</w:t>
            </w:r>
            <w:r>
              <w:rPr>
                <w:rFonts w:hint="eastAsia" w:ascii="Times New Roman" w:hAnsi="Times New Roman" w:cs="宋体"/>
                <w:color w:val="auto"/>
                <w:kern w:val="0"/>
                <w:sz w:val="21"/>
                <w:szCs w:val="21"/>
                <w:highlight w:val="none"/>
                <w:vertAlign w:val="superscript"/>
                <w:lang w:val="en-US" w:eastAsia="zh-CN" w:bidi="ar-SA"/>
              </w:rPr>
              <w:t>2</w:t>
            </w:r>
          </w:p>
        </w:tc>
      </w:tr>
      <w:tr w14:paraId="5AE3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02CC53">
            <w:pPr>
              <w:widowControl/>
              <w:spacing w:line="360" w:lineRule="exact"/>
              <w:jc w:val="right"/>
              <w:rPr>
                <w:rFonts w:hint="eastAsia" w:ascii="宋体" w:hAnsi="宋体" w:eastAsia="宋体" w:cs="宋体"/>
                <w:color w:val="auto"/>
                <w:kern w:val="0"/>
                <w:sz w:val="21"/>
                <w:szCs w:val="21"/>
                <w:highlight w:val="none"/>
                <w:lang w:val="en-US" w:eastAsia="zh-CN" w:bidi="ar-SA"/>
              </w:rPr>
            </w:pPr>
            <w:r>
              <w:rPr>
                <w:rFonts w:hint="eastAsia" w:ascii="宋体" w:hAnsi="宋体" w:cs="宋体"/>
                <w:bCs/>
                <w:color w:val="auto"/>
                <w:highlight w:val="none"/>
              </w:rPr>
              <w:t>▲</w:t>
            </w:r>
            <w:r>
              <w:rPr>
                <w:rFonts w:hint="eastAsia" w:cs="宋体"/>
                <w:color w:val="auto"/>
                <w:kern w:val="0"/>
                <w:sz w:val="21"/>
                <w:szCs w:val="21"/>
                <w:highlight w:val="none"/>
                <w:lang w:val="en-US" w:eastAsia="zh-CN" w:bidi="ar-SA"/>
              </w:rPr>
              <w:t>3.1.9</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2003EF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腹部总剖面积：由腹部测量单元检测，无需借助皮尺等外部工具测量</w:t>
            </w:r>
            <w:r>
              <w:rPr>
                <w:rFonts w:hint="eastAsia" w:ascii="宋体" w:hAnsi="宋体" w:eastAsia="宋体" w:cs="宋体"/>
                <w:b w:val="0"/>
                <w:bCs w:val="0"/>
                <w:color w:val="auto"/>
                <w:kern w:val="2"/>
                <w:sz w:val="21"/>
                <w:szCs w:val="21"/>
                <w:highlight w:val="none"/>
                <w:lang w:val="en-US" w:eastAsia="zh-CN" w:bidi="ar-SA"/>
              </w:rPr>
              <w:t>（</w:t>
            </w:r>
            <w:r>
              <w:rPr>
                <w:rFonts w:hint="eastAsia" w:cs="宋体"/>
                <w:b w:val="0"/>
                <w:bCs w:val="0"/>
                <w:color w:val="auto"/>
                <w:kern w:val="2"/>
                <w:sz w:val="21"/>
                <w:szCs w:val="21"/>
                <w:highlight w:val="none"/>
                <w:lang w:val="en-US" w:eastAsia="zh-CN" w:bidi="ar-SA"/>
              </w:rPr>
              <w:t>投标时</w:t>
            </w:r>
            <w:r>
              <w:rPr>
                <w:rFonts w:hint="eastAsia" w:ascii="宋体" w:hAnsi="宋体" w:eastAsia="宋体" w:cs="宋体"/>
                <w:b w:val="0"/>
                <w:bCs w:val="0"/>
                <w:color w:val="auto"/>
                <w:kern w:val="2"/>
                <w:sz w:val="21"/>
                <w:szCs w:val="21"/>
                <w:highlight w:val="none"/>
                <w:lang w:val="en-US" w:eastAsia="zh-CN" w:bidi="ar-SA"/>
              </w:rPr>
              <w:t>提供证明材料）</w:t>
            </w:r>
          </w:p>
        </w:tc>
      </w:tr>
      <w:tr w14:paraId="4EDA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D96DFA">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ascii="宋体" w:hAnsi="宋体" w:cs="宋体"/>
                <w:bCs/>
                <w:color w:val="auto"/>
                <w:highlight w:val="none"/>
              </w:rPr>
              <w:t>▲</w:t>
            </w:r>
            <w:r>
              <w:rPr>
                <w:rFonts w:hint="eastAsia" w:cs="宋体"/>
                <w:color w:val="auto"/>
                <w:kern w:val="0"/>
                <w:sz w:val="21"/>
                <w:szCs w:val="21"/>
                <w:highlight w:val="none"/>
                <w:lang w:val="en-US" w:eastAsia="zh-CN" w:bidi="ar-SA"/>
              </w:rPr>
              <w:t>3.1.10</w:t>
            </w:r>
          </w:p>
        </w:tc>
        <w:tc>
          <w:tcPr>
            <w:tcW w:w="6912" w:type="dxa"/>
            <w:tcBorders>
              <w:top w:val="single" w:color="auto" w:sz="4" w:space="0"/>
              <w:left w:val="single" w:color="auto" w:sz="4" w:space="0"/>
              <w:bottom w:val="single" w:color="auto" w:sz="4" w:space="0"/>
              <w:right w:val="single" w:color="auto" w:sz="4" w:space="0"/>
            </w:tcBorders>
            <w:vAlign w:val="center"/>
          </w:tcPr>
          <w:p w14:paraId="6E68D7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可识别腹部的纵向宽度和横向宽度，自动测量，数据自动传输</w:t>
            </w:r>
            <w:r>
              <w:rPr>
                <w:rFonts w:hint="eastAsia" w:ascii="宋体" w:hAnsi="宋体" w:eastAsia="宋体" w:cs="宋体"/>
                <w:b w:val="0"/>
                <w:bCs w:val="0"/>
                <w:color w:val="auto"/>
                <w:kern w:val="2"/>
                <w:sz w:val="21"/>
                <w:szCs w:val="21"/>
                <w:highlight w:val="none"/>
                <w:lang w:val="en-US" w:eastAsia="zh-CN" w:bidi="ar-SA"/>
              </w:rPr>
              <w:t>（</w:t>
            </w:r>
            <w:r>
              <w:rPr>
                <w:rFonts w:hint="eastAsia" w:cs="宋体"/>
                <w:b w:val="0"/>
                <w:bCs w:val="0"/>
                <w:color w:val="auto"/>
                <w:kern w:val="2"/>
                <w:sz w:val="21"/>
                <w:szCs w:val="21"/>
                <w:highlight w:val="none"/>
                <w:lang w:val="en-US" w:eastAsia="zh-CN" w:bidi="ar-SA"/>
              </w:rPr>
              <w:t>投标时</w:t>
            </w:r>
            <w:r>
              <w:rPr>
                <w:rFonts w:hint="eastAsia" w:ascii="宋体" w:hAnsi="宋体" w:eastAsia="宋体" w:cs="宋体"/>
                <w:b w:val="0"/>
                <w:bCs w:val="0"/>
                <w:color w:val="auto"/>
                <w:kern w:val="2"/>
                <w:sz w:val="21"/>
                <w:szCs w:val="21"/>
                <w:highlight w:val="none"/>
                <w:lang w:val="en-US" w:eastAsia="zh-CN" w:bidi="ar-SA"/>
              </w:rPr>
              <w:t>提供证明材料）</w:t>
            </w:r>
          </w:p>
        </w:tc>
      </w:tr>
      <w:tr w14:paraId="287B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BBEDF6">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3.1.11</w:t>
            </w:r>
          </w:p>
        </w:tc>
        <w:tc>
          <w:tcPr>
            <w:tcW w:w="6912" w:type="dxa"/>
            <w:tcBorders>
              <w:top w:val="single" w:color="auto" w:sz="4" w:space="0"/>
              <w:left w:val="single" w:color="auto" w:sz="4" w:space="0"/>
              <w:bottom w:val="single" w:color="auto" w:sz="4" w:space="0"/>
              <w:right w:val="single" w:color="auto" w:sz="4" w:space="0"/>
            </w:tcBorders>
            <w:vAlign w:val="center"/>
          </w:tcPr>
          <w:p w14:paraId="572079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腹部测量单元在操作错误时，具备声音报警和显示提示报警，报警等级≥3种</w:t>
            </w:r>
          </w:p>
        </w:tc>
      </w:tr>
      <w:tr w14:paraId="1CC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8011E3">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3.1.12</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7DC4A2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BMI：无需输入年龄、身高、体重等参数即能完成检测；通过输入年龄、身高、体重等数值可进行趋势分析</w:t>
            </w:r>
          </w:p>
        </w:tc>
      </w:tr>
      <w:tr w14:paraId="2020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95FE1A">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3.1.13</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50F4D2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趋势评估：以曲线图形式表示检查期间内脏脂肪面积和体重（腹围、BMI）随时间的变化情况</w:t>
            </w:r>
          </w:p>
        </w:tc>
      </w:tr>
      <w:tr w14:paraId="3616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7E4C01">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3.1.14</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6173F1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可为患者选择基础疾病设定，包括高血压、高血糖、高血脂的任意一种或多种组合</w:t>
            </w:r>
          </w:p>
        </w:tc>
      </w:tr>
      <w:tr w14:paraId="751B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38535A">
            <w:pPr>
              <w:widowControl/>
              <w:spacing w:line="360" w:lineRule="exact"/>
              <w:jc w:val="righ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3.1.15</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35E7D3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可为患者设定下次检测预定日</w:t>
            </w:r>
          </w:p>
        </w:tc>
      </w:tr>
      <w:tr w14:paraId="7E3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D776BFF">
            <w:pPr>
              <w:widowControl/>
              <w:spacing w:line="360" w:lineRule="exact"/>
              <w:jc w:val="righ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3.1.16</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6C7D85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可接入网络，实现检测数据网络化共享</w:t>
            </w:r>
          </w:p>
        </w:tc>
      </w:tr>
      <w:tr w14:paraId="06D9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B8B6F0D">
            <w:pPr>
              <w:widowControl/>
              <w:spacing w:line="360" w:lineRule="exact"/>
              <w:jc w:val="righ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3.1.17</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211330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支持数据分析、数据备份</w:t>
            </w:r>
          </w:p>
        </w:tc>
      </w:tr>
      <w:tr w14:paraId="2DA6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FA43577">
            <w:pPr>
              <w:widowControl/>
              <w:spacing w:line="360" w:lineRule="exact"/>
              <w:jc w:val="righ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3.1.18</w:t>
            </w:r>
          </w:p>
        </w:tc>
        <w:tc>
          <w:tcPr>
            <w:tcW w:w="6912" w:type="dxa"/>
            <w:tcBorders>
              <w:top w:val="single" w:color="auto" w:sz="4" w:space="0"/>
              <w:left w:val="single" w:color="auto" w:sz="4" w:space="0"/>
              <w:bottom w:val="single" w:color="auto" w:sz="4" w:space="0"/>
              <w:right w:val="single" w:color="auto" w:sz="4" w:space="0"/>
            </w:tcBorders>
            <w:shd w:val="clear" w:color="auto" w:fill="auto"/>
            <w:vAlign w:val="center"/>
          </w:tcPr>
          <w:p w14:paraId="1BF200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触摸屏操作，全中文界面，中文打印报告</w:t>
            </w:r>
          </w:p>
        </w:tc>
      </w:tr>
      <w:tr w14:paraId="6016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7AFDC26">
            <w:pPr>
              <w:rPr>
                <w:rFonts w:hint="eastAsia" w:eastAsia="宋体"/>
                <w:color w:val="auto"/>
                <w:highlight w:val="none"/>
                <w:lang w:eastAsia="zh-CN"/>
              </w:rPr>
            </w:pPr>
            <w:r>
              <w:rPr>
                <w:rFonts w:hint="eastAsia"/>
                <w:color w:val="auto"/>
                <w:highlight w:val="none"/>
              </w:rPr>
              <w:t>3.2配置要求</w:t>
            </w:r>
          </w:p>
        </w:tc>
      </w:tr>
      <w:tr w14:paraId="51F3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0256F779">
            <w:pPr>
              <w:jc w:val="right"/>
              <w:rPr>
                <w:rFonts w:hint="eastAsia" w:ascii="宋体" w:hAnsi="宋体" w:eastAsia="宋体" w:cs="宋体"/>
                <w:color w:val="auto"/>
                <w:kern w:val="2"/>
                <w:sz w:val="21"/>
                <w:szCs w:val="21"/>
                <w:highlight w:val="none"/>
                <w:lang w:val="en-US" w:eastAsia="zh-CN" w:bidi="ar-SA"/>
              </w:rPr>
            </w:pPr>
            <w:r>
              <w:rPr>
                <w:rFonts w:hint="eastAsia"/>
                <w:color w:val="auto"/>
                <w:highlight w:val="none"/>
              </w:rPr>
              <w:t>3.2.1</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5A35F107">
            <w:pPr>
              <w:widowControl/>
              <w:spacing w:line="360" w:lineRule="exact"/>
              <w:rPr>
                <w:rFonts w:hint="eastAsia" w:ascii="宋体" w:hAnsi="宋体" w:eastAsia="宋体" w:cs="宋体"/>
                <w:color w:val="auto"/>
                <w:kern w:val="0"/>
                <w:sz w:val="21"/>
                <w:szCs w:val="21"/>
                <w:highlight w:val="none"/>
                <w:lang w:val="en-US" w:eastAsia="zh-CN" w:bidi="ar-SA"/>
              </w:rPr>
            </w:pPr>
            <w:r>
              <w:rPr>
                <w:rFonts w:hint="eastAsia" w:cs="宋体"/>
                <w:color w:val="auto"/>
                <w:kern w:val="0"/>
                <w:szCs w:val="21"/>
                <w:highlight w:val="none"/>
                <w:lang w:eastAsia="zh-CN"/>
              </w:rPr>
              <w:t>主机：</w:t>
            </w:r>
            <w:r>
              <w:rPr>
                <w:rFonts w:hint="eastAsia" w:ascii="宋体" w:hAnsi="宋体" w:cs="宋体"/>
                <w:color w:val="auto"/>
                <w:kern w:val="0"/>
                <w:szCs w:val="21"/>
                <w:highlight w:val="none"/>
                <w:lang w:val="en-US" w:eastAsia="zh-CN"/>
              </w:rPr>
              <w:t>1</w:t>
            </w:r>
            <w:r>
              <w:rPr>
                <w:rFonts w:hint="eastAsia" w:cs="宋体"/>
                <w:color w:val="auto"/>
                <w:kern w:val="0"/>
                <w:szCs w:val="21"/>
                <w:highlight w:val="none"/>
                <w:lang w:val="en-US" w:eastAsia="zh-CN"/>
              </w:rPr>
              <w:t>台</w:t>
            </w:r>
          </w:p>
        </w:tc>
      </w:tr>
      <w:tr w14:paraId="1F04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4799CD2C">
            <w:pPr>
              <w:jc w:val="right"/>
              <w:rPr>
                <w:rFonts w:hint="default" w:eastAsia="宋体"/>
                <w:color w:val="auto"/>
                <w:highlight w:val="none"/>
                <w:lang w:val="en-US" w:eastAsia="zh-CN"/>
              </w:rPr>
            </w:pPr>
            <w:r>
              <w:rPr>
                <w:rFonts w:hint="eastAsia"/>
                <w:color w:val="auto"/>
                <w:highlight w:val="none"/>
                <w:lang w:val="en-US" w:eastAsia="zh-CN"/>
              </w:rPr>
              <w:t>3.2.2</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5644064C">
            <w:pPr>
              <w:widowControl/>
              <w:spacing w:line="360" w:lineRule="exact"/>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腹部测量单元（含数据线）：1套</w:t>
            </w:r>
          </w:p>
        </w:tc>
      </w:tr>
      <w:tr w14:paraId="0049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42758522">
            <w:pPr>
              <w:jc w:val="right"/>
              <w:rPr>
                <w:rFonts w:hint="default"/>
                <w:color w:val="auto"/>
                <w:highlight w:val="none"/>
                <w:lang w:val="en-US" w:eastAsia="zh-CN"/>
              </w:rPr>
            </w:pPr>
            <w:r>
              <w:rPr>
                <w:rFonts w:hint="eastAsia"/>
                <w:color w:val="auto"/>
                <w:highlight w:val="none"/>
                <w:lang w:val="en-US" w:eastAsia="zh-CN"/>
              </w:rPr>
              <w:t>3.2.3</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5D80A508">
            <w:pPr>
              <w:widowControl/>
              <w:spacing w:line="360" w:lineRule="exact"/>
              <w:rPr>
                <w:rFonts w:hint="eastAsia" w:cs="宋体"/>
                <w:color w:val="auto"/>
                <w:kern w:val="0"/>
                <w:sz w:val="21"/>
                <w:szCs w:val="21"/>
                <w:highlight w:val="none"/>
                <w:lang w:val="en-US" w:eastAsia="zh-CN" w:bidi="ar-SA"/>
              </w:rPr>
            </w:pPr>
            <w:r>
              <w:rPr>
                <w:rFonts w:hint="eastAsia" w:ascii="宋体" w:hAnsi="宋体" w:cs="宋体"/>
                <w:bCs/>
                <w:color w:val="auto"/>
                <w:sz w:val="21"/>
                <w:szCs w:val="21"/>
                <w:highlight w:val="none"/>
              </w:rPr>
              <w:t>电极腰带</w:t>
            </w:r>
            <w:r>
              <w:rPr>
                <w:rFonts w:hint="eastAsia" w:cs="宋体"/>
                <w:bCs/>
                <w:color w:val="auto"/>
                <w:sz w:val="21"/>
                <w:szCs w:val="21"/>
                <w:highlight w:val="none"/>
                <w:lang w:eastAsia="zh-CN"/>
              </w:rPr>
              <w:t>：</w:t>
            </w:r>
            <w:r>
              <w:rPr>
                <w:rFonts w:hint="eastAsia" w:ascii="宋体" w:hAnsi="宋体" w:cs="宋体"/>
                <w:bCs/>
                <w:color w:val="auto"/>
                <w:sz w:val="21"/>
                <w:szCs w:val="21"/>
                <w:highlight w:val="none"/>
              </w:rPr>
              <w:t>1个</w:t>
            </w:r>
          </w:p>
        </w:tc>
      </w:tr>
      <w:tr w14:paraId="38E3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2E165686">
            <w:pPr>
              <w:jc w:val="right"/>
              <w:rPr>
                <w:rFonts w:hint="eastAsia"/>
                <w:color w:val="auto"/>
                <w:highlight w:val="none"/>
                <w:lang w:val="en-US" w:eastAsia="zh-CN"/>
              </w:rPr>
            </w:pPr>
            <w:r>
              <w:rPr>
                <w:rFonts w:hint="eastAsia"/>
                <w:color w:val="auto"/>
                <w:highlight w:val="none"/>
                <w:lang w:val="en-US" w:eastAsia="zh-CN"/>
              </w:rPr>
              <w:t>3.2.4</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04269842">
            <w:pPr>
              <w:widowControl/>
              <w:spacing w:line="360" w:lineRule="exac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手夹：2个</w:t>
            </w:r>
          </w:p>
        </w:tc>
      </w:tr>
      <w:tr w14:paraId="5732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AA61F01">
            <w:pPr>
              <w:jc w:val="right"/>
              <w:rPr>
                <w:rFonts w:hint="default"/>
                <w:color w:val="auto"/>
                <w:highlight w:val="none"/>
                <w:lang w:val="en-US" w:eastAsia="zh-CN"/>
              </w:rPr>
            </w:pPr>
            <w:r>
              <w:rPr>
                <w:rFonts w:hint="eastAsia"/>
                <w:color w:val="auto"/>
                <w:highlight w:val="none"/>
                <w:lang w:val="en-US" w:eastAsia="zh-CN"/>
              </w:rPr>
              <w:t>3.2.5</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04CF093A">
            <w:pPr>
              <w:widowControl/>
              <w:spacing w:line="360" w:lineRule="exact"/>
              <w:rPr>
                <w:rFonts w:hint="default"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脚夹：2个</w:t>
            </w:r>
          </w:p>
        </w:tc>
      </w:tr>
      <w:tr w14:paraId="19B9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B8A67FC">
            <w:pPr>
              <w:rPr>
                <w:color w:val="auto"/>
                <w:highlight w:val="none"/>
              </w:rPr>
            </w:pPr>
            <w:r>
              <w:rPr>
                <w:color w:val="auto"/>
                <w:highlight w:val="none"/>
              </w:rPr>
              <w:t>四、附加必备条件</w:t>
            </w:r>
          </w:p>
        </w:tc>
      </w:tr>
      <w:tr w14:paraId="6C59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7526CB">
            <w:pPr>
              <w:ind w:firstLine="210" w:firstLineChars="100"/>
              <w:rPr>
                <w:color w:val="auto"/>
                <w:highlight w:val="none"/>
              </w:rPr>
            </w:pPr>
            <w:r>
              <w:rPr>
                <w:rFonts w:hint="eastAsia"/>
                <w:color w:val="auto"/>
                <w:highlight w:val="none"/>
              </w:rPr>
              <w:t>4.1提供设备原厂技术参数指标。</w:t>
            </w:r>
          </w:p>
        </w:tc>
      </w:tr>
      <w:tr w14:paraId="42C1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C37F745">
            <w:pPr>
              <w:ind w:firstLine="210" w:firstLineChars="100"/>
              <w:rPr>
                <w:color w:val="auto"/>
                <w:highlight w:val="none"/>
              </w:rPr>
            </w:pPr>
            <w:r>
              <w:rPr>
                <w:rFonts w:hint="eastAsia"/>
                <w:color w:val="auto"/>
                <w:highlight w:val="none"/>
              </w:rPr>
              <w:t>4</w:t>
            </w:r>
            <w:r>
              <w:rPr>
                <w:color w:val="auto"/>
                <w:highlight w:val="none"/>
              </w:rPr>
              <w:t>.</w:t>
            </w:r>
            <w:r>
              <w:rPr>
                <w:rFonts w:hint="eastAsia"/>
                <w:color w:val="auto"/>
                <w:highlight w:val="none"/>
              </w:rPr>
              <w:t>2提供用户中英文操作手册、维修手册、技术参数彩色样本及塑封操作规程各</w:t>
            </w:r>
            <w:r>
              <w:rPr>
                <w:color w:val="auto"/>
                <w:highlight w:val="none"/>
              </w:rPr>
              <w:t>1</w:t>
            </w:r>
            <w:r>
              <w:rPr>
                <w:rFonts w:hint="eastAsia"/>
                <w:color w:val="auto"/>
                <w:highlight w:val="none"/>
              </w:rPr>
              <w:t>份。</w:t>
            </w:r>
          </w:p>
        </w:tc>
      </w:tr>
      <w:tr w14:paraId="2FB8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0B8B3D8">
            <w:pPr>
              <w:ind w:firstLine="211" w:firstLineChars="100"/>
              <w:rPr>
                <w:color w:val="auto"/>
                <w:highlight w:val="none"/>
              </w:rPr>
            </w:pPr>
            <w:r>
              <w:rPr>
                <w:rFonts w:hint="eastAsia"/>
                <w:b/>
                <w:color w:val="auto"/>
                <w:highlight w:val="none"/>
              </w:rPr>
              <w:t>★</w:t>
            </w:r>
            <w:r>
              <w:rPr>
                <w:rFonts w:hint="eastAsia"/>
                <w:color w:val="auto"/>
                <w:highlight w:val="none"/>
              </w:rPr>
              <w:t>4.</w:t>
            </w:r>
            <w:r>
              <w:rPr>
                <w:rFonts w:hint="eastAsia"/>
                <w:color w:val="auto"/>
                <w:highlight w:val="none"/>
                <w:lang w:val="en-US" w:eastAsia="zh-CN"/>
              </w:rPr>
              <w:t>3</w:t>
            </w:r>
            <w:r>
              <w:rPr>
                <w:rFonts w:hint="eastAsia"/>
                <w:color w:val="auto"/>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1F63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DB266BC">
            <w:pPr>
              <w:ind w:firstLine="210" w:firstLineChars="100"/>
              <w:rPr>
                <w:color w:val="auto"/>
                <w:highlight w:val="none"/>
              </w:rPr>
            </w:pPr>
            <w:r>
              <w:rPr>
                <w:rFonts w:hint="eastAsia"/>
                <w:color w:val="auto"/>
                <w:highlight w:val="none"/>
              </w:rPr>
              <w:t>4.</w:t>
            </w:r>
            <w:r>
              <w:rPr>
                <w:rFonts w:hint="eastAsia"/>
                <w:color w:val="auto"/>
                <w:highlight w:val="none"/>
                <w:lang w:val="en-US" w:eastAsia="zh-CN"/>
              </w:rPr>
              <w:t>4</w:t>
            </w:r>
            <w:r>
              <w:rPr>
                <w:rFonts w:hint="eastAsia"/>
                <w:color w:val="auto"/>
                <w:highlight w:val="none"/>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437C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DB5590E">
            <w:pPr>
              <w:ind w:firstLine="210" w:firstLineChars="100"/>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4BB8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9841C98">
            <w:pPr>
              <w:rPr>
                <w:color w:val="auto"/>
                <w:highlight w:val="none"/>
              </w:rPr>
            </w:pPr>
            <w:r>
              <w:rPr>
                <w:rFonts w:hint="eastAsia"/>
                <w:color w:val="auto"/>
                <w:highlight w:val="none"/>
              </w:rPr>
              <w:t>五、售后服务</w:t>
            </w:r>
          </w:p>
        </w:tc>
      </w:tr>
      <w:tr w14:paraId="7DD9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297EA30">
            <w:pPr>
              <w:ind w:firstLine="210" w:firstLineChars="100"/>
              <w:rPr>
                <w:color w:val="auto"/>
                <w:highlight w:val="none"/>
              </w:rPr>
            </w:pPr>
            <w:r>
              <w:rPr>
                <w:rFonts w:hint="eastAsia"/>
                <w:color w:val="auto"/>
                <w:highlight w:val="none"/>
              </w:rPr>
              <w:t>5.1设备验收合格后免费原厂整机保修</w:t>
            </w:r>
            <w:r>
              <w:rPr>
                <w:rFonts w:hint="eastAsia"/>
                <w:color w:val="auto"/>
                <w:highlight w:val="none"/>
                <w:lang w:val="en-US" w:eastAsia="zh-CN"/>
              </w:rPr>
              <w:t>5</w:t>
            </w:r>
            <w:r>
              <w:rPr>
                <w:rFonts w:hint="eastAsia"/>
                <w:color w:val="auto"/>
                <w:highlight w:val="none"/>
              </w:rPr>
              <w:t>年，保修期外只收配件费，不收维修费，提供仪器相关</w:t>
            </w:r>
            <w:r>
              <w:rPr>
                <w:rFonts w:hint="eastAsia"/>
                <w:bCs/>
                <w:color w:val="auto"/>
                <w:highlight w:val="none"/>
              </w:rPr>
              <w:t>专用耗材、</w:t>
            </w:r>
            <w:r>
              <w:rPr>
                <w:rFonts w:hint="eastAsia"/>
                <w:color w:val="auto"/>
                <w:highlight w:val="none"/>
              </w:rPr>
              <w:t>零配件、易损件价格清单（人民币成交价）。</w:t>
            </w:r>
          </w:p>
        </w:tc>
      </w:tr>
      <w:tr w14:paraId="5A8B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ACF3ADA">
            <w:pPr>
              <w:ind w:firstLine="210" w:firstLineChars="100"/>
              <w:rPr>
                <w:color w:val="auto"/>
                <w:highlight w:val="none"/>
              </w:rPr>
            </w:pPr>
            <w:r>
              <w:rPr>
                <w:rFonts w:hint="eastAsia"/>
                <w:color w:val="auto"/>
                <w:highlight w:val="none"/>
              </w:rPr>
              <w:t>5.2零配件供应8年以上。</w:t>
            </w:r>
          </w:p>
        </w:tc>
      </w:tr>
      <w:tr w14:paraId="6F2C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79473B1">
            <w:pPr>
              <w:ind w:firstLine="210" w:firstLineChars="100"/>
              <w:rPr>
                <w:color w:val="auto"/>
                <w:highlight w:val="none"/>
              </w:rPr>
            </w:pPr>
            <w:r>
              <w:rPr>
                <w:rFonts w:hint="eastAsia"/>
                <w:color w:val="auto"/>
                <w:highlight w:val="none"/>
              </w:rPr>
              <w:t>5.3接到用户维修通知后，应立即回应，并在12小时内派员到达用户现场实施维修</w:t>
            </w:r>
            <w:r>
              <w:rPr>
                <w:rFonts w:hint="eastAsia"/>
                <w:color w:val="auto"/>
                <w:highlight w:val="none"/>
                <w:lang w:eastAsia="zh-CN"/>
              </w:rPr>
              <w:t>，</w:t>
            </w:r>
            <w:r>
              <w:rPr>
                <w:rFonts w:hint="eastAsia" w:ascii="宋体" w:hAnsi="宋体"/>
                <w:color w:val="auto"/>
                <w:szCs w:val="21"/>
                <w:highlight w:val="none"/>
              </w:rPr>
              <w:t>24小时未修复提供备品</w:t>
            </w:r>
            <w:r>
              <w:rPr>
                <w:rFonts w:hint="eastAsia"/>
                <w:color w:val="auto"/>
                <w:highlight w:val="none"/>
              </w:rPr>
              <w:t>。</w:t>
            </w:r>
          </w:p>
        </w:tc>
      </w:tr>
      <w:tr w14:paraId="52EE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AB69D83">
            <w:pPr>
              <w:ind w:firstLine="210" w:firstLineChars="100"/>
              <w:rPr>
                <w:color w:val="auto"/>
                <w:highlight w:val="none"/>
              </w:rPr>
            </w:pPr>
            <w:r>
              <w:rPr>
                <w:rFonts w:hint="eastAsia"/>
                <w:color w:val="auto"/>
                <w:highlight w:val="none"/>
              </w:rPr>
              <w:t>5.4免费提供至少2名操作人员和1名维修人员的培训。</w:t>
            </w:r>
          </w:p>
        </w:tc>
      </w:tr>
      <w:tr w14:paraId="1DAB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0AF8841">
            <w:pPr>
              <w:ind w:firstLine="210" w:firstLineChars="100"/>
              <w:rPr>
                <w:color w:val="auto"/>
                <w:highlight w:val="none"/>
              </w:rPr>
            </w:pPr>
            <w:r>
              <w:rPr>
                <w:rFonts w:hint="eastAsia"/>
                <w:color w:val="auto"/>
                <w:highlight w:val="none"/>
              </w:rPr>
              <w:t>5.5免费终身提供软件升级。</w:t>
            </w:r>
          </w:p>
        </w:tc>
      </w:tr>
      <w:tr w14:paraId="6D76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08C7509">
            <w:pPr>
              <w:ind w:firstLine="210" w:firstLineChars="100"/>
              <w:rPr>
                <w:color w:val="auto"/>
                <w:highlight w:val="none"/>
              </w:rPr>
            </w:pPr>
            <w:r>
              <w:rPr>
                <w:rFonts w:hint="eastAsia"/>
                <w:color w:val="auto"/>
                <w:highlight w:val="none"/>
              </w:rPr>
              <w:t>5.6承担医院相关软件系统接口费用</w:t>
            </w:r>
            <w:r>
              <w:rPr>
                <w:rFonts w:hint="eastAsia"/>
                <w:color w:val="auto"/>
                <w:highlight w:val="none"/>
                <w:lang w:eastAsia="zh-CN"/>
              </w:rPr>
              <w:t>（包括医院信息系统升级后产生的接口费用）</w:t>
            </w:r>
            <w:r>
              <w:rPr>
                <w:rFonts w:hint="eastAsia"/>
                <w:color w:val="auto"/>
                <w:highlight w:val="none"/>
              </w:rPr>
              <w:t>。</w:t>
            </w:r>
          </w:p>
        </w:tc>
      </w:tr>
      <w:tr w14:paraId="1C20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4F75440">
            <w:pPr>
              <w:rPr>
                <w:color w:val="auto"/>
                <w:highlight w:val="none"/>
              </w:rPr>
            </w:pPr>
            <w:r>
              <w:rPr>
                <w:rFonts w:hint="eastAsia"/>
                <w:color w:val="auto"/>
                <w:highlight w:val="none"/>
              </w:rPr>
              <w:t>六、安装及验收要求：</w:t>
            </w:r>
          </w:p>
        </w:tc>
      </w:tr>
      <w:tr w14:paraId="33C6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07ECAAF">
            <w:pPr>
              <w:ind w:firstLine="210" w:firstLineChars="100"/>
              <w:rPr>
                <w:color w:val="auto"/>
                <w:highlight w:val="none"/>
              </w:rPr>
            </w:pPr>
            <w:r>
              <w:rPr>
                <w:rFonts w:hint="eastAsia"/>
                <w:color w:val="auto"/>
                <w:highlight w:val="none"/>
              </w:rPr>
              <w:t>6.1到货期：合同生效后，60天内供货并安装。</w:t>
            </w:r>
          </w:p>
        </w:tc>
      </w:tr>
      <w:tr w14:paraId="027C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C46636F">
            <w:pPr>
              <w:ind w:firstLine="210" w:firstLineChars="100"/>
              <w:rPr>
                <w:color w:val="auto"/>
                <w:highlight w:val="none"/>
              </w:rPr>
            </w:pPr>
            <w:r>
              <w:rPr>
                <w:rFonts w:hint="eastAsia"/>
                <w:color w:val="auto"/>
                <w:highlight w:val="none"/>
              </w:rPr>
              <w:t>6.2到货及安装地点：医院内</w:t>
            </w:r>
          </w:p>
        </w:tc>
      </w:tr>
      <w:tr w14:paraId="19B3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6B67E73">
            <w:pPr>
              <w:ind w:firstLine="210" w:firstLineChars="100"/>
              <w:rPr>
                <w:color w:val="auto"/>
                <w:highlight w:val="none"/>
              </w:rPr>
            </w:pPr>
            <w:r>
              <w:rPr>
                <w:rFonts w:hint="eastAsia"/>
                <w:color w:val="auto"/>
                <w:highlight w:val="none"/>
              </w:rPr>
              <w:t>6.3验收标准：应与产品原始样本技术数据及标书技术文件一致，符合国家有关技术规范和技术标准，并提供所有有效证件</w:t>
            </w:r>
          </w:p>
        </w:tc>
      </w:tr>
      <w:tr w14:paraId="2C1A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F707CC5">
            <w:pPr>
              <w:ind w:firstLine="210" w:firstLineChars="100"/>
              <w:rPr>
                <w:color w:val="auto"/>
                <w:highlight w:val="none"/>
              </w:rPr>
            </w:pPr>
            <w:r>
              <w:rPr>
                <w:rFonts w:hint="eastAsia"/>
                <w:color w:val="auto"/>
                <w:highlight w:val="none"/>
              </w:rPr>
              <w:t>6.4如是计量强制检定设备，验收时需提供计量合格证。</w:t>
            </w:r>
          </w:p>
        </w:tc>
      </w:tr>
      <w:tr w14:paraId="33BB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95536DF">
            <w:pPr>
              <w:ind w:firstLine="210" w:firstLineChars="100"/>
              <w:rPr>
                <w:rFonts w:hint="default" w:eastAsia="宋体"/>
                <w:color w:val="auto"/>
                <w:highlight w:val="none"/>
                <w:lang w:val="en-US" w:eastAsia="zh-CN"/>
              </w:rPr>
            </w:pPr>
            <w:r>
              <w:rPr>
                <w:rFonts w:hint="eastAsia"/>
                <w:color w:val="auto"/>
                <w:highlight w:val="none"/>
                <w:lang w:val="en-US" w:eastAsia="zh-CN"/>
              </w:rPr>
              <w:t>6.5安装时间不得大于出厂时间的180天。</w:t>
            </w:r>
          </w:p>
        </w:tc>
      </w:tr>
      <w:tr w14:paraId="5C46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BBB350A">
            <w:pPr>
              <w:rPr>
                <w:color w:val="auto"/>
                <w:highlight w:val="none"/>
              </w:rPr>
            </w:pPr>
            <w:r>
              <w:rPr>
                <w:rFonts w:hint="eastAsia"/>
                <w:color w:val="auto"/>
                <w:highlight w:val="none"/>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020A7A17">
      <w:pPr>
        <w:rPr>
          <w:b/>
          <w:color w:val="auto"/>
          <w:highlight w:val="none"/>
        </w:rPr>
      </w:pPr>
    </w:p>
    <w:p w14:paraId="52C42905">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1204091F">
      <w:pPr>
        <w:rPr>
          <w:rFonts w:hint="eastAsia" w:ascii="仿宋" w:hAnsi="仿宋" w:eastAsia="仿宋" w:cs="仿宋"/>
          <w:b/>
          <w:color w:val="auto"/>
          <w:sz w:val="36"/>
          <w:szCs w:val="36"/>
          <w:highlight w:val="none"/>
        </w:rPr>
      </w:pPr>
    </w:p>
    <w:p w14:paraId="40AD6AB2">
      <w:pPr>
        <w:pStyle w:val="3"/>
        <w:rPr>
          <w:rFonts w:hint="eastAsia" w:ascii="仿宋" w:hAnsi="仿宋" w:eastAsia="仿宋" w:cs="仿宋"/>
          <w:b/>
          <w:color w:val="auto"/>
          <w:sz w:val="36"/>
          <w:szCs w:val="36"/>
          <w:highlight w:val="none"/>
        </w:rPr>
      </w:pPr>
    </w:p>
    <w:p w14:paraId="62AB163F">
      <w:pPr>
        <w:rPr>
          <w:rFonts w:hint="eastAsia" w:ascii="仿宋" w:hAnsi="仿宋" w:eastAsia="仿宋" w:cs="仿宋"/>
          <w:b/>
          <w:color w:val="auto"/>
          <w:sz w:val="36"/>
          <w:szCs w:val="36"/>
          <w:highlight w:val="none"/>
        </w:rPr>
      </w:pPr>
    </w:p>
    <w:p w14:paraId="1E99C4BA">
      <w:pPr>
        <w:pStyle w:val="3"/>
        <w:rPr>
          <w:rFonts w:hint="eastAsia" w:ascii="仿宋" w:hAnsi="仿宋" w:eastAsia="仿宋" w:cs="仿宋"/>
          <w:b/>
          <w:color w:val="auto"/>
          <w:sz w:val="36"/>
          <w:szCs w:val="36"/>
          <w:highlight w:val="none"/>
        </w:rPr>
      </w:pPr>
    </w:p>
    <w:p w14:paraId="2D86AA33">
      <w:pPr>
        <w:rPr>
          <w:rFonts w:hint="eastAsia" w:ascii="仿宋" w:hAnsi="仿宋" w:eastAsia="仿宋" w:cs="仿宋"/>
          <w:b/>
          <w:color w:val="auto"/>
          <w:sz w:val="36"/>
          <w:szCs w:val="36"/>
          <w:highlight w:val="none"/>
        </w:rPr>
      </w:pPr>
    </w:p>
    <w:p w14:paraId="7F7127D0">
      <w:pPr>
        <w:pStyle w:val="3"/>
        <w:rPr>
          <w:rFonts w:hint="eastAsia" w:ascii="仿宋" w:hAnsi="仿宋" w:eastAsia="仿宋" w:cs="仿宋"/>
          <w:b/>
          <w:color w:val="auto"/>
          <w:sz w:val="36"/>
          <w:szCs w:val="36"/>
          <w:highlight w:val="none"/>
        </w:rPr>
      </w:pPr>
    </w:p>
    <w:p w14:paraId="2C39BC23">
      <w:pPr>
        <w:rPr>
          <w:rFonts w:hint="eastAsia" w:ascii="仿宋" w:hAnsi="仿宋" w:eastAsia="仿宋" w:cs="仿宋"/>
          <w:b/>
          <w:color w:val="auto"/>
          <w:sz w:val="36"/>
          <w:szCs w:val="36"/>
          <w:highlight w:val="none"/>
        </w:rPr>
      </w:pPr>
    </w:p>
    <w:p w14:paraId="4D6C4B88">
      <w:pPr>
        <w:pStyle w:val="2"/>
        <w:rPr>
          <w:rFonts w:hint="eastAsia" w:ascii="仿宋" w:hAnsi="仿宋" w:eastAsia="仿宋" w:cs="仿宋"/>
          <w:b/>
          <w:color w:val="auto"/>
          <w:sz w:val="36"/>
          <w:szCs w:val="36"/>
          <w:highlight w:val="none"/>
        </w:rPr>
      </w:pPr>
    </w:p>
    <w:p w14:paraId="667A1863">
      <w:pPr>
        <w:rPr>
          <w:rFonts w:hint="eastAsia" w:ascii="仿宋" w:hAnsi="仿宋" w:eastAsia="仿宋" w:cs="仿宋"/>
          <w:b/>
          <w:color w:val="auto"/>
          <w:sz w:val="36"/>
          <w:szCs w:val="36"/>
          <w:highlight w:val="none"/>
        </w:rPr>
      </w:pPr>
    </w:p>
    <w:p w14:paraId="01C50978">
      <w:pPr>
        <w:pStyle w:val="2"/>
        <w:rPr>
          <w:rFonts w:hint="eastAsia" w:ascii="仿宋" w:hAnsi="仿宋" w:eastAsia="仿宋" w:cs="仿宋"/>
          <w:b/>
          <w:color w:val="auto"/>
          <w:sz w:val="36"/>
          <w:szCs w:val="36"/>
          <w:highlight w:val="none"/>
        </w:rPr>
      </w:pPr>
    </w:p>
    <w:p w14:paraId="475E51E8">
      <w:pPr>
        <w:rPr>
          <w:rFonts w:hint="eastAsia" w:ascii="仿宋" w:hAnsi="仿宋" w:eastAsia="仿宋" w:cs="仿宋"/>
          <w:b/>
          <w:color w:val="auto"/>
          <w:sz w:val="36"/>
          <w:szCs w:val="36"/>
          <w:highlight w:val="none"/>
        </w:rPr>
      </w:pPr>
    </w:p>
    <w:p w14:paraId="1269F203">
      <w:pPr>
        <w:pStyle w:val="2"/>
        <w:rPr>
          <w:rFonts w:hint="eastAsia" w:ascii="仿宋" w:hAnsi="仿宋" w:eastAsia="仿宋" w:cs="仿宋"/>
          <w:b/>
          <w:color w:val="auto"/>
          <w:sz w:val="36"/>
          <w:szCs w:val="36"/>
          <w:highlight w:val="none"/>
        </w:rPr>
      </w:pPr>
    </w:p>
    <w:p w14:paraId="77F8CEB9">
      <w:pPr>
        <w:rPr>
          <w:rFonts w:hint="eastAsia"/>
          <w:color w:val="auto"/>
          <w:highlight w:val="none"/>
        </w:rPr>
      </w:pPr>
    </w:p>
    <w:p w14:paraId="6A2941FF">
      <w:pPr>
        <w:spacing w:line="360" w:lineRule="auto"/>
        <w:jc w:val="center"/>
        <w:outlineLvl w:val="0"/>
        <w:rPr>
          <w:rFonts w:hint="eastAsia" w:ascii="仿宋" w:hAnsi="仿宋" w:eastAsia="仿宋" w:cs="仿宋"/>
          <w:b/>
          <w:color w:val="auto"/>
          <w:sz w:val="36"/>
          <w:szCs w:val="36"/>
          <w:highlight w:val="none"/>
        </w:rPr>
      </w:pPr>
    </w:p>
    <w:p w14:paraId="655DFAF4">
      <w:pPr>
        <w:spacing w:line="360" w:lineRule="auto"/>
        <w:jc w:val="center"/>
        <w:outlineLvl w:val="0"/>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4" w:name="_Toc3029"/>
      <w:bookmarkStart w:id="45" w:name="_Toc2232"/>
      <w:bookmarkStart w:id="46" w:name="_Toc24059"/>
      <w:r>
        <w:rPr>
          <w:rFonts w:hint="eastAsia" w:ascii="仿宋" w:hAnsi="仿宋" w:eastAsia="仿宋" w:cs="仿宋"/>
          <w:b/>
          <w:color w:val="auto"/>
          <w:sz w:val="24"/>
          <w:highlight w:val="none"/>
        </w:rPr>
        <w:t>1.1 合同组成部分</w:t>
      </w:r>
      <w:bookmarkEnd w:id="44"/>
      <w:bookmarkEnd w:id="45"/>
      <w:bookmarkEnd w:id="46"/>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50" w:name="_Toc21551"/>
      <w:bookmarkStart w:id="51" w:name="_Toc23292"/>
      <w:bookmarkStart w:id="52" w:name="_Toc21631"/>
      <w:r>
        <w:rPr>
          <w:rFonts w:hint="eastAsia" w:ascii="仿宋" w:hAnsi="仿宋" w:eastAsia="仿宋" w:cs="仿宋"/>
          <w:b/>
          <w:color w:val="auto"/>
          <w:sz w:val="24"/>
          <w:highlight w:val="none"/>
        </w:rPr>
        <w:t>1.3 价款</w:t>
      </w:r>
      <w:bookmarkEnd w:id="50"/>
      <w:bookmarkEnd w:id="51"/>
      <w:bookmarkEnd w:id="52"/>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3" w:name="_Toc1814"/>
      <w:bookmarkStart w:id="54" w:name="_Toc22618"/>
      <w:bookmarkStart w:id="55" w:name="_Toc10340"/>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6" w:name="_Toc19304"/>
      <w:bookmarkStart w:id="57" w:name="_Toc32071"/>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5" w:name="_Toc7245"/>
      <w:bookmarkStart w:id="66" w:name="_Toc11173"/>
      <w:bookmarkStart w:id="67" w:name="_Toc15322"/>
      <w:r>
        <w:rPr>
          <w:rFonts w:hint="eastAsia" w:ascii="仿宋" w:hAnsi="仿宋" w:eastAsia="仿宋" w:cs="仿宋"/>
          <w:b/>
          <w:color w:val="auto"/>
          <w:sz w:val="24"/>
          <w:highlight w:val="none"/>
        </w:rPr>
        <w:t>2.0 合同生效</w:t>
      </w:r>
      <w:bookmarkEnd w:id="65"/>
      <w:bookmarkEnd w:id="66"/>
      <w:bookmarkEnd w:id="67"/>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4"/>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4"/>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4"/>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8" w:name="_Ref467379225"/>
      <w:bookmarkStart w:id="69" w:name="_Ref467379094"/>
      <w:bookmarkStart w:id="70" w:name="_Ref467378499"/>
      <w:bookmarkStart w:id="71" w:name="_Ref467379195"/>
      <w:bookmarkStart w:id="72" w:name="_Toc19614"/>
      <w:bookmarkStart w:id="73" w:name="_Toc279701240"/>
      <w:bookmarkStart w:id="74" w:name="_Ref467379101"/>
      <w:bookmarkStart w:id="75" w:name="_Ref467378404"/>
      <w:bookmarkStart w:id="76" w:name="_Toc28763"/>
      <w:bookmarkStart w:id="77" w:name="_Ref467379214"/>
      <w:bookmarkStart w:id="78" w:name="_Ref467379205"/>
      <w:bookmarkStart w:id="79" w:name="_Toc259093669"/>
      <w:bookmarkStart w:id="80" w:name="_Ref467379109"/>
      <w:bookmarkStart w:id="81" w:name="_Ref467378463"/>
      <w:bookmarkStart w:id="82" w:name="_Toc16917"/>
      <w:bookmarkStart w:id="83" w:name="_Toc487900349"/>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5826C397">
      <w:pPr>
        <w:spacing w:line="560" w:lineRule="exact"/>
        <w:ind w:firstLine="482" w:firstLineChars="200"/>
        <w:outlineLvl w:val="0"/>
        <w:rPr>
          <w:rFonts w:hint="eastAsia" w:ascii="仿宋" w:hAnsi="仿宋" w:eastAsia="仿宋" w:cs="仿宋"/>
          <w:b/>
          <w:color w:val="auto"/>
          <w:sz w:val="24"/>
          <w:highlight w:val="none"/>
        </w:rPr>
      </w:pPr>
      <w:bookmarkStart w:id="87" w:name="_Toc279701241"/>
      <w:bookmarkStart w:id="88" w:name="_Toc487900350"/>
      <w:bookmarkStart w:id="89" w:name="_Toc259093670"/>
      <w:bookmarkStart w:id="90" w:name="_Toc13336"/>
      <w:bookmarkStart w:id="91" w:name="_Toc27635"/>
      <w:bookmarkStart w:id="92" w:name="_Toc32504"/>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3" w:name="_Toc487900351"/>
      <w:bookmarkStart w:id="94" w:name="_Toc27853"/>
      <w:bookmarkStart w:id="95" w:name="_Toc259093671"/>
      <w:bookmarkStart w:id="96" w:name="_Toc279701242"/>
      <w:bookmarkStart w:id="97" w:name="_Toc9829"/>
      <w:bookmarkStart w:id="98" w:name="_Toc31634"/>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2" w:name="_Ref467379527"/>
      <w:bookmarkStart w:id="103" w:name="_Ref467378591"/>
      <w:bookmarkStart w:id="104" w:name="_Toc259093674"/>
      <w:bookmarkStart w:id="105" w:name="_Toc487900354"/>
      <w:bookmarkStart w:id="106" w:name="_Ref467379536"/>
      <w:bookmarkStart w:id="107" w:name="_Toc279701245"/>
      <w:bookmarkStart w:id="108" w:name="_Ref467378541"/>
      <w:bookmarkStart w:id="109" w:name="_Ref467379542"/>
      <w:bookmarkStart w:id="110" w:name="_Toc26182"/>
      <w:bookmarkStart w:id="111" w:name="_Toc19074"/>
      <w:bookmarkStart w:id="112" w:name="_Toc3027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7EB68CB4">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807"/>
      <w:bookmarkStart w:id="116" w:name="_Toc279701247"/>
      <w:bookmarkStart w:id="117" w:name="_Ref467379793"/>
      <w:bookmarkStart w:id="118" w:name="_Toc487900357"/>
      <w:bookmarkStart w:id="119"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6571CCE0">
      <w:pPr>
        <w:spacing w:line="560" w:lineRule="exact"/>
        <w:ind w:firstLine="482" w:firstLineChars="200"/>
        <w:outlineLvl w:val="0"/>
        <w:rPr>
          <w:rFonts w:hint="eastAsia" w:ascii="仿宋" w:hAnsi="仿宋" w:eastAsia="仿宋" w:cs="仿宋"/>
          <w:b/>
          <w:color w:val="auto"/>
          <w:sz w:val="24"/>
          <w:highlight w:val="none"/>
        </w:rPr>
      </w:pPr>
      <w:bookmarkStart w:id="121" w:name="_Toc259093677"/>
      <w:bookmarkStart w:id="122" w:name="_Toc487900358"/>
      <w:bookmarkStart w:id="123" w:name="_Toc279701248"/>
      <w:bookmarkStart w:id="124" w:name="_Ref467379863"/>
      <w:bookmarkStart w:id="125" w:name="_Ref467379852"/>
      <w:bookmarkStart w:id="126" w:name="_Ref467379923"/>
      <w:bookmarkStart w:id="127" w:name="_Toc3225"/>
      <w:bookmarkStart w:id="128" w:name="_Toc16110"/>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79701252"/>
      <w:bookmarkStart w:id="133" w:name="_Toc487900362"/>
      <w:bookmarkStart w:id="134" w:name="_Toc259093681"/>
      <w:r>
        <w:rPr>
          <w:rFonts w:hint="eastAsia" w:ascii="仿宋" w:hAnsi="仿宋" w:eastAsia="仿宋" w:cs="仿宋"/>
          <w:b/>
          <w:color w:val="auto"/>
          <w:sz w:val="24"/>
          <w:highlight w:val="none"/>
        </w:rPr>
        <w:t>2.8 货物的风险负担</w:t>
      </w:r>
      <w:bookmarkEnd w:id="131"/>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487900364"/>
      <w:bookmarkStart w:id="138" w:name="_Toc259093683"/>
      <w:bookmarkStart w:id="139" w:name="_Toc279701254"/>
      <w:bookmarkStart w:id="140" w:name="_Ref467378121"/>
      <w:r>
        <w:rPr>
          <w:rFonts w:hint="eastAsia" w:ascii="仿宋" w:hAnsi="仿宋" w:eastAsia="仿宋" w:cs="仿宋"/>
          <w:b/>
          <w:color w:val="auto"/>
          <w:sz w:val="24"/>
          <w:highlight w:val="none"/>
        </w:rPr>
        <w:t>2.10 合同变更</w:t>
      </w:r>
      <w:bookmarkEnd w:id="136"/>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14:paraId="2FD7E4A1">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22955"/>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7" w:name="_Toc16508"/>
      <w:bookmarkStart w:id="148" w:name="_Toc14066"/>
      <w:bookmarkStart w:id="149" w:name="_Toc13566"/>
      <w:r>
        <w:rPr>
          <w:rFonts w:hint="eastAsia" w:ascii="仿宋" w:hAnsi="仿宋" w:eastAsia="仿宋" w:cs="仿宋"/>
          <w:b/>
          <w:color w:val="auto"/>
          <w:sz w:val="24"/>
          <w:highlight w:val="none"/>
        </w:rPr>
        <w:t>2.12 不可抗力</w:t>
      </w:r>
      <w:bookmarkEnd w:id="147"/>
      <w:bookmarkEnd w:id="148"/>
      <w:bookmarkEnd w:id="149"/>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50" w:name="_Toc6969"/>
      <w:bookmarkStart w:id="151" w:name="_Toc30676"/>
      <w:bookmarkStart w:id="152" w:name="_Toc487900365"/>
      <w:bookmarkStart w:id="153" w:name="_Toc259093684"/>
      <w:bookmarkStart w:id="154" w:name="_Toc689"/>
      <w:bookmarkStart w:id="155" w:name="_Toc279701255"/>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6" w:name="_Toc16959"/>
      <w:bookmarkStart w:id="157" w:name="_Toc7102"/>
      <w:bookmarkStart w:id="158" w:name="_Toc259093687"/>
      <w:bookmarkStart w:id="159" w:name="_Toc8298"/>
      <w:bookmarkStart w:id="160" w:name="_Toc487900368"/>
      <w:bookmarkStart w:id="161" w:name="_Toc27970125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5" w:name="_Toc6596"/>
      <w:bookmarkStart w:id="166" w:name="_Toc14563"/>
      <w:bookmarkStart w:id="167" w:name="_Toc1125"/>
      <w:r>
        <w:rPr>
          <w:rFonts w:hint="eastAsia" w:ascii="仿宋" w:hAnsi="仿宋" w:eastAsia="仿宋" w:cs="仿宋"/>
          <w:b/>
          <w:color w:val="auto"/>
          <w:sz w:val="24"/>
          <w:highlight w:val="none"/>
        </w:rPr>
        <w:t>2.16检验和验收</w:t>
      </w:r>
      <w:bookmarkEnd w:id="165"/>
      <w:bookmarkEnd w:id="166"/>
      <w:bookmarkEnd w:id="167"/>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073A8EAC">
      <w:pPr>
        <w:spacing w:line="560" w:lineRule="exact"/>
        <w:ind w:firstLine="482" w:firstLineChars="200"/>
        <w:outlineLvl w:val="0"/>
        <w:rPr>
          <w:rFonts w:hint="eastAsia" w:ascii="仿宋" w:hAnsi="仿宋" w:eastAsia="仿宋" w:cs="仿宋"/>
          <w:b/>
          <w:color w:val="auto"/>
          <w:sz w:val="24"/>
          <w:highlight w:val="none"/>
        </w:rPr>
      </w:pPr>
      <w:bookmarkStart w:id="168" w:name="_Toc487900371"/>
      <w:bookmarkStart w:id="169" w:name="_Toc259093690"/>
      <w:bookmarkStart w:id="170" w:name="_Toc279701261"/>
      <w:bookmarkStart w:id="171" w:name="_Toc25182"/>
      <w:bookmarkStart w:id="172" w:name="_Toc11284"/>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3D5C7484">
      <w:pPr>
        <w:spacing w:line="560" w:lineRule="exact"/>
        <w:ind w:firstLine="480" w:firstLineChars="200"/>
        <w:rPr>
          <w:rFonts w:hint="eastAsia" w:ascii="仿宋" w:hAnsi="仿宋" w:eastAsia="仿宋" w:cs="仿宋"/>
          <w:color w:val="auto"/>
          <w:sz w:val="24"/>
          <w:highlight w:val="none"/>
        </w:rPr>
      </w:pPr>
      <w:bookmarkStart w:id="174" w:name="_Toc6698"/>
      <w:bookmarkStart w:id="175" w:name="_Toc3135"/>
      <w:bookmarkStart w:id="176" w:name="_Toc259093691"/>
      <w:bookmarkStart w:id="177" w:name="_Toc279701262"/>
      <w:bookmarkStart w:id="178"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3662A6FB">
      <w:pPr>
        <w:spacing w:line="560" w:lineRule="exact"/>
        <w:ind w:firstLine="480" w:firstLineChars="200"/>
        <w:rPr>
          <w:rFonts w:hint="eastAsia" w:ascii="仿宋" w:hAnsi="仿宋" w:eastAsia="仿宋" w:cs="仿宋"/>
          <w:color w:val="auto"/>
          <w:sz w:val="24"/>
          <w:highlight w:val="none"/>
        </w:rPr>
      </w:pPr>
      <w:bookmarkStart w:id="179" w:name="_Toc23128"/>
      <w:bookmarkStart w:id="180"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59064A45">
      <w:pPr>
        <w:spacing w:line="560" w:lineRule="exact"/>
        <w:ind w:firstLine="482" w:firstLineChars="200"/>
        <w:outlineLvl w:val="0"/>
        <w:rPr>
          <w:rFonts w:hint="eastAsia" w:ascii="仿宋" w:hAnsi="仿宋" w:eastAsia="仿宋" w:cs="仿宋"/>
          <w:b/>
          <w:color w:val="auto"/>
          <w:sz w:val="24"/>
          <w:highlight w:val="none"/>
        </w:rPr>
      </w:pPr>
      <w:bookmarkStart w:id="181" w:name="_Toc30599"/>
      <w:bookmarkStart w:id="182" w:name="_Toc4355"/>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4" w:name="_Toc12773"/>
      <w:bookmarkStart w:id="185" w:name="_Toc259093692"/>
      <w:bookmarkStart w:id="186" w:name="_Toc10330"/>
      <w:bookmarkStart w:id="187" w:name="_Toc487900373"/>
      <w:bookmarkStart w:id="188" w:name="_Toc18567"/>
      <w:bookmarkStart w:id="189" w:name="_Toc279701263"/>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90" w:name="_Toc19890"/>
      <w:bookmarkStart w:id="191" w:name="_Toc6885"/>
      <w:bookmarkStart w:id="192" w:name="_Toc14001"/>
      <w:r>
        <w:rPr>
          <w:rFonts w:hint="eastAsia" w:ascii="仿宋" w:hAnsi="仿宋" w:eastAsia="仿宋" w:cs="仿宋"/>
          <w:b/>
          <w:color w:val="auto"/>
          <w:sz w:val="24"/>
          <w:highlight w:val="none"/>
        </w:rPr>
        <w:t>2.20 合同份数</w:t>
      </w:r>
      <w:bookmarkEnd w:id="190"/>
      <w:bookmarkEnd w:id="191"/>
      <w:bookmarkEnd w:id="192"/>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E42052">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697AD13">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noWrap w:val="0"/>
            <w:vAlign w:val="center"/>
          </w:tcPr>
          <w:p w14:paraId="32574FB9">
            <w:pPr>
              <w:widowControl/>
              <w:snapToGrid w:val="0"/>
              <w:spacing w:line="32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noWrap w:val="0"/>
            <w:vAlign w:val="center"/>
          </w:tcPr>
          <w:p w14:paraId="72E5F6A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7E63F2E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5855A8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67A7203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noWrap w:val="0"/>
            <w:vAlign w:val="center"/>
          </w:tcPr>
          <w:p w14:paraId="4FB756A2">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tc>
        <w:tc>
          <w:tcPr>
            <w:tcW w:w="5850" w:type="dxa"/>
            <w:tcBorders>
              <w:top w:val="nil"/>
              <w:left w:val="nil"/>
              <w:bottom w:val="single" w:color="auto" w:sz="4" w:space="0"/>
              <w:right w:val="single" w:color="auto" w:sz="4" w:space="0"/>
            </w:tcBorders>
            <w:noWrap w:val="0"/>
            <w:vAlign w:val="center"/>
          </w:tcPr>
          <w:p w14:paraId="10B850D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66132A1">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07E14FC6">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761E71E8">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noWrap w:val="0"/>
            <w:vAlign w:val="center"/>
          </w:tcPr>
          <w:p w14:paraId="23156EF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noWrap w:val="0"/>
            <w:vAlign w:val="center"/>
          </w:tcPr>
          <w:p w14:paraId="40E24767">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54FA820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6AD7C1F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1316C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noWrap w:val="0"/>
            <w:vAlign w:val="center"/>
          </w:tcPr>
          <w:p w14:paraId="554ECE3F">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noWrap w:val="0"/>
            <w:vAlign w:val="center"/>
          </w:tcPr>
          <w:p w14:paraId="3EF833E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所投产品</w:t>
            </w:r>
            <w:r>
              <w:rPr>
                <w:rFonts w:hint="eastAsia" w:ascii="仿宋" w:hAnsi="仿宋" w:eastAsia="仿宋" w:cs="仿宋"/>
                <w:color w:val="auto"/>
                <w:kern w:val="0"/>
                <w:sz w:val="24"/>
                <w:highlight w:val="none"/>
              </w:rPr>
              <w:t>自202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年1月1日以来（以合同签订时间为准）完成的同类案例，每有一个得1分，最高得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p w14:paraId="2F5A6F50">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566E1C95">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1.每个案例提供合同和验收报告的复印件，并加盖投标人公章。</w:t>
            </w:r>
          </w:p>
          <w:p w14:paraId="12460868">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08D2917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548528C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405C3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noWrap w:val="0"/>
            <w:vAlign w:val="center"/>
          </w:tcPr>
          <w:p w14:paraId="40778FC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7FCAD75F">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1D6D576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7978AF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4F159A0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right w:val="single" w:color="auto" w:sz="4" w:space="0"/>
            </w:tcBorders>
            <w:noWrap w:val="0"/>
            <w:vAlign w:val="center"/>
          </w:tcPr>
          <w:p w14:paraId="5509611B">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474F4DEA">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49269F74">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DAF9F2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554B2D2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6984EC49">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789C0ED9">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7F4EE4E7">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194F52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09E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noWrap w:val="0"/>
            <w:vAlign w:val="center"/>
          </w:tcPr>
          <w:p w14:paraId="24D68FE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noWrap w:val="0"/>
            <w:vAlign w:val="center"/>
          </w:tcPr>
          <w:p w14:paraId="68EDF25C">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36CE7FD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5F329D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7F710A">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noWrap w:val="0"/>
            <w:vAlign w:val="center"/>
          </w:tcPr>
          <w:p w14:paraId="6F4E612E">
            <w:pPr>
              <w:widowControl/>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shd w:val="clear" w:color="auto" w:fill="auto"/>
            <w:noWrap w:val="0"/>
            <w:vAlign w:val="center"/>
          </w:tcPr>
          <w:p w14:paraId="2CDE5BEB">
            <w:pPr>
              <w:widowControl/>
              <w:spacing w:line="288" w:lineRule="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4F90EF85">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C3BF522">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15D840">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noWrap w:val="0"/>
            <w:vAlign w:val="center"/>
          </w:tcPr>
          <w:p w14:paraId="50FA0892">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noWrap w:val="0"/>
            <w:vAlign w:val="center"/>
          </w:tcPr>
          <w:p w14:paraId="18D24D15">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noWrap w:val="0"/>
            <w:vAlign w:val="center"/>
          </w:tcPr>
          <w:p w14:paraId="361DF64A">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2D1F0343">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0F66B396">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noWrap w:val="0"/>
            <w:vAlign w:val="center"/>
          </w:tcPr>
          <w:p w14:paraId="6AC93B84">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noWrap w:val="0"/>
            <w:vAlign w:val="center"/>
          </w:tcPr>
          <w:p w14:paraId="7F9A6326">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1A2E0D42">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7BFDC1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482984CB">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noWrap w:val="0"/>
            <w:vAlign w:val="center"/>
          </w:tcPr>
          <w:p w14:paraId="30608F7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noWrap w:val="0"/>
            <w:vAlign w:val="center"/>
          </w:tcPr>
          <w:p w14:paraId="399FE750">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0684E73F">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470E76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11CA7F4">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366BE96C">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023D7466">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426B3B11">
            <w:pPr>
              <w:widowControl/>
              <w:spacing w:line="320" w:lineRule="exact"/>
              <w:rPr>
                <w:rFonts w:hint="eastAsia" w:ascii="仿宋" w:hAnsi="仿宋" w:eastAsia="仿宋" w:cs="仿宋"/>
                <w:color w:val="auto"/>
                <w:kern w:val="0"/>
                <w:sz w:val="24"/>
                <w:highlight w:val="none"/>
                <w:lang w:eastAsia="zh-CN"/>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noWrap w:val="0"/>
            <w:vAlign w:val="center"/>
          </w:tcPr>
          <w:p w14:paraId="02AE6B1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39BE0DD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402D303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noWrap w:val="0"/>
            <w:vAlign w:val="center"/>
          </w:tcPr>
          <w:p w14:paraId="76472059">
            <w:pPr>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noWrap w:val="0"/>
            <w:vAlign w:val="center"/>
          </w:tcPr>
          <w:p w14:paraId="6CD28051">
            <w:pPr>
              <w:widowControl/>
              <w:spacing w:line="320" w:lineRule="exac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0A431F0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0AFCFE2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BD31D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53DDB939">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697C5F04">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319D94F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1024395E">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16FB25E8">
      <w:pPr>
        <w:spacing w:line="360" w:lineRule="auto"/>
        <w:ind w:left="720" w:firstLine="723" w:firstLineChars="200"/>
        <w:outlineLvl w:val="0"/>
        <w:rPr>
          <w:rFonts w:hint="eastAsia" w:ascii="仿宋" w:hAnsi="仿宋" w:eastAsia="仿宋" w:cs="仿宋"/>
          <w:b/>
          <w:color w:val="auto"/>
          <w:sz w:val="36"/>
          <w:szCs w:val="20"/>
          <w:highlight w:val="none"/>
        </w:rPr>
      </w:pPr>
    </w:p>
    <w:p w14:paraId="71C42ED8">
      <w:pPr>
        <w:spacing w:line="360" w:lineRule="auto"/>
        <w:ind w:left="720" w:firstLine="723" w:firstLineChars="200"/>
        <w:outlineLvl w:val="0"/>
        <w:rPr>
          <w:rFonts w:hint="eastAsia" w:ascii="仿宋" w:hAnsi="仿宋" w:eastAsia="仿宋" w:cs="仿宋"/>
          <w:b/>
          <w:color w:val="auto"/>
          <w:sz w:val="36"/>
          <w:szCs w:val="20"/>
          <w:highlight w:val="none"/>
        </w:rPr>
      </w:pPr>
    </w:p>
    <w:p w14:paraId="56FC81EC">
      <w:pPr>
        <w:spacing w:line="360" w:lineRule="auto"/>
        <w:ind w:left="720" w:firstLine="723" w:firstLineChars="200"/>
        <w:outlineLvl w:val="0"/>
        <w:rPr>
          <w:rFonts w:hint="eastAsia" w:ascii="仿宋" w:hAnsi="仿宋" w:eastAsia="仿宋" w:cs="仿宋"/>
          <w:b/>
          <w:color w:val="auto"/>
          <w:sz w:val="36"/>
          <w:szCs w:val="20"/>
          <w:highlight w:val="none"/>
        </w:rPr>
      </w:pPr>
    </w:p>
    <w:p w14:paraId="56457C38">
      <w:pPr>
        <w:spacing w:line="360" w:lineRule="auto"/>
        <w:ind w:left="720" w:firstLine="723" w:firstLineChars="200"/>
        <w:outlineLvl w:val="0"/>
        <w:rPr>
          <w:rFonts w:hint="eastAsia" w:ascii="仿宋" w:hAnsi="仿宋" w:eastAsia="仿宋" w:cs="仿宋"/>
          <w:b/>
          <w:color w:val="auto"/>
          <w:sz w:val="36"/>
          <w:szCs w:val="20"/>
          <w:highlight w:val="none"/>
        </w:rPr>
      </w:pPr>
    </w:p>
    <w:p w14:paraId="73EE3A68">
      <w:pPr>
        <w:spacing w:line="360" w:lineRule="auto"/>
        <w:ind w:left="720" w:firstLine="723" w:firstLineChars="200"/>
        <w:outlineLvl w:val="0"/>
        <w:rPr>
          <w:rFonts w:hint="eastAsia" w:ascii="仿宋" w:hAnsi="仿宋" w:eastAsia="仿宋" w:cs="仿宋"/>
          <w:b/>
          <w:color w:val="auto"/>
          <w:sz w:val="36"/>
          <w:szCs w:val="20"/>
          <w:highlight w:val="none"/>
        </w:rPr>
      </w:pPr>
    </w:p>
    <w:p w14:paraId="14FA63ED">
      <w:pPr>
        <w:spacing w:line="360" w:lineRule="auto"/>
        <w:ind w:left="720" w:firstLine="723" w:firstLineChars="200"/>
        <w:outlineLvl w:val="0"/>
        <w:rPr>
          <w:rFonts w:hint="eastAsia" w:ascii="仿宋" w:hAnsi="仿宋" w:eastAsia="仿宋" w:cs="仿宋"/>
          <w:b/>
          <w:color w:val="auto"/>
          <w:sz w:val="36"/>
          <w:szCs w:val="20"/>
          <w:highlight w:val="none"/>
        </w:rPr>
      </w:pPr>
    </w:p>
    <w:p w14:paraId="58046A88">
      <w:pPr>
        <w:spacing w:line="360" w:lineRule="auto"/>
        <w:ind w:left="720" w:firstLine="723" w:firstLineChars="200"/>
        <w:outlineLvl w:val="0"/>
        <w:rPr>
          <w:rFonts w:hint="eastAsia" w:ascii="仿宋" w:hAnsi="仿宋" w:eastAsia="仿宋" w:cs="仿宋"/>
          <w:b/>
          <w:color w:val="auto"/>
          <w:sz w:val="36"/>
          <w:szCs w:val="20"/>
          <w:highlight w:val="none"/>
        </w:rPr>
      </w:pPr>
    </w:p>
    <w:p w14:paraId="123514AC">
      <w:pPr>
        <w:spacing w:line="360" w:lineRule="auto"/>
        <w:ind w:left="720" w:firstLine="723" w:firstLineChars="200"/>
        <w:outlineLvl w:val="0"/>
        <w:rPr>
          <w:rFonts w:hint="eastAsia" w:ascii="仿宋" w:hAnsi="仿宋" w:eastAsia="仿宋" w:cs="仿宋"/>
          <w:b/>
          <w:color w:val="auto"/>
          <w:sz w:val="36"/>
          <w:szCs w:val="20"/>
          <w:highlight w:val="none"/>
        </w:rPr>
      </w:pPr>
    </w:p>
    <w:p w14:paraId="56470BAE">
      <w:pPr>
        <w:spacing w:line="360" w:lineRule="auto"/>
        <w:ind w:left="720" w:firstLine="723" w:firstLineChars="200"/>
        <w:outlineLvl w:val="0"/>
        <w:rPr>
          <w:rFonts w:hint="eastAsia" w:ascii="仿宋" w:hAnsi="仿宋" w:eastAsia="仿宋" w:cs="仿宋"/>
          <w:b/>
          <w:color w:val="auto"/>
          <w:sz w:val="36"/>
          <w:szCs w:val="20"/>
          <w:highlight w:val="none"/>
        </w:rPr>
      </w:pPr>
    </w:p>
    <w:p w14:paraId="2D009601">
      <w:pPr>
        <w:spacing w:line="360" w:lineRule="auto"/>
        <w:ind w:left="720" w:firstLine="723" w:firstLineChars="200"/>
        <w:outlineLvl w:val="0"/>
        <w:rPr>
          <w:rFonts w:hint="eastAsia" w:ascii="仿宋" w:hAnsi="仿宋" w:eastAsia="仿宋" w:cs="仿宋"/>
          <w:b/>
          <w:color w:val="auto"/>
          <w:sz w:val="36"/>
          <w:szCs w:val="20"/>
          <w:highlight w:val="none"/>
        </w:rPr>
      </w:pPr>
    </w:p>
    <w:p w14:paraId="10DF2065">
      <w:pPr>
        <w:spacing w:line="360" w:lineRule="auto"/>
        <w:ind w:left="720" w:firstLine="723" w:firstLineChars="200"/>
        <w:outlineLvl w:val="0"/>
        <w:rPr>
          <w:rFonts w:hint="eastAsia" w:ascii="仿宋" w:hAnsi="仿宋" w:eastAsia="仿宋" w:cs="仿宋"/>
          <w:b/>
          <w:color w:val="auto"/>
          <w:sz w:val="36"/>
          <w:szCs w:val="20"/>
          <w:highlight w:val="none"/>
        </w:rPr>
      </w:pPr>
    </w:p>
    <w:p w14:paraId="5F371744">
      <w:pPr>
        <w:spacing w:line="360" w:lineRule="auto"/>
        <w:ind w:left="720" w:firstLine="723" w:firstLineChars="200"/>
        <w:outlineLvl w:val="0"/>
        <w:rPr>
          <w:rFonts w:hint="eastAsia" w:ascii="仿宋" w:hAnsi="仿宋" w:eastAsia="仿宋" w:cs="仿宋"/>
          <w:b/>
          <w:color w:val="auto"/>
          <w:sz w:val="36"/>
          <w:szCs w:val="20"/>
          <w:highlight w:val="none"/>
        </w:rPr>
      </w:pPr>
    </w:p>
    <w:p w14:paraId="66DA4652">
      <w:pPr>
        <w:spacing w:line="360" w:lineRule="auto"/>
        <w:ind w:left="720" w:firstLine="723" w:firstLineChars="200"/>
        <w:outlineLvl w:val="0"/>
        <w:rPr>
          <w:rFonts w:hint="eastAsia" w:ascii="仿宋" w:hAnsi="仿宋" w:eastAsia="仿宋" w:cs="仿宋"/>
          <w:b/>
          <w:color w:val="auto"/>
          <w:sz w:val="36"/>
          <w:szCs w:val="20"/>
          <w:highlight w:val="none"/>
        </w:rPr>
      </w:pPr>
    </w:p>
    <w:p w14:paraId="16594101">
      <w:pPr>
        <w:spacing w:line="360" w:lineRule="auto"/>
        <w:ind w:left="720" w:firstLine="723" w:firstLineChars="200"/>
        <w:outlineLvl w:val="0"/>
        <w:rPr>
          <w:rFonts w:hint="eastAsia" w:ascii="仿宋" w:hAnsi="仿宋" w:eastAsia="仿宋" w:cs="仿宋"/>
          <w:b/>
          <w:color w:val="auto"/>
          <w:sz w:val="36"/>
          <w:szCs w:val="20"/>
          <w:highlight w:val="none"/>
        </w:rPr>
      </w:pPr>
    </w:p>
    <w:p w14:paraId="3786158E">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42"/>
    <w:bookmarkEnd w:id="43"/>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3"/>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A31E126">
      <w:pPr>
        <w:snapToGrid w:val="0"/>
        <w:spacing w:line="360" w:lineRule="auto"/>
        <w:rPr>
          <w:rFonts w:hint="default" w:ascii="仿宋" w:hAnsi="仿宋" w:eastAsia="仿宋" w:cs="仿宋"/>
          <w:color w:val="auto"/>
          <w:sz w:val="24"/>
          <w:highlight w:val="none"/>
          <w:lang w:val="en-US" w:eastAsia="zh-CN"/>
        </w:rPr>
      </w:pPr>
      <w:r>
        <w:rPr>
          <w:rFonts w:hint="eastAsia" w:ascii="仿宋_GB2312" w:hAnsi="仿宋" w:eastAsia="仿宋_GB2312" w:cs="仿宋"/>
          <w:color w:val="auto"/>
          <w:sz w:val="24"/>
          <w:highlight w:val="none"/>
        </w:rPr>
        <w:t>（3）残疾人福利性单位声明函……………………………………………………（页码）</w:t>
      </w:r>
      <w:r>
        <w:rPr>
          <w:rFonts w:hint="eastAsia" w:ascii="仿宋" w:eastAsia="仿宋" w:cs="仿宋"/>
          <w:b w:val="0"/>
          <w:bCs w:val="0"/>
          <w:color w:val="auto"/>
          <w:sz w:val="24"/>
          <w:highlight w:val="none"/>
          <w:lang w:eastAsia="zh-CN"/>
        </w:rPr>
        <w:t>（</w:t>
      </w:r>
      <w:r>
        <w:rPr>
          <w:rFonts w:hint="eastAsia" w:ascii="仿宋" w:eastAsia="仿宋" w:cs="仿宋"/>
          <w:b w:val="0"/>
          <w:bCs w:val="0"/>
          <w:color w:val="auto"/>
          <w:sz w:val="24"/>
          <w:highlight w:val="none"/>
          <w:lang w:val="en-US" w:eastAsia="zh-CN"/>
        </w:rPr>
        <w:t>4</w:t>
      </w:r>
      <w:r>
        <w:rPr>
          <w:rFonts w:hint="eastAsia" w:ascii="仿宋" w:eastAsia="仿宋" w:cs="仿宋"/>
          <w:b w:val="0"/>
          <w:bCs w:val="0"/>
          <w:color w:val="auto"/>
          <w:sz w:val="24"/>
          <w:highlight w:val="none"/>
          <w:lang w:eastAsia="zh-CN"/>
        </w:rPr>
        <w:t>）关于符合本国产品标准的声明函或有关证明文件(如有）</w:t>
      </w:r>
      <w:r>
        <w:rPr>
          <w:rFonts w:hint="eastAsia" w:ascii="仿宋" w:hAnsi="仿宋" w:eastAsia="仿宋" w:cs="仿宋"/>
          <w:b w:val="0"/>
          <w:bCs w:val="0"/>
          <w:color w:val="auto"/>
          <w:sz w:val="24"/>
          <w:highlight w:val="none"/>
          <w:lang w:eastAsia="zh-CN"/>
        </w:rPr>
        <w:t>………………（页码）（</w:t>
      </w:r>
      <w:r>
        <w:rPr>
          <w:rFonts w:hint="eastAsia" w:asci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lang w:eastAsia="zh-CN"/>
        </w:rPr>
        <w:t>）关于符合本国产品标准的成本占比的承诺函</w:t>
      </w:r>
      <w:r>
        <w:rPr>
          <w:rFonts w:hint="eastAsia" w:ascii="仿宋" w:eastAsia="仿宋" w:cs="仿宋"/>
          <w:b w:val="0"/>
          <w:bCs w:val="0"/>
          <w:color w:val="auto"/>
          <w:sz w:val="24"/>
          <w:highlight w:val="none"/>
          <w:lang w:eastAsia="zh-CN"/>
        </w:rPr>
        <w:t>(如有）</w:t>
      </w:r>
      <w:r>
        <w:rPr>
          <w:rFonts w:hint="eastAsia" w:ascii="仿宋" w:hAnsi="仿宋" w:eastAsia="仿宋" w:cs="仿宋"/>
          <w:b w:val="0"/>
          <w:bCs w:val="0"/>
          <w:color w:val="auto"/>
          <w:sz w:val="24"/>
          <w:highlight w:val="none"/>
          <w:lang w:eastAsia="zh-CN"/>
        </w:rPr>
        <w:t>……………………（页码）</w:t>
      </w:r>
    </w:p>
    <w:p w14:paraId="38EEF906">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117160A8">
      <w:pPr>
        <w:pStyle w:val="82"/>
        <w:spacing w:line="360" w:lineRule="auto"/>
        <w:ind w:left="0" w:leftChars="0" w:firstLine="0" w:firstLineChars="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C7F7E9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w:t>
      </w:r>
      <w:r>
        <w:rPr>
          <w:rFonts w:hint="default" w:ascii="仿宋" w:hAnsi="仿宋" w:eastAsia="仿宋" w:cs="仿宋"/>
          <w:b/>
          <w:bCs/>
          <w:i w:val="0"/>
          <w:iCs w:val="0"/>
          <w:color w:val="auto"/>
          <w:spacing w:val="-20"/>
          <w:kern w:val="2"/>
          <w:sz w:val="32"/>
          <w:szCs w:val="32"/>
          <w:highlight w:val="none"/>
          <w:vertAlign w:val="baseline"/>
          <w:lang w:val="en-US" w:eastAsia="zh-CN" w:bidi="ar-SA"/>
        </w:rPr>
        <w:t>关于符合本国产品标准的声明函</w:t>
      </w:r>
      <w:r>
        <w:rPr>
          <w:rFonts w:hint="eastAsia" w:ascii="仿宋" w:hAnsi="仿宋" w:eastAsia="仿宋" w:cs="仿宋"/>
          <w:b/>
          <w:bCs/>
          <w:i w:val="0"/>
          <w:iCs w:val="0"/>
          <w:color w:val="auto"/>
          <w:spacing w:val="-20"/>
          <w:kern w:val="2"/>
          <w:sz w:val="32"/>
          <w:szCs w:val="32"/>
          <w:highlight w:val="none"/>
          <w:vertAlign w:val="baseline"/>
          <w:lang w:val="en-US" w:eastAsia="zh-CN" w:bidi="ar-SA"/>
        </w:rPr>
        <w:t>或有关证明文件(</w:t>
      </w:r>
      <w:r>
        <w:rPr>
          <w:rFonts w:hint="default" w:ascii="仿宋" w:hAnsi="仿宋" w:eastAsia="仿宋" w:cs="仿宋"/>
          <w:b/>
          <w:bCs/>
          <w:i w:val="0"/>
          <w:iCs w:val="0"/>
          <w:color w:val="auto"/>
          <w:spacing w:val="-20"/>
          <w:kern w:val="2"/>
          <w:sz w:val="32"/>
          <w:szCs w:val="32"/>
          <w:highlight w:val="none"/>
          <w:vertAlign w:val="baseline"/>
          <w:lang w:val="en-US" w:eastAsia="zh-CN" w:bidi="ar-SA"/>
        </w:rPr>
        <w:t>如有）</w:t>
      </w:r>
    </w:p>
    <w:p w14:paraId="00D9EAD3">
      <w:pPr>
        <w:widowControl/>
        <w:autoSpaceDE w:val="0"/>
        <w:autoSpaceDN w:val="0"/>
        <w:adjustRightInd w:val="0"/>
        <w:spacing w:line="360" w:lineRule="auto"/>
        <w:ind w:firstLine="120" w:firstLineChars="50"/>
        <w:jc w:val="left"/>
        <w:rPr>
          <w:rFonts w:hint="eastAsia"/>
          <w:color w:val="auto"/>
          <w:highlight w:val="none"/>
          <w:lang w:val="en-US" w:eastAsia="zh-CN"/>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w:t>
      </w:r>
      <w:r>
        <w:rPr>
          <w:rFonts w:hint="eastAsia" w:ascii="仿宋" w:hAnsi="仿宋" w:eastAsia="仿宋" w:cs="仿宋"/>
          <w:b/>
          <w:bCs/>
          <w:i w:val="0"/>
          <w:iCs w:val="0"/>
          <w:snapToGrid w:val="0"/>
          <w:color w:val="auto"/>
          <w:kern w:val="2"/>
          <w:sz w:val="24"/>
          <w:szCs w:val="21"/>
          <w:highlight w:val="none"/>
          <w:vertAlign w:val="baseline"/>
          <w:lang w:val="zh-CN" w:eastAsia="zh-CN" w:bidi="ar-SA"/>
        </w:rPr>
        <w:t>《国务院办公厅关于在政府采购中实施本国产品标准及相关政策的通知》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default"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default"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5B664F19">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005F9B3E">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4FF4194F">
      <w:pPr>
        <w:widowControl/>
        <w:adjustRightInd w:val="0"/>
        <w:spacing w:line="360" w:lineRule="auto"/>
        <w:ind w:firstLine="161" w:firstLineChars="50"/>
        <w:jc w:val="center"/>
        <w:rPr>
          <w:rFonts w:hint="default"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2035B30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7" w:name="OLE_LINK14"/>
      <w:bookmarkStart w:id="198"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51510006">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722E2DD2">
    <w:panose1 w:val="020B0704020202020204"/>
    <w:charset w:val="00"/>
    <w:family w:val="auto"/>
    <w:pitch w:val="default"/>
    <w:sig w:usb0="00000001" w:usb1="00000000" w:usb2="00000000" w:usb3="00000000" w:csb0="00000001" w:csb1="00000000"/>
  </w:font>
  <w:font w:name="KSOF3D47F291">
    <w:panose1 w:val="020B0604020202020204"/>
    <w:charset w:val="00"/>
    <w:family w:val="auto"/>
    <w:pitch w:val="default"/>
    <w:sig w:usb0="00000001" w:usb1="00000000" w:usb2="00000000" w:usb3="00000000" w:csb0="0000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36110187"/>
    <w:bookmarkStart w:id="200" w:name="_Toc91899912"/>
    <w:bookmarkStart w:id="201" w:name="_Toc164085800"/>
    <w:bookmarkStart w:id="202" w:name="_Toc131845147"/>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330600263010080000177-ZJXSC-2026-133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 xml:space="preserve">330600263010080000177-330600263010080000177-ZJXSC-2026-133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 xml:space="preserve">330600263010080000177-ZJXSC-2026-133     </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6E2EE1"/>
    <w:rsid w:val="02D92666"/>
    <w:rsid w:val="033E089E"/>
    <w:rsid w:val="042406E0"/>
    <w:rsid w:val="05A10891"/>
    <w:rsid w:val="06D74677"/>
    <w:rsid w:val="06FB15E8"/>
    <w:rsid w:val="07672DE2"/>
    <w:rsid w:val="0838424D"/>
    <w:rsid w:val="0983157E"/>
    <w:rsid w:val="0E3E7767"/>
    <w:rsid w:val="0E6D207C"/>
    <w:rsid w:val="0ECE1DE4"/>
    <w:rsid w:val="0FA0239A"/>
    <w:rsid w:val="0FF3742C"/>
    <w:rsid w:val="118755A1"/>
    <w:rsid w:val="13EA1322"/>
    <w:rsid w:val="14127BE9"/>
    <w:rsid w:val="14164AE9"/>
    <w:rsid w:val="169E17AF"/>
    <w:rsid w:val="1880083A"/>
    <w:rsid w:val="1ADD783B"/>
    <w:rsid w:val="1B515E62"/>
    <w:rsid w:val="1BDB5157"/>
    <w:rsid w:val="1DBF2B55"/>
    <w:rsid w:val="21542507"/>
    <w:rsid w:val="23D63880"/>
    <w:rsid w:val="253F23A5"/>
    <w:rsid w:val="2605622A"/>
    <w:rsid w:val="26793F37"/>
    <w:rsid w:val="27AC29FE"/>
    <w:rsid w:val="28A51F68"/>
    <w:rsid w:val="2A524392"/>
    <w:rsid w:val="2CDA6E57"/>
    <w:rsid w:val="306B31D8"/>
    <w:rsid w:val="35D129A2"/>
    <w:rsid w:val="36967B0F"/>
    <w:rsid w:val="36EF6EE9"/>
    <w:rsid w:val="3CE1395A"/>
    <w:rsid w:val="3DF02037"/>
    <w:rsid w:val="3F001A9D"/>
    <w:rsid w:val="3F326AC0"/>
    <w:rsid w:val="40B90D30"/>
    <w:rsid w:val="41C6334A"/>
    <w:rsid w:val="438F7533"/>
    <w:rsid w:val="43BC214A"/>
    <w:rsid w:val="458817F7"/>
    <w:rsid w:val="45AD5B38"/>
    <w:rsid w:val="45DE23F8"/>
    <w:rsid w:val="47326228"/>
    <w:rsid w:val="48B169CB"/>
    <w:rsid w:val="491821BF"/>
    <w:rsid w:val="4DE4148C"/>
    <w:rsid w:val="4EA43381"/>
    <w:rsid w:val="4FAE554B"/>
    <w:rsid w:val="50C301CB"/>
    <w:rsid w:val="517400E9"/>
    <w:rsid w:val="52C930A5"/>
    <w:rsid w:val="53D9331C"/>
    <w:rsid w:val="55EB160A"/>
    <w:rsid w:val="562C7BC8"/>
    <w:rsid w:val="57DAE6E1"/>
    <w:rsid w:val="598D188B"/>
    <w:rsid w:val="5BC97948"/>
    <w:rsid w:val="5C7D5DE1"/>
    <w:rsid w:val="5D177188"/>
    <w:rsid w:val="5D6F2F67"/>
    <w:rsid w:val="5DF96873"/>
    <w:rsid w:val="5F665FB3"/>
    <w:rsid w:val="5FC661D0"/>
    <w:rsid w:val="634D37F4"/>
    <w:rsid w:val="642152E2"/>
    <w:rsid w:val="64E95A2C"/>
    <w:rsid w:val="65077AE2"/>
    <w:rsid w:val="65B2251D"/>
    <w:rsid w:val="65D82061"/>
    <w:rsid w:val="65FF701E"/>
    <w:rsid w:val="680B3E5E"/>
    <w:rsid w:val="68D51EB4"/>
    <w:rsid w:val="68E83E5E"/>
    <w:rsid w:val="6A0C6288"/>
    <w:rsid w:val="6A4C6791"/>
    <w:rsid w:val="6AEF1016"/>
    <w:rsid w:val="6C1556D0"/>
    <w:rsid w:val="6CE54E57"/>
    <w:rsid w:val="6F386B71"/>
    <w:rsid w:val="70BC75C1"/>
    <w:rsid w:val="729E74BD"/>
    <w:rsid w:val="735F212F"/>
    <w:rsid w:val="74D508E1"/>
    <w:rsid w:val="781B32B2"/>
    <w:rsid w:val="782477E1"/>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28649</Words>
  <Characters>30765</Characters>
  <Paragraphs>2030</Paragraphs>
  <TotalTime>3</TotalTime>
  <ScaleCrop>false</ScaleCrop>
  <LinksUpToDate>false</LinksUpToDate>
  <CharactersWithSpaces>33369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595zzz_</cp:lastModifiedBy>
  <cp:lastPrinted>2023-09-26T02:17:00Z</cp:lastPrinted>
  <dcterms:modified xsi:type="dcterms:W3CDTF">2026-06-11T08:27:17Z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57D67774EBBB4E13ABF513C74D076092_13</vt:lpwstr>
  </property>
  <property fmtid="{D5CDD505-2E9C-101B-9397-08002B2CF9AE}" pid="5" name="KSOTemplateDocerSaveRecord">
    <vt:lpwstr>eyJoZGlkIjoiN2MwOTM4OGYwM2JhNDk0NjlhMmE2NDU0OTgxMzZhOWUiLCJ1c2VySWQiOiIxMTUwODg3Mjc4In0=</vt:lpwstr>
  </property>
</Properties>
</file>