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A7436">
      <w:pPr>
        <w:jc w:val="center"/>
        <w:outlineLvl w:val="0"/>
        <w:rPr>
          <w:rFonts w:hint="eastAsia" w:ascii="仿宋" w:hAnsi="仿宋" w:eastAsia="仿宋" w:cs="仿宋"/>
          <w:b/>
          <w:color w:val="auto"/>
          <w:spacing w:val="-12"/>
          <w:sz w:val="48"/>
          <w:szCs w:val="48"/>
          <w:highlight w:val="none"/>
        </w:rPr>
      </w:pPr>
    </w:p>
    <w:p w14:paraId="706AD53C">
      <w:pPr>
        <w:jc w:val="center"/>
        <w:outlineLvl w:val="0"/>
        <w:rPr>
          <w:rFonts w:hint="eastAsia" w:ascii="仿宋" w:hAnsi="仿宋" w:eastAsia="仿宋" w:cs="仿宋"/>
          <w:b/>
          <w:color w:val="auto"/>
          <w:spacing w:val="-12"/>
          <w:sz w:val="44"/>
          <w:szCs w:val="44"/>
          <w:highlight w:val="none"/>
          <w:lang w:eastAsia="zh-CN"/>
        </w:rPr>
      </w:pPr>
      <w:r>
        <w:rPr>
          <w:rFonts w:hint="eastAsia" w:ascii="仿宋" w:hAnsi="仿宋" w:eastAsia="仿宋" w:cs="仿宋"/>
          <w:b/>
          <w:color w:val="auto"/>
          <w:spacing w:val="-12"/>
          <w:sz w:val="44"/>
          <w:szCs w:val="44"/>
          <w:highlight w:val="none"/>
        </w:rPr>
        <w:t>绍兴市中医院</w:t>
      </w:r>
      <w:r>
        <w:rPr>
          <w:rFonts w:hint="eastAsia" w:ascii="仿宋" w:hAnsi="仿宋" w:eastAsia="仿宋" w:cs="仿宋"/>
          <w:b/>
          <w:color w:val="auto"/>
          <w:spacing w:val="-12"/>
          <w:sz w:val="44"/>
          <w:szCs w:val="44"/>
          <w:highlight w:val="none"/>
          <w:lang w:eastAsia="zh-CN"/>
        </w:rPr>
        <w:t>2026年职工疗休养项目</w:t>
      </w:r>
    </w:p>
    <w:p w14:paraId="4A2D2841">
      <w:pPr>
        <w:outlineLvl w:val="0"/>
        <w:rPr>
          <w:rFonts w:hint="eastAsia" w:ascii="仿宋" w:hAnsi="仿宋" w:eastAsia="仿宋" w:cs="仿宋"/>
          <w:color w:val="auto"/>
          <w:sz w:val="44"/>
          <w:highlight w:val="none"/>
        </w:rPr>
      </w:pPr>
    </w:p>
    <w:p w14:paraId="490C9232">
      <w:pPr>
        <w:outlineLvl w:val="0"/>
        <w:rPr>
          <w:rFonts w:hint="eastAsia" w:ascii="仿宋" w:hAnsi="仿宋" w:eastAsia="仿宋" w:cs="仿宋"/>
          <w:color w:val="auto"/>
          <w:sz w:val="44"/>
          <w:highlight w:val="none"/>
        </w:rPr>
      </w:pPr>
    </w:p>
    <w:p w14:paraId="0E8C7871">
      <w:pPr>
        <w:jc w:val="center"/>
        <w:outlineLvl w:val="0"/>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公</w:t>
      </w:r>
    </w:p>
    <w:p w14:paraId="165ABABE">
      <w:pPr>
        <w:jc w:val="center"/>
        <w:outlineLvl w:val="0"/>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开</w:t>
      </w:r>
    </w:p>
    <w:p w14:paraId="1420510C">
      <w:pPr>
        <w:jc w:val="center"/>
        <w:outlineLvl w:val="0"/>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招</w:t>
      </w:r>
    </w:p>
    <w:p w14:paraId="0471AE54">
      <w:pPr>
        <w:jc w:val="center"/>
        <w:outlineLvl w:val="0"/>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标</w:t>
      </w:r>
    </w:p>
    <w:p w14:paraId="2FB31166">
      <w:pPr>
        <w:jc w:val="center"/>
        <w:outlineLvl w:val="0"/>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文</w:t>
      </w:r>
    </w:p>
    <w:p w14:paraId="62A0D7A0">
      <w:pPr>
        <w:jc w:val="center"/>
        <w:outlineLvl w:val="0"/>
        <w:rPr>
          <w:rFonts w:hint="eastAsia" w:ascii="仿宋" w:hAnsi="仿宋" w:eastAsia="仿宋" w:cs="仿宋"/>
          <w:color w:val="auto"/>
          <w:sz w:val="44"/>
          <w:highlight w:val="none"/>
        </w:rPr>
      </w:pPr>
      <w:r>
        <w:rPr>
          <w:rFonts w:hint="eastAsia" w:ascii="仿宋" w:hAnsi="仿宋" w:eastAsia="仿宋" w:cs="仿宋"/>
          <w:b/>
          <w:color w:val="auto"/>
          <w:sz w:val="72"/>
          <w:szCs w:val="72"/>
          <w:highlight w:val="none"/>
        </w:rPr>
        <w:t>件</w:t>
      </w:r>
    </w:p>
    <w:p w14:paraId="5EC7DE07">
      <w:pPr>
        <w:jc w:val="center"/>
        <w:outlineLvl w:val="0"/>
        <w:rPr>
          <w:rFonts w:hint="eastAsia" w:ascii="仿宋" w:hAnsi="仿宋" w:eastAsia="仿宋" w:cs="仿宋"/>
          <w:color w:val="auto"/>
          <w:sz w:val="44"/>
          <w:highlight w:val="none"/>
        </w:rPr>
      </w:pPr>
    </w:p>
    <w:p w14:paraId="657E5CE5">
      <w:pPr>
        <w:outlineLvl w:val="0"/>
        <w:rPr>
          <w:rFonts w:hint="eastAsia" w:ascii="仿宋" w:hAnsi="仿宋" w:eastAsia="仿宋" w:cs="仿宋"/>
          <w:color w:val="auto"/>
          <w:sz w:val="44"/>
          <w:highlight w:val="none"/>
        </w:rPr>
      </w:pPr>
    </w:p>
    <w:p w14:paraId="26EF0E65">
      <w:pPr>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招标编号:</w:t>
      </w:r>
      <w:r>
        <w:rPr>
          <w:rFonts w:hint="eastAsia" w:ascii="仿宋" w:hAnsi="仿宋" w:eastAsia="仿宋" w:cs="仿宋"/>
          <w:b/>
          <w:color w:val="auto"/>
          <w:sz w:val="28"/>
          <w:szCs w:val="28"/>
          <w:highlight w:val="none"/>
          <w:lang w:eastAsia="zh-CN"/>
        </w:rPr>
        <w:t>TYJZ2026</w:t>
      </w:r>
    </w:p>
    <w:tbl>
      <w:tblPr>
        <w:tblStyle w:val="44"/>
        <w:tblW w:w="7801" w:type="dxa"/>
        <w:jc w:val="center"/>
        <w:tblLayout w:type="fixed"/>
        <w:tblCellMar>
          <w:top w:w="0" w:type="dxa"/>
          <w:left w:w="108" w:type="dxa"/>
          <w:bottom w:w="0" w:type="dxa"/>
          <w:right w:w="108" w:type="dxa"/>
        </w:tblCellMar>
      </w:tblPr>
      <w:tblGrid>
        <w:gridCol w:w="2356"/>
        <w:gridCol w:w="5445"/>
      </w:tblGrid>
      <w:tr w14:paraId="093097A3">
        <w:tblPrEx>
          <w:tblCellMar>
            <w:top w:w="0" w:type="dxa"/>
            <w:left w:w="108" w:type="dxa"/>
            <w:bottom w:w="0" w:type="dxa"/>
            <w:right w:w="108" w:type="dxa"/>
          </w:tblCellMar>
        </w:tblPrEx>
        <w:trPr>
          <w:trHeight w:val="443" w:hRule="atLeast"/>
          <w:jc w:val="center"/>
        </w:trPr>
        <w:tc>
          <w:tcPr>
            <w:tcW w:w="2356" w:type="dxa"/>
          </w:tcPr>
          <w:p w14:paraId="1036FCB5">
            <w:pPr>
              <w:spacing w:after="100" w:afterAutospacing="1" w:line="440" w:lineRule="exact"/>
              <w:rPr>
                <w:rFonts w:hint="eastAsia" w:ascii="仿宋" w:hAnsi="仿宋" w:eastAsia="仿宋" w:cs="仿宋"/>
                <w:color w:val="auto"/>
                <w:sz w:val="28"/>
                <w:szCs w:val="28"/>
                <w:highlight w:val="none"/>
              </w:rPr>
            </w:pPr>
            <w:r>
              <w:rPr>
                <w:rFonts w:hint="eastAsia" w:ascii="仿宋" w:hAnsi="仿宋" w:eastAsia="仿宋" w:cs="仿宋"/>
                <w:color w:val="auto"/>
                <w:spacing w:val="93"/>
                <w:kern w:val="0"/>
                <w:sz w:val="28"/>
                <w:szCs w:val="28"/>
                <w:highlight w:val="none"/>
              </w:rPr>
              <w:t>采购单</w:t>
            </w:r>
            <w:r>
              <w:rPr>
                <w:rFonts w:hint="eastAsia" w:ascii="仿宋" w:hAnsi="仿宋" w:eastAsia="仿宋" w:cs="仿宋"/>
                <w:color w:val="auto"/>
                <w:spacing w:val="1"/>
                <w:kern w:val="0"/>
                <w:sz w:val="28"/>
                <w:szCs w:val="28"/>
                <w:highlight w:val="none"/>
              </w:rPr>
              <w:t>位</w:t>
            </w:r>
            <w:r>
              <w:rPr>
                <w:rFonts w:hint="eastAsia" w:ascii="仿宋" w:hAnsi="仿宋" w:eastAsia="仿宋" w:cs="仿宋"/>
                <w:color w:val="auto"/>
                <w:sz w:val="28"/>
                <w:szCs w:val="28"/>
                <w:highlight w:val="none"/>
              </w:rPr>
              <w:t>：</w:t>
            </w:r>
          </w:p>
        </w:tc>
        <w:tc>
          <w:tcPr>
            <w:tcW w:w="5445" w:type="dxa"/>
            <w:vAlign w:val="center"/>
          </w:tcPr>
          <w:p w14:paraId="5D2E3725">
            <w:pPr>
              <w:spacing w:line="320" w:lineRule="exact"/>
              <w:outlineLvl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绍兴市中医院</w:t>
            </w:r>
          </w:p>
        </w:tc>
      </w:tr>
      <w:tr w14:paraId="1547CB8A">
        <w:tblPrEx>
          <w:tblCellMar>
            <w:top w:w="0" w:type="dxa"/>
            <w:left w:w="108" w:type="dxa"/>
            <w:bottom w:w="0" w:type="dxa"/>
            <w:right w:w="108" w:type="dxa"/>
          </w:tblCellMar>
        </w:tblPrEx>
        <w:trPr>
          <w:trHeight w:val="494" w:hRule="atLeast"/>
          <w:jc w:val="center"/>
        </w:trPr>
        <w:tc>
          <w:tcPr>
            <w:tcW w:w="2356" w:type="dxa"/>
          </w:tcPr>
          <w:p w14:paraId="2A1AE660">
            <w:pPr>
              <w:spacing w:after="100" w:afterAutospacing="1" w:line="440" w:lineRule="exact"/>
              <w:rPr>
                <w:rFonts w:hint="eastAsia" w:ascii="仿宋" w:hAnsi="仿宋" w:eastAsia="仿宋" w:cs="仿宋"/>
                <w:color w:val="auto"/>
                <w:sz w:val="28"/>
                <w:szCs w:val="28"/>
                <w:highlight w:val="none"/>
              </w:rPr>
            </w:pPr>
            <w:r>
              <w:rPr>
                <w:rFonts w:hint="eastAsia" w:ascii="仿宋" w:hAnsi="仿宋" w:eastAsia="仿宋" w:cs="仿宋"/>
                <w:color w:val="auto"/>
                <w:spacing w:val="0"/>
                <w:kern w:val="0"/>
                <w:sz w:val="28"/>
                <w:szCs w:val="28"/>
                <w:highlight w:val="none"/>
                <w:fitText w:val="1680" w:id="1"/>
              </w:rPr>
              <w:t>采购代理机构</w:t>
            </w:r>
            <w:r>
              <w:rPr>
                <w:rFonts w:hint="eastAsia" w:ascii="仿宋" w:hAnsi="仿宋" w:eastAsia="仿宋" w:cs="仿宋"/>
                <w:color w:val="auto"/>
                <w:sz w:val="28"/>
                <w:szCs w:val="28"/>
                <w:highlight w:val="none"/>
              </w:rPr>
              <w:t>：</w:t>
            </w:r>
          </w:p>
        </w:tc>
        <w:tc>
          <w:tcPr>
            <w:tcW w:w="5445" w:type="dxa"/>
          </w:tcPr>
          <w:p w14:paraId="41EBADCD">
            <w:pPr>
              <w:spacing w:after="100" w:afterAutospacing="1"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泰宇建筑工程技术咨询有限公司</w:t>
            </w:r>
          </w:p>
        </w:tc>
      </w:tr>
      <w:tr w14:paraId="1759D367">
        <w:tblPrEx>
          <w:tblCellMar>
            <w:top w:w="0" w:type="dxa"/>
            <w:left w:w="108" w:type="dxa"/>
            <w:bottom w:w="0" w:type="dxa"/>
            <w:right w:w="108" w:type="dxa"/>
          </w:tblCellMar>
        </w:tblPrEx>
        <w:trPr>
          <w:trHeight w:val="333" w:hRule="atLeast"/>
          <w:jc w:val="center"/>
        </w:trPr>
        <w:tc>
          <w:tcPr>
            <w:tcW w:w="7801" w:type="dxa"/>
            <w:gridSpan w:val="2"/>
          </w:tcPr>
          <w:p w14:paraId="4ACF8657">
            <w:pPr>
              <w:spacing w:after="100" w:afterAutospacing="1" w:line="44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二○二</w:t>
            </w: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rPr>
              <w:t>月</w:t>
            </w:r>
          </w:p>
        </w:tc>
      </w:tr>
    </w:tbl>
    <w:p w14:paraId="2F19113A">
      <w:pPr>
        <w:pageBreakBefore/>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 xml:space="preserve">  </w:t>
      </w:r>
    </w:p>
    <w:p w14:paraId="53C21C9A">
      <w:pPr>
        <w:jc w:val="center"/>
        <w:rPr>
          <w:rFonts w:hint="eastAsia" w:ascii="仿宋" w:hAnsi="仿宋" w:eastAsia="仿宋" w:cs="仿宋"/>
          <w:b/>
          <w:color w:val="auto"/>
          <w:sz w:val="44"/>
          <w:szCs w:val="44"/>
          <w:highlight w:val="none"/>
        </w:rPr>
      </w:pPr>
    </w:p>
    <w:p w14:paraId="2FB2B947">
      <w:pPr>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目录</w:t>
      </w:r>
    </w:p>
    <w:p w14:paraId="6AB5B564">
      <w:pPr>
        <w:jc w:val="center"/>
        <w:rPr>
          <w:rFonts w:hint="eastAsia" w:ascii="仿宋" w:hAnsi="仿宋" w:eastAsia="仿宋" w:cs="仿宋"/>
          <w:b/>
          <w:color w:val="auto"/>
          <w:sz w:val="44"/>
          <w:szCs w:val="44"/>
          <w:highlight w:val="none"/>
        </w:rPr>
      </w:pPr>
    </w:p>
    <w:p w14:paraId="0B6E33EB">
      <w:pPr>
        <w:jc w:val="center"/>
        <w:rPr>
          <w:rFonts w:hint="eastAsia" w:ascii="仿宋" w:hAnsi="仿宋" w:eastAsia="仿宋" w:cs="仿宋"/>
          <w:color w:val="auto"/>
          <w:highlight w:val="none"/>
        </w:rPr>
      </w:pPr>
    </w:p>
    <w:p w14:paraId="14C403EF">
      <w:pPr>
        <w:snapToGrid w:val="0"/>
        <w:spacing w:line="480" w:lineRule="auto"/>
        <w:ind w:firstLine="1807" w:firstLineChars="500"/>
        <w:jc w:val="left"/>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第一部分    招标公告</w:t>
      </w:r>
    </w:p>
    <w:p w14:paraId="20FD1D79">
      <w:pPr>
        <w:snapToGrid w:val="0"/>
        <w:spacing w:line="480" w:lineRule="auto"/>
        <w:ind w:firstLine="1807" w:firstLineChars="500"/>
        <w:jc w:val="left"/>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第二部 分   投标须知</w:t>
      </w:r>
    </w:p>
    <w:p w14:paraId="125A2F01">
      <w:pPr>
        <w:snapToGrid w:val="0"/>
        <w:spacing w:line="480" w:lineRule="auto"/>
        <w:ind w:firstLine="1807" w:firstLineChars="500"/>
        <w:jc w:val="left"/>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第三部分    招标项目范围及要求</w:t>
      </w:r>
    </w:p>
    <w:p w14:paraId="53530D05">
      <w:pPr>
        <w:snapToGrid w:val="0"/>
        <w:spacing w:line="480" w:lineRule="auto"/>
        <w:ind w:firstLine="1807" w:firstLineChars="500"/>
        <w:jc w:val="left"/>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第四部分    合同的主要条款</w:t>
      </w:r>
    </w:p>
    <w:p w14:paraId="33A14E9F">
      <w:pPr>
        <w:snapToGrid w:val="0"/>
        <w:spacing w:line="480" w:lineRule="auto"/>
        <w:ind w:firstLine="1807" w:firstLineChars="500"/>
        <w:jc w:val="left"/>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第五部分    评标方法及标准</w:t>
      </w:r>
    </w:p>
    <w:p w14:paraId="2A9D2751">
      <w:pPr>
        <w:snapToGrid w:val="0"/>
        <w:spacing w:line="480" w:lineRule="auto"/>
        <w:ind w:firstLine="1807" w:firstLineChars="500"/>
        <w:jc w:val="left"/>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第六部分    投标文件及其附件格式</w:t>
      </w:r>
    </w:p>
    <w:p w14:paraId="7D650AC8">
      <w:pPr>
        <w:snapToGrid w:val="0"/>
        <w:spacing w:line="480" w:lineRule="auto"/>
        <w:jc w:val="left"/>
        <w:rPr>
          <w:rFonts w:hint="eastAsia" w:ascii="仿宋" w:hAnsi="仿宋" w:eastAsia="仿宋" w:cs="仿宋"/>
          <w:color w:val="auto"/>
          <w:sz w:val="36"/>
          <w:szCs w:val="36"/>
          <w:highlight w:val="none"/>
        </w:rPr>
      </w:pPr>
    </w:p>
    <w:p w14:paraId="2E01D2EC">
      <w:pPr>
        <w:snapToGrid w:val="0"/>
        <w:spacing w:line="480" w:lineRule="auto"/>
        <w:jc w:val="left"/>
        <w:rPr>
          <w:rFonts w:hint="eastAsia" w:ascii="仿宋" w:hAnsi="仿宋" w:eastAsia="仿宋" w:cs="仿宋"/>
          <w:color w:val="auto"/>
          <w:sz w:val="36"/>
          <w:szCs w:val="36"/>
          <w:highlight w:val="none"/>
        </w:rPr>
      </w:pPr>
    </w:p>
    <w:p w14:paraId="3A2A231C">
      <w:pPr>
        <w:snapToGrid w:val="0"/>
        <w:spacing w:line="480" w:lineRule="auto"/>
        <w:jc w:val="left"/>
        <w:rPr>
          <w:rFonts w:hint="eastAsia" w:ascii="仿宋" w:hAnsi="仿宋" w:eastAsia="仿宋" w:cs="仿宋"/>
          <w:color w:val="auto"/>
          <w:sz w:val="36"/>
          <w:szCs w:val="36"/>
          <w:highlight w:val="none"/>
        </w:rPr>
      </w:pPr>
    </w:p>
    <w:p w14:paraId="1478C911">
      <w:pPr>
        <w:snapToGrid w:val="0"/>
        <w:spacing w:line="480" w:lineRule="auto"/>
        <w:jc w:val="left"/>
        <w:rPr>
          <w:rFonts w:hint="eastAsia" w:ascii="仿宋" w:hAnsi="仿宋" w:eastAsia="仿宋" w:cs="仿宋"/>
          <w:color w:val="auto"/>
          <w:sz w:val="36"/>
          <w:szCs w:val="36"/>
          <w:highlight w:val="none"/>
        </w:rPr>
      </w:pPr>
    </w:p>
    <w:p w14:paraId="4BA8E74B">
      <w:pPr>
        <w:snapToGrid w:val="0"/>
        <w:spacing w:line="480" w:lineRule="auto"/>
        <w:jc w:val="left"/>
        <w:rPr>
          <w:rFonts w:hint="eastAsia" w:ascii="仿宋" w:hAnsi="仿宋" w:eastAsia="仿宋" w:cs="仿宋"/>
          <w:color w:val="auto"/>
          <w:sz w:val="36"/>
          <w:szCs w:val="36"/>
          <w:highlight w:val="none"/>
        </w:rPr>
      </w:pPr>
    </w:p>
    <w:p w14:paraId="588CADC6">
      <w:pPr>
        <w:pageBreakBefore/>
        <w:widowControl/>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第一部分 招标公告</w:t>
      </w:r>
    </w:p>
    <w:tbl>
      <w:tblPr>
        <w:tblStyle w:val="44"/>
        <w:tblW w:w="8789" w:type="dxa"/>
        <w:tblInd w:w="0" w:type="dxa"/>
        <w:tblLayout w:type="fixed"/>
        <w:tblCellMar>
          <w:top w:w="0" w:type="dxa"/>
          <w:left w:w="0" w:type="dxa"/>
          <w:bottom w:w="0" w:type="dxa"/>
          <w:right w:w="0" w:type="dxa"/>
        </w:tblCellMar>
      </w:tblPr>
      <w:tblGrid>
        <w:gridCol w:w="8789"/>
      </w:tblGrid>
      <w:tr w14:paraId="73C0C12D">
        <w:tblPrEx>
          <w:tblCellMar>
            <w:top w:w="0" w:type="dxa"/>
            <w:left w:w="0" w:type="dxa"/>
            <w:bottom w:w="0" w:type="dxa"/>
            <w:right w:w="0" w:type="dxa"/>
          </w:tblCellMar>
        </w:tblPrEx>
        <w:trPr>
          <w:trHeight w:val="1426" w:hRule="atLeast"/>
        </w:trPr>
        <w:tc>
          <w:tcPr>
            <w:tcW w:w="8789" w:type="dxa"/>
            <w:vAlign w:val="center"/>
          </w:tcPr>
          <w:p w14:paraId="10A8B1D1">
            <w:pPr>
              <w:rPr>
                <w:rFonts w:hint="eastAsia" w:ascii="仿宋" w:hAnsi="仿宋" w:eastAsia="仿宋" w:cs="仿宋"/>
                <w:color w:val="auto"/>
                <w:highlight w:val="none"/>
              </w:rPr>
            </w:pPr>
            <w:r>
              <w:rPr>
                <w:rFonts w:hint="eastAsia" w:ascii="仿宋" w:hAnsi="仿宋" w:eastAsia="仿宋" w:cs="仿宋"/>
                <w:color w:val="auto"/>
                <w:highlight w:val="none"/>
              </w:rPr>
              <w:br w:type="page"/>
            </w:r>
          </w:p>
          <w:tbl>
            <w:tblPr>
              <w:tblStyle w:val="44"/>
              <w:tblW w:w="8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2"/>
            </w:tblGrid>
            <w:tr w14:paraId="37100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8612" w:type="dxa"/>
                </w:tcPr>
                <w:p w14:paraId="2A40EDE3">
                  <w:pPr>
                    <w:pStyle w:val="72"/>
                    <w:spacing w:afterLines="0"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项目概况：</w:t>
                  </w:r>
                </w:p>
                <w:p w14:paraId="7629CE16">
                  <w:pPr>
                    <w:pStyle w:val="72"/>
                    <w:spacing w:afterLines="0"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绍兴市中医院</w:t>
                  </w:r>
                  <w:r>
                    <w:rPr>
                      <w:rFonts w:hint="eastAsia" w:ascii="仿宋" w:hAnsi="仿宋" w:eastAsia="仿宋" w:cs="仿宋"/>
                      <w:color w:val="auto"/>
                      <w:szCs w:val="24"/>
                      <w:highlight w:val="none"/>
                      <w:lang w:eastAsia="zh-CN"/>
                    </w:rPr>
                    <w:t>2026年职工疗休养项目</w:t>
                  </w:r>
                  <w:r>
                    <w:rPr>
                      <w:rFonts w:hint="eastAsia" w:ascii="仿宋" w:hAnsi="仿宋" w:eastAsia="仿宋" w:cs="仿宋"/>
                      <w:color w:val="auto"/>
                      <w:szCs w:val="24"/>
                      <w:highlight w:val="none"/>
                    </w:rPr>
                    <w:t>的潜在投标人向采购代理机构获取招标文件，并于202</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年月日 09:00（北京时间）前递交投标文件。</w:t>
                  </w:r>
                </w:p>
              </w:tc>
            </w:tr>
          </w:tbl>
          <w:p w14:paraId="2697BC6A">
            <w:pPr>
              <w:pStyle w:val="72"/>
              <w:spacing w:afterLines="0" w:line="440" w:lineRule="exact"/>
              <w:ind w:firstLine="48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一、项目基本情况</w:t>
            </w:r>
          </w:p>
          <w:p w14:paraId="2BAB74C9">
            <w:pPr>
              <w:pStyle w:val="72"/>
              <w:spacing w:afterLines="0" w:line="440" w:lineRule="exact"/>
              <w:ind w:firstLine="48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项目编号：</w:t>
            </w:r>
            <w:r>
              <w:rPr>
                <w:rFonts w:hint="eastAsia" w:ascii="仿宋" w:hAnsi="仿宋" w:eastAsia="仿宋" w:cs="仿宋"/>
                <w:color w:val="auto"/>
                <w:szCs w:val="24"/>
                <w:highlight w:val="none"/>
                <w:lang w:eastAsia="zh-CN"/>
              </w:rPr>
              <w:t>TYJZ2026</w:t>
            </w:r>
          </w:p>
          <w:p w14:paraId="3A8E852B">
            <w:pPr>
              <w:pStyle w:val="72"/>
              <w:spacing w:afterLines="0" w:line="440" w:lineRule="exact"/>
              <w:ind w:firstLine="48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项目名称：绍兴市中医院</w:t>
            </w:r>
            <w:r>
              <w:rPr>
                <w:rFonts w:hint="eastAsia" w:ascii="仿宋" w:hAnsi="仿宋" w:eastAsia="仿宋" w:cs="仿宋"/>
                <w:color w:val="auto"/>
                <w:szCs w:val="24"/>
                <w:highlight w:val="none"/>
                <w:lang w:eastAsia="zh-CN"/>
              </w:rPr>
              <w:t>2026年职工疗休养项目</w:t>
            </w:r>
          </w:p>
          <w:p w14:paraId="37858167">
            <w:pPr>
              <w:pStyle w:val="72"/>
              <w:spacing w:afterLines="0"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采购方式：公开招标</w:t>
            </w:r>
          </w:p>
          <w:p w14:paraId="246260C7">
            <w:pPr>
              <w:pStyle w:val="72"/>
              <w:spacing w:afterLines="0"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采购需求：</w:t>
            </w:r>
          </w:p>
          <w:p w14:paraId="35CE7830">
            <w:pPr>
              <w:pStyle w:val="72"/>
              <w:spacing w:afterLines="0" w:line="440" w:lineRule="exact"/>
              <w:ind w:firstLine="480"/>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标项一:</w:t>
            </w:r>
          </w:p>
          <w:p w14:paraId="3DB106DC">
            <w:pPr>
              <w:pStyle w:val="72"/>
              <w:spacing w:afterLines="0" w:line="440" w:lineRule="exact"/>
              <w:ind w:firstLine="48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 xml:space="preserve">标项名称: </w:t>
            </w:r>
            <w:r>
              <w:rPr>
                <w:rFonts w:hint="eastAsia" w:ascii="仿宋" w:hAnsi="仿宋" w:eastAsia="仿宋" w:cs="仿宋"/>
                <w:color w:val="auto"/>
                <w:szCs w:val="24"/>
                <w:highlight w:val="none"/>
                <w:lang w:eastAsia="zh-CN"/>
              </w:rPr>
              <w:t>2026年职工疗休养</w:t>
            </w:r>
          </w:p>
          <w:p w14:paraId="5DDBEE2E">
            <w:pPr>
              <w:pStyle w:val="72"/>
              <w:spacing w:afterLines="0" w:line="440" w:lineRule="exact"/>
              <w:ind w:firstLine="48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rPr>
              <w:t>数量:</w:t>
            </w:r>
            <w:r>
              <w:rPr>
                <w:rFonts w:hint="eastAsia" w:ascii="仿宋" w:hAnsi="仿宋" w:eastAsia="仿宋" w:cs="仿宋"/>
                <w:color w:val="auto"/>
                <w:szCs w:val="24"/>
                <w:highlight w:val="none"/>
                <w:lang w:val="en-US" w:eastAsia="zh-CN"/>
              </w:rPr>
              <w:t xml:space="preserve"> </w:t>
            </w:r>
            <w:bookmarkStart w:id="170" w:name="_GoBack"/>
            <w:bookmarkEnd w:id="170"/>
            <w:r>
              <w:rPr>
                <w:rFonts w:hint="eastAsia" w:ascii="仿宋" w:hAnsi="仿宋" w:eastAsia="仿宋" w:cs="仿宋"/>
                <w:color w:val="auto"/>
                <w:szCs w:val="24"/>
                <w:highlight w:val="none"/>
                <w:lang w:val="en-US" w:eastAsia="zh-CN"/>
              </w:rPr>
              <w:t>990人</w:t>
            </w:r>
          </w:p>
          <w:p w14:paraId="471F4496">
            <w:pPr>
              <w:pStyle w:val="72"/>
              <w:spacing w:afterLines="0" w:line="440" w:lineRule="exact"/>
              <w:ind w:firstLine="48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rPr>
              <w:t>预算</w:t>
            </w:r>
            <w:r>
              <w:rPr>
                <w:rFonts w:hint="eastAsia" w:ascii="仿宋" w:hAnsi="仿宋" w:eastAsia="仿宋" w:cs="仿宋"/>
                <w:color w:val="auto"/>
                <w:szCs w:val="24"/>
                <w:highlight w:val="none"/>
                <w:lang w:val="en-US" w:eastAsia="zh-CN"/>
              </w:rPr>
              <w:t>金额</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约2180000元</w:t>
            </w:r>
          </w:p>
          <w:p w14:paraId="4179F14C">
            <w:pPr>
              <w:pStyle w:val="72"/>
              <w:spacing w:afterLines="0"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简要规格描述或项目基本概况介绍、用途：详见招标文件 </w:t>
            </w:r>
          </w:p>
          <w:p w14:paraId="2B367856">
            <w:pPr>
              <w:pStyle w:val="72"/>
              <w:spacing w:afterLines="0" w:line="440" w:lineRule="exact"/>
              <w:ind w:firstLine="48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rPr>
              <w:t>备注：</w:t>
            </w:r>
            <w:r>
              <w:rPr>
                <w:rFonts w:hint="eastAsia" w:ascii="仿宋" w:hAnsi="仿宋" w:eastAsia="仿宋" w:cs="仿宋"/>
                <w:color w:val="auto"/>
                <w:szCs w:val="24"/>
                <w:highlight w:val="none"/>
                <w:lang w:val="en-US" w:eastAsia="zh-CN"/>
              </w:rPr>
              <w:t>无</w:t>
            </w:r>
          </w:p>
          <w:p w14:paraId="2A8776CD">
            <w:pPr>
              <w:pStyle w:val="72"/>
              <w:spacing w:afterLines="0"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合同履约期限：按双方合同约定条款执行。</w:t>
            </w:r>
          </w:p>
          <w:p w14:paraId="0BBA477A">
            <w:pPr>
              <w:pStyle w:val="72"/>
              <w:spacing w:afterLines="0"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本项目（</w:t>
            </w:r>
            <w:r>
              <w:rPr>
                <w:rFonts w:hint="eastAsia" w:ascii="仿宋" w:hAnsi="仿宋" w:eastAsia="仿宋" w:cs="仿宋"/>
                <w:color w:val="auto"/>
                <w:szCs w:val="24"/>
                <w:highlight w:val="none"/>
                <w:lang w:eastAsia="zh-CN"/>
              </w:rPr>
              <w:t>否</w:t>
            </w:r>
            <w:r>
              <w:rPr>
                <w:rFonts w:hint="eastAsia" w:ascii="仿宋" w:hAnsi="仿宋" w:eastAsia="仿宋" w:cs="仿宋"/>
                <w:color w:val="auto"/>
                <w:szCs w:val="24"/>
                <w:highlight w:val="none"/>
              </w:rPr>
              <w:t>）接受联合体投标。</w:t>
            </w:r>
          </w:p>
          <w:p w14:paraId="7C20CE57">
            <w:pPr>
              <w:pStyle w:val="72"/>
              <w:spacing w:afterLines="0"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二、申请人的资格要求：</w:t>
            </w:r>
          </w:p>
          <w:p w14:paraId="28DCB6DB">
            <w:pPr>
              <w:pStyle w:val="72"/>
              <w:spacing w:after="120" w:line="440" w:lineRule="exact"/>
              <w:ind w:firstLine="48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1.符合《中华人民共和国政府采购法》第二十二条的规定 ；未被“信用中国”（www.creditchina.gov.cn）、中国政府采购网（www.ccgp.gov.cn）列入失信被执行人、重大税收违法案件当事人名单、政府采购严重违法失信行为记录名单。</w:t>
            </w:r>
          </w:p>
          <w:p w14:paraId="2A3DA42D">
            <w:pPr>
              <w:pStyle w:val="72"/>
              <w:numPr>
                <w:ilvl w:val="0"/>
                <w:numId w:val="0"/>
              </w:numPr>
              <w:spacing w:afterLines="0" w:line="440" w:lineRule="exact"/>
              <w:ind w:firstLine="482" w:firstLineChars="200"/>
              <w:rPr>
                <w:rFonts w:hint="eastAsia" w:ascii="仿宋" w:hAnsi="仿宋" w:eastAsia="仿宋" w:cs="仿宋"/>
                <w:color w:val="auto"/>
                <w:szCs w:val="24"/>
                <w:highlight w:val="none"/>
              </w:rPr>
            </w:pPr>
            <w:r>
              <w:rPr>
                <w:rFonts w:hint="eastAsia" w:ascii="仿宋" w:hAnsi="仿宋" w:eastAsia="仿宋" w:cs="仿宋"/>
                <w:b/>
                <w:bCs/>
                <w:color w:val="auto"/>
                <w:szCs w:val="24"/>
                <w:highlight w:val="none"/>
                <w:lang w:val="en-US" w:eastAsia="zh-CN"/>
              </w:rPr>
              <w:t>2.</w:t>
            </w:r>
            <w:r>
              <w:rPr>
                <w:rFonts w:hint="eastAsia" w:ascii="仿宋" w:hAnsi="仿宋" w:eastAsia="仿宋" w:cs="仿宋"/>
                <w:b/>
                <w:bCs/>
                <w:color w:val="auto"/>
                <w:szCs w:val="24"/>
                <w:highlight w:val="none"/>
              </w:rPr>
              <w:t>本项目的特定资格要求：</w:t>
            </w:r>
            <w:r>
              <w:rPr>
                <w:rFonts w:hint="eastAsia" w:ascii="仿宋" w:hAnsi="仿宋" w:eastAsia="仿宋" w:cs="仿宋"/>
                <w:b/>
                <w:bCs/>
                <w:color w:val="auto"/>
                <w:szCs w:val="24"/>
                <w:highlight w:val="none"/>
                <w:lang w:val="en-US" w:eastAsia="zh-CN"/>
              </w:rPr>
              <w:t>无；</w:t>
            </w:r>
          </w:p>
          <w:p w14:paraId="415ABD88">
            <w:pPr>
              <w:pStyle w:val="72"/>
              <w:numPr>
                <w:ilvl w:val="0"/>
                <w:numId w:val="0"/>
              </w:numPr>
              <w:spacing w:afterLines="0" w:line="44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50C5DED7">
            <w:pPr>
              <w:pStyle w:val="72"/>
              <w:spacing w:afterLines="0"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三、获取招标文件 </w:t>
            </w:r>
          </w:p>
          <w:p w14:paraId="71D05E37">
            <w:pPr>
              <w:pStyle w:val="72"/>
              <w:spacing w:afterLines="0"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时间：</w:t>
            </w:r>
            <w:r>
              <w:rPr>
                <w:rFonts w:hint="eastAsia" w:ascii="仿宋" w:hAnsi="仿宋" w:eastAsia="仿宋" w:cs="仿宋"/>
                <w:color w:val="auto"/>
                <w:highlight w:val="none"/>
              </w:rPr>
              <w:t>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年月日至202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年月日</w:t>
            </w:r>
            <w:r>
              <w:rPr>
                <w:rFonts w:hint="eastAsia" w:ascii="仿宋" w:hAnsi="仿宋" w:eastAsia="仿宋" w:cs="仿宋"/>
                <w:color w:val="auto"/>
                <w:szCs w:val="24"/>
                <w:highlight w:val="none"/>
              </w:rPr>
              <w:t>，每天上午8:30至11:30 ，下午14:00至16:30（北京时间，线下获取文件法定节假日除外）</w:t>
            </w:r>
          </w:p>
          <w:p w14:paraId="793856ED">
            <w:pPr>
              <w:pStyle w:val="72"/>
              <w:spacing w:afterLines="0"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方式：</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"mailto:网上报名，以扫描件邮件形式发至2429136371@qq.com邮箱内。（上述报名资料仅作为报名登记使用，报名时不对投标人资格是否符合作出评判）"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网上报名，以扫描件邮件形式发至2429136371@qq.com邮箱内。（上述报名资料仅作为报名登记使用，报名时不对投标人资格是否符合作出评判）</w:t>
            </w:r>
            <w:r>
              <w:rPr>
                <w:rFonts w:hint="eastAsia" w:ascii="仿宋" w:hAnsi="仿宋" w:eastAsia="仿宋" w:cs="仿宋"/>
                <w:color w:val="auto"/>
                <w:szCs w:val="24"/>
                <w:highlight w:val="none"/>
              </w:rPr>
              <w:fldChar w:fldCharType="end"/>
            </w:r>
          </w:p>
          <w:p w14:paraId="5E6A220E">
            <w:pPr>
              <w:pStyle w:val="72"/>
              <w:spacing w:afterLines="0"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报名资料：营业执照副本复印件、授权委托书或单位介绍信、授权委托人身份证复印件（备注：联系方式、邮箱）等（加盖公章）。</w:t>
            </w:r>
          </w:p>
          <w:p w14:paraId="49B7C72F">
            <w:pPr>
              <w:pStyle w:val="72"/>
              <w:spacing w:afterLines="0"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售价（元）：200 </w:t>
            </w:r>
            <w:r>
              <w:rPr>
                <w:rFonts w:hint="eastAsia" w:ascii="仿宋" w:hAnsi="仿宋" w:eastAsia="仿宋" w:cs="仿宋"/>
                <w:color w:val="auto"/>
                <w:highlight w:val="none"/>
              </w:rPr>
              <w:t>（售后不退，支付宝账号：13656752180，备注单位名称）</w:t>
            </w:r>
          </w:p>
          <w:p w14:paraId="71C65C81">
            <w:pPr>
              <w:pStyle w:val="72"/>
              <w:spacing w:afterLines="0"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四、提交投标文件截止时间、开标时间和地点</w:t>
            </w:r>
          </w:p>
          <w:p w14:paraId="2313FF1E">
            <w:pPr>
              <w:pStyle w:val="72"/>
              <w:spacing w:afterLines="0"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提交投标文件截止时间：202</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年月日 09:00（北京时间）</w:t>
            </w:r>
          </w:p>
          <w:p w14:paraId="28F9BD76">
            <w:pPr>
              <w:pStyle w:val="72"/>
              <w:spacing w:afterLines="0" w:line="440" w:lineRule="exact"/>
              <w:ind w:firstLine="480"/>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投标地点：</w:t>
            </w:r>
            <w:r>
              <w:rPr>
                <w:rFonts w:hint="eastAsia" w:ascii="仿宋" w:hAnsi="仿宋" w:eastAsia="仿宋" w:cs="仿宋"/>
                <w:color w:val="auto"/>
                <w:highlight w:val="none"/>
                <w:lang w:eastAsia="zh-CN"/>
              </w:rPr>
              <w:t>绍兴市越城区迎凤路87号鑫海大厦1601开标室</w:t>
            </w:r>
          </w:p>
          <w:p w14:paraId="2230BA57">
            <w:pPr>
              <w:pStyle w:val="72"/>
              <w:spacing w:afterLines="0"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开标时间：202</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年月日 09:00</w:t>
            </w:r>
          </w:p>
          <w:p w14:paraId="2D7A9D50">
            <w:pPr>
              <w:pStyle w:val="72"/>
              <w:spacing w:afterLines="0"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开标地点：</w:t>
            </w:r>
            <w:r>
              <w:rPr>
                <w:rFonts w:hint="eastAsia" w:ascii="仿宋" w:hAnsi="仿宋" w:eastAsia="仿宋" w:cs="仿宋"/>
                <w:color w:val="auto"/>
                <w:highlight w:val="none"/>
                <w:lang w:eastAsia="zh-CN"/>
              </w:rPr>
              <w:t>绍兴市越城区迎凤路87号鑫海大厦1601评标室</w:t>
            </w:r>
            <w:r>
              <w:rPr>
                <w:rFonts w:hint="eastAsia" w:ascii="仿宋" w:hAnsi="仿宋" w:eastAsia="仿宋" w:cs="仿宋"/>
                <w:color w:val="auto"/>
                <w:szCs w:val="24"/>
                <w:highlight w:val="none"/>
              </w:rPr>
              <w:t>。  </w:t>
            </w:r>
          </w:p>
          <w:p w14:paraId="20CB3E36">
            <w:pPr>
              <w:pStyle w:val="72"/>
              <w:spacing w:afterLines="0"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五、公告期限 </w:t>
            </w:r>
          </w:p>
          <w:p w14:paraId="4CE2B544">
            <w:pPr>
              <w:pStyle w:val="72"/>
              <w:spacing w:afterLines="0"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自本公告发布之日起5个工作日。</w:t>
            </w:r>
          </w:p>
          <w:p w14:paraId="020A3087">
            <w:pPr>
              <w:pStyle w:val="72"/>
              <w:spacing w:afterLines="0"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六、其他补充事宜</w:t>
            </w:r>
          </w:p>
          <w:p w14:paraId="4729AF81">
            <w:pPr>
              <w:pStyle w:val="72"/>
              <w:spacing w:afterLines="0"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w:t>
            </w:r>
          </w:p>
          <w:p w14:paraId="20971D9A">
            <w:pPr>
              <w:pStyle w:val="72"/>
              <w:spacing w:afterLines="0" w:line="440" w:lineRule="exact"/>
              <w:ind w:firstLine="480"/>
              <w:rPr>
                <w:rFonts w:hint="eastAsia" w:ascii="仿宋" w:hAnsi="仿宋" w:eastAsia="仿宋" w:cs="仿宋"/>
                <w:b/>
                <w:color w:val="auto"/>
                <w:sz w:val="24"/>
                <w:szCs w:val="24"/>
                <w:highlight w:val="none"/>
                <w:lang w:val="en-US" w:eastAsia="zh-CN"/>
              </w:rPr>
            </w:pPr>
            <w:r>
              <w:rPr>
                <w:rFonts w:hint="eastAsia" w:ascii="仿宋" w:hAnsi="仿宋" w:eastAsia="仿宋" w:cs="仿宋"/>
                <w:b/>
                <w:bCs/>
                <w:color w:val="auto"/>
                <w:szCs w:val="24"/>
                <w:highlight w:val="none"/>
              </w:rPr>
              <w:t>2.其他事项：</w:t>
            </w:r>
            <w:r>
              <w:rPr>
                <w:rFonts w:hint="eastAsia" w:ascii="仿宋" w:hAnsi="仿宋" w:eastAsia="仿宋" w:cs="仿宋"/>
                <w:b/>
                <w:color w:val="auto"/>
                <w:sz w:val="24"/>
                <w:highlight w:val="none"/>
                <w:lang w:eastAsia="zh-CN"/>
              </w:rPr>
              <w:t>本项目</w:t>
            </w:r>
            <w:r>
              <w:rPr>
                <w:rFonts w:hint="eastAsia" w:ascii="仿宋" w:hAnsi="仿宋" w:eastAsia="仿宋" w:cs="仿宋"/>
                <w:b/>
                <w:color w:val="auto"/>
                <w:sz w:val="24"/>
                <w:highlight w:val="none"/>
                <w:lang w:val="en-US" w:eastAsia="zh-CN"/>
              </w:rPr>
              <w:t>分5个包，每个包确定1家中标人。（1）投标人大于等于5家，依照得分高低，符合条件的前5家为入围单位；按得分从高到低的顺序，由入围单位现场依次自主选择1个包。（2）投标人小于5家，全部入围；按得分高低由入围单位依次每次选择1个包，直至所有包选择完毕。</w:t>
            </w:r>
          </w:p>
          <w:p w14:paraId="6F57D938">
            <w:pPr>
              <w:pStyle w:val="72"/>
              <w:spacing w:afterLines="0"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3.采购代理机构将拒绝接受未获取招标文件供应商的投标文件。</w:t>
            </w:r>
          </w:p>
          <w:p w14:paraId="63012C6A">
            <w:pPr>
              <w:pStyle w:val="72"/>
              <w:spacing w:afterLines="0"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4.招标文件的提供期限截止之日之后有潜在供应商提出获取招标文件的，采购代理机构将允许其获取。 </w:t>
            </w:r>
          </w:p>
          <w:p w14:paraId="586DEE9B">
            <w:pPr>
              <w:pStyle w:val="72"/>
              <w:spacing w:afterLines="0"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七、对本次采购提出询问、质疑、投诉，请按以下方式联系</w:t>
            </w:r>
          </w:p>
          <w:p w14:paraId="5B67BCBD">
            <w:pPr>
              <w:pStyle w:val="72"/>
              <w:spacing w:afterLines="0"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1.采购人信息</w:t>
            </w:r>
          </w:p>
          <w:p w14:paraId="1AD2F92F">
            <w:pPr>
              <w:widowControl/>
              <w:snapToGrid w:val="0"/>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名称：绍兴市中医院 </w:t>
            </w:r>
          </w:p>
          <w:p w14:paraId="298C5782">
            <w:pPr>
              <w:widowControl/>
              <w:snapToGrid w:val="0"/>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地址： 绍兴市越城区人民中路641号</w:t>
            </w:r>
          </w:p>
          <w:p w14:paraId="3135999D">
            <w:pPr>
              <w:widowControl/>
              <w:snapToGrid w:val="0"/>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传真：/</w:t>
            </w:r>
          </w:p>
          <w:p w14:paraId="7CDBE8BB">
            <w:pPr>
              <w:widowControl/>
              <w:snapToGrid w:val="0"/>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项目联系人（询问）：  </w:t>
            </w:r>
            <w:r>
              <w:rPr>
                <w:rFonts w:hint="eastAsia" w:ascii="仿宋" w:hAnsi="仿宋" w:eastAsia="仿宋" w:cs="仿宋"/>
                <w:color w:val="auto"/>
                <w:kern w:val="0"/>
                <w:sz w:val="24"/>
                <w:highlight w:val="none"/>
                <w:lang w:eastAsia="zh-CN"/>
              </w:rPr>
              <w:t>王月中</w:t>
            </w:r>
            <w:r>
              <w:rPr>
                <w:rFonts w:hint="eastAsia" w:ascii="仿宋" w:hAnsi="仿宋" w:eastAsia="仿宋" w:cs="仿宋"/>
                <w:color w:val="auto"/>
                <w:kern w:val="0"/>
                <w:sz w:val="24"/>
                <w:highlight w:val="none"/>
              </w:rPr>
              <w:t xml:space="preserve">   </w:t>
            </w:r>
          </w:p>
          <w:p w14:paraId="5C070DA5">
            <w:pPr>
              <w:widowControl/>
              <w:snapToGrid w:val="0"/>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项目联系方式（询问）：</w:t>
            </w:r>
            <w:r>
              <w:rPr>
                <w:rFonts w:hint="eastAsia" w:ascii="仿宋" w:hAnsi="仿宋" w:eastAsia="仿宋" w:cs="仿宋"/>
                <w:color w:val="auto"/>
                <w:kern w:val="0"/>
                <w:sz w:val="24"/>
                <w:highlight w:val="none"/>
                <w:lang w:val="en-US" w:eastAsia="zh-CN"/>
              </w:rPr>
              <w:t>0575-89107227</w:t>
            </w:r>
          </w:p>
          <w:p w14:paraId="4E886A2C">
            <w:pPr>
              <w:widowControl/>
              <w:snapToGrid w:val="0"/>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质疑联系人： 沈勇</w:t>
            </w:r>
          </w:p>
          <w:p w14:paraId="422AEAE8">
            <w:pPr>
              <w:widowControl/>
              <w:snapToGrid w:val="0"/>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kern w:val="0"/>
                <w:sz w:val="24"/>
                <w:highlight w:val="none"/>
              </w:rPr>
              <w:t>质疑联系方式：0575-89107189</w:t>
            </w:r>
            <w:r>
              <w:rPr>
                <w:rFonts w:hint="eastAsia" w:ascii="仿宋" w:hAnsi="仿宋" w:eastAsia="仿宋" w:cs="仿宋"/>
                <w:color w:val="auto"/>
                <w:highlight w:val="none"/>
              </w:rPr>
              <w:t xml:space="preserve"> </w:t>
            </w:r>
          </w:p>
          <w:p w14:paraId="3F7816F1">
            <w:pPr>
              <w:pStyle w:val="72"/>
              <w:spacing w:afterLines="0"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2.采购代理机构信息       </w:t>
            </w:r>
          </w:p>
          <w:p w14:paraId="7797ECA1">
            <w:pPr>
              <w:pStyle w:val="72"/>
              <w:spacing w:afterLines="0"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名称：泰宇建筑工程技术咨询有限公司       </w:t>
            </w:r>
          </w:p>
          <w:p w14:paraId="4D59A0D8">
            <w:pPr>
              <w:widowControl/>
              <w:snapToGrid w:val="0"/>
              <w:spacing w:line="440" w:lineRule="exact"/>
              <w:ind w:firstLine="480" w:firstLineChars="2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地址：</w:t>
            </w:r>
            <w:r>
              <w:rPr>
                <w:rFonts w:hint="eastAsia" w:ascii="仿宋" w:hAnsi="仿宋" w:eastAsia="仿宋" w:cs="仿宋"/>
                <w:color w:val="auto"/>
                <w:kern w:val="0"/>
                <w:sz w:val="24"/>
                <w:highlight w:val="none"/>
                <w:lang w:eastAsia="zh-CN"/>
              </w:rPr>
              <w:t>绍兴市越城区迎凤路87号鑫海大厦1601</w:t>
            </w:r>
          </w:p>
          <w:p w14:paraId="18A9B965">
            <w:pPr>
              <w:widowControl/>
              <w:snapToGrid w:val="0"/>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传真：/</w:t>
            </w:r>
          </w:p>
          <w:p w14:paraId="3BAA23ED">
            <w:pPr>
              <w:widowControl/>
              <w:snapToGrid w:val="0"/>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项目联系人（询问）：金锦英        </w:t>
            </w:r>
          </w:p>
          <w:p w14:paraId="614B601E">
            <w:pPr>
              <w:widowControl/>
              <w:snapToGrid w:val="0"/>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项目联系方式（询问）：13656752180 </w:t>
            </w:r>
          </w:p>
          <w:p w14:paraId="22CEEA6A">
            <w:pPr>
              <w:widowControl/>
              <w:snapToGrid w:val="0"/>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质疑联系人：胡泽宇    </w:t>
            </w:r>
          </w:p>
          <w:p w14:paraId="5A48720E">
            <w:pPr>
              <w:pStyle w:val="72"/>
              <w:spacing w:afterLines="0"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highlight w:val="none"/>
              </w:rPr>
              <w:t>质疑联系方式：</w:t>
            </w:r>
            <w:r>
              <w:rPr>
                <w:rFonts w:hint="eastAsia" w:ascii="仿宋" w:hAnsi="仿宋" w:eastAsia="仿宋" w:cs="仿宋"/>
                <w:color w:val="auto"/>
                <w:highlight w:val="none"/>
                <w:lang w:val="en-US" w:eastAsia="zh-CN"/>
              </w:rPr>
              <w:t>13255758381</w:t>
            </w:r>
            <w:r>
              <w:rPr>
                <w:rFonts w:hint="eastAsia" w:ascii="仿宋" w:hAnsi="仿宋" w:eastAsia="仿宋" w:cs="仿宋"/>
                <w:color w:val="auto"/>
                <w:szCs w:val="24"/>
                <w:highlight w:val="none"/>
              </w:rPr>
              <w:t>　　　　　　         </w:t>
            </w:r>
          </w:p>
        </w:tc>
      </w:tr>
      <w:tr w14:paraId="40CCDE0D">
        <w:tblPrEx>
          <w:tblCellMar>
            <w:top w:w="0" w:type="dxa"/>
            <w:left w:w="0" w:type="dxa"/>
            <w:bottom w:w="0" w:type="dxa"/>
            <w:right w:w="0" w:type="dxa"/>
          </w:tblCellMar>
        </w:tblPrEx>
        <w:tc>
          <w:tcPr>
            <w:tcW w:w="8789" w:type="dxa"/>
            <w:vAlign w:val="center"/>
          </w:tcPr>
          <w:p w14:paraId="2201BC3E">
            <w:pPr>
              <w:rPr>
                <w:rFonts w:hint="eastAsia" w:ascii="仿宋" w:hAnsi="仿宋" w:eastAsia="仿宋" w:cs="仿宋"/>
                <w:color w:val="auto"/>
                <w:highlight w:val="none"/>
              </w:rPr>
            </w:pPr>
          </w:p>
        </w:tc>
      </w:tr>
    </w:tbl>
    <w:p w14:paraId="7901FC23">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highlight w:val="none"/>
        </w:rPr>
        <w:br w:type="page"/>
      </w:r>
    </w:p>
    <w:p w14:paraId="5BA66298">
      <w:pPr>
        <w:pageBreakBefore/>
        <w:ind w:left="238"/>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第二部分 投标须知</w:t>
      </w:r>
    </w:p>
    <w:p w14:paraId="6874B77C">
      <w:pPr>
        <w:ind w:left="238"/>
        <w:jc w:val="center"/>
        <w:rPr>
          <w:rFonts w:hint="eastAsia" w:ascii="仿宋" w:hAnsi="仿宋" w:eastAsia="仿宋" w:cs="仿宋"/>
          <w:b/>
          <w:color w:val="auto"/>
          <w:sz w:val="30"/>
          <w:szCs w:val="36"/>
          <w:highlight w:val="none"/>
        </w:rPr>
      </w:pPr>
      <w:bookmarkStart w:id="0" w:name="_Hlk47616320"/>
      <w:r>
        <w:rPr>
          <w:rFonts w:hint="eastAsia" w:ascii="仿宋" w:hAnsi="仿宋" w:eastAsia="仿宋" w:cs="仿宋"/>
          <w:b/>
          <w:color w:val="auto"/>
          <w:sz w:val="30"/>
          <w:szCs w:val="36"/>
          <w:highlight w:val="none"/>
        </w:rPr>
        <w:t>前附表</w:t>
      </w:r>
    </w:p>
    <w:tbl>
      <w:tblPr>
        <w:tblStyle w:val="44"/>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855"/>
        <w:gridCol w:w="7515"/>
      </w:tblGrid>
      <w:tr w14:paraId="356F6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70" w:type="dxa"/>
            <w:vAlign w:val="center"/>
          </w:tcPr>
          <w:p w14:paraId="6080E15A">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8370" w:type="dxa"/>
            <w:gridSpan w:val="2"/>
            <w:vAlign w:val="center"/>
          </w:tcPr>
          <w:p w14:paraId="72CC30FE">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内　　　　容</w:t>
            </w:r>
          </w:p>
        </w:tc>
      </w:tr>
      <w:tr w14:paraId="1C62C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870" w:type="dxa"/>
            <w:vAlign w:val="center"/>
          </w:tcPr>
          <w:p w14:paraId="34C66EED">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370" w:type="dxa"/>
            <w:gridSpan w:val="2"/>
            <w:vAlign w:val="center"/>
          </w:tcPr>
          <w:p w14:paraId="328AE33B">
            <w:pPr>
              <w:snapToGrid w:val="0"/>
              <w:spacing w:line="400" w:lineRule="exact"/>
              <w:rPr>
                <w:rFonts w:hint="eastAsia" w:ascii="仿宋" w:hAnsi="仿宋" w:eastAsia="仿宋" w:cs="仿宋"/>
                <w:color w:val="auto"/>
                <w:sz w:val="24"/>
                <w:highlight w:val="none"/>
                <w:u w:val="single"/>
              </w:rPr>
            </w:pPr>
            <w:r>
              <w:rPr>
                <w:rFonts w:hint="eastAsia" w:ascii="仿宋" w:hAnsi="仿宋" w:eastAsia="仿宋" w:cs="仿宋"/>
                <w:b/>
                <w:color w:val="auto"/>
                <w:sz w:val="24"/>
                <w:highlight w:val="none"/>
              </w:rPr>
              <w:t>投标人按照项目要求特许资格、资信证明文件（如果有）：</w:t>
            </w:r>
          </w:p>
          <w:p w14:paraId="2FFFFA88">
            <w:pPr>
              <w:spacing w:line="400" w:lineRule="exact"/>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法律和国务院行政法规规定或授权有关部门规定供应商或产品进入市场须先行取得相关认证或许可的，投标人须在投标文件中提供相关的认证或许可证明材料。未经认证、许可，或者虽经认证、许可但相关资质证书已经失效的投标人，不能推荐、确认为中标供应商。</w:t>
            </w:r>
          </w:p>
        </w:tc>
      </w:tr>
      <w:tr w14:paraId="595B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870" w:type="dxa"/>
            <w:vAlign w:val="center"/>
          </w:tcPr>
          <w:p w14:paraId="08246338">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8370" w:type="dxa"/>
            <w:gridSpan w:val="2"/>
            <w:vAlign w:val="center"/>
          </w:tcPr>
          <w:p w14:paraId="335C0FA3">
            <w:pPr>
              <w:snapToGrid w:val="0"/>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资格审查方式：</w:t>
            </w:r>
          </w:p>
          <w:p w14:paraId="199C5933">
            <w:pPr>
              <w:snapToGrid w:val="0"/>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1.资格后审。</w:t>
            </w:r>
          </w:p>
          <w:p w14:paraId="5ED57469">
            <w:pPr>
              <w:snapToGrid w:val="0"/>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法定代表人的被授权委托人必须是投标单位职工。需在投标响应文件技术部分内提供由社保机构出具的该授权代表的社保证明（1.如该授权代表为离退休返聘人员的，投标响应文件技术部分内需提供退休证明及单位聘用证明;2.如由第三方代理社保事项的，则需提供加盖投标人公章的委托代理协议复印件）。</w:t>
            </w:r>
          </w:p>
        </w:tc>
      </w:tr>
      <w:tr w14:paraId="44F0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70" w:type="dxa"/>
            <w:vAlign w:val="center"/>
          </w:tcPr>
          <w:p w14:paraId="65A5500E">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8370" w:type="dxa"/>
            <w:gridSpan w:val="2"/>
            <w:vAlign w:val="center"/>
          </w:tcPr>
          <w:p w14:paraId="79AFB015">
            <w:pPr>
              <w:autoSpaceDE w:val="0"/>
              <w:autoSpaceDN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b/>
                <w:color w:val="auto"/>
                <w:sz w:val="24"/>
                <w:highlight w:val="none"/>
              </w:rPr>
              <w:t>投标有效期：</w:t>
            </w:r>
            <w:r>
              <w:rPr>
                <w:rFonts w:hint="eastAsia" w:ascii="仿宋" w:hAnsi="仿宋" w:eastAsia="仿宋" w:cs="仿宋"/>
                <w:color w:val="auto"/>
                <w:sz w:val="24"/>
                <w:highlight w:val="none"/>
              </w:rPr>
              <w:t>投标有效期为从提交投标文件的截止之日起90天。</w:t>
            </w:r>
            <w:r>
              <w:rPr>
                <w:rFonts w:hint="eastAsia" w:ascii="仿宋" w:hAnsi="仿宋" w:eastAsia="仿宋" w:cs="仿宋"/>
                <w:b/>
                <w:color w:val="auto"/>
                <w:sz w:val="24"/>
                <w:highlight w:val="none"/>
              </w:rPr>
              <w:t>投标人的投标文件中承</w:t>
            </w:r>
            <w:r>
              <w:rPr>
                <w:rFonts w:hint="eastAsia" w:ascii="仿宋" w:hAnsi="仿宋" w:eastAsia="仿宋" w:cs="仿宋"/>
                <w:b/>
                <w:color w:val="auto"/>
                <w:sz w:val="24"/>
                <w:szCs w:val="21"/>
                <w:highlight w:val="none"/>
              </w:rPr>
              <w:t>诺的投标有效期少于招标文件中载明的投标有效期的，投标无效。</w:t>
            </w:r>
          </w:p>
        </w:tc>
      </w:tr>
      <w:tr w14:paraId="39F5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70" w:type="dxa"/>
            <w:vAlign w:val="center"/>
          </w:tcPr>
          <w:p w14:paraId="46210E97">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8370" w:type="dxa"/>
            <w:gridSpan w:val="2"/>
            <w:vAlign w:val="center"/>
          </w:tcPr>
          <w:p w14:paraId="663AEDAD">
            <w:pPr>
              <w:spacing w:line="400" w:lineRule="exact"/>
              <w:rPr>
                <w:rFonts w:hint="eastAsia" w:ascii="仿宋" w:hAnsi="仿宋" w:eastAsia="仿宋" w:cs="仿宋"/>
                <w:color w:val="auto"/>
                <w:sz w:val="24"/>
                <w:highlight w:val="none"/>
              </w:rPr>
            </w:pPr>
            <w:r>
              <w:rPr>
                <w:rFonts w:hint="eastAsia" w:ascii="仿宋" w:hAnsi="仿宋" w:eastAsia="仿宋" w:cs="仿宋"/>
                <w:b/>
                <w:color w:val="auto"/>
                <w:sz w:val="24"/>
                <w:highlight w:val="none"/>
              </w:rPr>
              <w:t>转包：</w:t>
            </w:r>
            <w:r>
              <w:rPr>
                <w:rFonts w:hint="eastAsia" w:ascii="仿宋" w:hAnsi="仿宋" w:eastAsia="仿宋" w:cs="仿宋"/>
                <w:color w:val="auto"/>
                <w:sz w:val="24"/>
                <w:highlight w:val="none"/>
              </w:rPr>
              <w:t>本项目不得转包。</w:t>
            </w:r>
          </w:p>
        </w:tc>
      </w:tr>
      <w:tr w14:paraId="48FF2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70" w:type="dxa"/>
            <w:vAlign w:val="center"/>
          </w:tcPr>
          <w:p w14:paraId="4FF9F11D">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8370" w:type="dxa"/>
            <w:gridSpan w:val="2"/>
            <w:vAlign w:val="center"/>
          </w:tcPr>
          <w:p w14:paraId="6F15DA7B">
            <w:pPr>
              <w:spacing w:line="400" w:lineRule="exact"/>
              <w:rPr>
                <w:rFonts w:hint="eastAsia" w:ascii="仿宋" w:hAnsi="仿宋" w:eastAsia="仿宋" w:cs="仿宋"/>
                <w:color w:val="auto"/>
                <w:sz w:val="24"/>
                <w:highlight w:val="none"/>
              </w:rPr>
            </w:pPr>
            <w:r>
              <w:rPr>
                <w:rFonts w:hint="eastAsia" w:ascii="仿宋" w:hAnsi="仿宋" w:eastAsia="仿宋" w:cs="仿宋"/>
                <w:b/>
                <w:color w:val="auto"/>
                <w:sz w:val="24"/>
                <w:highlight w:val="none"/>
              </w:rPr>
              <w:t>分包：</w:t>
            </w:r>
            <w:r>
              <w:rPr>
                <w:rFonts w:hint="eastAsia" w:ascii="仿宋" w:hAnsi="仿宋" w:eastAsia="仿宋" w:cs="仿宋"/>
                <w:color w:val="auto"/>
                <w:kern w:val="0"/>
                <w:sz w:val="24"/>
                <w:highlight w:val="none"/>
              </w:rPr>
              <w:t>☐A</w:t>
            </w:r>
            <w:r>
              <w:rPr>
                <w:rFonts w:hint="eastAsia" w:ascii="仿宋" w:hAnsi="仿宋" w:eastAsia="仿宋" w:cs="仿宋"/>
                <w:color w:val="auto"/>
                <w:sz w:val="24"/>
                <w:highlight w:val="none"/>
              </w:rPr>
              <w:t>同意将非主体、非关键性的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工作分包。</w:t>
            </w:r>
          </w:p>
          <w:p w14:paraId="0C6A360A">
            <w:pPr>
              <w:spacing w:line="400" w:lineRule="exact"/>
              <w:ind w:firstLine="720" w:firstLineChars="300"/>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rPr>
              <w:sym w:font="Wingdings" w:char="F0FE"/>
            </w:r>
            <w:r>
              <w:rPr>
                <w:rFonts w:hint="eastAsia" w:ascii="仿宋" w:hAnsi="仿宋" w:eastAsia="仿宋" w:cs="仿宋"/>
                <w:color w:val="auto"/>
                <w:kern w:val="0"/>
                <w:sz w:val="24"/>
                <w:highlight w:val="none"/>
              </w:rPr>
              <w:t>B</w:t>
            </w:r>
            <w:r>
              <w:rPr>
                <w:rFonts w:hint="eastAsia" w:ascii="仿宋" w:hAnsi="仿宋" w:eastAsia="仿宋" w:cs="仿宋"/>
                <w:color w:val="auto"/>
                <w:sz w:val="24"/>
                <w:highlight w:val="none"/>
              </w:rPr>
              <w:t>不同意分包。</w:t>
            </w:r>
          </w:p>
        </w:tc>
      </w:tr>
      <w:tr w14:paraId="59DFE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70" w:type="dxa"/>
            <w:vAlign w:val="center"/>
          </w:tcPr>
          <w:p w14:paraId="3A26C5E5">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8370" w:type="dxa"/>
            <w:gridSpan w:val="2"/>
            <w:vAlign w:val="center"/>
          </w:tcPr>
          <w:p w14:paraId="5358E137">
            <w:pPr>
              <w:spacing w:line="400" w:lineRule="exact"/>
              <w:rPr>
                <w:rFonts w:hint="eastAsia" w:ascii="仿宋" w:hAnsi="仿宋" w:eastAsia="仿宋" w:cs="仿宋"/>
                <w:color w:val="auto"/>
                <w:sz w:val="24"/>
                <w:highlight w:val="none"/>
              </w:rPr>
            </w:pPr>
            <w:r>
              <w:rPr>
                <w:rFonts w:hint="eastAsia" w:ascii="仿宋" w:hAnsi="仿宋" w:eastAsia="仿宋" w:cs="仿宋"/>
                <w:b/>
                <w:color w:val="auto"/>
                <w:sz w:val="24"/>
                <w:highlight w:val="none"/>
              </w:rPr>
              <w:t>投标文件份数：</w:t>
            </w:r>
            <w:r>
              <w:rPr>
                <w:rFonts w:hint="eastAsia" w:ascii="仿宋" w:hAnsi="仿宋" w:eastAsia="仿宋" w:cs="仿宋"/>
                <w:color w:val="auto"/>
                <w:sz w:val="24"/>
                <w:highlight w:val="none"/>
              </w:rPr>
              <w:t>正本一份、副本四份</w:t>
            </w:r>
          </w:p>
          <w:p w14:paraId="7096031B">
            <w:pPr>
              <w:pStyle w:val="2"/>
              <w:ind w:left="0" w:leftChars="0" w:firstLine="0" w:firstLineChars="0"/>
              <w:rPr>
                <w:rFonts w:hint="eastAsia" w:ascii="仿宋" w:hAnsi="仿宋" w:eastAsia="仿宋" w:cs="仿宋"/>
                <w:color w:val="auto"/>
                <w:highlight w:val="none"/>
              </w:rPr>
            </w:pPr>
            <w:r>
              <w:rPr>
                <w:rFonts w:hint="eastAsia" w:ascii="仿宋" w:hAnsi="仿宋" w:eastAsia="仿宋" w:cs="仿宋"/>
                <w:b/>
                <w:bCs/>
                <w:color w:val="auto"/>
                <w:sz w:val="24"/>
                <w:highlight w:val="none"/>
                <w:lang w:val="en-US" w:eastAsia="zh-CN"/>
              </w:rPr>
              <w:t>注：</w:t>
            </w:r>
            <w:r>
              <w:rPr>
                <w:rFonts w:hint="eastAsia" w:ascii="仿宋" w:hAnsi="仿宋" w:eastAsia="仿宋" w:cs="仿宋"/>
                <w:b/>
                <w:bCs/>
                <w:color w:val="auto"/>
                <w:sz w:val="24"/>
                <w:highlight w:val="none"/>
              </w:rPr>
              <w:t>投标人须在“报价文件”中提供u盘，u盘中</w:t>
            </w:r>
            <w:r>
              <w:rPr>
                <w:rFonts w:hint="eastAsia" w:ascii="仿宋" w:hAnsi="仿宋" w:eastAsia="仿宋" w:cs="仿宋"/>
                <w:b/>
                <w:bCs/>
                <w:color w:val="auto"/>
                <w:sz w:val="24"/>
                <w:highlight w:val="none"/>
                <w:lang w:val="en-US" w:eastAsia="zh-CN"/>
              </w:rPr>
              <w:t>须</w:t>
            </w:r>
            <w:r>
              <w:rPr>
                <w:rFonts w:hint="eastAsia" w:ascii="仿宋" w:hAnsi="仿宋" w:eastAsia="仿宋" w:cs="仿宋"/>
                <w:b/>
                <w:bCs/>
                <w:color w:val="auto"/>
                <w:sz w:val="24"/>
                <w:highlight w:val="none"/>
              </w:rPr>
              <w:t>包含盖章的电子版投标文件（报价文件资料和商务技术（资信）文件资料）。</w:t>
            </w:r>
          </w:p>
        </w:tc>
      </w:tr>
      <w:tr w14:paraId="37953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70" w:type="dxa"/>
            <w:vAlign w:val="center"/>
          </w:tcPr>
          <w:p w14:paraId="41AC232E">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8370" w:type="dxa"/>
            <w:gridSpan w:val="2"/>
            <w:vAlign w:val="center"/>
          </w:tcPr>
          <w:p w14:paraId="50CBC1FB">
            <w:pPr>
              <w:snapToGrid w:val="0"/>
              <w:spacing w:line="400" w:lineRule="exact"/>
              <w:rPr>
                <w:rFonts w:hint="eastAsia" w:ascii="仿宋" w:hAnsi="仿宋" w:eastAsia="仿宋" w:cs="仿宋"/>
                <w:bCs/>
                <w:color w:val="auto"/>
                <w:sz w:val="24"/>
                <w:highlight w:val="none"/>
              </w:rPr>
            </w:pPr>
            <w:r>
              <w:rPr>
                <w:rFonts w:hint="eastAsia" w:ascii="仿宋" w:hAnsi="仿宋" w:eastAsia="仿宋" w:cs="仿宋"/>
                <w:b/>
                <w:color w:val="auto"/>
                <w:sz w:val="24"/>
                <w:highlight w:val="none"/>
              </w:rPr>
              <w:t>开标前现场考察：</w:t>
            </w:r>
          </w:p>
          <w:p w14:paraId="689E9DEA">
            <w:pPr>
              <w:spacing w:line="400" w:lineRule="exact"/>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1263220618"/>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sym w:font="Wingdings" w:char="F0FE"/>
                </w:r>
              </w:sdtContent>
            </w:sdt>
            <w:r>
              <w:rPr>
                <w:rFonts w:hint="eastAsia" w:ascii="仿宋" w:hAnsi="仿宋" w:eastAsia="仿宋" w:cs="仿宋"/>
                <w:color w:val="auto"/>
                <w:kern w:val="0"/>
                <w:sz w:val="24"/>
                <w:highlight w:val="none"/>
              </w:rPr>
              <w:t xml:space="preserve"> A</w:t>
            </w:r>
            <w:r>
              <w:rPr>
                <w:rFonts w:hint="eastAsia" w:ascii="仿宋" w:hAnsi="仿宋" w:eastAsia="仿宋" w:cs="仿宋"/>
                <w:color w:val="auto"/>
                <w:sz w:val="24"/>
                <w:highlight w:val="none"/>
              </w:rPr>
              <w:t>不组织。</w:t>
            </w:r>
          </w:p>
          <w:p w14:paraId="1EAE2545">
            <w:pPr>
              <w:autoSpaceDE w:val="0"/>
              <w:autoSpaceDN w:val="0"/>
              <w:spacing w:line="400" w:lineRule="exact"/>
              <w:textAlignment w:val="bottom"/>
              <w:rPr>
                <w:rFonts w:hint="eastAsia" w:ascii="仿宋" w:hAnsi="仿宋" w:eastAsia="仿宋" w:cs="仿宋"/>
                <w:b/>
                <w:color w:val="auto"/>
                <w:sz w:val="24"/>
                <w:highlight w:val="none"/>
              </w:rPr>
            </w:pPr>
            <w:sdt>
              <w:sdtPr>
                <w:rPr>
                  <w:rFonts w:hint="eastAsia" w:ascii="仿宋" w:hAnsi="仿宋" w:eastAsia="仿宋" w:cs="仿宋"/>
                  <w:color w:val="auto"/>
                  <w:kern w:val="0"/>
                  <w:sz w:val="24"/>
                  <w:highlight w:val="none"/>
                </w:rPr>
                <w:id w:val="-940066905"/>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rPr>
              <w:t>B组织，</w:t>
            </w:r>
            <w:r>
              <w:rPr>
                <w:rFonts w:hint="eastAsia" w:ascii="仿宋" w:hAnsi="仿宋" w:eastAsia="仿宋" w:cs="仿宋"/>
                <w:color w:val="auto"/>
                <w:sz w:val="24"/>
                <w:highlight w:val="none"/>
              </w:rPr>
              <w:t>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,地点：</w:t>
            </w:r>
            <w:r>
              <w:rPr>
                <w:rFonts w:hint="eastAsia" w:ascii="仿宋" w:hAnsi="仿宋" w:eastAsia="仿宋" w:cs="仿宋"/>
                <w:bCs/>
                <w:color w:val="auto"/>
                <w:sz w:val="24"/>
                <w:highlight w:val="none"/>
                <w:u w:val="single"/>
              </w:rPr>
              <w:t xml:space="preserve"> </w:t>
            </w:r>
            <w:r>
              <w:rPr>
                <w:rFonts w:hint="eastAsia" w:ascii="仿宋" w:hAnsi="仿宋" w:eastAsia="仿宋" w:cs="仿宋"/>
                <w:color w:val="auto"/>
                <w:sz w:val="24"/>
                <w:highlight w:val="none"/>
              </w:rPr>
              <w:t>，联系人：</w:t>
            </w:r>
            <w:r>
              <w:rPr>
                <w:rFonts w:hint="eastAsia" w:ascii="仿宋" w:hAnsi="仿宋" w:eastAsia="仿宋" w:cs="仿宋"/>
                <w:bCs/>
                <w:color w:val="auto"/>
                <w:sz w:val="24"/>
                <w:highlight w:val="none"/>
                <w:u w:val="single"/>
              </w:rPr>
              <w:t xml:space="preserve">  </w:t>
            </w:r>
            <w:r>
              <w:rPr>
                <w:rFonts w:hint="eastAsia" w:ascii="仿宋" w:hAnsi="仿宋" w:eastAsia="仿宋" w:cs="仿宋"/>
                <w:color w:val="auto"/>
                <w:sz w:val="24"/>
                <w:highlight w:val="none"/>
              </w:rPr>
              <w:t>，联系方式：</w:t>
            </w:r>
            <w:r>
              <w:rPr>
                <w:rFonts w:hint="eastAsia" w:ascii="仿宋" w:hAnsi="仿宋" w:eastAsia="仿宋" w:cs="仿宋"/>
                <w:bCs/>
                <w:color w:val="auto"/>
                <w:sz w:val="24"/>
                <w:highlight w:val="none"/>
                <w:u w:val="single"/>
              </w:rPr>
              <w:t xml:space="preserve">  </w:t>
            </w:r>
            <w:r>
              <w:rPr>
                <w:rFonts w:hint="eastAsia" w:ascii="仿宋" w:hAnsi="仿宋" w:eastAsia="仿宋" w:cs="仿宋"/>
                <w:color w:val="auto"/>
                <w:sz w:val="24"/>
                <w:szCs w:val="20"/>
                <w:highlight w:val="none"/>
              </w:rPr>
              <w:t>。（该日后获取招标文件的投标人如需现场考察的，请在开标前采购人的工作时间进行联系）</w:t>
            </w:r>
          </w:p>
        </w:tc>
      </w:tr>
      <w:tr w14:paraId="7DB0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70" w:type="dxa"/>
            <w:vAlign w:val="center"/>
          </w:tcPr>
          <w:p w14:paraId="05AAF4B1">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8370" w:type="dxa"/>
            <w:gridSpan w:val="2"/>
            <w:vAlign w:val="center"/>
          </w:tcPr>
          <w:p w14:paraId="5A955929">
            <w:pPr>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样品提供：无</w:t>
            </w:r>
          </w:p>
        </w:tc>
      </w:tr>
      <w:tr w14:paraId="2A03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70" w:type="dxa"/>
            <w:vAlign w:val="center"/>
          </w:tcPr>
          <w:p w14:paraId="3805C0B9">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p>
        </w:tc>
        <w:tc>
          <w:tcPr>
            <w:tcW w:w="8370" w:type="dxa"/>
            <w:gridSpan w:val="2"/>
            <w:vAlign w:val="center"/>
          </w:tcPr>
          <w:p w14:paraId="2113152E">
            <w:pPr>
              <w:spacing w:line="400" w:lineRule="exact"/>
              <w:rPr>
                <w:rFonts w:hint="eastAsia" w:ascii="仿宋" w:hAnsi="仿宋" w:eastAsia="仿宋" w:cs="仿宋"/>
                <w:color w:val="auto"/>
                <w:sz w:val="24"/>
                <w:highlight w:val="none"/>
              </w:rPr>
            </w:pPr>
            <w:r>
              <w:rPr>
                <w:rFonts w:hint="eastAsia" w:ascii="仿宋" w:hAnsi="仿宋" w:eastAsia="仿宋" w:cs="仿宋"/>
                <w:b/>
                <w:color w:val="auto"/>
                <w:sz w:val="24"/>
                <w:highlight w:val="none"/>
              </w:rPr>
              <w:t>讲解演示：无</w:t>
            </w:r>
          </w:p>
        </w:tc>
      </w:tr>
      <w:tr w14:paraId="56B3F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70" w:type="dxa"/>
            <w:vAlign w:val="center"/>
          </w:tcPr>
          <w:p w14:paraId="55139680">
            <w:pPr>
              <w:spacing w:line="4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0</w:t>
            </w:r>
          </w:p>
        </w:tc>
        <w:tc>
          <w:tcPr>
            <w:tcW w:w="855" w:type="dxa"/>
            <w:vAlign w:val="center"/>
          </w:tcPr>
          <w:p w14:paraId="74D8DF65">
            <w:pPr>
              <w:snapToGrid w:val="0"/>
              <w:spacing w:line="400" w:lineRule="exact"/>
              <w:ind w:left="-3" w:leftChars="-8" w:right="-50" w:rightChars="-24" w:hanging="14" w:hangingChars="7"/>
              <w:rPr>
                <w:rFonts w:hint="eastAsia" w:ascii="仿宋" w:hAnsi="仿宋" w:eastAsia="仿宋" w:cs="仿宋"/>
                <w:b/>
                <w:color w:val="auto"/>
                <w:spacing w:val="-20"/>
                <w:sz w:val="24"/>
                <w:highlight w:val="none"/>
              </w:rPr>
            </w:pPr>
            <w:r>
              <w:rPr>
                <w:rFonts w:hint="eastAsia" w:ascii="仿宋" w:hAnsi="仿宋" w:eastAsia="仿宋" w:cs="仿宋"/>
                <w:b/>
                <w:color w:val="auto"/>
                <w:spacing w:val="-20"/>
                <w:sz w:val="24"/>
                <w:highlight w:val="none"/>
              </w:rPr>
              <w:t>项目属性与核心产品</w:t>
            </w:r>
          </w:p>
        </w:tc>
        <w:tc>
          <w:tcPr>
            <w:tcW w:w="7515" w:type="dxa"/>
            <w:vAlign w:val="center"/>
          </w:tcPr>
          <w:p w14:paraId="711AF9BC">
            <w:pPr>
              <w:spacing w:line="400" w:lineRule="exact"/>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118727868"/>
              </w:sdtPr>
              <w:sdtEndPr>
                <w:rPr>
                  <w:rFonts w:hint="eastAsia" w:ascii="仿宋" w:hAnsi="仿宋" w:eastAsia="仿宋" w:cs="仿宋"/>
                  <w:color w:val="auto"/>
                  <w:kern w:val="0"/>
                  <w:sz w:val="24"/>
                  <w:highlight w:val="none"/>
                </w:rPr>
              </w:sdtEndPr>
              <w:sdtContent>
                <w:sdt>
                  <w:sdtPr>
                    <w:rPr>
                      <w:rFonts w:hint="eastAsia" w:ascii="仿宋" w:hAnsi="仿宋" w:eastAsia="仿宋" w:cs="仿宋"/>
                      <w:color w:val="auto"/>
                      <w:kern w:val="0"/>
                      <w:sz w:val="24"/>
                      <w:highlight w:val="none"/>
                    </w:rPr>
                    <w:id w:val="8287135"/>
                  </w:sdtPr>
                  <w:sdtEndPr>
                    <w:rPr>
                      <w:rFonts w:hint="eastAsia" w:ascii="仿宋" w:hAnsi="仿宋" w:eastAsia="仿宋" w:cs="仿宋"/>
                      <w:color w:val="auto"/>
                      <w:kern w:val="0"/>
                      <w:sz w:val="24"/>
                      <w:highlight w:val="none"/>
                    </w:rPr>
                  </w:sdtEndPr>
                  <w:sdtContent>
                    <w:sdt>
                      <w:sdtPr>
                        <w:rPr>
                          <w:rFonts w:hint="eastAsia" w:ascii="仿宋" w:hAnsi="仿宋" w:eastAsia="仿宋" w:cs="仿宋"/>
                          <w:color w:val="auto"/>
                          <w:szCs w:val="21"/>
                          <w:highlight w:val="none"/>
                        </w:rPr>
                        <w:id w:val="-142278810"/>
                      </w:sdtPr>
                      <w:sdtEndPr>
                        <w:rPr>
                          <w:rFonts w:hint="eastAsia" w:ascii="仿宋" w:hAnsi="仿宋" w:eastAsia="仿宋" w:cs="仿宋"/>
                          <w:color w:val="auto"/>
                          <w:szCs w:val="21"/>
                          <w:highlight w:val="none"/>
                        </w:rPr>
                      </w:sdtEndPr>
                      <w:sdtContent>
                        <w:r>
                          <w:rPr>
                            <w:rFonts w:hint="eastAsia" w:ascii="仿宋" w:hAnsi="仿宋" w:eastAsia="仿宋" w:cs="仿宋"/>
                            <w:color w:val="auto"/>
                            <w:highlight w:val="none"/>
                          </w:rPr>
                          <w:sym w:font="Wingdings" w:char="00A8"/>
                        </w:r>
                      </w:sdtContent>
                    </w:sdt>
                  </w:sdtContent>
                </w:sdt>
              </w:sdtContent>
            </w:sdt>
            <w:r>
              <w:rPr>
                <w:rFonts w:hint="eastAsia" w:ascii="仿宋" w:hAnsi="仿宋" w:eastAsia="仿宋" w:cs="仿宋"/>
                <w:color w:val="auto"/>
                <w:kern w:val="0"/>
                <w:sz w:val="24"/>
                <w:highlight w:val="none"/>
              </w:rPr>
              <w:t>A</w:t>
            </w:r>
            <w:r>
              <w:rPr>
                <w:rFonts w:hint="eastAsia" w:ascii="仿宋" w:hAnsi="仿宋" w:eastAsia="仿宋" w:cs="仿宋"/>
                <w:color w:val="auto"/>
                <w:sz w:val="24"/>
                <w:highlight w:val="none"/>
              </w:rPr>
              <w:t>货物类，单一产品或</w:t>
            </w:r>
            <w:r>
              <w:rPr>
                <w:rFonts w:hint="eastAsia" w:ascii="仿宋" w:hAnsi="仿宋" w:eastAsia="仿宋" w:cs="仿宋"/>
                <w:color w:val="auto"/>
                <w:kern w:val="0"/>
                <w:sz w:val="24"/>
                <w:highlight w:val="none"/>
              </w:rPr>
              <w:t>核心产品为：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0F167C90">
            <w:pPr>
              <w:snapToGrid w:val="0"/>
              <w:spacing w:line="400" w:lineRule="exact"/>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474885559"/>
              </w:sdtPr>
              <w:sdtEndPr>
                <w:rPr>
                  <w:rFonts w:hint="eastAsia" w:ascii="仿宋" w:hAnsi="仿宋" w:eastAsia="仿宋" w:cs="仿宋"/>
                  <w:color w:val="auto"/>
                  <w:kern w:val="0"/>
                  <w:sz w:val="24"/>
                  <w:highlight w:val="none"/>
                </w:rPr>
              </w:sdtEndPr>
              <w:sdtContent>
                <w:sdt>
                  <w:sdtPr>
                    <w:rPr>
                      <w:rFonts w:hint="eastAsia" w:ascii="仿宋" w:hAnsi="仿宋" w:eastAsia="仿宋" w:cs="仿宋"/>
                      <w:color w:val="auto"/>
                      <w:kern w:val="0"/>
                      <w:sz w:val="24"/>
                      <w:highlight w:val="none"/>
                    </w:rPr>
                    <w:id w:val="4701934"/>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sym w:font="Wingdings" w:char="00FE"/>
                    </w:r>
                  </w:sdtContent>
                </w:sdt>
              </w:sdtContent>
            </w:sdt>
            <w:r>
              <w:rPr>
                <w:rFonts w:hint="eastAsia" w:ascii="仿宋" w:hAnsi="仿宋" w:eastAsia="仿宋" w:cs="仿宋"/>
                <w:color w:val="auto"/>
                <w:kern w:val="0"/>
                <w:sz w:val="24"/>
                <w:highlight w:val="none"/>
              </w:rPr>
              <w:t>B</w:t>
            </w:r>
            <w:r>
              <w:rPr>
                <w:rFonts w:hint="eastAsia" w:ascii="仿宋" w:hAnsi="仿宋" w:eastAsia="仿宋" w:cs="仿宋"/>
                <w:color w:val="auto"/>
                <w:sz w:val="24"/>
                <w:highlight w:val="none"/>
              </w:rPr>
              <w:t>服务类。</w:t>
            </w:r>
          </w:p>
        </w:tc>
      </w:tr>
      <w:tr w14:paraId="127D0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70" w:type="dxa"/>
            <w:vMerge w:val="restart"/>
            <w:vAlign w:val="center"/>
          </w:tcPr>
          <w:p w14:paraId="16B6C61B">
            <w:pPr>
              <w:spacing w:line="4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1</w:t>
            </w:r>
          </w:p>
        </w:tc>
        <w:tc>
          <w:tcPr>
            <w:tcW w:w="855" w:type="dxa"/>
            <w:vMerge w:val="restart"/>
            <w:vAlign w:val="center"/>
          </w:tcPr>
          <w:p w14:paraId="4DB9838E">
            <w:pPr>
              <w:snapToGrid w:val="0"/>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投标人信用信息事项</w:t>
            </w:r>
          </w:p>
        </w:tc>
        <w:tc>
          <w:tcPr>
            <w:tcW w:w="7515" w:type="dxa"/>
            <w:vAlign w:val="center"/>
          </w:tcPr>
          <w:p w14:paraId="343A7189">
            <w:pPr>
              <w:snapToGrid w:val="0"/>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信用信息查询渠道及截止时间：</w:t>
            </w:r>
            <w:r>
              <w:rPr>
                <w:rFonts w:hint="eastAsia" w:ascii="仿宋" w:hAnsi="仿宋" w:eastAsia="仿宋" w:cs="仿宋"/>
                <w:color w:val="auto"/>
                <w:sz w:val="24"/>
                <w:highlight w:val="none"/>
              </w:rPr>
              <w:t>采购人或采购人委托的评审小组或采购代理机构将通过“信用中国”网站(www.creditchina.gov.cn)、中国政府采购网(www.ccgp.gov.cn)渠道查询投标人</w:t>
            </w:r>
            <w:r>
              <w:rPr>
                <w:rFonts w:hint="eastAsia" w:ascii="仿宋" w:hAnsi="仿宋" w:eastAsia="仿宋" w:cs="仿宋"/>
                <w:b/>
                <w:color w:val="auto"/>
                <w:sz w:val="24"/>
                <w:highlight w:val="none"/>
              </w:rPr>
              <w:t>开标当天</w:t>
            </w:r>
            <w:r>
              <w:rPr>
                <w:rFonts w:hint="eastAsia" w:ascii="仿宋" w:hAnsi="仿宋" w:eastAsia="仿宋" w:cs="仿宋"/>
                <w:color w:val="auto"/>
                <w:sz w:val="24"/>
                <w:highlight w:val="none"/>
              </w:rPr>
              <w:t>的信用记录。</w:t>
            </w:r>
          </w:p>
        </w:tc>
      </w:tr>
      <w:tr w14:paraId="70926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70" w:type="dxa"/>
            <w:vMerge w:val="continue"/>
            <w:vAlign w:val="center"/>
          </w:tcPr>
          <w:p w14:paraId="2BD92451">
            <w:pPr>
              <w:spacing w:line="400" w:lineRule="exact"/>
              <w:jc w:val="center"/>
              <w:rPr>
                <w:rFonts w:hint="eastAsia" w:ascii="仿宋" w:hAnsi="仿宋" w:eastAsia="仿宋" w:cs="仿宋"/>
                <w:color w:val="auto"/>
                <w:sz w:val="24"/>
                <w:highlight w:val="none"/>
              </w:rPr>
            </w:pPr>
          </w:p>
        </w:tc>
        <w:tc>
          <w:tcPr>
            <w:tcW w:w="855" w:type="dxa"/>
            <w:vMerge w:val="continue"/>
            <w:vAlign w:val="center"/>
          </w:tcPr>
          <w:p w14:paraId="0ADF83CD">
            <w:pPr>
              <w:snapToGrid w:val="0"/>
              <w:spacing w:line="400" w:lineRule="exact"/>
              <w:rPr>
                <w:rFonts w:hint="eastAsia" w:ascii="仿宋" w:hAnsi="仿宋" w:eastAsia="仿宋" w:cs="仿宋"/>
                <w:b/>
                <w:color w:val="auto"/>
                <w:sz w:val="24"/>
                <w:highlight w:val="none"/>
              </w:rPr>
            </w:pPr>
          </w:p>
        </w:tc>
        <w:tc>
          <w:tcPr>
            <w:tcW w:w="7515" w:type="dxa"/>
            <w:vAlign w:val="center"/>
          </w:tcPr>
          <w:p w14:paraId="208C5CEA">
            <w:pPr>
              <w:snapToGrid w:val="0"/>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信用信息查询记录和证据留存的具体方式：</w:t>
            </w:r>
            <w:r>
              <w:rPr>
                <w:rFonts w:hint="eastAsia" w:ascii="仿宋" w:hAnsi="仿宋" w:eastAsia="仿宋" w:cs="仿宋"/>
                <w:color w:val="auto"/>
                <w:sz w:val="24"/>
                <w:highlight w:val="none"/>
              </w:rPr>
              <w:t>采购人或采购人委托的评审小组或采购代理机构现场查询投标人的信用记录，查询结果经确认后与采购文件一起存档。</w:t>
            </w:r>
          </w:p>
        </w:tc>
      </w:tr>
      <w:tr w14:paraId="77965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70" w:type="dxa"/>
            <w:vMerge w:val="continue"/>
            <w:vAlign w:val="center"/>
          </w:tcPr>
          <w:p w14:paraId="1D9136CD">
            <w:pPr>
              <w:spacing w:line="400" w:lineRule="exact"/>
              <w:jc w:val="center"/>
              <w:rPr>
                <w:rFonts w:hint="eastAsia" w:ascii="仿宋" w:hAnsi="仿宋" w:eastAsia="仿宋" w:cs="仿宋"/>
                <w:color w:val="auto"/>
                <w:sz w:val="24"/>
                <w:highlight w:val="none"/>
              </w:rPr>
            </w:pPr>
          </w:p>
        </w:tc>
        <w:tc>
          <w:tcPr>
            <w:tcW w:w="855" w:type="dxa"/>
            <w:vMerge w:val="continue"/>
            <w:vAlign w:val="center"/>
          </w:tcPr>
          <w:p w14:paraId="67E4E001">
            <w:pPr>
              <w:snapToGrid w:val="0"/>
              <w:spacing w:line="400" w:lineRule="exact"/>
              <w:rPr>
                <w:rFonts w:hint="eastAsia" w:ascii="仿宋" w:hAnsi="仿宋" w:eastAsia="仿宋" w:cs="仿宋"/>
                <w:b/>
                <w:color w:val="auto"/>
                <w:sz w:val="24"/>
                <w:highlight w:val="none"/>
              </w:rPr>
            </w:pPr>
          </w:p>
        </w:tc>
        <w:tc>
          <w:tcPr>
            <w:tcW w:w="7515" w:type="dxa"/>
            <w:vAlign w:val="center"/>
          </w:tcPr>
          <w:p w14:paraId="2C1FF0D4">
            <w:pPr>
              <w:snapToGrid w:val="0"/>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信用信息的使用规则：</w:t>
            </w:r>
            <w:r>
              <w:rPr>
                <w:rFonts w:hint="eastAsia" w:ascii="仿宋" w:hAnsi="仿宋" w:eastAsia="仿宋" w:cs="仿宋"/>
                <w:color w:val="auto"/>
                <w:sz w:val="24"/>
                <w:highlight w:val="none"/>
              </w:rPr>
              <w:t>经查询列入失信被执行人名单、重大税收违法案件当事人名单、政府采购严重违法失信行为记录名单的投标人将被拒绝参与政府采购活动。</w:t>
            </w:r>
          </w:p>
        </w:tc>
      </w:tr>
      <w:tr w14:paraId="70B08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870" w:type="dxa"/>
            <w:vAlign w:val="center"/>
          </w:tcPr>
          <w:p w14:paraId="584D9912">
            <w:pPr>
              <w:spacing w:line="4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2</w:t>
            </w:r>
          </w:p>
        </w:tc>
        <w:tc>
          <w:tcPr>
            <w:tcW w:w="8370" w:type="dxa"/>
            <w:gridSpan w:val="2"/>
            <w:vAlign w:val="center"/>
          </w:tcPr>
          <w:p w14:paraId="751D5D80">
            <w:pPr>
              <w:snapToGrid w:val="0"/>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扰乱公共资源交易市场秩序行为：</w:t>
            </w:r>
          </w:p>
          <w:p w14:paraId="2A6E987B">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不诚信参加公共资源交易活动，扰乱市场秩序，被绍兴市公共资源交易平台责令整改、暂停交易的投标人，在此期间将被拒绝参与政府采购活动。</w:t>
            </w:r>
          </w:p>
        </w:tc>
      </w:tr>
      <w:tr w14:paraId="19AF3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70" w:type="dxa"/>
            <w:vAlign w:val="center"/>
          </w:tcPr>
          <w:p w14:paraId="005CB48D">
            <w:pPr>
              <w:spacing w:line="4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3</w:t>
            </w:r>
          </w:p>
        </w:tc>
        <w:tc>
          <w:tcPr>
            <w:tcW w:w="8370" w:type="dxa"/>
            <w:gridSpan w:val="2"/>
            <w:vAlign w:val="center"/>
          </w:tcPr>
          <w:p w14:paraId="4AC3AED6">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更正补充公告请自行登录浙江政府采购网或绍兴公共资源交易网查看下载。</w:t>
            </w:r>
          </w:p>
        </w:tc>
      </w:tr>
      <w:tr w14:paraId="4F69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70" w:type="dxa"/>
            <w:vAlign w:val="center"/>
          </w:tcPr>
          <w:p w14:paraId="6807E33E">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 xml:space="preserve">                                                                                                                                                                                                                                                                                                                                                                                                                                                                                                                                                                                                                                                                                                                                                                                                                                                                                                                                                                                                                                                                                                                                                                                                                                                                                                                                        </w:t>
            </w:r>
          </w:p>
        </w:tc>
        <w:tc>
          <w:tcPr>
            <w:tcW w:w="8370" w:type="dxa"/>
            <w:gridSpan w:val="2"/>
            <w:vAlign w:val="center"/>
          </w:tcPr>
          <w:p w14:paraId="4AC67DB3">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投标与开标注意事项：</w:t>
            </w:r>
          </w:p>
          <w:p w14:paraId="5A9872BE">
            <w:pPr>
              <w:snapToGrid w:val="0"/>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1.本项目采用纸质投标文件。若供应商参与投标，自行承担投标一切费用。投标文件允许投标单位通过邮寄快递方式送达（建议采用EMS或顺丰快递。邮寄送达地址：</w:t>
            </w:r>
            <w:r>
              <w:rPr>
                <w:rFonts w:hint="eastAsia" w:ascii="仿宋" w:hAnsi="仿宋" w:eastAsia="仿宋" w:cs="仿宋"/>
                <w:b/>
                <w:bCs/>
                <w:color w:val="auto"/>
                <w:sz w:val="24"/>
                <w:highlight w:val="none"/>
                <w:lang w:eastAsia="zh-CN"/>
              </w:rPr>
              <w:t>绍兴市越城区迎凤路87号鑫海大厦1601</w:t>
            </w:r>
            <w:r>
              <w:rPr>
                <w:rFonts w:hint="eastAsia" w:ascii="仿宋" w:hAnsi="仿宋" w:eastAsia="仿宋" w:cs="仿宋"/>
                <w:b/>
                <w:bCs/>
                <w:color w:val="auto"/>
                <w:sz w:val="24"/>
                <w:highlight w:val="none"/>
              </w:rPr>
              <w:t>泰宇建筑工程技术咨询有限公司招标代理部（泰宇建筑工程技术咨询有限公司，接收人：金锦英，联系方式：13656752180。快递寄出后，请将快递底单照片发送邮件至2429136371@qq.com，邮件名称为公司名称+联系人姓名+手机号，以便及时查收）。同时请充分考虑快递时间，确保在投标截止时间前送达。投标文件递交的时间以招标代理机构签收时间为准，除邮寄外包装外，投标文件仍需要按采购文件要求封包，但在邮寄过程中发生的包封缺损或保管过程中发生的一切事宜均由投标人自行承担。</w:t>
            </w:r>
          </w:p>
          <w:p w14:paraId="2313E57F">
            <w:pPr>
              <w:snapToGrid w:val="0"/>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 同时允许投标单位现场送达（即交即走）的方式，在投标截止时间前将投标文件递交至</w:t>
            </w:r>
            <w:r>
              <w:rPr>
                <w:rFonts w:hint="eastAsia" w:ascii="仿宋" w:hAnsi="仿宋" w:eastAsia="仿宋" w:cs="仿宋"/>
                <w:b/>
                <w:bCs/>
                <w:color w:val="auto"/>
                <w:sz w:val="24"/>
                <w:highlight w:val="none"/>
                <w:lang w:eastAsia="zh-CN"/>
              </w:rPr>
              <w:t>绍兴市越城区迎凤路87号鑫海大厦1601</w:t>
            </w:r>
            <w:r>
              <w:rPr>
                <w:rFonts w:hint="eastAsia" w:ascii="仿宋" w:hAnsi="仿宋" w:eastAsia="仿宋" w:cs="仿宋"/>
                <w:b/>
                <w:bCs/>
                <w:color w:val="auto"/>
                <w:sz w:val="24"/>
                <w:highlight w:val="none"/>
              </w:rPr>
              <w:t>（泰宇建筑工程技术咨询有限公司）会议室。</w:t>
            </w:r>
          </w:p>
          <w:p w14:paraId="65305129">
            <w:pPr>
              <w:snapToGrid w:val="0"/>
              <w:spacing w:line="4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2071389B">
            <w:pPr>
              <w:snapToGrid w:val="0"/>
              <w:spacing w:line="400" w:lineRule="exac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4.本项目招标文件内对开标现场原件核验不作要求，采购人有权在标后对中标候选人进行原件核验。投标人对所提供的全部资料的真实性承担法律责任。</w:t>
            </w:r>
          </w:p>
        </w:tc>
      </w:tr>
      <w:tr w14:paraId="5A93F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70" w:type="dxa"/>
            <w:vAlign w:val="center"/>
          </w:tcPr>
          <w:p w14:paraId="60CD685F">
            <w:pPr>
              <w:spacing w:line="4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5</w:t>
            </w:r>
          </w:p>
        </w:tc>
        <w:tc>
          <w:tcPr>
            <w:tcW w:w="8370" w:type="dxa"/>
            <w:gridSpan w:val="2"/>
            <w:vAlign w:val="center"/>
          </w:tcPr>
          <w:p w14:paraId="4450A211">
            <w:pPr>
              <w:numPr>
                <w:ilvl w:val="255"/>
                <w:numId w:val="0"/>
              </w:numPr>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采购代理服务费：</w:t>
            </w:r>
          </w:p>
          <w:p w14:paraId="522BBF65">
            <w:pPr>
              <w:numPr>
                <w:ilvl w:val="255"/>
                <w:numId w:val="0"/>
              </w:numPr>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中标人须向采购代理机构按如下标准和规定交纳代理服务费，并在投标报价中自行考虑：</w:t>
            </w:r>
          </w:p>
          <w:p w14:paraId="220B4B0F">
            <w:pPr>
              <w:numPr>
                <w:ilvl w:val="255"/>
                <w:numId w:val="0"/>
              </w:numPr>
              <w:snapToGrid w:val="0"/>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本项目</w:t>
            </w:r>
            <w:r>
              <w:rPr>
                <w:rFonts w:hint="eastAsia" w:ascii="仿宋" w:hAnsi="仿宋" w:eastAsia="仿宋" w:cs="仿宋"/>
                <w:color w:val="auto"/>
                <w:sz w:val="24"/>
                <w:highlight w:val="none"/>
                <w:lang w:val="en-US" w:eastAsia="zh-CN"/>
              </w:rPr>
              <w:t>每个包代理服务费为2400元。</w:t>
            </w:r>
          </w:p>
          <w:p w14:paraId="059E7D8F">
            <w:pPr>
              <w:numPr>
                <w:ilvl w:val="255"/>
                <w:numId w:val="0"/>
              </w:numPr>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（2）代理服务费的交纳方式：</w:t>
            </w:r>
          </w:p>
          <w:p w14:paraId="55D0090D">
            <w:pPr>
              <w:numPr>
                <w:ilvl w:val="255"/>
                <w:numId w:val="0"/>
              </w:numPr>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用银行支票、汇票、电汇、现金等付款方式直接交纳代理服务费。</w:t>
            </w:r>
          </w:p>
          <w:p w14:paraId="42C8E35B">
            <w:pPr>
              <w:numPr>
                <w:ilvl w:val="255"/>
                <w:numId w:val="0"/>
              </w:numPr>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公司名称：泰宇建筑工程技术咨询有限公司绍兴分公司</w:t>
            </w:r>
          </w:p>
          <w:p w14:paraId="072782B0">
            <w:pPr>
              <w:numPr>
                <w:ilvl w:val="255"/>
                <w:numId w:val="0"/>
              </w:numPr>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账号: 85010078801000000518</w:t>
            </w:r>
          </w:p>
          <w:p w14:paraId="012959E0">
            <w:pPr>
              <w:numPr>
                <w:ilvl w:val="255"/>
                <w:numId w:val="0"/>
              </w:numPr>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开户银行:上海浦东发展银行绍兴分行</w:t>
            </w:r>
          </w:p>
          <w:p w14:paraId="31987588">
            <w:pPr>
              <w:numPr>
                <w:ilvl w:val="255"/>
                <w:numId w:val="0"/>
              </w:numPr>
              <w:snapToGrid w:val="0"/>
              <w:spacing w:line="440" w:lineRule="exac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（3）领取中标通知书前交纳。</w:t>
            </w:r>
          </w:p>
        </w:tc>
      </w:tr>
      <w:tr w14:paraId="7E557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240" w:type="dxa"/>
            <w:gridSpan w:val="3"/>
            <w:vAlign w:val="center"/>
          </w:tcPr>
          <w:p w14:paraId="6C52EA21">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解释：凡涉及本招标文件的解释权属于采购人和采购代理机构。</w:t>
            </w:r>
          </w:p>
        </w:tc>
      </w:tr>
      <w:tr w14:paraId="2DEFA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240" w:type="dxa"/>
            <w:gridSpan w:val="3"/>
            <w:vAlign w:val="center"/>
          </w:tcPr>
          <w:p w14:paraId="020E71A7">
            <w:pPr>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注：中标人放弃中标资格或因质疑、投诉被取消中标资格或不能履行合同的，本项目重新组织采购。</w:t>
            </w:r>
          </w:p>
        </w:tc>
      </w:tr>
      <w:bookmarkEnd w:id="0"/>
    </w:tbl>
    <w:p w14:paraId="528F6CC7">
      <w:pPr>
        <w:pageBreakBefore/>
        <w:snapToGrid w:val="0"/>
        <w:spacing w:line="30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一、总则</w:t>
      </w:r>
    </w:p>
    <w:p w14:paraId="7118789F">
      <w:pPr>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 项目说明</w:t>
      </w:r>
    </w:p>
    <w:p w14:paraId="20E8C3A2">
      <w:pPr>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1.1本招标文件适用于该项目的招标、投标、开标、资格审查及信用信息查询、评标、定标、合同、验收等行为（法律、法规另有规定的，从其规定）。</w:t>
      </w:r>
    </w:p>
    <w:p w14:paraId="04EF03CA">
      <w:pPr>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1.2投标人一旦参与本次招标活动，即被视为接受了本招标文件的所有内容，如有任何异议，均应在法定时间内提出。</w:t>
      </w:r>
    </w:p>
    <w:p w14:paraId="39A4A8A6">
      <w:pPr>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1.3投标人须对所投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5DAD5F08">
      <w:pPr>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1.4本招标文件所称公章是指单位法定名称章或者冠以法定名称的投标业务专用章或单位法定名称公章。</w:t>
      </w:r>
    </w:p>
    <w:p w14:paraId="6798C7F0">
      <w:pPr>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 定义</w:t>
      </w:r>
    </w:p>
    <w:p w14:paraId="0C751B18">
      <w:pPr>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2.1政府采购当事人及监管部门</w:t>
      </w:r>
    </w:p>
    <w:p w14:paraId="672C9840">
      <w:pPr>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2.1.1“采购人”系指采购公告中载明的本项目的采购人，即绍兴市中医院（合同中的甲方）。</w:t>
      </w:r>
    </w:p>
    <w:p w14:paraId="7B0F6324">
      <w:pPr>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2.1.2“采购代理机构”系指采购公告中载明的本项目的采购机构，即泰宇建筑工程技术咨询有限公司。</w:t>
      </w:r>
    </w:p>
    <w:p w14:paraId="14142DD7">
      <w:pPr>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2.1.3“供应商”系指响应招标、参加投标竞争的法人、其他组织或者自然人为投标人，或经评审产生的中标候选人，或发布中标公告后并签订合同的中标人（合同中的乙方），</w:t>
      </w:r>
    </w:p>
    <w:p w14:paraId="5362555A">
      <w:pPr>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2.2“产品”系指供方按招标文件规定，经合法途径取得的，须向采购人提供的一切产品、保险、税金、安装、施工、调试、备品备件、工具、手册及其它有关技术资料和材料。</w:t>
      </w:r>
    </w:p>
    <w:p w14:paraId="7A75267C">
      <w:pPr>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2.3“服务”系指招标文件规定投标人须承担的安装、调试、技术协助、校准、培训、技术指导以及其他类似的义务。</w:t>
      </w:r>
    </w:p>
    <w:p w14:paraId="628F3BB8">
      <w:pPr>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2.4“项目”系指投标人按招标文件规定向采购人提供的产品和服务。</w:t>
      </w:r>
    </w:p>
    <w:p w14:paraId="3B8457DA">
      <w:pPr>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2.5“授权代表”系指法定代表人的被授权委托人。</w:t>
      </w:r>
    </w:p>
    <w:p w14:paraId="63491C0A">
      <w:pPr>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2.6 “★”系指实质性指标要求条款，“▲” 系指主要性能指标要求条款。如任意一条打“★”的指标出现负偏离视为实质性不响应招标文件要求，作无效投标处理；如任意一条打“▲”的指标出现负偏离按评分标准作扣分处理。“</w:t>
      </w:r>
      <w:sdt>
        <w:sdtPr>
          <w:rPr>
            <w:rFonts w:hint="eastAsia" w:ascii="仿宋" w:hAnsi="仿宋" w:eastAsia="仿宋" w:cs="仿宋"/>
            <w:color w:val="auto"/>
            <w:kern w:val="0"/>
            <w:sz w:val="24"/>
            <w:highlight w:val="none"/>
          </w:rPr>
          <w:id w:val="512970236"/>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sz w:val="24"/>
          <w:highlight w:val="none"/>
        </w:rPr>
        <w:t>” 系指适用本项目的要求，“</w:t>
      </w:r>
      <w:sdt>
        <w:sdtPr>
          <w:rPr>
            <w:rFonts w:hint="eastAsia" w:ascii="仿宋" w:hAnsi="仿宋" w:eastAsia="仿宋" w:cs="仿宋"/>
            <w:color w:val="auto"/>
            <w:kern w:val="0"/>
            <w:sz w:val="24"/>
            <w:highlight w:val="none"/>
          </w:rPr>
          <w:id w:val="404888855"/>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sz w:val="24"/>
          <w:highlight w:val="none"/>
        </w:rPr>
        <w:t>”系指不适用本项目的要求。</w:t>
      </w:r>
    </w:p>
    <w:p w14:paraId="05D0F86C">
      <w:pPr>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2.7因特殊原因需要使用冠以法定名称的业务专用章的，投标时须提供《业务专用章使用说明函》(详见附件)。</w:t>
      </w:r>
    </w:p>
    <w:p w14:paraId="50B9C69F">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.特别说明：</w:t>
      </w:r>
    </w:p>
    <w:p w14:paraId="3BD7A5AA">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.1供应商投标所使用的资格、信誉、荣誉、业绩与企业认证必须为投标单位所拥有。供应商投标所使用的采购项目实施人员必须为投标单位正式员工。</w:t>
      </w:r>
    </w:p>
    <w:p w14:paraId="073160DC">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.2供应商应仔细阅读招标文件的所有内容，按照招标文件的要求提交投标文件，并对所提供的全部资料的真实性承担法律责任。</w:t>
      </w:r>
    </w:p>
    <w:p w14:paraId="52BBD11B">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3供应商在投标活动中提供任何虚假材料,其投标无效，并报监管部门查处；中标后发现的,中标人须依照《中华人民共和国消费者权益保护法》规定赔偿采购人，且民事赔偿并不免除违法供应商的行政与刑事责任。</w:t>
      </w:r>
    </w:p>
    <w:p w14:paraId="28C3C808">
      <w:pPr>
        <w:snapToGrid w:val="0"/>
        <w:spacing w:before="120" w:beforeLines="50" w:after="120" w:afterLines="50"/>
        <w:jc w:val="center"/>
        <w:rPr>
          <w:rFonts w:hint="eastAsia" w:ascii="仿宋" w:hAnsi="仿宋" w:eastAsia="仿宋" w:cs="仿宋"/>
          <w:color w:val="auto"/>
          <w:sz w:val="24"/>
          <w:highlight w:val="none"/>
        </w:rPr>
      </w:pPr>
      <w:r>
        <w:rPr>
          <w:rFonts w:hint="eastAsia" w:ascii="仿宋" w:hAnsi="仿宋" w:eastAsia="仿宋" w:cs="仿宋"/>
          <w:b/>
          <w:color w:val="auto"/>
          <w:sz w:val="36"/>
          <w:szCs w:val="36"/>
          <w:highlight w:val="none"/>
        </w:rPr>
        <w:t>二、招标文件</w:t>
      </w:r>
    </w:p>
    <w:p w14:paraId="67599216">
      <w:pPr>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1．招标方式</w:t>
      </w:r>
    </w:p>
    <w:p w14:paraId="4DB4FDAC">
      <w:pPr>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1.1 本次招标采用</w:t>
      </w:r>
      <w:r>
        <w:rPr>
          <w:rFonts w:hint="eastAsia" w:ascii="仿宋" w:hAnsi="仿宋" w:eastAsia="仿宋" w:cs="仿宋"/>
          <w:b/>
          <w:color w:val="auto"/>
          <w:kern w:val="0"/>
          <w:sz w:val="24"/>
          <w:highlight w:val="none"/>
        </w:rPr>
        <w:t>公开招标</w:t>
      </w:r>
      <w:r>
        <w:rPr>
          <w:rFonts w:hint="eastAsia" w:ascii="仿宋" w:hAnsi="仿宋" w:eastAsia="仿宋" w:cs="仿宋"/>
          <w:color w:val="auto"/>
          <w:sz w:val="24"/>
          <w:highlight w:val="none"/>
        </w:rPr>
        <w:t>方式进行。</w:t>
      </w:r>
    </w:p>
    <w:p w14:paraId="78033804">
      <w:pPr>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color w:val="auto"/>
          <w:sz w:val="24"/>
          <w:highlight w:val="none"/>
        </w:rPr>
        <w:t>1.2 如某一标项投标人或实质性响应招标文件的投标人不足三家时，由采购人重新组织招标或按有关规定实施。</w:t>
      </w:r>
    </w:p>
    <w:p w14:paraId="1717564A">
      <w:pPr>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1.3 本次招标设定限价，即招标公告中公布的各标项预算金额或最高限价（各标项之间的预算金额不能互相调整）。</w:t>
      </w:r>
    </w:p>
    <w:p w14:paraId="6325E815">
      <w:pPr>
        <w:pStyle w:val="7"/>
        <w:snapToGrid w:val="0"/>
        <w:spacing w:after="0" w:line="440" w:lineRule="exact"/>
        <w:ind w:left="0" w:leftChars="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2.授权委托</w:t>
      </w:r>
    </w:p>
    <w:p w14:paraId="7EA45F72">
      <w:pP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本项目为现场送达（即交即走）或邮寄的方式递交投标文件，投标人的法定代表人或其授权代表或个体工商户不需要参加现场投标和开标。</w:t>
      </w:r>
    </w:p>
    <w:p w14:paraId="30EDEE2D">
      <w:pPr>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 投标费用</w:t>
      </w:r>
    </w:p>
    <w:p w14:paraId="15A99B61">
      <w:pPr>
        <w:pStyle w:val="16"/>
        <w:tabs>
          <w:tab w:val="clear" w:pos="454"/>
        </w:tabs>
        <w:spacing w:afterLines="0" w:line="440" w:lineRule="exact"/>
        <w:ind w:left="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投标人应自行承担编制投标文件及参加本次投标所涉及的一切费用。不管投标结果如何，招标人对上述费用不负任何责任。对中标人免收政府采购代理服务费。</w:t>
      </w:r>
    </w:p>
    <w:p w14:paraId="4675C3E0">
      <w:pPr>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 招标文件的修改</w:t>
      </w:r>
    </w:p>
    <w:p w14:paraId="5C135EE7">
      <w:p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4.1 </w:t>
      </w:r>
      <w:r>
        <w:rPr>
          <w:rFonts w:hint="eastAsia" w:ascii="仿宋" w:hAnsi="仿宋" w:eastAsia="仿宋" w:cs="仿宋"/>
          <w:bCs/>
          <w:color w:val="auto"/>
          <w:sz w:val="24"/>
          <w:highlight w:val="none"/>
        </w:rPr>
        <w:t>招标文件包括本招标文件及所有的招标答疑记录（澄清、修改）和发出的补充通知</w:t>
      </w:r>
      <w:r>
        <w:rPr>
          <w:rFonts w:hint="eastAsia" w:ascii="仿宋" w:hAnsi="仿宋" w:eastAsia="仿宋" w:cs="仿宋"/>
          <w:color w:val="auto"/>
          <w:sz w:val="24"/>
          <w:highlight w:val="none"/>
        </w:rPr>
        <w:t>。</w:t>
      </w:r>
    </w:p>
    <w:p w14:paraId="731634F9">
      <w:pPr>
        <w:pStyle w:val="16"/>
        <w:widowControl w:val="0"/>
        <w:tabs>
          <w:tab w:val="clear" w:pos="454"/>
        </w:tabs>
        <w:spacing w:afterLines="0" w:line="440" w:lineRule="exact"/>
        <w:ind w:left="0" w:firstLine="0"/>
        <w:rPr>
          <w:rFonts w:hint="eastAsia" w:ascii="仿宋" w:hAnsi="仿宋" w:eastAsia="仿宋" w:cs="仿宋"/>
          <w:color w:val="auto"/>
          <w:highlight w:val="none"/>
        </w:rPr>
      </w:pPr>
      <w:r>
        <w:rPr>
          <w:rFonts w:hint="eastAsia" w:ascii="仿宋" w:hAnsi="仿宋" w:eastAsia="仿宋" w:cs="仿宋"/>
          <w:color w:val="auto"/>
          <w:highlight w:val="none"/>
        </w:rPr>
        <w:t xml:space="preserve">4.2招标文件的澄清 </w:t>
      </w:r>
    </w:p>
    <w:p w14:paraId="4B6CA2A5">
      <w:pPr>
        <w:pStyle w:val="16"/>
        <w:widowControl w:val="0"/>
        <w:tabs>
          <w:tab w:val="clear" w:pos="454"/>
        </w:tabs>
        <w:spacing w:afterLines="0" w:line="440" w:lineRule="exact"/>
        <w:ind w:left="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投标人对招标文件如有疑点要求澄清，可用书面形式（包括并不仅限于纸质、信件和数据电文(包括电报、电传、传真、电子数据交换和电子邮件）)等通知招标人，但通知不得迟于开标前7日使招标人收到，招标人将用书面形式予以答复。如有必要，可将不说明来源的答复发给所有投标人。</w:t>
      </w:r>
    </w:p>
    <w:p w14:paraId="213F7607">
      <w:pPr>
        <w:pStyle w:val="16"/>
        <w:widowControl w:val="0"/>
        <w:tabs>
          <w:tab w:val="clear" w:pos="454"/>
        </w:tabs>
        <w:spacing w:afterLines="0" w:line="440" w:lineRule="exact"/>
        <w:ind w:left="0" w:firstLine="0"/>
        <w:rPr>
          <w:rFonts w:hint="eastAsia" w:ascii="仿宋" w:hAnsi="仿宋" w:eastAsia="仿宋" w:cs="仿宋"/>
          <w:color w:val="auto"/>
          <w:highlight w:val="none"/>
        </w:rPr>
      </w:pPr>
      <w:r>
        <w:rPr>
          <w:rFonts w:hint="eastAsia" w:ascii="仿宋" w:hAnsi="仿宋" w:eastAsia="仿宋" w:cs="仿宋"/>
          <w:color w:val="auto"/>
          <w:highlight w:val="none"/>
        </w:rPr>
        <w:t>4.3招标文件的修改</w:t>
      </w:r>
    </w:p>
    <w:p w14:paraId="41163F70">
      <w:pPr>
        <w:pStyle w:val="16"/>
        <w:widowControl w:val="0"/>
        <w:tabs>
          <w:tab w:val="clear" w:pos="454"/>
        </w:tabs>
        <w:spacing w:afterLines="0" w:line="440" w:lineRule="exact"/>
        <w:ind w:left="0" w:firstLine="0"/>
        <w:rPr>
          <w:rFonts w:hint="eastAsia" w:ascii="仿宋" w:hAnsi="仿宋" w:eastAsia="仿宋" w:cs="仿宋"/>
          <w:color w:val="auto"/>
          <w:highlight w:val="none"/>
        </w:rPr>
      </w:pPr>
      <w:r>
        <w:rPr>
          <w:rFonts w:hint="eastAsia" w:ascii="仿宋" w:hAnsi="仿宋" w:eastAsia="仿宋" w:cs="仿宋"/>
          <w:color w:val="auto"/>
          <w:highlight w:val="none"/>
        </w:rPr>
        <w:t>4.3.1在投标截止时间前，招标人有权修改招标文件，并以书面形式通知所有投标人，通知中没有注明更改投标截止时间的视为截止时间不变。修改的文件作为招标文件的补充和组成部分，对所有投标人均有约束力。投标人应在两天内以书面形式确认已收到的修改文件，并需附法定代表人或其授权代表的签字加盖公章，逾期不确认的视同认可。</w:t>
      </w:r>
    </w:p>
    <w:p w14:paraId="6221DC4C">
      <w:pPr>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4.3.2为使投标人有足够的时间按修改文件要求修正投标文件，招标人可酌情推迟投标截止时间和开标时间，并将此变更通知投标人。在这种情况下，招标人与投标人以前在投标截止期方面的全部权力、责任和义务，将适用于延长后新的投标截止期。</w:t>
      </w:r>
    </w:p>
    <w:p w14:paraId="6BFA6F1C">
      <w:pPr>
        <w:snapToGrid w:val="0"/>
        <w:spacing w:line="800" w:lineRule="exact"/>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三、投标文件</w:t>
      </w:r>
    </w:p>
    <w:p w14:paraId="71D527CB">
      <w:pPr>
        <w:numPr>
          <w:ilvl w:val="0"/>
          <w:numId w:val="6"/>
        </w:numPr>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投标文件的语言、计量单位、形式及效力</w:t>
      </w:r>
    </w:p>
    <w:p w14:paraId="5DE562A5">
      <w:pPr>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1.1投标人应仔细阅读招标文件中的所有内容，按照招标文件要求，详细编制投标文件，并保证投标文件的正确性和真实性。</w:t>
      </w:r>
    </w:p>
    <w:p w14:paraId="0224DFB6">
      <w:pPr>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1.2 投标文件以及投标方与招标方就有关投标事宜的所有来往函电，均应以中文书写（技术术语除外）。</w:t>
      </w:r>
    </w:p>
    <w:p w14:paraId="3AD98F51">
      <w:pPr>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1.3 投标计量单位，除招标文件中有特殊要求外，应采用中华人民共和国法定计量单位，货币单位：人民币元。</w:t>
      </w:r>
    </w:p>
    <w:p w14:paraId="052C35B6">
      <w:pPr>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1.4不按招标文件的要求提供的投标文件可能导致被拒绝。</w:t>
      </w:r>
    </w:p>
    <w:p w14:paraId="53092A36">
      <w:pPr>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 投标文件的组成</w:t>
      </w:r>
    </w:p>
    <w:p w14:paraId="462BDC44">
      <w:pPr>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投标文件由“报价文件资料”、“商务技术（资信）文件资料”两部分组成：</w:t>
      </w:r>
    </w:p>
    <w:p w14:paraId="6D54F638">
      <w:p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2.1 “报价文件资料”应包含以下内容：</w:t>
      </w:r>
    </w:p>
    <w:p w14:paraId="6F6423BD">
      <w:pPr>
        <w:tabs>
          <w:tab w:val="left" w:pos="3870"/>
          <w:tab w:val="left" w:pos="4085"/>
        </w:tabs>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2.1.1投标响应函（格式见第六部分附件）； </w:t>
      </w:r>
    </w:p>
    <w:p w14:paraId="54D51C98">
      <w:pPr>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2.1.2开标一览表（格式见第六部分附件）；</w:t>
      </w:r>
    </w:p>
    <w:p w14:paraId="33DEE888">
      <w:pPr>
        <w:tabs>
          <w:tab w:val="left" w:pos="3870"/>
          <w:tab w:val="left" w:pos="4085"/>
        </w:tabs>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以上文件组成“报价文件资料”。投标人在“报价文件资料”中应对招标文件作实质性响应，该项内容将作为评标重要指标。</w:t>
      </w:r>
    </w:p>
    <w:p w14:paraId="0D80B41F">
      <w:pPr>
        <w:tabs>
          <w:tab w:val="left" w:pos="3870"/>
          <w:tab w:val="left" w:pos="4085"/>
        </w:tabs>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2.2 “商务技术（资信）文件资料”应包括以下内容（正本用原件）：</w:t>
      </w:r>
    </w:p>
    <w:p w14:paraId="7F8CB2C7">
      <w:pPr>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2.2.1法定代表人授权委托书(格式见第六部分附件)；</w:t>
      </w:r>
    </w:p>
    <w:p w14:paraId="6CDE640C">
      <w:pPr>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2.2.2授权代表社保证明（格式见第六部分附件）；</w:t>
      </w:r>
    </w:p>
    <w:p w14:paraId="0DFE042E">
      <w:pPr>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2.2.3法定代表人身份证明书（格式见第六部分附件）；</w:t>
      </w:r>
    </w:p>
    <w:p w14:paraId="7F284FD0">
      <w:pPr>
        <w:snapToGrid w:val="0"/>
        <w:spacing w:line="440" w:lineRule="exac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2.2.4</w:t>
      </w:r>
      <w:r>
        <w:rPr>
          <w:rFonts w:hint="eastAsia" w:ascii="仿宋" w:hAnsi="仿宋" w:eastAsia="仿宋" w:cs="仿宋"/>
          <w:color w:val="auto"/>
          <w:kern w:val="0"/>
          <w:sz w:val="24"/>
          <w:highlight w:val="none"/>
        </w:rPr>
        <w:t>供应商基本资格条件</w:t>
      </w:r>
      <w:r>
        <w:rPr>
          <w:rFonts w:hint="eastAsia" w:ascii="仿宋" w:hAnsi="仿宋" w:eastAsia="仿宋" w:cs="仿宋"/>
          <w:color w:val="auto"/>
          <w:sz w:val="24"/>
          <w:highlight w:val="none"/>
        </w:rPr>
        <w:t>书面承诺函（格式见第六部分附件）</w:t>
      </w:r>
      <w:r>
        <w:rPr>
          <w:rFonts w:hint="eastAsia" w:ascii="仿宋" w:hAnsi="仿宋" w:eastAsia="仿宋" w:cs="仿宋"/>
          <w:color w:val="auto"/>
          <w:kern w:val="0"/>
          <w:sz w:val="24"/>
          <w:highlight w:val="none"/>
        </w:rPr>
        <w:t>；</w:t>
      </w:r>
    </w:p>
    <w:p w14:paraId="7559B00F">
      <w:pPr>
        <w:snapToGrid w:val="0"/>
        <w:spacing w:line="44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2.2.5供应商</w:t>
      </w:r>
      <w:r>
        <w:rPr>
          <w:rFonts w:hint="eastAsia" w:ascii="仿宋" w:hAnsi="仿宋" w:eastAsia="仿宋" w:cs="仿宋"/>
          <w:color w:val="auto"/>
          <w:sz w:val="24"/>
          <w:highlight w:val="none"/>
        </w:rPr>
        <w:t>特定资格条件（如项目要求）的有关证明材料（复印件）；</w:t>
      </w:r>
    </w:p>
    <w:p w14:paraId="2F461A4F">
      <w:pPr>
        <w:pStyle w:val="24"/>
        <w:snapToGrid w:val="0"/>
        <w:spacing w:line="440" w:lineRule="exact"/>
        <w:rPr>
          <w:rFonts w:hint="eastAsia" w:ascii="仿宋" w:hAnsi="仿宋" w:eastAsia="仿宋" w:cs="仿宋"/>
          <w:color w:val="auto"/>
          <w:sz w:val="24"/>
          <w:highlight w:val="none"/>
          <w:lang w:val="zh-CN"/>
        </w:rPr>
      </w:pPr>
      <w:bookmarkStart w:id="1" w:name="_Hlt68073093"/>
      <w:bookmarkEnd w:id="1"/>
      <w:bookmarkStart w:id="2" w:name="_Hlt68403820"/>
      <w:bookmarkEnd w:id="2"/>
      <w:bookmarkStart w:id="3" w:name="_Hlt68072998"/>
      <w:bookmarkEnd w:id="3"/>
      <w:r>
        <w:rPr>
          <w:rFonts w:hint="eastAsia" w:ascii="仿宋" w:hAnsi="仿宋" w:eastAsia="仿宋" w:cs="仿宋"/>
          <w:color w:val="auto"/>
          <w:sz w:val="24"/>
          <w:highlight w:val="none"/>
        </w:rPr>
        <w:t>2.2.6</w:t>
      </w:r>
      <w:r>
        <w:rPr>
          <w:rFonts w:hint="eastAsia" w:ascii="仿宋" w:hAnsi="仿宋" w:eastAsia="仿宋" w:cs="仿宋"/>
          <w:color w:val="auto"/>
          <w:sz w:val="24"/>
          <w:highlight w:val="none"/>
          <w:lang w:val="zh-CN"/>
        </w:rPr>
        <w:t>投标人应提供针对项目的完整技术解决方案：</w:t>
      </w:r>
    </w:p>
    <w:p w14:paraId="17DA0354">
      <w:pP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针对本项目的完整技术解决方案和实施方案；详细阐述项目方案的实现思路及关键技术；符合本项目对当前和未来发展的要求；以及对功能设计和实施计划的建议；</w:t>
      </w:r>
    </w:p>
    <w:p w14:paraId="0E8A366B">
      <w:pPr>
        <w:tabs>
          <w:tab w:val="left" w:pos="3870"/>
          <w:tab w:val="left" w:pos="4085"/>
        </w:tabs>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2.2.7优惠条件：投标人承诺给予招标人的各种优惠条件，包括保险、付款条件、售后服务等方面的优惠；当优惠条件涉及“报价单”中的各项费用时，必须与投标价格相统一；（如有）</w:t>
      </w:r>
    </w:p>
    <w:p w14:paraId="7EE2F07B">
      <w:pPr>
        <w:tabs>
          <w:tab w:val="left" w:pos="3870"/>
          <w:tab w:val="left" w:pos="4085"/>
        </w:tabs>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2.2.8提供相关标段成功案例。应有需方名称及联系电话，提供最终用户合同复印件（加盖单位公章）（如无独立法人资格的分公司（如金融、保险、通讯等特定行业的全国性企业所设立的区域性分支机构）参加投标的，投标时提供的人员、业绩、荣誉、知识产权、项目案例等，必须为投标分公司本身所具有，总公司或其他分公司的人员、业绩、荣誉、知识产权、项目案例等，不能作为该投标分公司的文件予以确认。）；</w:t>
      </w:r>
    </w:p>
    <w:p w14:paraId="612B6E11">
      <w:pPr>
        <w:snapToGrid w:val="0"/>
        <w:spacing w:line="440" w:lineRule="exac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rPr>
        <w:t>2.2.9</w:t>
      </w:r>
      <w:r>
        <w:rPr>
          <w:rFonts w:hint="eastAsia" w:ascii="仿宋" w:hAnsi="仿宋" w:eastAsia="仿宋" w:cs="仿宋"/>
          <w:color w:val="auto"/>
          <w:sz w:val="24"/>
          <w:highlight w:val="none"/>
        </w:rPr>
        <w:t>投标人在投标文件技术偏离说明表中，</w:t>
      </w:r>
      <w:r>
        <w:rPr>
          <w:rFonts w:hint="eastAsia" w:ascii="仿宋" w:hAnsi="仿宋" w:eastAsia="仿宋" w:cs="仿宋"/>
          <w:color w:val="auto"/>
          <w:kern w:val="0"/>
          <w:sz w:val="24"/>
          <w:highlight w:val="none"/>
          <w:lang w:val="zh-CN"/>
        </w:rPr>
        <w:t>应对</w:t>
      </w:r>
      <w:r>
        <w:rPr>
          <w:rFonts w:hint="eastAsia" w:ascii="仿宋" w:hAnsi="仿宋" w:eastAsia="仿宋" w:cs="仿宋"/>
          <w:color w:val="auto"/>
          <w:sz w:val="24"/>
          <w:highlight w:val="none"/>
        </w:rPr>
        <w:t>项目技术规范和服务要求</w:t>
      </w:r>
      <w:r>
        <w:rPr>
          <w:rFonts w:hint="eastAsia" w:ascii="仿宋" w:hAnsi="仿宋" w:eastAsia="仿宋" w:cs="仿宋"/>
          <w:color w:val="auto"/>
          <w:kern w:val="0"/>
          <w:sz w:val="24"/>
          <w:highlight w:val="none"/>
          <w:lang w:val="zh-CN"/>
        </w:rPr>
        <w:t>中所提出各项要求进行答复、说明和解释。如果投标人在技术偏离表中注明无偏离，评标结束后、签订采购合同前又认为其实际产品与投标技术需求不一致的，视为投标人在投标有效期内对其投标文件进行了实质性修改，其投标将被追认为无效。采购机构将把这一情况报送采购监管部门；</w:t>
      </w:r>
    </w:p>
    <w:p w14:paraId="3C7DDCF6">
      <w:pPr>
        <w:snapToGrid w:val="0"/>
        <w:spacing w:line="440" w:lineRule="exac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2.2.10针对本项目建设的详细实施计划。本项目详细工作实施组织方案，包括(但不限于)以下内容：组织机构、工作时间进度表、工作程序和步骤、管理和协调方法、关键步骤的思路和要点；</w:t>
      </w:r>
    </w:p>
    <w:p w14:paraId="06039FF8">
      <w:pPr>
        <w:snapToGrid w:val="0"/>
        <w:spacing w:line="440" w:lineRule="exac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2.2.11项目验收之前、验收之后的维护方案；针对本项目的维护方案，包括本地(绍兴)售后服务机构及人员情况等。投标人应以书面形式完整准确地表述售后服务承诺(范围、标准及期限等)、投标人可能增加的服务承诺等。并明示服务承诺可能涉及的前提设定和费用，否则将被认为是无条件和免费的。承诺质保期内均提供免费上门服务；</w:t>
      </w:r>
    </w:p>
    <w:p w14:paraId="7D28AC16">
      <w:pPr>
        <w:snapToGrid w:val="0"/>
        <w:spacing w:line="440" w:lineRule="exac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2.2.12投标人为完成本项目组建的工作小组名单，每个专业人员的情况和人员数应该明确表示，明确各阶段投入人数，在提交的投标文件中安排的人员，须为公司的固定职员；每个参加项目人员的履历表应随投标文件一并提交，主要内容包括学历、技术职称、工作特长、经验与业绩(包括从事相关项目的经验，对每一个项目有一个简要的描述，该人员参与的时间以及在项目中的责任)，资质情况等；</w:t>
      </w:r>
    </w:p>
    <w:p w14:paraId="26968369">
      <w:pPr>
        <w:snapToGrid w:val="0"/>
        <w:spacing w:line="440" w:lineRule="exact"/>
        <w:rPr>
          <w:rFonts w:hint="eastAsia" w:ascii="仿宋" w:hAnsi="仿宋" w:eastAsia="仿宋" w:cs="仿宋"/>
          <w:color w:val="auto"/>
          <w:kern w:val="0"/>
          <w:sz w:val="24"/>
          <w:highlight w:val="none"/>
          <w:lang w:val="zh-CN"/>
        </w:rPr>
      </w:pPr>
      <w:r>
        <w:rPr>
          <w:rFonts w:hint="eastAsia" w:ascii="仿宋" w:hAnsi="仿宋" w:eastAsia="仿宋" w:cs="仿宋"/>
          <w:color w:val="auto"/>
          <w:sz w:val="24"/>
          <w:highlight w:val="none"/>
        </w:rPr>
        <w:t>2.2.1</w:t>
      </w:r>
      <w:r>
        <w:rPr>
          <w:rFonts w:hint="eastAsia" w:ascii="仿宋" w:hAnsi="仿宋" w:eastAsia="仿宋" w:cs="仿宋"/>
          <w:color w:val="auto"/>
          <w:sz w:val="24"/>
          <w:highlight w:val="none"/>
          <w:lang w:val="en-US" w:eastAsia="zh-CN"/>
        </w:rPr>
        <w:t>3</w:t>
      </w:r>
      <w:r>
        <w:rPr>
          <w:rFonts w:hint="eastAsia" w:ascii="仿宋" w:hAnsi="仿宋" w:eastAsia="仿宋" w:cs="仿宋"/>
          <w:color w:val="auto"/>
          <w:kern w:val="0"/>
          <w:sz w:val="24"/>
          <w:highlight w:val="none"/>
          <w:lang w:val="zh-CN"/>
        </w:rPr>
        <w:t xml:space="preserve">培训计划（如有）； </w:t>
      </w:r>
    </w:p>
    <w:p w14:paraId="59C8EA55">
      <w:pPr>
        <w:snapToGrid w:val="0"/>
        <w:spacing w:line="440" w:lineRule="exact"/>
        <w:rPr>
          <w:rFonts w:hint="eastAsia" w:ascii="仿宋" w:hAnsi="仿宋" w:eastAsia="仿宋" w:cs="仿宋"/>
          <w:color w:val="auto"/>
          <w:sz w:val="24"/>
          <w:highlight w:val="none"/>
          <w:lang w:val="zh-CN"/>
        </w:rPr>
      </w:pPr>
      <w:r>
        <w:rPr>
          <w:rFonts w:hint="eastAsia" w:ascii="仿宋" w:hAnsi="仿宋" w:eastAsia="仿宋" w:cs="仿宋"/>
          <w:color w:val="auto"/>
          <w:kern w:val="0"/>
          <w:sz w:val="24"/>
          <w:highlight w:val="none"/>
        </w:rPr>
        <w:t>2.2.1</w:t>
      </w:r>
      <w:r>
        <w:rPr>
          <w:rFonts w:hint="eastAsia" w:ascii="仿宋" w:hAnsi="仿宋" w:eastAsia="仿宋" w:cs="仿宋"/>
          <w:color w:val="auto"/>
          <w:kern w:val="0"/>
          <w:sz w:val="24"/>
          <w:highlight w:val="none"/>
          <w:lang w:val="en-US" w:eastAsia="zh-CN"/>
        </w:rPr>
        <w:t>4</w:t>
      </w:r>
      <w:r>
        <w:rPr>
          <w:rFonts w:hint="eastAsia" w:ascii="仿宋" w:hAnsi="仿宋" w:eastAsia="仿宋" w:cs="仿宋"/>
          <w:snapToGrid w:val="0"/>
          <w:color w:val="auto"/>
          <w:sz w:val="24"/>
          <w:highlight w:val="none"/>
        </w:rPr>
        <w:t>投标人售后服务证明材料：合作单位营业执照或投标人在本地（绍兴市行政区域范围内）设立的项目部、办公室、办事处等机构的证明材料或投标人作出的中标后提供本地化服务的承诺</w:t>
      </w:r>
      <w:r>
        <w:rPr>
          <w:rFonts w:hint="eastAsia" w:ascii="仿宋" w:hAnsi="仿宋" w:eastAsia="仿宋" w:cs="仿宋"/>
          <w:color w:val="auto"/>
          <w:sz w:val="24"/>
          <w:highlight w:val="none"/>
          <w:lang w:val="zh-CN"/>
        </w:rPr>
        <w:t>；</w:t>
      </w:r>
    </w:p>
    <w:p w14:paraId="674CF29C">
      <w:pPr>
        <w:snapToGrid w:val="0"/>
        <w:spacing w:line="440" w:lineRule="exac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val="zh-CN"/>
        </w:rPr>
        <w:t>2.2.1</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val="zh-CN"/>
        </w:rPr>
        <w:t>廉政承诺书</w:t>
      </w:r>
      <w:r>
        <w:rPr>
          <w:rFonts w:hint="eastAsia" w:ascii="仿宋" w:hAnsi="仿宋" w:eastAsia="仿宋" w:cs="仿宋"/>
          <w:color w:val="auto"/>
          <w:sz w:val="24"/>
          <w:highlight w:val="none"/>
        </w:rPr>
        <w:t>（格式见第六部分附件）；</w:t>
      </w:r>
    </w:p>
    <w:p w14:paraId="22F742A2">
      <w:pPr>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2.2.</w:t>
      </w:r>
      <w:r>
        <w:rPr>
          <w:rFonts w:hint="eastAsia" w:ascii="仿宋" w:hAnsi="仿宋" w:eastAsia="仿宋" w:cs="仿宋"/>
          <w:color w:val="auto"/>
          <w:sz w:val="24"/>
          <w:highlight w:val="none"/>
          <w:lang w:val="en-US" w:eastAsia="zh-CN"/>
        </w:rPr>
        <w:t>16</w:t>
      </w:r>
      <w:r>
        <w:rPr>
          <w:rFonts w:hint="eastAsia" w:ascii="仿宋" w:hAnsi="仿宋" w:eastAsia="仿宋" w:cs="仿宋"/>
          <w:color w:val="auto"/>
          <w:sz w:val="24"/>
          <w:highlight w:val="none"/>
          <w:u w:val="wave"/>
        </w:rPr>
        <w:t>未尽事宜请各投标单位按评分标准和相对应标项相关要求制作</w:t>
      </w:r>
      <w:r>
        <w:rPr>
          <w:rFonts w:hint="eastAsia" w:ascii="仿宋" w:hAnsi="仿宋" w:eastAsia="仿宋" w:cs="仿宋"/>
          <w:color w:val="auto"/>
          <w:sz w:val="24"/>
          <w:highlight w:val="none"/>
        </w:rPr>
        <w:t>；</w:t>
      </w:r>
    </w:p>
    <w:p w14:paraId="637681FB">
      <w:pPr>
        <w:pStyle w:val="20"/>
        <w:tabs>
          <w:tab w:val="left" w:pos="1854"/>
          <w:tab w:val="clear" w:pos="482"/>
        </w:tabs>
        <w:spacing w:afterLines="0" w:line="440" w:lineRule="exact"/>
        <w:ind w:left="0" w:firstLine="0"/>
        <w:rPr>
          <w:rFonts w:hint="eastAsia" w:ascii="仿宋" w:hAnsi="仿宋" w:eastAsia="仿宋" w:cs="仿宋"/>
          <w:color w:val="auto"/>
          <w:highlight w:val="none"/>
        </w:rPr>
      </w:pPr>
      <w:r>
        <w:rPr>
          <w:rFonts w:hint="eastAsia" w:ascii="仿宋" w:hAnsi="仿宋" w:eastAsia="仿宋" w:cs="仿宋"/>
          <w:color w:val="auto"/>
          <w:highlight w:val="none"/>
        </w:rPr>
        <w:t>2.2.</w:t>
      </w:r>
      <w:r>
        <w:rPr>
          <w:rFonts w:hint="eastAsia" w:ascii="仿宋" w:hAnsi="仿宋" w:eastAsia="仿宋" w:cs="仿宋"/>
          <w:color w:val="auto"/>
          <w:highlight w:val="none"/>
          <w:lang w:val="en-US" w:eastAsia="zh-CN"/>
        </w:rPr>
        <w:t>17</w:t>
      </w:r>
      <w:r>
        <w:rPr>
          <w:rFonts w:hint="eastAsia" w:ascii="仿宋" w:hAnsi="仿宋" w:eastAsia="仿宋" w:cs="仿宋"/>
          <w:color w:val="auto"/>
          <w:highlight w:val="none"/>
        </w:rPr>
        <w:t>投标人需要说明的其他文件和说明（格式自拟）。</w:t>
      </w:r>
    </w:p>
    <w:p w14:paraId="344158CB">
      <w:pPr>
        <w:tabs>
          <w:tab w:val="left" w:pos="3870"/>
          <w:tab w:val="left" w:pos="4085"/>
        </w:tabs>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以上文件组成“商务技术（资信）文件资料”。投标人在“商务技术（资信）文件资料”中应对招标文件作实质性响应，该项内容将作为评标重要指标。</w:t>
      </w:r>
    </w:p>
    <w:p w14:paraId="5B16BA80">
      <w:pPr>
        <w:pStyle w:val="20"/>
        <w:tabs>
          <w:tab w:val="left" w:pos="1854"/>
          <w:tab w:val="clear" w:pos="482"/>
        </w:tabs>
        <w:spacing w:afterLines="0" w:line="440" w:lineRule="exact"/>
        <w:ind w:left="0" w:right="-78" w:rightChars="-37" w:firstLine="480" w:firstLineChars="200"/>
        <w:rPr>
          <w:rFonts w:hint="eastAsia" w:ascii="仿宋" w:hAnsi="仿宋" w:eastAsia="仿宋" w:cs="仿宋"/>
          <w:b/>
          <w:color w:val="auto"/>
          <w:highlight w:val="none"/>
        </w:rPr>
      </w:pPr>
      <w:r>
        <w:rPr>
          <w:rFonts w:hint="eastAsia" w:ascii="仿宋" w:hAnsi="仿宋" w:eastAsia="仿宋" w:cs="仿宋"/>
          <w:color w:val="auto"/>
          <w:highlight w:val="none"/>
        </w:rPr>
        <w:t>投标人不按招标文件的要求提供的投标文件，可能会被评标委员会视为未实质性响应，其风险应由投标人自行承担。</w:t>
      </w:r>
    </w:p>
    <w:p w14:paraId="638ED72F">
      <w:pPr>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 投标报价</w:t>
      </w:r>
    </w:p>
    <w:p w14:paraId="298991A9">
      <w:pPr>
        <w:pStyle w:val="24"/>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3.1投标人应按招标文件中《开标一览表》等附表要求填写。</w:t>
      </w:r>
    </w:p>
    <w:p w14:paraId="0B19B208">
      <w:pPr>
        <w:pStyle w:val="24"/>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3.2报价为采购人可以合格使用产品的价格，包括货款、包装、运输、保险、货到就位以及安装、调试、培训、保修及产品知识产权等一切费用。</w:t>
      </w:r>
    </w:p>
    <w:p w14:paraId="2DE40D78">
      <w:pPr>
        <w:pStyle w:val="24"/>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3.3招标文件未列明，而投标人认为必需的费用也需列入报价。</w:t>
      </w:r>
    </w:p>
    <w:p w14:paraId="7951CBAC">
      <w:pPr>
        <w:tabs>
          <w:tab w:val="left" w:pos="525"/>
        </w:tabs>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3.4</w:t>
      </w:r>
      <w:r>
        <w:rPr>
          <w:rFonts w:hint="eastAsia" w:ascii="仿宋" w:hAnsi="仿宋" w:eastAsia="仿宋" w:cs="仿宋"/>
          <w:b/>
          <w:color w:val="auto"/>
          <w:sz w:val="24"/>
          <w:highlight w:val="none"/>
        </w:rPr>
        <w:t>投标报价只允许有一个报价，有选择的报价将不予接受（除指定外）。</w:t>
      </w:r>
    </w:p>
    <w:p w14:paraId="684EFC91">
      <w:pPr>
        <w:pStyle w:val="16"/>
        <w:widowControl w:val="0"/>
        <w:tabs>
          <w:tab w:val="clear" w:pos="454"/>
        </w:tabs>
        <w:spacing w:afterLines="0" w:line="440" w:lineRule="atLeast"/>
        <w:ind w:left="0" w:firstLine="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4.投标文件的有效期</w:t>
      </w:r>
    </w:p>
    <w:p w14:paraId="426B68A9">
      <w:pPr>
        <w:pStyle w:val="16"/>
        <w:widowControl w:val="0"/>
        <w:tabs>
          <w:tab w:val="clear" w:pos="454"/>
        </w:tabs>
        <w:spacing w:afterLines="0" w:line="440" w:lineRule="atLeast"/>
        <w:ind w:left="0" w:firstLine="0"/>
        <w:rPr>
          <w:rFonts w:hint="eastAsia" w:ascii="仿宋" w:hAnsi="仿宋" w:eastAsia="仿宋" w:cs="仿宋"/>
          <w:color w:val="auto"/>
          <w:szCs w:val="24"/>
          <w:highlight w:val="none"/>
        </w:rPr>
      </w:pPr>
      <w:r>
        <w:rPr>
          <w:rFonts w:hint="eastAsia" w:ascii="仿宋" w:hAnsi="仿宋" w:eastAsia="仿宋" w:cs="仿宋"/>
          <w:color w:val="auto"/>
          <w:szCs w:val="24"/>
          <w:highlight w:val="none"/>
        </w:rPr>
        <w:t>4.1</w:t>
      </w:r>
      <w:r>
        <w:rPr>
          <w:rFonts w:hint="eastAsia" w:ascii="仿宋" w:hAnsi="仿宋" w:eastAsia="仿宋" w:cs="仿宋"/>
          <w:color w:val="auto"/>
          <w:highlight w:val="none"/>
        </w:rPr>
        <w:t>投标有效期为从提交投标文件的截止之日起90天。</w:t>
      </w:r>
      <w:r>
        <w:rPr>
          <w:rFonts w:hint="eastAsia" w:ascii="仿宋" w:hAnsi="仿宋" w:eastAsia="仿宋" w:cs="仿宋"/>
          <w:b/>
          <w:color w:val="auto"/>
          <w:highlight w:val="none"/>
        </w:rPr>
        <w:t>投标人的投标文件中承</w:t>
      </w:r>
      <w:r>
        <w:rPr>
          <w:rFonts w:hint="eastAsia" w:ascii="仿宋" w:hAnsi="仿宋" w:eastAsia="仿宋" w:cs="仿宋"/>
          <w:b/>
          <w:color w:val="auto"/>
          <w:szCs w:val="21"/>
          <w:highlight w:val="none"/>
        </w:rPr>
        <w:t>诺的投标有效期少于招标文件中载明的投标有效期的，投标无效。</w:t>
      </w:r>
    </w:p>
    <w:p w14:paraId="03D7D921">
      <w:pPr>
        <w:pStyle w:val="16"/>
        <w:widowControl w:val="0"/>
        <w:tabs>
          <w:tab w:val="clear" w:pos="454"/>
        </w:tabs>
        <w:spacing w:afterLines="0" w:line="440" w:lineRule="atLeast"/>
        <w:ind w:left="0" w:firstLine="0"/>
        <w:rPr>
          <w:rFonts w:hint="eastAsia" w:ascii="仿宋" w:hAnsi="仿宋" w:eastAsia="仿宋" w:cs="仿宋"/>
          <w:color w:val="auto"/>
          <w:szCs w:val="24"/>
          <w:highlight w:val="none"/>
        </w:rPr>
      </w:pPr>
      <w:r>
        <w:rPr>
          <w:rFonts w:hint="eastAsia" w:ascii="仿宋" w:hAnsi="仿宋" w:eastAsia="仿宋" w:cs="仿宋"/>
          <w:color w:val="auto"/>
          <w:szCs w:val="24"/>
          <w:highlight w:val="none"/>
        </w:rPr>
        <w:t>4.2在特殊情况下，招标人可与投标人协商延长投标书的有效期，这种要求和答复均以书面形式进行。</w:t>
      </w:r>
    </w:p>
    <w:p w14:paraId="24479B93">
      <w:pPr>
        <w:pStyle w:val="16"/>
        <w:widowControl w:val="0"/>
        <w:tabs>
          <w:tab w:val="clear" w:pos="454"/>
        </w:tabs>
        <w:spacing w:afterLines="0" w:line="440" w:lineRule="atLeast"/>
        <w:ind w:left="0" w:firstLine="0"/>
        <w:rPr>
          <w:rFonts w:hint="eastAsia" w:ascii="仿宋" w:hAnsi="仿宋" w:eastAsia="仿宋" w:cs="仿宋"/>
          <w:color w:val="auto"/>
          <w:szCs w:val="24"/>
          <w:highlight w:val="none"/>
        </w:rPr>
      </w:pPr>
      <w:r>
        <w:rPr>
          <w:rFonts w:hint="eastAsia" w:ascii="仿宋" w:hAnsi="仿宋" w:eastAsia="仿宋" w:cs="仿宋"/>
          <w:color w:val="auto"/>
          <w:szCs w:val="24"/>
          <w:highlight w:val="none"/>
        </w:rPr>
        <w:t>4.3投标人可拒绝接受延期要求。同意延长有效期的投标人不能修改投标文件。</w:t>
      </w:r>
    </w:p>
    <w:p w14:paraId="4BAFF092">
      <w:pPr>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5.投标文件的份数和规定</w:t>
      </w:r>
    </w:p>
    <w:p w14:paraId="0E91FD7B">
      <w:pPr>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5.1投标文件的正本需打印或用不褪色的墨水填写，不允许行间插字，并注明“正本”字样，投标文件正本除本招标须知中规定的可提供复印件外均须提供原件。副本为正本的复印件。</w:t>
      </w:r>
    </w:p>
    <w:p w14:paraId="5AFC0103">
      <w:pPr>
        <w:pStyle w:val="24"/>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5.2投标文件由“商务技术（资信）文件资料”和“报价文件资料”两部分文件组成，应按统一格式填写，装订成册。并在封面处明确注明“商务技术（资信）文件资料”或“报价文件资料”。</w:t>
      </w:r>
    </w:p>
    <w:p w14:paraId="69E305F6">
      <w:pPr>
        <w:pStyle w:val="24"/>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5.3投标文件一式五份，其中正本一份，副本四份。</w:t>
      </w:r>
    </w:p>
    <w:p w14:paraId="0C1855F0">
      <w:pPr>
        <w:pStyle w:val="24"/>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5.4投标文件须由投标人在规定位置盖章并由法定代表人或其授权代表签署，投标人应写全称。</w:t>
      </w:r>
    </w:p>
    <w:p w14:paraId="718E8494">
      <w:pPr>
        <w:pStyle w:val="24"/>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5.5投标文件不得涂改，若有修改错漏处，须加盖单位公章或者法定代表人或其授权代表签字或盖章。</w:t>
      </w:r>
    </w:p>
    <w:p w14:paraId="61E42EA2">
      <w:pPr>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5.6投标文件因字迹潦草或表达不清所引起的后果由投标人负责。</w:t>
      </w:r>
    </w:p>
    <w:p w14:paraId="366E8976">
      <w:p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5.7投标人应认真阅读招标文件中所有的内容。如果投标人编制的投标文件实质上不响应招标文件的要求，其投标文件将被招标人拒绝。</w:t>
      </w:r>
    </w:p>
    <w:p w14:paraId="7077BBCC">
      <w:p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5.8投标文件建议采用A4幅面，按顺序统一编目编码装订成册。</w:t>
      </w:r>
      <w:r>
        <w:rPr>
          <w:rFonts w:hint="eastAsia" w:ascii="仿宋" w:hAnsi="仿宋" w:eastAsia="仿宋" w:cs="仿宋"/>
          <w:b/>
          <w:color w:val="auto"/>
          <w:sz w:val="24"/>
          <w:highlight w:val="none"/>
        </w:rPr>
        <w:t>提倡双面打印</w:t>
      </w:r>
      <w:r>
        <w:rPr>
          <w:rFonts w:hint="eastAsia" w:ascii="仿宋" w:hAnsi="仿宋" w:eastAsia="仿宋" w:cs="仿宋"/>
          <w:color w:val="auto"/>
          <w:sz w:val="24"/>
          <w:highlight w:val="none"/>
        </w:rPr>
        <w:t>。</w:t>
      </w:r>
    </w:p>
    <w:p w14:paraId="63B917A7">
      <w:pPr>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6. 投标文件的密封、盖章和签署</w:t>
      </w:r>
    </w:p>
    <w:p w14:paraId="1EE097E8">
      <w:pP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“商务技术（资信）文件资料”和“报价文件资料”</w:t>
      </w:r>
      <w:r>
        <w:rPr>
          <w:rFonts w:hint="eastAsia" w:ascii="仿宋" w:hAnsi="仿宋" w:eastAsia="仿宋" w:cs="仿宋"/>
          <w:b/>
          <w:color w:val="auto"/>
          <w:sz w:val="24"/>
          <w:highlight w:val="none"/>
        </w:rPr>
        <w:t>应分两部份分别密封封装</w:t>
      </w: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没有密封包装的投标文件，将被拒收。</w:t>
      </w:r>
    </w:p>
    <w:p w14:paraId="5A2215E3">
      <w:pPr>
        <w:snapToGrid w:val="0"/>
        <w:spacing w:line="44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投标文件的装订采用胶订或线订形式，不采用活页装订方式（胶订或线订以外装订形式视为活页装订）。</w:t>
      </w:r>
    </w:p>
    <w:p w14:paraId="7AA3164A">
      <w:pPr>
        <w:widowControl/>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各投标人在编制投标文件时请按照招标文件第六部分规定的格式进行，混乱的编排导致投标文件被误读或评标委员会查找不到有效文件是投标人的风险。并明确注明“商务技术（资信）文件资料或报价文件资料、项目名称、投标人名称”字样，同时封口处加盖骑缝单位公章。</w:t>
      </w:r>
    </w:p>
    <w:p w14:paraId="61BF493C">
      <w:pPr>
        <w:pStyle w:val="155"/>
        <w:spacing w:before="0"/>
        <w:ind w:firstLine="0" w:firstLineChars="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7、投标文件的提交</w:t>
      </w:r>
    </w:p>
    <w:p w14:paraId="32187374">
      <w:pPr>
        <w:snapToGrid w:val="0"/>
        <w:spacing w:line="440" w:lineRule="exact"/>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投标人应按“招标公告”规定的时间、地点将投标文件提交给采购机构，</w:t>
      </w:r>
      <w:r>
        <w:rPr>
          <w:rFonts w:hint="eastAsia" w:ascii="仿宋" w:hAnsi="仿宋" w:eastAsia="仿宋" w:cs="仿宋"/>
          <w:b/>
          <w:color w:val="auto"/>
          <w:sz w:val="24"/>
          <w:highlight w:val="none"/>
        </w:rPr>
        <w:t>采购机构将拒绝接受逾期送达的投标文件。</w:t>
      </w:r>
    </w:p>
    <w:p w14:paraId="770EE7A8">
      <w:pPr>
        <w:widowControl/>
        <w:snapToGrid w:val="0"/>
        <w:spacing w:line="440" w:lineRule="exact"/>
        <w:rPr>
          <w:rFonts w:hint="eastAsia" w:ascii="仿宋" w:hAnsi="仿宋" w:eastAsia="仿宋" w:cs="仿宋"/>
          <w:b/>
          <w:color w:val="auto"/>
          <w:kern w:val="0"/>
          <w:sz w:val="24"/>
          <w:highlight w:val="none"/>
        </w:rPr>
      </w:pPr>
      <w:r>
        <w:rPr>
          <w:rFonts w:hint="eastAsia" w:ascii="仿宋" w:hAnsi="仿宋" w:eastAsia="仿宋" w:cs="仿宋"/>
          <w:b/>
          <w:color w:val="auto"/>
          <w:sz w:val="24"/>
          <w:highlight w:val="none"/>
        </w:rPr>
        <w:t>8．</w:t>
      </w:r>
      <w:r>
        <w:rPr>
          <w:rFonts w:hint="eastAsia" w:ascii="仿宋" w:hAnsi="仿宋" w:eastAsia="仿宋" w:cs="仿宋"/>
          <w:b/>
          <w:color w:val="auto"/>
          <w:kern w:val="0"/>
          <w:sz w:val="24"/>
          <w:highlight w:val="none"/>
        </w:rPr>
        <w:t>投标文件的补充和修改</w:t>
      </w:r>
    </w:p>
    <w:p w14:paraId="186DED58">
      <w:pPr>
        <w:widowControl/>
        <w:snapToGrid w:val="0"/>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投标截止时间前，投标人可以书面形式向招标人提出对投标文件进行补充和修改，相应部分以最后的补充和修改为准。该书面材料应密封，</w:t>
      </w:r>
      <w:r>
        <w:rPr>
          <w:rFonts w:hint="eastAsia" w:ascii="仿宋" w:hAnsi="仿宋" w:eastAsia="仿宋" w:cs="仿宋"/>
          <w:color w:val="auto"/>
          <w:sz w:val="24"/>
          <w:highlight w:val="none"/>
        </w:rPr>
        <w:t>并明确注明“</w:t>
      </w:r>
      <w:r>
        <w:rPr>
          <w:rFonts w:hint="eastAsia" w:ascii="仿宋" w:hAnsi="仿宋" w:eastAsia="仿宋" w:cs="仿宋"/>
          <w:color w:val="auto"/>
          <w:kern w:val="0"/>
          <w:sz w:val="24"/>
          <w:highlight w:val="none"/>
        </w:rPr>
        <w:t>修改（或补充）商务技术（资信）文件资料或报价文件资料、项目名称、投标人名称</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rPr>
        <w:t>字样</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rPr>
        <w:t>同时</w:t>
      </w:r>
      <w:r>
        <w:rPr>
          <w:rFonts w:hint="eastAsia" w:ascii="仿宋" w:hAnsi="仿宋" w:eastAsia="仿宋" w:cs="仿宋"/>
          <w:color w:val="auto"/>
          <w:sz w:val="24"/>
          <w:highlight w:val="none"/>
        </w:rPr>
        <w:t>封口处</w:t>
      </w:r>
      <w:r>
        <w:rPr>
          <w:rFonts w:hint="eastAsia" w:ascii="仿宋" w:hAnsi="仿宋" w:eastAsia="仿宋" w:cs="仿宋"/>
          <w:color w:val="auto"/>
          <w:kern w:val="0"/>
          <w:sz w:val="24"/>
          <w:highlight w:val="none"/>
        </w:rPr>
        <w:t>由</w:t>
      </w:r>
      <w:r>
        <w:rPr>
          <w:rFonts w:hint="eastAsia" w:ascii="仿宋" w:hAnsi="仿宋" w:eastAsia="仿宋" w:cs="仿宋"/>
          <w:color w:val="auto"/>
          <w:sz w:val="24"/>
          <w:highlight w:val="none"/>
        </w:rPr>
        <w:t>法定代表人或其授权代表签字或盖章</w:t>
      </w:r>
      <w:r>
        <w:rPr>
          <w:rFonts w:hint="eastAsia" w:ascii="仿宋" w:hAnsi="仿宋" w:eastAsia="仿宋" w:cs="仿宋"/>
          <w:color w:val="auto"/>
          <w:kern w:val="0"/>
          <w:sz w:val="24"/>
          <w:highlight w:val="none"/>
        </w:rPr>
        <w:t>。</w:t>
      </w:r>
      <w:r>
        <w:rPr>
          <w:rFonts w:hint="eastAsia" w:ascii="仿宋" w:hAnsi="仿宋" w:eastAsia="仿宋" w:cs="仿宋"/>
          <w:color w:val="auto"/>
          <w:sz w:val="24"/>
          <w:highlight w:val="none"/>
        </w:rPr>
        <w:t>投标人应于投标截止以前将该书面材料以现场送达（即交即走）或邮寄的方式递交。</w:t>
      </w:r>
    </w:p>
    <w:p w14:paraId="764B2127">
      <w:pPr>
        <w:spacing w:line="44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四、开标和评标</w:t>
      </w:r>
    </w:p>
    <w:p w14:paraId="0954D46D">
      <w:pPr>
        <w:snapToGrid w:val="0"/>
        <w:spacing w:line="48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1．开标大会程序</w:t>
      </w:r>
    </w:p>
    <w:p w14:paraId="34EE075B">
      <w:pPr>
        <w:snapToGrid w:val="0"/>
        <w:spacing w:line="4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1.1主持人宣布开标会开始。</w:t>
      </w:r>
    </w:p>
    <w:p w14:paraId="55E67529">
      <w:pPr>
        <w:snapToGrid w:val="0"/>
        <w:spacing w:line="4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1.2检查投标文件密封情况。</w:t>
      </w:r>
    </w:p>
    <w:p w14:paraId="2E69765F">
      <w:pPr>
        <w:snapToGrid w:val="0"/>
        <w:spacing w:line="4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1.3启封投标文件商务技术（资信）资料。</w:t>
      </w:r>
    </w:p>
    <w:p w14:paraId="791C2486">
      <w:pPr>
        <w:snapToGrid w:val="0"/>
        <w:spacing w:line="4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1.4评标委员会对商务技术（资信）文件进行评审。</w:t>
      </w:r>
    </w:p>
    <w:p w14:paraId="4570FBD6">
      <w:pPr>
        <w:snapToGrid w:val="0"/>
        <w:spacing w:line="4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1.5主持人宣布商务技术得分及无效（废）投标情形（如有），宣读经商务技术（资信）评审符合招标文件要求的投标人名单及其商务技术得分。</w:t>
      </w:r>
    </w:p>
    <w:p w14:paraId="7106BD2D">
      <w:pPr>
        <w:snapToGrid w:val="0"/>
        <w:spacing w:line="4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1.6启封报价文件资料，由唱读人当众宣读投标人名称、投标价格和投标文件的其他内容。未宣读的投标报价和招标文件未允许提供的备选投标方案等实质性内容，评标时不予承认。</w:t>
      </w:r>
    </w:p>
    <w:p w14:paraId="7AAF1CC8">
      <w:pPr>
        <w:snapToGrid w:val="0"/>
        <w:spacing w:line="4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1.7评标委员会对投标文件报价文件资料进行评审，核准投标报价及计算价格分，汇总商务技术分、价格分，根据得分排序确定中标候选人并出具评审报告。</w:t>
      </w:r>
    </w:p>
    <w:p w14:paraId="16B1A622">
      <w:pPr>
        <w:snapToGrid w:val="0"/>
        <w:spacing w:line="4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1.8主持人向投标单位公布评审结果。</w:t>
      </w:r>
    </w:p>
    <w:p w14:paraId="3EF0DEDE">
      <w:pPr>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2．评标</w:t>
      </w:r>
    </w:p>
    <w:p w14:paraId="68A6C1E6">
      <w:pPr>
        <w:spacing w:line="4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2.1评标委员会由招标采购单位依法组建，负责评标活动。评标委员会遵循公开、公平、公正、科学合理、竞争择优的原则。</w:t>
      </w:r>
    </w:p>
    <w:p w14:paraId="6AF62AB6">
      <w:pPr>
        <w:spacing w:line="4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2.2评标委员会由采购人代表和有关方面的专家组成，成员人数为三人以上单数。</w:t>
      </w:r>
    </w:p>
    <w:p w14:paraId="49DA9E88">
      <w:pPr>
        <w:spacing w:line="4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2.3评标委员会负责对投标人资格的最终审定。</w:t>
      </w:r>
    </w:p>
    <w:p w14:paraId="062479B2">
      <w:pPr>
        <w:spacing w:line="4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2.4评标委员会可以要求投标人对其投标文件中含义不明确的内容作必要的澄清或者说明，但澄清或者说明不得超过投标文件的范围或者改变投标文件的实质性内容。</w:t>
      </w:r>
    </w:p>
    <w:p w14:paraId="466716B8">
      <w:pPr>
        <w:widowControl/>
        <w:snapToGrid w:val="0"/>
        <w:spacing w:line="48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2.5</w:t>
      </w:r>
      <w:r>
        <w:rPr>
          <w:rFonts w:hint="eastAsia" w:ascii="仿宋" w:hAnsi="仿宋" w:eastAsia="仿宋" w:cs="仿宋"/>
          <w:color w:val="auto"/>
          <w:sz w:val="24"/>
          <w:highlight w:val="none"/>
        </w:rPr>
        <w:t>评标委员会</w:t>
      </w:r>
      <w:r>
        <w:rPr>
          <w:rFonts w:hint="eastAsia" w:ascii="仿宋" w:hAnsi="仿宋" w:eastAsia="仿宋" w:cs="仿宋"/>
          <w:color w:val="auto"/>
          <w:kern w:val="0"/>
          <w:sz w:val="24"/>
          <w:highlight w:val="none"/>
        </w:rPr>
        <w:t>对投标文件的判定，只依据投标文件和招标文件内容本身，不依据任何外来证明。</w:t>
      </w:r>
    </w:p>
    <w:p w14:paraId="0E2FFD1F">
      <w:pPr>
        <w:widowControl/>
        <w:snapToGrid w:val="0"/>
        <w:spacing w:line="480" w:lineRule="exac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2.6评标委员会不向落标方解释落标的原因，不退还投标文件。</w:t>
      </w:r>
    </w:p>
    <w:p w14:paraId="5B0BB99A">
      <w:pPr>
        <w:snapToGrid w:val="0"/>
        <w:spacing w:line="48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3．投标文件的初审鉴定</w:t>
      </w:r>
    </w:p>
    <w:p w14:paraId="7DD199E6">
      <w:pPr>
        <w:snapToGrid w:val="0"/>
        <w:spacing w:line="4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3.1资格性审查</w:t>
      </w:r>
    </w:p>
    <w:p w14:paraId="4B85501D">
      <w:pPr>
        <w:snapToGrid w:val="0"/>
        <w:spacing w:line="4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3.1.1依据法律、法规和招标文件规定，评标委员会对投标人进行资格审查，以确定投标人是否具备投标资格。</w:t>
      </w:r>
    </w:p>
    <w:p w14:paraId="1656E404">
      <w:pPr>
        <w:spacing w:line="4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3.2符合性审查</w:t>
      </w:r>
    </w:p>
    <w:p w14:paraId="05A3EE61">
      <w:pPr>
        <w:spacing w:line="4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3.2.1评标时，评标委员会将首先评定每份投标文件是否在实质上响应了招标文件要求。所谓实质上的响应，是指投标文件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正的影响。评标委员会决定投标文件的响应性只根据投标文件本身的内容，而不寻求外部证据。</w:t>
      </w:r>
    </w:p>
    <w:p w14:paraId="52199E66">
      <w:pPr>
        <w:spacing w:line="4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3.3如果投标文件实质不响应招标文件的各项要求，评标委员会将予以拒绝，并且不允许投标人通过修改或撤销其不符合要求的差异或保留，使之成为具有实质性响应的投标。</w:t>
      </w:r>
    </w:p>
    <w:p w14:paraId="0FBF6DE4">
      <w:pPr>
        <w:spacing w:line="480" w:lineRule="exact"/>
        <w:jc w:val="left"/>
        <w:rPr>
          <w:rFonts w:hint="eastAsia" w:ascii="仿宋" w:hAnsi="仿宋" w:eastAsia="仿宋" w:cs="仿宋"/>
          <w:b/>
          <w:color w:val="auto"/>
          <w:sz w:val="24"/>
          <w:highlight w:val="none"/>
        </w:rPr>
      </w:pPr>
      <w:r>
        <w:rPr>
          <w:rFonts w:hint="eastAsia" w:ascii="仿宋" w:hAnsi="仿宋" w:eastAsia="仿宋" w:cs="仿宋"/>
          <w:b/>
          <w:color w:val="auto"/>
          <w:kern w:val="0"/>
          <w:sz w:val="24"/>
          <w:highlight w:val="none"/>
        </w:rPr>
        <w:t xml:space="preserve">4. </w:t>
      </w:r>
      <w:r>
        <w:rPr>
          <w:rFonts w:hint="eastAsia" w:ascii="仿宋" w:hAnsi="仿宋" w:eastAsia="仿宋" w:cs="仿宋"/>
          <w:b/>
          <w:color w:val="auto"/>
          <w:sz w:val="24"/>
          <w:highlight w:val="none"/>
        </w:rPr>
        <w:t>投标文件报价出现前后不一致的，按照下列规定修正：</w:t>
      </w:r>
    </w:p>
    <w:p w14:paraId="646337E7">
      <w:p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4.1投标文件中开标一览表（报价表）内容与投标文件中相应内容不一致的，以开标一览表（报价表）为准；</w:t>
      </w:r>
    </w:p>
    <w:p w14:paraId="32539F10">
      <w:p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4.2大写金额和小写金额不一致的，以大写金额为准；</w:t>
      </w:r>
    </w:p>
    <w:p w14:paraId="2357264B">
      <w:p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4.3单价金额小数点或者百分比有明显错位的，以开标一览表的总价为准，并修改单价；</w:t>
      </w:r>
    </w:p>
    <w:p w14:paraId="316DA686">
      <w:p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4.4总价金额与按单价汇总金额不一致的，以单价金额计算结果为准。</w:t>
      </w:r>
    </w:p>
    <w:p w14:paraId="1CCB4DCF">
      <w:pPr>
        <w:spacing w:line="440" w:lineRule="exact"/>
        <w:ind w:firstLine="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同时出现两种以上不一致的，按照前款规定的顺序修正。</w:t>
      </w:r>
      <w:r>
        <w:rPr>
          <w:rFonts w:hint="eastAsia" w:ascii="仿宋" w:hAnsi="仿宋" w:eastAsia="仿宋" w:cs="仿宋"/>
          <w:bCs/>
          <w:color w:val="auto"/>
          <w:sz w:val="24"/>
          <w:highlight w:val="none"/>
        </w:rPr>
        <w:t>修正后的报价按照财政部公布第87号令《政府采购货物和服务招标投标管理办法》</w:t>
      </w:r>
      <w:r>
        <w:rPr>
          <w:rFonts w:hint="eastAsia" w:ascii="仿宋" w:hAnsi="仿宋" w:eastAsia="仿宋" w:cs="仿宋"/>
          <w:color w:val="auto"/>
          <w:sz w:val="24"/>
          <w:highlight w:val="none"/>
        </w:rPr>
        <w:t>第五十一条第二款的规定经投标人确认后产生约束力，投标人不确认的，其投标无效。</w:t>
      </w:r>
    </w:p>
    <w:p w14:paraId="0FE60F97">
      <w:pPr>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5.投标文件的评审、比较和否决</w:t>
      </w:r>
    </w:p>
    <w:p w14:paraId="4FCFDA8D">
      <w:pPr>
        <w:spacing w:line="4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5.1评标委员会将对在实质上响应招标文件要求的投标文件进行评估和比较。</w:t>
      </w:r>
    </w:p>
    <w:p w14:paraId="50EE826D">
      <w:pPr>
        <w:spacing w:line="4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5.2在评审过程中，评标委员会可以书面形式要求投标人就投标文件含义不明确的内容进行书面说明并提供相关材料，但不得超过投标文件的范围或者改变投标文件的实质性内容。</w:t>
      </w:r>
    </w:p>
    <w:p w14:paraId="0E5ACA00">
      <w:pPr>
        <w:spacing w:line="4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5.3在评标过程中，如发现与招标文件要求相偏离的，评标委员会可对其偏离情形进行必要的核实。</w:t>
      </w:r>
    </w:p>
    <w:p w14:paraId="7B273983">
      <w:pPr>
        <w:spacing w:line="4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5.4在评审过程中，如属于实质性偏离或符合无效响应条件的，应当询问相关投标人，并可对其进行书面确认，但不允许对偏离条款进行补充、修正或撤回。</w:t>
      </w:r>
    </w:p>
    <w:p w14:paraId="29168891">
      <w:pPr>
        <w:spacing w:line="4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5.5比较与评价。评标委员会应当按照评标标准，对符合性审查合格的投标文件进行商务和技术评估，综合比较与评价。</w:t>
      </w:r>
    </w:p>
    <w:p w14:paraId="01C0D19A">
      <w:pPr>
        <w:spacing w:line="4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5.6汇总（商务技术得分情况）。评标委员会各成员应当独立对每个投标人的商务技术（资信）文件资料文件进行评价，并汇总商务技术得分情况。</w:t>
      </w:r>
    </w:p>
    <w:p w14:paraId="7427ECB3">
      <w:pPr>
        <w:spacing w:line="4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5.7 报价审核。对符合采购需求且通过商务技术（资信）评审的投标人的报价的合理性、准确性等进行审查核实。</w:t>
      </w:r>
    </w:p>
    <w:p w14:paraId="767E4ED4">
      <w:pPr>
        <w:spacing w:line="4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5.7.1评标委员会认为投标人的报价明显低于其他通过符合性审查投标人的报价，有可能影响产品质量或者不能诚信履约的，应当要求其在评标现场合理的时间内提供书面说明，必要时提交相关证明材料。</w:t>
      </w:r>
    </w:p>
    <w:p w14:paraId="41150B57">
      <w:pPr>
        <w:spacing w:line="4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5.7.</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如需投标价格修正，按财政部87号令第五十九条的规定对投标价格进行修正。</w:t>
      </w:r>
    </w:p>
    <w:p w14:paraId="1262380D">
      <w:pPr>
        <w:spacing w:line="48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5.8评标委员会依据招标文件规定的评标标准和方法，对投标文件进行评审和比较后，向采购代理机构提供书面评标报告，并按得分高低排序推荐中标候选供应商。</w:t>
      </w:r>
    </w:p>
    <w:p w14:paraId="5B4DD983">
      <w:pPr>
        <w:pStyle w:val="16"/>
        <w:tabs>
          <w:tab w:val="clear" w:pos="454"/>
        </w:tabs>
        <w:spacing w:afterLines="0" w:line="440" w:lineRule="exact"/>
        <w:ind w:left="0" w:firstLine="0"/>
        <w:rPr>
          <w:rFonts w:hint="eastAsia" w:ascii="仿宋" w:hAnsi="仿宋" w:eastAsia="仿宋" w:cs="仿宋"/>
          <w:b/>
          <w:color w:val="auto"/>
          <w:highlight w:val="none"/>
        </w:rPr>
      </w:pPr>
      <w:r>
        <w:rPr>
          <w:rFonts w:hint="eastAsia" w:ascii="仿宋" w:hAnsi="仿宋" w:eastAsia="仿宋" w:cs="仿宋"/>
          <w:b/>
          <w:color w:val="auto"/>
          <w:highlight w:val="none"/>
        </w:rPr>
        <w:t>6.投标文件的澄清</w:t>
      </w:r>
    </w:p>
    <w:p w14:paraId="4D236714">
      <w:pPr>
        <w:pStyle w:val="16"/>
        <w:tabs>
          <w:tab w:val="clear" w:pos="454"/>
        </w:tabs>
        <w:spacing w:afterLines="0" w:line="440" w:lineRule="exact"/>
        <w:ind w:left="0" w:firstLine="480" w:firstLineChars="200"/>
        <w:rPr>
          <w:rFonts w:hint="eastAsia" w:ascii="仿宋" w:hAnsi="仿宋" w:eastAsia="仿宋" w:cs="仿宋"/>
          <w:color w:val="auto"/>
          <w:highlight w:val="none"/>
        </w:rPr>
      </w:pPr>
      <w:r>
        <w:rPr>
          <w:rFonts w:hint="eastAsia" w:ascii="仿宋" w:hAnsi="仿宋" w:eastAsia="仿宋" w:cs="仿宋"/>
          <w:color w:val="auto"/>
          <w:szCs w:val="24"/>
          <w:highlight w:val="none"/>
        </w:rPr>
        <w:t>对投标文件中含义不明、表述不一致或有明显计算错误等内容，评标委员会将对投标人进行询标，并要求投标人作书面澄清；投标人的书面澄清，应由法定代表人或授权代表签字，作为投标文件的补充部分，但澄清的内容不得改变投标文件的实质性内容。</w:t>
      </w:r>
    </w:p>
    <w:p w14:paraId="5433BBC0">
      <w:pPr>
        <w:pStyle w:val="24"/>
        <w:snapToGrid w:val="0"/>
        <w:spacing w:line="440" w:lineRule="exact"/>
        <w:jc w:val="left"/>
        <w:rPr>
          <w:rFonts w:hint="eastAsia" w:ascii="仿宋" w:hAnsi="仿宋" w:eastAsia="仿宋" w:cs="仿宋"/>
          <w:b/>
          <w:color w:val="auto"/>
          <w:sz w:val="24"/>
          <w:szCs w:val="24"/>
          <w:highlight w:val="none"/>
        </w:rPr>
      </w:pPr>
      <w:bookmarkStart w:id="4" w:name="_Toc84325929"/>
      <w:bookmarkStart w:id="5" w:name="_Toc81372776"/>
      <w:bookmarkStart w:id="6" w:name="_Toc81372953"/>
      <w:r>
        <w:rPr>
          <w:rFonts w:hint="eastAsia" w:ascii="仿宋" w:hAnsi="仿宋" w:eastAsia="仿宋" w:cs="仿宋"/>
          <w:b/>
          <w:color w:val="auto"/>
          <w:sz w:val="24"/>
          <w:szCs w:val="24"/>
          <w:highlight w:val="none"/>
        </w:rPr>
        <w:t>7．无效投标的情形</w:t>
      </w:r>
    </w:p>
    <w:p w14:paraId="2EB18C43">
      <w:pPr>
        <w:tabs>
          <w:tab w:val="left" w:pos="4085"/>
        </w:tabs>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投标文件有下列情形之一的作无效投标处理：</w:t>
      </w:r>
    </w:p>
    <w:p w14:paraId="1BC58B56">
      <w:pPr>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7.1未按照招标文件规定要求密封封装、签署、盖章的；</w:t>
      </w:r>
    </w:p>
    <w:p w14:paraId="43294E5D">
      <w:pPr>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7.2单位负责人为同一人或者存在直接控股、管理关系的不同供应商参加同一合同项下的政府采购活动的（均无效）；</w:t>
      </w:r>
    </w:p>
    <w:p w14:paraId="50B09A4E">
      <w:pPr>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7.3为采购项目提供整体设计、规范编制或者项目管理、监理、检测等服务的供应商再参加该采购项目的其他采购活动的；</w:t>
      </w:r>
    </w:p>
    <w:p w14:paraId="312F5CE4">
      <w:pPr>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7.4投标人不具备招标文件中规定的资格要求的（投标人未提供有效的资格证明文件的，视为投标人不具备招标文件中规定的资格要求）；</w:t>
      </w:r>
    </w:p>
    <w:p w14:paraId="1008BA7C">
      <w:pPr>
        <w:snapToGrid w:val="0"/>
        <w:spacing w:line="440" w:lineRule="exact"/>
        <w:jc w:val="left"/>
        <w:rPr>
          <w:rFonts w:hint="eastAsia" w:ascii="仿宋" w:hAnsi="仿宋" w:eastAsia="仿宋" w:cs="仿宋"/>
          <w:b/>
          <w:color w:val="auto"/>
          <w:kern w:val="0"/>
          <w:sz w:val="24"/>
          <w:highlight w:val="none"/>
        </w:rPr>
      </w:pPr>
      <w:r>
        <w:rPr>
          <w:rFonts w:hint="eastAsia" w:ascii="仿宋" w:hAnsi="仿宋" w:eastAsia="仿宋" w:cs="仿宋"/>
          <w:b/>
          <w:color w:val="auto"/>
          <w:sz w:val="24"/>
          <w:highlight w:val="none"/>
        </w:rPr>
        <w:t>7.5</w:t>
      </w:r>
      <w:r>
        <w:rPr>
          <w:rFonts w:hint="eastAsia" w:ascii="仿宋" w:hAnsi="仿宋" w:eastAsia="仿宋" w:cs="仿宋"/>
          <w:b/>
          <w:color w:val="auto"/>
          <w:kern w:val="0"/>
          <w:sz w:val="24"/>
          <w:highlight w:val="none"/>
        </w:rPr>
        <w:t>《法定代表人身份证明书》与提供的身份证复印件信息不符的；《法定代表人授权委托书》与提供的身份证复印件信息不符的；</w:t>
      </w:r>
    </w:p>
    <w:p w14:paraId="4150E0BC">
      <w:pPr>
        <w:snapToGrid w:val="0"/>
        <w:spacing w:line="440" w:lineRule="exact"/>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7.6《法定代表人授权委托书》或《法定代表人身份证明书》填写不全、错误、未加盖公章(《法定代表人授权委托书》要求“公章”和“签字或盖章”缺一不可）的；</w:t>
      </w:r>
    </w:p>
    <w:p w14:paraId="5BE05CB0">
      <w:pPr>
        <w:snapToGrid w:val="0"/>
        <w:spacing w:line="440" w:lineRule="exact"/>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7.7授权代表非投标单位正式职工的（以社保证明为准，如授权代表为离退休返聘人员的，需提供退休证明及单位聘用证明）；</w:t>
      </w:r>
    </w:p>
    <w:p w14:paraId="6FA70DF4">
      <w:pPr>
        <w:tabs>
          <w:tab w:val="left" w:pos="3870"/>
          <w:tab w:val="left" w:pos="4085"/>
        </w:tabs>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7.8投标文件中的投标函未加盖投标人的企业公章或填写不全的；</w:t>
      </w:r>
    </w:p>
    <w:p w14:paraId="3D11E58A">
      <w:pPr>
        <w:tabs>
          <w:tab w:val="left" w:pos="3870"/>
          <w:tab w:val="left" w:pos="4085"/>
        </w:tabs>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kern w:val="0"/>
          <w:sz w:val="24"/>
          <w:highlight w:val="none"/>
        </w:rPr>
        <w:t>7.9</w:t>
      </w:r>
      <w:r>
        <w:rPr>
          <w:rFonts w:hint="eastAsia" w:ascii="仿宋" w:hAnsi="仿宋" w:eastAsia="仿宋" w:cs="仿宋"/>
          <w:b/>
          <w:color w:val="auto"/>
          <w:sz w:val="24"/>
          <w:highlight w:val="none"/>
        </w:rPr>
        <w:t>投标人递交两份或两份以上内容不同的投标书，且未声明哪一份有效的；</w:t>
      </w:r>
    </w:p>
    <w:p w14:paraId="25A29903">
      <w:pPr>
        <w:tabs>
          <w:tab w:val="left" w:pos="3870"/>
          <w:tab w:val="left" w:pos="4085"/>
        </w:tabs>
        <w:snapToGrid w:val="0"/>
        <w:spacing w:line="440" w:lineRule="exact"/>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7.10</w:t>
      </w:r>
      <w:r>
        <w:rPr>
          <w:rFonts w:hint="eastAsia" w:ascii="仿宋" w:hAnsi="仿宋" w:eastAsia="仿宋" w:cs="仿宋"/>
          <w:b/>
          <w:color w:val="auto"/>
          <w:sz w:val="24"/>
          <w:highlight w:val="none"/>
        </w:rPr>
        <w:t>报价一经涂改，未在涂改处加盖投标单位公章或者未经法定代表人或其授权代表签字或盖章的；</w:t>
      </w:r>
    </w:p>
    <w:p w14:paraId="0C562D7E">
      <w:pPr>
        <w:tabs>
          <w:tab w:val="left" w:pos="3870"/>
          <w:tab w:val="left" w:pos="4085"/>
        </w:tabs>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kern w:val="0"/>
          <w:sz w:val="24"/>
          <w:highlight w:val="none"/>
        </w:rPr>
        <w:t>7.11</w:t>
      </w:r>
      <w:r>
        <w:rPr>
          <w:rFonts w:hint="eastAsia" w:ascii="仿宋" w:hAnsi="仿宋" w:eastAsia="仿宋" w:cs="仿宋"/>
          <w:b/>
          <w:color w:val="auto"/>
          <w:sz w:val="24"/>
          <w:highlight w:val="none"/>
        </w:rPr>
        <w:t>因未按招标文件规定的格式填写，或</w:t>
      </w:r>
      <w:r>
        <w:rPr>
          <w:rFonts w:hint="eastAsia" w:ascii="仿宋" w:hAnsi="仿宋" w:eastAsia="仿宋" w:cs="仿宋"/>
          <w:b/>
          <w:color w:val="auto"/>
          <w:sz w:val="24"/>
          <w:szCs w:val="20"/>
          <w:highlight w:val="none"/>
        </w:rPr>
        <w:t>对招标</w:t>
      </w:r>
      <w:r>
        <w:rPr>
          <w:rFonts w:hint="eastAsia" w:ascii="仿宋" w:hAnsi="仿宋" w:eastAsia="仿宋" w:cs="仿宋"/>
          <w:b/>
          <w:color w:val="auto"/>
          <w:sz w:val="24"/>
          <w:highlight w:val="none"/>
        </w:rPr>
        <w:t>服务或技术或产品等要求</w:t>
      </w:r>
      <w:r>
        <w:rPr>
          <w:rFonts w:hint="eastAsia" w:ascii="仿宋" w:hAnsi="仿宋" w:eastAsia="仿宋" w:cs="仿宋"/>
          <w:b/>
          <w:color w:val="auto"/>
          <w:sz w:val="24"/>
          <w:szCs w:val="20"/>
          <w:highlight w:val="none"/>
        </w:rPr>
        <w:t>未详细应答或应答</w:t>
      </w:r>
      <w:r>
        <w:rPr>
          <w:rFonts w:hint="eastAsia" w:ascii="仿宋" w:hAnsi="仿宋" w:eastAsia="仿宋" w:cs="仿宋"/>
          <w:b/>
          <w:color w:val="auto"/>
          <w:sz w:val="24"/>
          <w:highlight w:val="none"/>
        </w:rPr>
        <w:t>内容不全、有缺失的,经评标委员会认定为无法评审的；</w:t>
      </w:r>
    </w:p>
    <w:p w14:paraId="6F18A0F3">
      <w:pPr>
        <w:pStyle w:val="24"/>
        <w:snapToGrid w:val="0"/>
        <w:spacing w:line="44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7.12出现同一标的物或本次招标产品(服务)内的主要产品(重要组成部分)出现</w:t>
      </w:r>
      <w:r>
        <w:rPr>
          <w:rFonts w:hint="eastAsia" w:ascii="仿宋" w:hAnsi="仿宋" w:eastAsia="仿宋" w:cs="仿宋"/>
          <w:b/>
          <w:color w:val="auto"/>
          <w:sz w:val="24"/>
          <w:highlight w:val="none"/>
        </w:rPr>
        <w:t>商务技术（资信）文件资料</w:t>
      </w:r>
      <w:r>
        <w:rPr>
          <w:rFonts w:hint="eastAsia" w:ascii="仿宋" w:hAnsi="仿宋" w:eastAsia="仿宋" w:cs="仿宋"/>
          <w:b/>
          <w:color w:val="auto"/>
          <w:sz w:val="24"/>
          <w:szCs w:val="24"/>
          <w:highlight w:val="none"/>
        </w:rPr>
        <w:t>、</w:t>
      </w:r>
      <w:r>
        <w:rPr>
          <w:rFonts w:hint="eastAsia" w:ascii="仿宋" w:hAnsi="仿宋" w:eastAsia="仿宋" w:cs="仿宋"/>
          <w:b/>
          <w:color w:val="auto"/>
          <w:sz w:val="24"/>
          <w:highlight w:val="none"/>
        </w:rPr>
        <w:t>报价文件资料</w:t>
      </w:r>
      <w:r>
        <w:rPr>
          <w:rFonts w:hint="eastAsia" w:ascii="仿宋" w:hAnsi="仿宋" w:eastAsia="仿宋" w:cs="仿宋"/>
          <w:b/>
          <w:color w:val="auto"/>
          <w:sz w:val="24"/>
          <w:szCs w:val="24"/>
          <w:highlight w:val="none"/>
        </w:rPr>
        <w:t>描述不一致或前后描述不一致，经评标委员会认定后为无法评审的；</w:t>
      </w:r>
    </w:p>
    <w:p w14:paraId="259538BC">
      <w:pPr>
        <w:pStyle w:val="24"/>
        <w:snapToGrid w:val="0"/>
        <w:spacing w:line="44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7.13《</w:t>
      </w:r>
      <w:r>
        <w:rPr>
          <w:rFonts w:hint="eastAsia" w:ascii="仿宋" w:hAnsi="仿宋" w:eastAsia="仿宋" w:cs="仿宋"/>
          <w:b/>
          <w:color w:val="auto"/>
          <w:sz w:val="24"/>
          <w:highlight w:val="none"/>
        </w:rPr>
        <w:t>技术偏离说明表</w:t>
      </w:r>
      <w:r>
        <w:rPr>
          <w:rFonts w:hint="eastAsia" w:ascii="仿宋" w:hAnsi="仿宋" w:eastAsia="仿宋" w:cs="仿宋"/>
          <w:b/>
          <w:color w:val="auto"/>
          <w:sz w:val="24"/>
          <w:szCs w:val="24"/>
          <w:highlight w:val="none"/>
        </w:rPr>
        <w:t>》</w:t>
      </w:r>
      <w:r>
        <w:rPr>
          <w:rFonts w:hint="eastAsia" w:ascii="仿宋" w:hAnsi="仿宋" w:eastAsia="仿宋" w:cs="仿宋"/>
          <w:b/>
          <w:color w:val="auto"/>
          <w:sz w:val="24"/>
          <w:highlight w:val="none"/>
        </w:rPr>
        <w:t>不真实填写或弄虚作假的；</w:t>
      </w:r>
    </w:p>
    <w:p w14:paraId="2D177A9E">
      <w:pPr>
        <w:tabs>
          <w:tab w:val="left" w:pos="3870"/>
          <w:tab w:val="left" w:pos="4085"/>
        </w:tabs>
        <w:snapToGrid w:val="0"/>
        <w:spacing w:line="440" w:lineRule="exact"/>
        <w:jc w:val="left"/>
        <w:rPr>
          <w:rFonts w:hint="eastAsia" w:ascii="仿宋" w:hAnsi="仿宋" w:eastAsia="仿宋" w:cs="仿宋"/>
          <w:b/>
          <w:color w:val="auto"/>
          <w:kern w:val="0"/>
          <w:sz w:val="24"/>
          <w:highlight w:val="none"/>
        </w:rPr>
      </w:pPr>
      <w:r>
        <w:rPr>
          <w:rFonts w:hint="eastAsia" w:ascii="仿宋" w:hAnsi="仿宋" w:eastAsia="仿宋" w:cs="仿宋"/>
          <w:b/>
          <w:color w:val="auto"/>
          <w:sz w:val="24"/>
          <w:highlight w:val="none"/>
        </w:rPr>
        <w:t>7.14</w:t>
      </w:r>
      <w:r>
        <w:rPr>
          <w:rFonts w:hint="eastAsia" w:ascii="仿宋" w:hAnsi="仿宋" w:eastAsia="仿宋" w:cs="仿宋"/>
          <w:b/>
          <w:color w:val="auto"/>
          <w:kern w:val="0"/>
          <w:sz w:val="24"/>
          <w:highlight w:val="none"/>
        </w:rPr>
        <w:t>投标文件含有采购人不能接受的附加条件；</w:t>
      </w:r>
    </w:p>
    <w:p w14:paraId="0CCE27B4">
      <w:pPr>
        <w:tabs>
          <w:tab w:val="left" w:pos="3870"/>
          <w:tab w:val="left" w:pos="4085"/>
        </w:tabs>
        <w:snapToGrid w:val="0"/>
        <w:spacing w:line="440" w:lineRule="exact"/>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7.15</w:t>
      </w:r>
      <w:r>
        <w:rPr>
          <w:rFonts w:hint="eastAsia" w:ascii="仿宋" w:hAnsi="仿宋" w:eastAsia="仿宋" w:cs="仿宋"/>
          <w:b/>
          <w:color w:val="auto"/>
          <w:sz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p>
    <w:p w14:paraId="1177F6BA">
      <w:pPr>
        <w:tabs>
          <w:tab w:val="left" w:pos="3870"/>
          <w:tab w:val="left" w:pos="4085"/>
        </w:tabs>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7.16报价超过招标文件中规定的预算金额或最高限价的；</w:t>
      </w:r>
    </w:p>
    <w:p w14:paraId="2A1107B7">
      <w:pPr>
        <w:tabs>
          <w:tab w:val="left" w:pos="3870"/>
          <w:tab w:val="left" w:pos="4085"/>
        </w:tabs>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7.17投标文件“商务技术（资信）文件资料”部分中出现《开标一览表》相关内容的；</w:t>
      </w:r>
    </w:p>
    <w:p w14:paraId="5A068407">
      <w:pPr>
        <w:tabs>
          <w:tab w:val="left" w:pos="3870"/>
          <w:tab w:val="left" w:pos="4085"/>
        </w:tabs>
        <w:snapToGrid w:val="0"/>
        <w:spacing w:line="440" w:lineRule="exact"/>
        <w:jc w:val="left"/>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7.18采购人拟采购的产品属于政府强制采购的节能产品品目清单范围的，投标人未按招标文件要求提供国家确定的认证机构出具的、处于有效期之内的节能产品认证证书的；</w:t>
      </w:r>
    </w:p>
    <w:p w14:paraId="317C0F95">
      <w:pPr>
        <w:tabs>
          <w:tab w:val="left" w:pos="3870"/>
          <w:tab w:val="left" w:pos="4085"/>
        </w:tabs>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7.19《开标一览表》填写不完整或字迹不能辨认或有漏项的，经评标委员会认定属于重大偏差的；</w:t>
      </w:r>
    </w:p>
    <w:p w14:paraId="36563492">
      <w:pPr>
        <w:tabs>
          <w:tab w:val="left" w:pos="3870"/>
          <w:tab w:val="left" w:pos="4085"/>
        </w:tabs>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7.20投标人对根据修正原则修正后的报价不确认的；</w:t>
      </w:r>
    </w:p>
    <w:p w14:paraId="0F616AED">
      <w:pPr>
        <w:tabs>
          <w:tab w:val="left" w:pos="3870"/>
          <w:tab w:val="left" w:pos="4085"/>
        </w:tabs>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7.21投标人提供虚假材料投标的（包括但不限于以下情节）；</w:t>
      </w:r>
    </w:p>
    <w:p w14:paraId="2DCBBD90">
      <w:pPr>
        <w:tabs>
          <w:tab w:val="left" w:pos="3870"/>
          <w:tab w:val="left" w:pos="4085"/>
        </w:tabs>
        <w:snapToGrid w:val="0"/>
        <w:spacing w:line="440" w:lineRule="exact"/>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7.21.1使用伪造、变造的许可证件；</w:t>
      </w:r>
    </w:p>
    <w:p w14:paraId="0D662310">
      <w:pPr>
        <w:tabs>
          <w:tab w:val="left" w:pos="3870"/>
          <w:tab w:val="left" w:pos="4085"/>
        </w:tabs>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7.21.2提供虚假的财务状况或者业绩；</w:t>
      </w:r>
    </w:p>
    <w:p w14:paraId="56512817">
      <w:pPr>
        <w:tabs>
          <w:tab w:val="left" w:pos="3870"/>
          <w:tab w:val="left" w:pos="4085"/>
        </w:tabs>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7.21.3提供虚假的项目负责人或者主要技术人员简历、劳动关系证明；</w:t>
      </w:r>
    </w:p>
    <w:p w14:paraId="46EE8C5A">
      <w:pPr>
        <w:tabs>
          <w:tab w:val="left" w:pos="3870"/>
          <w:tab w:val="left" w:pos="4085"/>
        </w:tabs>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7.21.4提供虚假的信用状况；</w:t>
      </w:r>
    </w:p>
    <w:p w14:paraId="42513700">
      <w:pPr>
        <w:tabs>
          <w:tab w:val="left" w:pos="3870"/>
          <w:tab w:val="left" w:pos="4085"/>
        </w:tabs>
        <w:snapToGrid w:val="0"/>
        <w:spacing w:line="440" w:lineRule="exact"/>
        <w:ind w:firstLine="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7.21.5其他弄虚作假的行为。</w:t>
      </w:r>
    </w:p>
    <w:p w14:paraId="74BA4AB8">
      <w:pPr>
        <w:tabs>
          <w:tab w:val="left" w:pos="3870"/>
          <w:tab w:val="left" w:pos="4085"/>
        </w:tabs>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7.22有下列情形之一的，视为投标人串通投标，其投标无效：</w:t>
      </w:r>
    </w:p>
    <w:p w14:paraId="2AD56C10">
      <w:pPr>
        <w:tabs>
          <w:tab w:val="left" w:pos="3870"/>
          <w:tab w:val="left" w:pos="4085"/>
        </w:tabs>
        <w:snapToGrid w:val="0"/>
        <w:spacing w:line="440" w:lineRule="exact"/>
        <w:ind w:firstLine="422" w:firstLineChars="17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7.22.1不同投标人的投标文件由同一单位或者个人编制；</w:t>
      </w:r>
    </w:p>
    <w:p w14:paraId="29EE1C54">
      <w:pPr>
        <w:tabs>
          <w:tab w:val="left" w:pos="3870"/>
          <w:tab w:val="left" w:pos="4085"/>
        </w:tabs>
        <w:snapToGrid w:val="0"/>
        <w:spacing w:line="440" w:lineRule="exact"/>
        <w:ind w:firstLine="422" w:firstLineChars="17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7.22.2不同投标人委托同一单位或者个人办理投标事宜；</w:t>
      </w:r>
    </w:p>
    <w:p w14:paraId="7F28ECF8">
      <w:pPr>
        <w:tabs>
          <w:tab w:val="left" w:pos="3870"/>
          <w:tab w:val="left" w:pos="4085"/>
        </w:tabs>
        <w:snapToGrid w:val="0"/>
        <w:spacing w:line="440" w:lineRule="exact"/>
        <w:ind w:firstLine="422" w:firstLineChars="17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7.22.3不同投标人的投标文件载明的项目管理成员或者联系人员为同一人；</w:t>
      </w:r>
    </w:p>
    <w:p w14:paraId="056850FE">
      <w:pPr>
        <w:tabs>
          <w:tab w:val="left" w:pos="3870"/>
          <w:tab w:val="left" w:pos="4085"/>
        </w:tabs>
        <w:snapToGrid w:val="0"/>
        <w:spacing w:line="440" w:lineRule="exact"/>
        <w:ind w:firstLine="422" w:firstLineChars="17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7.22.4不同投标人的投标文件异常一致或者投标报价呈规律性差异；</w:t>
      </w:r>
    </w:p>
    <w:p w14:paraId="6C364B26">
      <w:pPr>
        <w:tabs>
          <w:tab w:val="left" w:pos="3870"/>
          <w:tab w:val="left" w:pos="4085"/>
        </w:tabs>
        <w:snapToGrid w:val="0"/>
        <w:spacing w:line="440" w:lineRule="exact"/>
        <w:ind w:firstLine="422" w:firstLineChars="17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7.22.5不同投标人的投标文件相互混装；</w:t>
      </w:r>
    </w:p>
    <w:p w14:paraId="527BE46A">
      <w:pPr>
        <w:tabs>
          <w:tab w:val="left" w:pos="3870"/>
          <w:tab w:val="left" w:pos="4085"/>
        </w:tabs>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7.23有下列情形之一的，属于恶意串通，其投标无效：</w:t>
      </w:r>
    </w:p>
    <w:p w14:paraId="7E9EFAE1">
      <w:pPr>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7.23.1供应商直接或者间接从采购人或者采购机构处获得其他供应商的相关情况并修改其投标文件或者响应文件；</w:t>
      </w:r>
    </w:p>
    <w:p w14:paraId="79966D1C">
      <w:pPr>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7.23.2供应商按照采购人或者采购机构的授意撤换、修改投标文件或者响应文件；</w:t>
      </w:r>
    </w:p>
    <w:p w14:paraId="7619DB54">
      <w:pPr>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7.23.3供应商之间协商报价、技术方案等投标文件或者响应文件的实质性内容；</w:t>
      </w:r>
    </w:p>
    <w:p w14:paraId="22727D95">
      <w:pPr>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7.23.4属于同一集团、协会、商会等组织成员的供应商按照该组织要求协同参加政府采购活动；</w:t>
      </w:r>
    </w:p>
    <w:p w14:paraId="30842E1B">
      <w:pPr>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7.23.5供应商之间事先约定由某一特定供应商中标、成交；</w:t>
      </w:r>
    </w:p>
    <w:p w14:paraId="0B3DE2B9">
      <w:pPr>
        <w:spacing w:line="360" w:lineRule="auto"/>
        <w:ind w:firstLine="480" w:firstLineChars="20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7.23.6供应商之间商定部分供应商放弃参加政府采购活动或者放弃中标、成交；</w:t>
      </w:r>
    </w:p>
    <w:p w14:paraId="4585F812">
      <w:pPr>
        <w:tabs>
          <w:tab w:val="left" w:pos="3870"/>
          <w:tab w:val="left" w:pos="4085"/>
        </w:tabs>
        <w:snapToGrid w:val="0"/>
        <w:spacing w:line="440" w:lineRule="exact"/>
        <w:ind w:firstLine="480" w:firstLineChars="200"/>
        <w:jc w:val="left"/>
        <w:rPr>
          <w:rFonts w:hint="eastAsia" w:ascii="仿宋" w:hAnsi="仿宋" w:eastAsia="仿宋" w:cs="仿宋"/>
          <w:b/>
          <w:color w:val="auto"/>
          <w:sz w:val="24"/>
          <w:highlight w:val="none"/>
        </w:rPr>
      </w:pPr>
      <w:r>
        <w:rPr>
          <w:rFonts w:hint="eastAsia" w:ascii="仿宋" w:hAnsi="仿宋" w:eastAsia="仿宋" w:cs="仿宋"/>
          <w:color w:val="auto"/>
          <w:sz w:val="24"/>
          <w:szCs w:val="21"/>
          <w:highlight w:val="none"/>
        </w:rPr>
        <w:t>7.23.7供应商与采购人或者采购机构之间、供应商相互之间，为谋求特定供应商中标、成交或者排斥其他供应商的其他串通行为。</w:t>
      </w:r>
    </w:p>
    <w:p w14:paraId="3F60B39F">
      <w:pPr>
        <w:tabs>
          <w:tab w:val="left" w:pos="3870"/>
          <w:tab w:val="left" w:pos="4085"/>
        </w:tabs>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szCs w:val="21"/>
          <w:highlight w:val="none"/>
        </w:rPr>
        <w:t>7.24</w:t>
      </w:r>
      <w:r>
        <w:rPr>
          <w:rFonts w:hint="eastAsia" w:ascii="仿宋" w:hAnsi="仿宋" w:eastAsia="仿宋" w:cs="仿宋"/>
          <w:b/>
          <w:color w:val="auto"/>
          <w:sz w:val="24"/>
          <w:highlight w:val="none"/>
        </w:rPr>
        <w:t>评标委员会认定有重大偏差或实质性不响应招标文件要求的；</w:t>
      </w:r>
    </w:p>
    <w:p w14:paraId="7E7A558D">
      <w:pPr>
        <w:tabs>
          <w:tab w:val="left" w:pos="3870"/>
          <w:tab w:val="left" w:pos="4085"/>
        </w:tabs>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7.25报价文件中出现2个(含)以上的报价或方案的；</w:t>
      </w:r>
    </w:p>
    <w:p w14:paraId="05017B54">
      <w:pPr>
        <w:snapToGrid w:val="0"/>
        <w:spacing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7.26其他违反法律、法规的情形。</w:t>
      </w:r>
    </w:p>
    <w:p w14:paraId="4B009454">
      <w:pPr>
        <w:snapToGrid w:val="0"/>
        <w:spacing w:line="440" w:lineRule="exac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8. 评标过程保密</w:t>
      </w:r>
    </w:p>
    <w:p w14:paraId="0107560C">
      <w:pPr>
        <w:snapToGrid w:val="0"/>
        <w:spacing w:line="44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8.1</w:t>
      </w:r>
      <w:r>
        <w:rPr>
          <w:rFonts w:hint="eastAsia" w:ascii="仿宋" w:hAnsi="仿宋" w:eastAsia="仿宋" w:cs="仿宋"/>
          <w:color w:val="auto"/>
          <w:sz w:val="24"/>
          <w:highlight w:val="none"/>
        </w:rPr>
        <w:t>评审活动在严格保密的情况下进行。评审过程中凡是与采购响应文件评审和比较、中标成交供应商推荐等评审有关的情况和评审文件的，以及涉及国家秘密和商业秘密等信息，评审委员会成员、采购人和采购机构工作人员、相关监督人员等与评审有关的人员应当予以保密。</w:t>
      </w:r>
    </w:p>
    <w:p w14:paraId="1216255C">
      <w:pPr>
        <w:snapToGrid w:val="0"/>
        <w:spacing w:line="44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8.2 在评标期间，投标人企图影响招标人或</w:t>
      </w:r>
      <w:r>
        <w:rPr>
          <w:rFonts w:hint="eastAsia" w:ascii="仿宋" w:hAnsi="仿宋" w:eastAsia="仿宋" w:cs="仿宋"/>
          <w:color w:val="auto"/>
          <w:sz w:val="24"/>
          <w:highlight w:val="none"/>
        </w:rPr>
        <w:t>评标委员会</w:t>
      </w:r>
      <w:r>
        <w:rPr>
          <w:rFonts w:hint="eastAsia" w:ascii="仿宋" w:hAnsi="仿宋" w:eastAsia="仿宋" w:cs="仿宋"/>
          <w:color w:val="auto"/>
          <w:kern w:val="0"/>
          <w:sz w:val="24"/>
          <w:highlight w:val="none"/>
        </w:rPr>
        <w:t>的任何活动，都将导致投标被拒绝，并由其承担相应的法律责任。</w:t>
      </w:r>
    </w:p>
    <w:p w14:paraId="2FF2195C">
      <w:pPr>
        <w:pStyle w:val="24"/>
        <w:spacing w:line="800" w:lineRule="exact"/>
        <w:ind w:firstLine="726"/>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五、授予合同</w:t>
      </w:r>
    </w:p>
    <w:bookmarkEnd w:id="4"/>
    <w:bookmarkEnd w:id="5"/>
    <w:bookmarkEnd w:id="6"/>
    <w:p w14:paraId="3D2FC85C">
      <w:pPr>
        <w:pStyle w:val="16"/>
        <w:tabs>
          <w:tab w:val="clear" w:pos="454"/>
        </w:tabs>
        <w:spacing w:afterLines="0" w:line="440" w:lineRule="exact"/>
        <w:ind w:left="0" w:firstLine="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1.中标条件</w:t>
      </w:r>
    </w:p>
    <w:p w14:paraId="086D41D7">
      <w:pPr>
        <w:pStyle w:val="16"/>
        <w:tabs>
          <w:tab w:val="clear" w:pos="454"/>
        </w:tabs>
        <w:spacing w:afterLines="0" w:line="440" w:lineRule="exact"/>
        <w:ind w:left="0" w:firstLine="0"/>
        <w:rPr>
          <w:rFonts w:hint="eastAsia" w:ascii="仿宋" w:hAnsi="仿宋" w:eastAsia="仿宋" w:cs="仿宋"/>
          <w:color w:val="auto"/>
          <w:szCs w:val="24"/>
          <w:highlight w:val="none"/>
        </w:rPr>
      </w:pPr>
      <w:r>
        <w:rPr>
          <w:rFonts w:hint="eastAsia" w:ascii="仿宋" w:hAnsi="仿宋" w:eastAsia="仿宋" w:cs="仿宋"/>
          <w:color w:val="auto"/>
          <w:szCs w:val="24"/>
          <w:highlight w:val="none"/>
        </w:rPr>
        <w:t>1.1投标文件基本符合招标文件要求；</w:t>
      </w:r>
    </w:p>
    <w:p w14:paraId="45386B95">
      <w:pPr>
        <w:pStyle w:val="16"/>
        <w:tabs>
          <w:tab w:val="clear" w:pos="454"/>
        </w:tabs>
        <w:spacing w:afterLines="0" w:line="440" w:lineRule="exact"/>
        <w:ind w:left="0" w:firstLine="0"/>
        <w:rPr>
          <w:rFonts w:hint="eastAsia" w:ascii="仿宋" w:hAnsi="仿宋" w:eastAsia="仿宋" w:cs="仿宋"/>
          <w:color w:val="auto"/>
          <w:szCs w:val="24"/>
          <w:highlight w:val="none"/>
        </w:rPr>
      </w:pPr>
      <w:r>
        <w:rPr>
          <w:rFonts w:hint="eastAsia" w:ascii="仿宋" w:hAnsi="仿宋" w:eastAsia="仿宋" w:cs="仿宋"/>
          <w:color w:val="auto"/>
          <w:szCs w:val="24"/>
          <w:highlight w:val="none"/>
        </w:rPr>
        <w:t>1.2投标人有很好的执行合同的能力；</w:t>
      </w:r>
    </w:p>
    <w:p w14:paraId="0F228BB8">
      <w:pPr>
        <w:pStyle w:val="16"/>
        <w:tabs>
          <w:tab w:val="clear" w:pos="454"/>
        </w:tabs>
        <w:spacing w:afterLines="0" w:line="440" w:lineRule="exact"/>
        <w:ind w:left="0" w:firstLine="0"/>
        <w:rPr>
          <w:rFonts w:hint="eastAsia" w:ascii="仿宋" w:hAnsi="仿宋" w:eastAsia="仿宋" w:cs="仿宋"/>
          <w:color w:val="auto"/>
          <w:szCs w:val="24"/>
          <w:highlight w:val="none"/>
        </w:rPr>
      </w:pPr>
      <w:r>
        <w:rPr>
          <w:rFonts w:hint="eastAsia" w:ascii="仿宋" w:hAnsi="仿宋" w:eastAsia="仿宋" w:cs="仿宋"/>
          <w:color w:val="auto"/>
          <w:szCs w:val="24"/>
          <w:highlight w:val="none"/>
        </w:rPr>
        <w:t>1.3实施方案最合理并对招标人最为有利，最大限度满足招标文件的要求；</w:t>
      </w:r>
    </w:p>
    <w:p w14:paraId="47AE0737">
      <w:pPr>
        <w:pStyle w:val="16"/>
        <w:tabs>
          <w:tab w:val="clear" w:pos="454"/>
        </w:tabs>
        <w:spacing w:afterLines="0" w:line="440" w:lineRule="exact"/>
        <w:ind w:left="0" w:firstLine="0"/>
        <w:rPr>
          <w:rFonts w:hint="eastAsia" w:ascii="仿宋" w:hAnsi="仿宋" w:eastAsia="仿宋" w:cs="仿宋"/>
          <w:color w:val="auto"/>
          <w:szCs w:val="24"/>
          <w:highlight w:val="none"/>
        </w:rPr>
      </w:pPr>
      <w:r>
        <w:rPr>
          <w:rFonts w:hint="eastAsia" w:ascii="仿宋" w:hAnsi="仿宋" w:eastAsia="仿宋" w:cs="仿宋"/>
          <w:color w:val="auto"/>
          <w:szCs w:val="24"/>
          <w:highlight w:val="none"/>
        </w:rPr>
        <w:t>1.4投标人能够提供质量技术、商务经济占综合优势的系统及服务。</w:t>
      </w:r>
    </w:p>
    <w:p w14:paraId="3A7419FE">
      <w:p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1.5招标人将把中标通知书授予最佳投标者，但最低价不是中标的绝对保证。</w:t>
      </w:r>
    </w:p>
    <w:p w14:paraId="5FE14A78">
      <w:pPr>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2.中标确认</w:t>
      </w:r>
    </w:p>
    <w:p w14:paraId="276F1F97">
      <w:p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2.1采购人应当自收到评标报告之日起５个工作日内，在评标报告确定的中标候选人名单中按顺序确定中标人。</w:t>
      </w:r>
    </w:p>
    <w:p w14:paraId="5D5E19B5">
      <w:p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2.2采购人在收到评标报告5个工作日内未按评标报告推荐的中标候选人顺序确定中标人，视同按评标报告推荐的顺序确定的中标候选人为中标人。</w:t>
      </w:r>
    </w:p>
    <w:p w14:paraId="47E40B80">
      <w:p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2.3采购人应在确认中标人前再次对资格条件和相关证件材料进一步查验核实。</w:t>
      </w:r>
    </w:p>
    <w:p w14:paraId="2E102AF0">
      <w:pPr>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3．中标通知</w:t>
      </w:r>
    </w:p>
    <w:p w14:paraId="5968A45A">
      <w:pPr>
        <w:pStyle w:val="155"/>
        <w:tabs>
          <w:tab w:val="left" w:pos="0"/>
        </w:tabs>
        <w:spacing w:before="0" w:line="440" w:lineRule="exact"/>
        <w:ind w:firstLine="0" w:firstLineChars="0"/>
        <w:rPr>
          <w:rFonts w:hint="eastAsia" w:ascii="仿宋" w:hAnsi="仿宋" w:eastAsia="仿宋" w:cs="仿宋"/>
          <w:color w:val="auto"/>
          <w:szCs w:val="24"/>
          <w:highlight w:val="none"/>
        </w:rPr>
      </w:pPr>
      <w:r>
        <w:rPr>
          <w:rFonts w:hint="eastAsia" w:ascii="仿宋" w:hAnsi="仿宋" w:eastAsia="仿宋" w:cs="仿宋"/>
          <w:color w:val="auto"/>
          <w:szCs w:val="24"/>
          <w:highlight w:val="none"/>
        </w:rPr>
        <w:t>3.1</w:t>
      </w:r>
      <w:r>
        <w:rPr>
          <w:rFonts w:hint="eastAsia" w:ascii="仿宋" w:hAnsi="仿宋" w:eastAsia="仿宋" w:cs="仿宋"/>
          <w:color w:val="auto"/>
          <w:kern w:val="0"/>
          <w:highlight w:val="none"/>
        </w:rPr>
        <w:t>采购代理机构</w:t>
      </w:r>
      <w:r>
        <w:rPr>
          <w:rFonts w:hint="eastAsia" w:ascii="仿宋" w:hAnsi="仿宋" w:eastAsia="仿宋" w:cs="仿宋"/>
          <w:color w:val="auto"/>
          <w:highlight w:val="none"/>
        </w:rPr>
        <w:t>对中标结果在指定媒体</w:t>
      </w:r>
      <w:r>
        <w:rPr>
          <w:rFonts w:hint="eastAsia" w:ascii="仿宋" w:hAnsi="仿宋" w:eastAsia="仿宋" w:cs="仿宋"/>
          <w:color w:val="auto"/>
          <w:kern w:val="0"/>
          <w:highlight w:val="none"/>
        </w:rPr>
        <w:t>发布中标公告，中标公告期限为1个工作日。</w:t>
      </w:r>
    </w:p>
    <w:p w14:paraId="135A79E0">
      <w:pPr>
        <w:tabs>
          <w:tab w:val="left" w:pos="0"/>
        </w:tabs>
        <w:spacing w:line="440" w:lineRule="exact"/>
        <w:rPr>
          <w:rFonts w:hint="eastAsia" w:ascii="仿宋" w:hAnsi="仿宋" w:eastAsia="仿宋" w:cs="仿宋"/>
          <w:color w:val="auto"/>
          <w:kern w:val="0"/>
          <w:sz w:val="24"/>
          <w:highlight w:val="none"/>
          <w:lang w:val="zh-CN"/>
        </w:rPr>
      </w:pPr>
      <w:r>
        <w:rPr>
          <w:rFonts w:hint="eastAsia" w:ascii="仿宋" w:hAnsi="仿宋" w:eastAsia="仿宋" w:cs="仿宋"/>
          <w:color w:val="auto"/>
          <w:sz w:val="24"/>
          <w:highlight w:val="none"/>
        </w:rPr>
        <w:t>3.2采购机构发送纸质中标通知书。在采购代理机构发出中标通知书前，中标供应商如有违反有关法律法规和本项目要求行为的，则取消该投标人的中标资格</w:t>
      </w:r>
      <w:r>
        <w:rPr>
          <w:rFonts w:hint="eastAsia" w:ascii="仿宋" w:hAnsi="仿宋" w:eastAsia="仿宋" w:cs="仿宋"/>
          <w:color w:val="auto"/>
          <w:kern w:val="0"/>
          <w:sz w:val="24"/>
          <w:highlight w:val="none"/>
          <w:lang w:val="zh-CN"/>
        </w:rPr>
        <w:t>。</w:t>
      </w:r>
    </w:p>
    <w:p w14:paraId="5A73798D">
      <w:p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3.3采购代理机构对中标结果不作任何说明和解释，也不回答任何提问。</w:t>
      </w:r>
    </w:p>
    <w:p w14:paraId="7A5B0CF2">
      <w:pPr>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4．履约保证金</w:t>
      </w:r>
    </w:p>
    <w:p w14:paraId="536A1A71">
      <w:p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4.1采购人在签订合同时，按合同法规定可向中标人收取不高于中标额的1％的履约保证金，采购人不得以供应商事先提交履约保证金作为签订合同的条件。鼓励采购人根据项目特点、供应商诚信等情况免收履约保证金或降低缴纳比例。</w:t>
      </w:r>
    </w:p>
    <w:p w14:paraId="6211F369">
      <w:p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4.2供应商在履行完合同约定事项后，采购人应及时退还履约保证金。</w:t>
      </w:r>
    </w:p>
    <w:p w14:paraId="518BE75D">
      <w:p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4.3供应商以银行、保险公司出具保函形式提交履约保证金的，采购人不得拒收。</w:t>
      </w:r>
    </w:p>
    <w:p w14:paraId="127E44E6">
      <w:pPr>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5．合同备案</w:t>
      </w:r>
    </w:p>
    <w:p w14:paraId="14B18B03">
      <w:p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5.1中标人应当在中标通知书发出之日起30天内与采购人签订合同，自采购合同签订之日起</w:t>
      </w:r>
      <w:r>
        <w:rPr>
          <w:rFonts w:hint="eastAsia" w:ascii="仿宋" w:hAnsi="仿宋" w:eastAsia="仿宋" w:cs="仿宋"/>
          <w:b/>
          <w:color w:val="auto"/>
          <w:sz w:val="24"/>
          <w:highlight w:val="none"/>
        </w:rPr>
        <w:t>3个工作日内</w:t>
      </w:r>
      <w:r>
        <w:rPr>
          <w:rFonts w:hint="eastAsia" w:ascii="仿宋" w:hAnsi="仿宋" w:eastAsia="仿宋" w:cs="仿宋"/>
          <w:color w:val="auto"/>
          <w:sz w:val="24"/>
          <w:highlight w:val="none"/>
        </w:rPr>
        <w:t>，将</w:t>
      </w:r>
      <w:r>
        <w:rPr>
          <w:rFonts w:hint="eastAsia" w:ascii="仿宋" w:hAnsi="仿宋" w:eastAsia="仿宋" w:cs="仿宋"/>
          <w:b/>
          <w:color w:val="auto"/>
          <w:sz w:val="24"/>
          <w:highlight w:val="none"/>
        </w:rPr>
        <w:t>采购合同原件</w:t>
      </w:r>
      <w:r>
        <w:rPr>
          <w:rFonts w:hint="eastAsia" w:ascii="仿宋" w:hAnsi="仿宋" w:eastAsia="仿宋" w:cs="仿宋"/>
          <w:color w:val="auto"/>
          <w:sz w:val="24"/>
          <w:highlight w:val="none"/>
        </w:rPr>
        <w:t>报采购代理机构备案。</w:t>
      </w:r>
    </w:p>
    <w:p w14:paraId="53F3743E">
      <w:p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5.2未领取中标通知书，采购双方自行签订的合同不予备案。</w:t>
      </w:r>
    </w:p>
    <w:p w14:paraId="749CE6ED">
      <w:pPr>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6.验收</w:t>
      </w:r>
    </w:p>
    <w:p w14:paraId="30FA67FC">
      <w:p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承担相应的法律责任。</w:t>
      </w:r>
    </w:p>
    <w:p w14:paraId="7E977F9D">
      <w:p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6.2采购人可以邀请参加本项目的其他投标人或者第三方机构参与验收。参与验收的投标人或者第三方机构的意见作为验收书的参考资料一并存档。</w:t>
      </w:r>
    </w:p>
    <w:p w14:paraId="62A8668C">
      <w:pPr>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6.3 采购人负责加强对中标人的履约管理，并按照采购合同约定，及时向中标人支付采购资金。对于中标人违反采购合同约定的行为，采购人应当及时处理，依法追究其违约责任。</w:t>
      </w:r>
    </w:p>
    <w:p w14:paraId="334994F9">
      <w:pPr>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7. 售后服务考核</w:t>
      </w:r>
    </w:p>
    <w:p w14:paraId="2C125802">
      <w:pPr>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机构将联合政府采购监管部门不定期对合同的履约情况进行检查，发现未按合同规定进行履约的，有弄虚作假，偷工减料，以次充好等情形，达不到国家、行业有关标准和商务技术（资信）文件规定的，一经查实，由政府采购监督管理部门给予相应处罚。</w:t>
      </w:r>
    </w:p>
    <w:p w14:paraId="509D0C26">
      <w:pPr>
        <w:snapToGrid w:val="0"/>
        <w:spacing w:line="800" w:lineRule="exact"/>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六、质疑与投诉</w:t>
      </w:r>
    </w:p>
    <w:p w14:paraId="716DA87F">
      <w:pPr>
        <w:pStyle w:val="2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根据《中华人民共和国政府采购法》、《中华人民共和国政府采购法实施条例》（国务院第658号令）、《政府采购质疑和投诉办法》（财政部第94号令）、《财政部关于加强政府采购供应商投诉受理审查工作的通知》(财库〔2007〕1号)和《浙江省政府采购供应商质疑处理办法》（浙财采监[2012]18号）的规定，政府采购供应商可以依法提起质疑和投诉。</w:t>
      </w:r>
    </w:p>
    <w:p w14:paraId="6CAD4879">
      <w:pPr>
        <w:autoSpaceDE w:val="0"/>
        <w:autoSpaceDN w:val="0"/>
        <w:spacing w:line="360" w:lineRule="auto"/>
        <w:ind w:firstLine="472" w:firstLineChars="196"/>
        <w:jc w:val="left"/>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1.供应商询问</w:t>
      </w:r>
    </w:p>
    <w:p w14:paraId="2114E987">
      <w:pPr>
        <w:pStyle w:val="2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供应商对政府采购活动事项有疑问的，可以向采购机构提出询问，采购机构将对供应商依法提出的询问作出答复，但答复的内容不得涉及商业秘密。</w:t>
      </w:r>
    </w:p>
    <w:p w14:paraId="245A6AA0">
      <w:pPr>
        <w:autoSpaceDE w:val="0"/>
        <w:autoSpaceDN w:val="0"/>
        <w:spacing w:line="360" w:lineRule="auto"/>
        <w:ind w:firstLine="472" w:firstLineChars="196"/>
        <w:jc w:val="left"/>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2.供应商质疑</w:t>
      </w:r>
    </w:p>
    <w:p w14:paraId="78D39A9B">
      <w:pPr>
        <w:pStyle w:val="2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2.1供应商认为采购文件、采购过程和成交结果使自己的权益受到损害的，可以在知道或者应知其权益受到损害之日起七个工作日内，可以以书面邮寄的方式向采购机构提出质疑，否则，采购机构不予受理：</w:t>
      </w:r>
    </w:p>
    <w:p w14:paraId="3616FAEC">
      <w:pPr>
        <w:pStyle w:val="2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对采购文件提出质疑的，质疑期限为供应商获得采购文件之日或者采购文件公告期限届满之日（即供应商报名截止之日）起计算，但采购文件在报名截止之日后获得的，应当自截止之日起计算，且应当在采购响应截止时间之前提出。</w:t>
      </w:r>
    </w:p>
    <w:p w14:paraId="7EEDB2E5">
      <w:pPr>
        <w:pStyle w:val="2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（2）对采购过程提出质疑的，质疑期限为各采购程序环节结束之日起计算。</w:t>
      </w:r>
    </w:p>
    <w:p w14:paraId="6C261DAC">
      <w:pPr>
        <w:pStyle w:val="2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（3）对采购结果提出质疑的，质疑期限自采购结果公告（包括公示、预公告、结果变更公告等）期限届满之日起计算。</w:t>
      </w:r>
    </w:p>
    <w:p w14:paraId="09E891AD">
      <w:pPr>
        <w:pStyle w:val="2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（4）供应商应在法定质疑期内一次性提出针对同一采购程序环节的质疑。</w:t>
      </w:r>
    </w:p>
    <w:p w14:paraId="3933BFC8">
      <w:pPr>
        <w:pStyle w:val="2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3.供应商提交提出质疑应当提交质疑书和必要的证明材料，质疑书需一式三份，质疑书至少应包括下列主要内容：</w:t>
      </w:r>
    </w:p>
    <w:p w14:paraId="6AF243EB">
      <w:pPr>
        <w:pStyle w:val="2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（1）质疑人的名称、地址、邮政编码、联系人、联系电话，以及被质疑人名称及联系方式；</w:t>
      </w:r>
    </w:p>
    <w:p w14:paraId="37498FDF">
      <w:pPr>
        <w:pStyle w:val="2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（2）被质疑采购项目名称、编号及采购内容；</w:t>
      </w:r>
    </w:p>
    <w:p w14:paraId="1875A49F">
      <w:pPr>
        <w:pStyle w:val="2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（3）具体、明确的质疑事项和与质疑事项相关的请求</w:t>
      </w:r>
    </w:p>
    <w:p w14:paraId="7D21FFEB">
      <w:pPr>
        <w:pStyle w:val="2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（4）事实依据；</w:t>
      </w:r>
    </w:p>
    <w:p w14:paraId="526B1CEE">
      <w:pPr>
        <w:pStyle w:val="2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（5）必要的法律依据；</w:t>
      </w:r>
    </w:p>
    <w:p w14:paraId="0FF13EA0">
      <w:pPr>
        <w:pStyle w:val="2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（6）认为自己合法权益受到损害或可能受到损害的相关证据材料；</w:t>
      </w:r>
    </w:p>
    <w:p w14:paraId="2F6F7277">
      <w:pPr>
        <w:pStyle w:val="2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（7）提出质疑的日期。</w:t>
      </w:r>
    </w:p>
    <w:p w14:paraId="73F0DCE5">
      <w:pPr>
        <w:pStyle w:val="2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 质疑书应当署名。质疑人为自然人的，应当由本人签字并附有效身份证明；质疑人为法人或其他组织的，应当由法定代表人或主要负责人签字（或盖章）并加盖单位公章。</w:t>
      </w:r>
    </w:p>
    <w:p w14:paraId="6014BEEF">
      <w:pPr>
        <w:pStyle w:val="2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 质疑人因故不能自行办理质疑事项的，可以委托代理人办理质疑事宜，但应当向被质疑人提交授权委托书，并载明委托代理的具体权限和事项。</w:t>
      </w:r>
    </w:p>
    <w:p w14:paraId="30E51BDF">
      <w:pPr>
        <w:pStyle w:val="2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（10）质疑人提供的相关材料中有外文资料的，应当将与质疑相关的外文资料完整、客观、真实地翻译为中文，并注明翻译人员姓名、工作单位、联系方式等信息。</w:t>
      </w:r>
    </w:p>
    <w:p w14:paraId="1EE07577">
      <w:pPr>
        <w:pStyle w:val="2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原则上由采购人回复的质疑：</w:t>
      </w:r>
    </w:p>
    <w:p w14:paraId="4AD8746C">
      <w:pPr>
        <w:pStyle w:val="2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（1）对采购文件中特定资格条件、采购需求、评分办法提出的质疑；</w:t>
      </w:r>
    </w:p>
    <w:p w14:paraId="459237F3">
      <w:pPr>
        <w:pStyle w:val="2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（2）对采购过程中有关现场考察或开标前答疑会事项提出的质疑。</w:t>
      </w:r>
    </w:p>
    <w:p w14:paraId="0EF0606C">
      <w:pPr>
        <w:pStyle w:val="24"/>
        <w:spacing w:line="360"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原则上由采购代理机构回复的质疑：</w:t>
      </w:r>
    </w:p>
    <w:p w14:paraId="20C5396F">
      <w:pPr>
        <w:pStyle w:val="2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（1）除特定资格条件、采购需求、评分办法外，对采购文件中其他内容提出的质疑；</w:t>
      </w:r>
    </w:p>
    <w:p w14:paraId="663802F7">
      <w:pPr>
        <w:pStyle w:val="2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（2）除有关现场考察或开标前答疑会事项外，对采购过程中其它事项提出的质疑；</w:t>
      </w:r>
    </w:p>
    <w:p w14:paraId="486A335F">
      <w:pPr>
        <w:pStyle w:val="2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（3）对采购结果提出的质疑。</w:t>
      </w:r>
    </w:p>
    <w:p w14:paraId="455C888E">
      <w:pPr>
        <w:pStyle w:val="2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5.采购机构应当在收到供应商的书面质疑后七个工作日内作出答复，并以书面形式通知质疑供应商和其他与质疑处理结果有利害关系的政府采购当事人，但答复的内容不得涉及商业秘密。</w:t>
      </w:r>
    </w:p>
    <w:p w14:paraId="6F001470">
      <w:pPr>
        <w:pStyle w:val="2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6.询问或者质疑事项可能影响采购结果的，采购人应当暂停签订合同，已经签订合同的，应当中止履行合同。</w:t>
      </w:r>
    </w:p>
    <w:p w14:paraId="5C17195E">
      <w:pPr>
        <w:pStyle w:val="24"/>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7.质疑函范本、投诉书范本请到浙江政府采购网下载专区下载。</w:t>
      </w:r>
    </w:p>
    <w:p w14:paraId="4766A8AC">
      <w:pPr>
        <w:pageBreakBefore/>
        <w:snapToGrid w:val="0"/>
        <w:spacing w:line="800" w:lineRule="exact"/>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第三部分 招标项目范围及要求</w:t>
      </w:r>
    </w:p>
    <w:p w14:paraId="09255034">
      <w:pPr>
        <w:widowControl/>
        <w:spacing w:line="400" w:lineRule="exact"/>
        <w:jc w:val="left"/>
        <w:rPr>
          <w:rFonts w:hint="eastAsia" w:ascii="仿宋" w:hAnsi="仿宋" w:eastAsia="仿宋" w:cs="仿宋"/>
          <w:b/>
          <w:color w:val="auto"/>
          <w:sz w:val="24"/>
          <w:highlight w:val="none"/>
        </w:rPr>
      </w:pPr>
      <w:bookmarkStart w:id="7" w:name="_Toc81372964"/>
      <w:bookmarkStart w:id="8" w:name="_Toc80157775"/>
      <w:bookmarkStart w:id="9" w:name="_Toc81372787"/>
      <w:bookmarkStart w:id="10" w:name="_Toc84325981"/>
      <w:r>
        <w:rPr>
          <w:rFonts w:hint="eastAsia" w:ascii="仿宋" w:hAnsi="仿宋" w:eastAsia="仿宋" w:cs="仿宋"/>
          <w:b/>
          <w:bCs/>
          <w:color w:val="auto"/>
          <w:sz w:val="24"/>
          <w:highlight w:val="none"/>
        </w:rPr>
        <w:t xml:space="preserve">   绍兴市中医院</w:t>
      </w:r>
      <w:bookmarkStart w:id="11" w:name="_Toc137008688"/>
      <w:bookmarkEnd w:id="11"/>
      <w:r>
        <w:rPr>
          <w:rFonts w:hint="eastAsia" w:ascii="仿宋" w:hAnsi="仿宋" w:eastAsia="仿宋" w:cs="仿宋"/>
          <w:b/>
          <w:bCs/>
          <w:color w:val="auto"/>
          <w:sz w:val="24"/>
          <w:highlight w:val="none"/>
          <w:lang w:eastAsia="zh-CN"/>
        </w:rPr>
        <w:t>2026年职工疗休养项目</w:t>
      </w:r>
    </w:p>
    <w:p w14:paraId="01B94AA5">
      <w:pPr>
        <w:widowControl/>
        <w:snapToGrid w:val="0"/>
        <w:spacing w:line="440" w:lineRule="exact"/>
        <w:ind w:firstLine="482" w:firstLineChars="200"/>
        <w:jc w:val="lef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一、项目基本情况 </w:t>
      </w:r>
    </w:p>
    <w:tbl>
      <w:tblPr>
        <w:tblStyle w:val="4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702"/>
        <w:gridCol w:w="736"/>
        <w:gridCol w:w="1194"/>
        <w:gridCol w:w="1326"/>
        <w:gridCol w:w="1598"/>
      </w:tblGrid>
      <w:tr w14:paraId="2523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07" w:type="pct"/>
            <w:noWrap w:val="0"/>
            <w:vAlign w:val="center"/>
          </w:tcPr>
          <w:p w14:paraId="19B24EEF">
            <w:pP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项目名称</w:t>
            </w:r>
          </w:p>
        </w:tc>
        <w:tc>
          <w:tcPr>
            <w:tcW w:w="1534" w:type="pct"/>
            <w:noWrap w:val="0"/>
            <w:vAlign w:val="center"/>
          </w:tcPr>
          <w:p w14:paraId="1A642C6F">
            <w:pPr>
              <w:spacing w:line="360" w:lineRule="exact"/>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内容</w:t>
            </w:r>
          </w:p>
        </w:tc>
        <w:tc>
          <w:tcPr>
            <w:tcW w:w="418" w:type="pct"/>
            <w:noWrap w:val="0"/>
            <w:vAlign w:val="center"/>
          </w:tcPr>
          <w:p w14:paraId="28A7654E">
            <w:pPr>
              <w:spacing w:line="360" w:lineRule="exact"/>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线路</w:t>
            </w:r>
          </w:p>
        </w:tc>
        <w:tc>
          <w:tcPr>
            <w:tcW w:w="678" w:type="pct"/>
            <w:noWrap w:val="0"/>
            <w:vAlign w:val="center"/>
          </w:tcPr>
          <w:p w14:paraId="329AD4DB">
            <w:pP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参考人数   </w:t>
            </w:r>
          </w:p>
        </w:tc>
        <w:tc>
          <w:tcPr>
            <w:tcW w:w="753" w:type="pct"/>
            <w:noWrap w:val="0"/>
            <w:vAlign w:val="center"/>
          </w:tcPr>
          <w:p w14:paraId="44F729C8">
            <w:pP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预算单价</w:t>
            </w:r>
          </w:p>
        </w:tc>
        <w:tc>
          <w:tcPr>
            <w:tcW w:w="907" w:type="pct"/>
            <w:noWrap w:val="0"/>
            <w:vAlign w:val="center"/>
          </w:tcPr>
          <w:p w14:paraId="25690530">
            <w:pPr>
              <w:widowControl/>
              <w:spacing w:before="100" w:beforeAutospacing="1" w:after="100" w:afterAutospacing="1" w:line="400" w:lineRule="atLeast"/>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预算</w:t>
            </w:r>
            <w:r>
              <w:rPr>
                <w:rFonts w:hint="eastAsia" w:ascii="仿宋" w:hAnsi="仿宋" w:eastAsia="仿宋" w:cs="仿宋"/>
                <w:bCs/>
                <w:color w:val="auto"/>
                <w:sz w:val="24"/>
                <w:szCs w:val="24"/>
                <w:highlight w:val="none"/>
              </w:rPr>
              <w:t>金额</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lang w:eastAsia="zh-CN"/>
              </w:rPr>
              <w:t>元</w:t>
            </w:r>
          </w:p>
        </w:tc>
      </w:tr>
      <w:tr w14:paraId="6584B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7" w:type="pct"/>
            <w:vMerge w:val="restart"/>
            <w:noWrap w:val="0"/>
            <w:vAlign w:val="center"/>
          </w:tcPr>
          <w:p w14:paraId="753EFBEB">
            <w:pP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2026年</w:t>
            </w:r>
            <w:r>
              <w:rPr>
                <w:rFonts w:hint="eastAsia" w:ascii="仿宋" w:hAnsi="仿宋" w:eastAsia="仿宋" w:cs="仿宋"/>
                <w:bCs/>
                <w:color w:val="auto"/>
                <w:sz w:val="24"/>
                <w:szCs w:val="24"/>
                <w:highlight w:val="none"/>
              </w:rPr>
              <w:t>度职工疗休养项目</w:t>
            </w:r>
          </w:p>
        </w:tc>
        <w:tc>
          <w:tcPr>
            <w:tcW w:w="1534" w:type="pct"/>
            <w:noWrap w:val="0"/>
            <w:vAlign w:val="center"/>
          </w:tcPr>
          <w:p w14:paraId="43AB1300">
            <w:pP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市</w:t>
            </w:r>
            <w:r>
              <w:rPr>
                <w:rFonts w:hint="eastAsia" w:ascii="仿宋" w:hAnsi="仿宋" w:eastAsia="仿宋" w:cs="仿宋"/>
                <w:bCs/>
                <w:color w:val="auto"/>
                <w:sz w:val="24"/>
                <w:szCs w:val="24"/>
                <w:highlight w:val="none"/>
              </w:rPr>
              <w:t>内</w:t>
            </w:r>
            <w:r>
              <w:rPr>
                <w:rFonts w:hint="eastAsia" w:ascii="仿宋" w:hAnsi="仿宋" w:eastAsia="仿宋" w:cs="仿宋"/>
                <w:bCs/>
                <w:color w:val="auto"/>
                <w:sz w:val="24"/>
                <w:szCs w:val="24"/>
                <w:highlight w:val="none"/>
                <w:lang w:eastAsia="zh-CN"/>
              </w:rPr>
              <w:t>线路</w:t>
            </w:r>
            <w:r>
              <w:rPr>
                <w:rFonts w:hint="eastAsia" w:ascii="仿宋" w:hAnsi="仿宋" w:eastAsia="仿宋" w:cs="仿宋"/>
                <w:bCs/>
                <w:color w:val="auto"/>
                <w:sz w:val="24"/>
                <w:szCs w:val="24"/>
                <w:highlight w:val="none"/>
              </w:rPr>
              <w:t>（4天3夜）</w:t>
            </w:r>
          </w:p>
        </w:tc>
        <w:tc>
          <w:tcPr>
            <w:tcW w:w="418" w:type="pct"/>
            <w:noWrap w:val="0"/>
            <w:vAlign w:val="center"/>
          </w:tcPr>
          <w:p w14:paraId="7101DE75">
            <w:pPr>
              <w:spacing w:line="360" w:lineRule="exact"/>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w:t>
            </w:r>
          </w:p>
        </w:tc>
        <w:tc>
          <w:tcPr>
            <w:tcW w:w="678" w:type="pct"/>
            <w:vMerge w:val="restart"/>
            <w:noWrap w:val="0"/>
            <w:vAlign w:val="center"/>
          </w:tcPr>
          <w:p w14:paraId="776EB08D">
            <w:pPr>
              <w:spacing w:line="360" w:lineRule="exact"/>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990</w:t>
            </w:r>
          </w:p>
        </w:tc>
        <w:tc>
          <w:tcPr>
            <w:tcW w:w="753" w:type="pct"/>
            <w:vMerge w:val="restart"/>
            <w:noWrap w:val="0"/>
            <w:vAlign w:val="center"/>
          </w:tcPr>
          <w:p w14:paraId="44EA568C">
            <w:pPr>
              <w:spacing w:line="360" w:lineRule="exact"/>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2000</w:t>
            </w:r>
          </w:p>
        </w:tc>
        <w:tc>
          <w:tcPr>
            <w:tcW w:w="907" w:type="pct"/>
            <w:vMerge w:val="restart"/>
            <w:noWrap w:val="0"/>
            <w:vAlign w:val="center"/>
          </w:tcPr>
          <w:p w14:paraId="7BF273D0">
            <w:pPr>
              <w:spacing w:line="360" w:lineRule="exact"/>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2180000</w:t>
            </w:r>
          </w:p>
        </w:tc>
      </w:tr>
      <w:tr w14:paraId="497A9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7" w:type="pct"/>
            <w:vMerge w:val="continue"/>
            <w:noWrap w:val="0"/>
            <w:vAlign w:val="center"/>
          </w:tcPr>
          <w:p w14:paraId="64DE6F9E">
            <w:pPr>
              <w:spacing w:line="360" w:lineRule="exact"/>
              <w:jc w:val="center"/>
              <w:rPr>
                <w:rFonts w:hint="eastAsia" w:ascii="仿宋" w:hAnsi="仿宋" w:eastAsia="仿宋" w:cs="仿宋"/>
                <w:bCs/>
                <w:color w:val="auto"/>
                <w:sz w:val="24"/>
                <w:szCs w:val="24"/>
                <w:highlight w:val="none"/>
                <w:lang w:eastAsia="zh-CN"/>
              </w:rPr>
            </w:pPr>
          </w:p>
        </w:tc>
        <w:tc>
          <w:tcPr>
            <w:tcW w:w="1534" w:type="pct"/>
            <w:noWrap w:val="0"/>
            <w:vAlign w:val="center"/>
          </w:tcPr>
          <w:p w14:paraId="0258F921">
            <w:pPr>
              <w:spacing w:line="360" w:lineRule="exact"/>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eastAsia="zh-CN"/>
              </w:rPr>
              <w:t>市外</w:t>
            </w:r>
            <w:r>
              <w:rPr>
                <w:rFonts w:hint="eastAsia" w:ascii="仿宋" w:hAnsi="仿宋" w:eastAsia="仿宋" w:cs="仿宋"/>
                <w:bCs/>
                <w:color w:val="auto"/>
                <w:sz w:val="24"/>
                <w:szCs w:val="24"/>
                <w:highlight w:val="none"/>
              </w:rPr>
              <w:t>省内</w:t>
            </w:r>
            <w:r>
              <w:rPr>
                <w:rFonts w:hint="eastAsia" w:ascii="仿宋" w:hAnsi="仿宋" w:eastAsia="仿宋" w:cs="仿宋"/>
                <w:bCs/>
                <w:color w:val="auto"/>
                <w:sz w:val="24"/>
                <w:szCs w:val="24"/>
                <w:highlight w:val="none"/>
                <w:lang w:eastAsia="zh-CN"/>
              </w:rPr>
              <w:t>线路</w:t>
            </w:r>
            <w:r>
              <w:rPr>
                <w:rFonts w:hint="eastAsia" w:ascii="仿宋" w:hAnsi="仿宋" w:eastAsia="仿宋" w:cs="仿宋"/>
                <w:bCs/>
                <w:color w:val="auto"/>
                <w:sz w:val="24"/>
                <w:szCs w:val="24"/>
                <w:highlight w:val="none"/>
              </w:rPr>
              <w:t>（4天3夜）</w:t>
            </w:r>
          </w:p>
        </w:tc>
        <w:tc>
          <w:tcPr>
            <w:tcW w:w="418" w:type="pct"/>
            <w:noWrap w:val="0"/>
            <w:vAlign w:val="center"/>
          </w:tcPr>
          <w:p w14:paraId="22FF3E43">
            <w:pPr>
              <w:spacing w:line="360" w:lineRule="exact"/>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4</w:t>
            </w:r>
          </w:p>
        </w:tc>
        <w:tc>
          <w:tcPr>
            <w:tcW w:w="678" w:type="pct"/>
            <w:vMerge w:val="continue"/>
            <w:noWrap w:val="0"/>
            <w:vAlign w:val="center"/>
          </w:tcPr>
          <w:p w14:paraId="7B69AB9D">
            <w:pPr>
              <w:spacing w:line="360" w:lineRule="exact"/>
              <w:jc w:val="center"/>
              <w:rPr>
                <w:rFonts w:hint="eastAsia" w:ascii="仿宋" w:hAnsi="仿宋" w:eastAsia="仿宋" w:cs="仿宋"/>
                <w:bCs/>
                <w:color w:val="auto"/>
                <w:kern w:val="2"/>
                <w:sz w:val="24"/>
                <w:szCs w:val="24"/>
                <w:highlight w:val="none"/>
                <w:lang w:val="en-US" w:eastAsia="zh-CN" w:bidi="ar-SA"/>
              </w:rPr>
            </w:pPr>
          </w:p>
        </w:tc>
        <w:tc>
          <w:tcPr>
            <w:tcW w:w="753" w:type="pct"/>
            <w:vMerge w:val="continue"/>
            <w:noWrap w:val="0"/>
            <w:vAlign w:val="center"/>
          </w:tcPr>
          <w:p w14:paraId="25A3F1E8">
            <w:pPr>
              <w:spacing w:line="360" w:lineRule="exact"/>
              <w:jc w:val="center"/>
              <w:rPr>
                <w:rFonts w:hint="eastAsia" w:ascii="仿宋" w:hAnsi="仿宋" w:eastAsia="仿宋" w:cs="仿宋"/>
                <w:bCs/>
                <w:color w:val="auto"/>
                <w:kern w:val="2"/>
                <w:sz w:val="24"/>
                <w:szCs w:val="24"/>
                <w:highlight w:val="none"/>
                <w:lang w:val="en-US" w:eastAsia="zh-CN" w:bidi="ar-SA"/>
              </w:rPr>
            </w:pPr>
          </w:p>
        </w:tc>
        <w:tc>
          <w:tcPr>
            <w:tcW w:w="907" w:type="pct"/>
            <w:vMerge w:val="continue"/>
            <w:noWrap w:val="0"/>
            <w:vAlign w:val="center"/>
          </w:tcPr>
          <w:p w14:paraId="7039D929">
            <w:pPr>
              <w:spacing w:line="360" w:lineRule="exact"/>
              <w:jc w:val="center"/>
              <w:rPr>
                <w:rFonts w:hint="eastAsia" w:ascii="仿宋" w:hAnsi="仿宋" w:eastAsia="仿宋" w:cs="仿宋"/>
                <w:bCs/>
                <w:color w:val="auto"/>
                <w:kern w:val="2"/>
                <w:sz w:val="24"/>
                <w:szCs w:val="24"/>
                <w:highlight w:val="none"/>
                <w:lang w:val="en-US" w:eastAsia="zh-CN" w:bidi="ar-SA"/>
              </w:rPr>
            </w:pPr>
          </w:p>
        </w:tc>
      </w:tr>
      <w:tr w14:paraId="13A6F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7" w:type="pct"/>
            <w:vMerge w:val="continue"/>
            <w:noWrap w:val="0"/>
            <w:vAlign w:val="center"/>
          </w:tcPr>
          <w:p w14:paraId="13E32883">
            <w:pPr>
              <w:spacing w:line="360" w:lineRule="exact"/>
              <w:jc w:val="center"/>
              <w:rPr>
                <w:rFonts w:hint="eastAsia" w:ascii="仿宋" w:hAnsi="仿宋" w:eastAsia="仿宋" w:cs="仿宋"/>
                <w:bCs/>
                <w:color w:val="auto"/>
                <w:sz w:val="24"/>
                <w:szCs w:val="24"/>
                <w:highlight w:val="none"/>
              </w:rPr>
            </w:pPr>
          </w:p>
        </w:tc>
        <w:tc>
          <w:tcPr>
            <w:tcW w:w="1534" w:type="pct"/>
            <w:noWrap w:val="0"/>
            <w:vAlign w:val="center"/>
          </w:tcPr>
          <w:p w14:paraId="01B40A84">
            <w:pP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省外</w:t>
            </w:r>
            <w:r>
              <w:rPr>
                <w:rFonts w:hint="eastAsia" w:ascii="仿宋" w:hAnsi="仿宋" w:eastAsia="仿宋" w:cs="仿宋"/>
                <w:bCs/>
                <w:color w:val="auto"/>
                <w:sz w:val="24"/>
                <w:szCs w:val="24"/>
                <w:highlight w:val="none"/>
                <w:lang w:eastAsia="zh-CN"/>
              </w:rPr>
              <w:t>线路</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天</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夜）</w:t>
            </w:r>
          </w:p>
        </w:tc>
        <w:tc>
          <w:tcPr>
            <w:tcW w:w="418" w:type="pct"/>
            <w:noWrap w:val="0"/>
            <w:vAlign w:val="center"/>
          </w:tcPr>
          <w:p w14:paraId="1064F42E">
            <w:pPr>
              <w:spacing w:line="360" w:lineRule="exact"/>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5</w:t>
            </w:r>
          </w:p>
        </w:tc>
        <w:tc>
          <w:tcPr>
            <w:tcW w:w="678" w:type="pct"/>
            <w:vMerge w:val="continue"/>
            <w:noWrap w:val="0"/>
            <w:vAlign w:val="center"/>
          </w:tcPr>
          <w:p w14:paraId="511AAB9B">
            <w:pPr>
              <w:spacing w:line="360" w:lineRule="exact"/>
              <w:jc w:val="center"/>
              <w:rPr>
                <w:rFonts w:hint="eastAsia" w:ascii="仿宋" w:hAnsi="仿宋" w:eastAsia="仿宋" w:cs="仿宋"/>
                <w:bCs/>
                <w:color w:val="auto"/>
                <w:sz w:val="24"/>
                <w:szCs w:val="24"/>
                <w:highlight w:val="none"/>
                <w:lang w:val="en-US" w:eastAsia="zh-CN"/>
              </w:rPr>
            </w:pPr>
          </w:p>
        </w:tc>
        <w:tc>
          <w:tcPr>
            <w:tcW w:w="753" w:type="pct"/>
            <w:noWrap w:val="0"/>
            <w:vAlign w:val="center"/>
          </w:tcPr>
          <w:p w14:paraId="19EEC7E8">
            <w:pPr>
              <w:spacing w:line="36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2500</w:t>
            </w:r>
          </w:p>
        </w:tc>
        <w:tc>
          <w:tcPr>
            <w:tcW w:w="907" w:type="pct"/>
            <w:vMerge w:val="continue"/>
            <w:noWrap w:val="0"/>
            <w:vAlign w:val="center"/>
          </w:tcPr>
          <w:p w14:paraId="232F0430">
            <w:pPr>
              <w:spacing w:line="360" w:lineRule="exact"/>
              <w:jc w:val="center"/>
              <w:rPr>
                <w:rFonts w:hint="eastAsia" w:ascii="仿宋" w:hAnsi="仿宋" w:eastAsia="仿宋" w:cs="仿宋"/>
                <w:bCs/>
                <w:color w:val="auto"/>
                <w:sz w:val="24"/>
                <w:szCs w:val="24"/>
                <w:highlight w:val="none"/>
                <w:lang w:val="en-US" w:eastAsia="zh-CN"/>
              </w:rPr>
            </w:pPr>
          </w:p>
        </w:tc>
      </w:tr>
      <w:tr w14:paraId="1D92A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7" w:type="pct"/>
            <w:noWrap w:val="0"/>
            <w:vAlign w:val="center"/>
          </w:tcPr>
          <w:p w14:paraId="281BF312">
            <w:pPr>
              <w:spacing w:line="360" w:lineRule="exact"/>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合计</w:t>
            </w:r>
          </w:p>
        </w:tc>
        <w:tc>
          <w:tcPr>
            <w:tcW w:w="1534" w:type="pct"/>
            <w:noWrap w:val="0"/>
            <w:vAlign w:val="center"/>
          </w:tcPr>
          <w:p w14:paraId="6FAC8710">
            <w:pPr>
              <w:spacing w:line="360" w:lineRule="exact"/>
              <w:jc w:val="center"/>
              <w:rPr>
                <w:rFonts w:hint="eastAsia" w:ascii="仿宋" w:hAnsi="仿宋" w:eastAsia="仿宋" w:cs="仿宋"/>
                <w:bCs/>
                <w:color w:val="auto"/>
                <w:sz w:val="24"/>
                <w:szCs w:val="24"/>
                <w:highlight w:val="none"/>
              </w:rPr>
            </w:pPr>
          </w:p>
        </w:tc>
        <w:tc>
          <w:tcPr>
            <w:tcW w:w="418" w:type="pct"/>
            <w:noWrap w:val="0"/>
            <w:vAlign w:val="center"/>
          </w:tcPr>
          <w:p w14:paraId="3A131DAF">
            <w:pPr>
              <w:spacing w:line="360" w:lineRule="exact"/>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10</w:t>
            </w:r>
          </w:p>
        </w:tc>
        <w:tc>
          <w:tcPr>
            <w:tcW w:w="678" w:type="pct"/>
            <w:noWrap w:val="0"/>
            <w:vAlign w:val="center"/>
          </w:tcPr>
          <w:p w14:paraId="088B21BA">
            <w:pPr>
              <w:spacing w:line="360" w:lineRule="exact"/>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990</w:t>
            </w:r>
          </w:p>
        </w:tc>
        <w:tc>
          <w:tcPr>
            <w:tcW w:w="753" w:type="pct"/>
            <w:noWrap w:val="0"/>
            <w:vAlign w:val="center"/>
          </w:tcPr>
          <w:p w14:paraId="4E6087BE">
            <w:pPr>
              <w:spacing w:line="360" w:lineRule="exact"/>
              <w:jc w:val="center"/>
              <w:rPr>
                <w:rFonts w:hint="eastAsia" w:ascii="仿宋" w:hAnsi="仿宋" w:eastAsia="仿宋" w:cs="仿宋"/>
                <w:bCs/>
                <w:color w:val="auto"/>
                <w:sz w:val="24"/>
                <w:szCs w:val="24"/>
                <w:highlight w:val="none"/>
                <w:lang w:val="en-US" w:eastAsia="zh-CN"/>
              </w:rPr>
            </w:pPr>
          </w:p>
        </w:tc>
        <w:tc>
          <w:tcPr>
            <w:tcW w:w="907" w:type="pct"/>
            <w:noWrap w:val="0"/>
            <w:vAlign w:val="center"/>
          </w:tcPr>
          <w:p w14:paraId="483E6172">
            <w:pPr>
              <w:spacing w:line="360" w:lineRule="exact"/>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2180000</w:t>
            </w:r>
          </w:p>
        </w:tc>
      </w:tr>
    </w:tbl>
    <w:p w14:paraId="0F63C53A">
      <w:pPr>
        <w:widowControl/>
        <w:snapToGrid w:val="0"/>
        <w:spacing w:line="440" w:lineRule="exact"/>
        <w:ind w:firstLine="482" w:firstLineChars="200"/>
        <w:jc w:val="left"/>
        <w:rPr>
          <w:rFonts w:hint="eastAsia" w:ascii="仿宋" w:hAnsi="仿宋" w:eastAsia="仿宋" w:cs="仿宋"/>
          <w:color w:val="auto"/>
          <w:highlight w:val="none"/>
        </w:rPr>
      </w:pPr>
      <w:r>
        <w:rPr>
          <w:rFonts w:hint="eastAsia" w:ascii="仿宋" w:hAnsi="仿宋" w:eastAsia="仿宋" w:cs="仿宋"/>
          <w:b/>
          <w:color w:val="auto"/>
          <w:sz w:val="24"/>
          <w:szCs w:val="24"/>
          <w:highlight w:val="none"/>
        </w:rPr>
        <w:t>★：本次</w:t>
      </w:r>
      <w:r>
        <w:rPr>
          <w:rFonts w:hint="eastAsia" w:ascii="仿宋" w:hAnsi="仿宋" w:eastAsia="仿宋" w:cs="仿宋"/>
          <w:b/>
          <w:color w:val="auto"/>
          <w:sz w:val="24"/>
          <w:szCs w:val="24"/>
          <w:highlight w:val="none"/>
          <w:lang w:eastAsia="zh-CN"/>
        </w:rPr>
        <w:t>疗休养</w:t>
      </w:r>
      <w:r>
        <w:rPr>
          <w:rFonts w:hint="eastAsia" w:ascii="仿宋" w:hAnsi="仿宋" w:eastAsia="仿宋" w:cs="仿宋"/>
          <w:b/>
          <w:color w:val="auto"/>
          <w:sz w:val="24"/>
          <w:szCs w:val="24"/>
          <w:highlight w:val="none"/>
        </w:rPr>
        <w:t>将根据</w:t>
      </w:r>
      <w:r>
        <w:rPr>
          <w:rFonts w:hint="eastAsia" w:ascii="仿宋" w:hAnsi="仿宋" w:eastAsia="仿宋" w:cs="仿宋"/>
          <w:b/>
          <w:color w:val="auto"/>
          <w:sz w:val="24"/>
          <w:szCs w:val="24"/>
          <w:highlight w:val="none"/>
          <w:lang w:eastAsia="zh-CN"/>
        </w:rPr>
        <w:t>招标人</w:t>
      </w:r>
      <w:r>
        <w:rPr>
          <w:rFonts w:hint="eastAsia" w:ascii="仿宋" w:hAnsi="仿宋" w:eastAsia="仿宋" w:cs="仿宋"/>
          <w:b/>
          <w:color w:val="auto"/>
          <w:sz w:val="24"/>
          <w:szCs w:val="24"/>
          <w:highlight w:val="none"/>
        </w:rPr>
        <w:t>职工个人意愿、分批出行。</w:t>
      </w:r>
      <w:r>
        <w:rPr>
          <w:rFonts w:hint="eastAsia" w:ascii="仿宋" w:hAnsi="仿宋" w:eastAsia="仿宋" w:cs="仿宋"/>
          <w:b/>
          <w:color w:val="auto"/>
          <w:sz w:val="24"/>
          <w:szCs w:val="24"/>
          <w:highlight w:val="none"/>
          <w:lang w:eastAsia="zh-CN"/>
        </w:rPr>
        <w:t>出行线路详见《开标一览表》。</w:t>
      </w:r>
    </w:p>
    <w:p w14:paraId="05133521">
      <w:pPr>
        <w:widowControl/>
        <w:snapToGrid w:val="0"/>
        <w:spacing w:line="440" w:lineRule="exact"/>
        <w:ind w:firstLine="482" w:firstLineChars="200"/>
        <w:jc w:val="lef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lang w:val="en-US" w:eastAsia="zh-CN"/>
        </w:rPr>
        <w:t>二、</w:t>
      </w:r>
      <w:r>
        <w:rPr>
          <w:rFonts w:hint="eastAsia" w:ascii="仿宋" w:hAnsi="仿宋" w:eastAsia="仿宋" w:cs="仿宋"/>
          <w:b/>
          <w:bCs/>
          <w:color w:val="auto"/>
          <w:kern w:val="0"/>
          <w:sz w:val="24"/>
          <w:highlight w:val="none"/>
        </w:rPr>
        <w:t>招标项目范围及要求</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E88D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374D8EC">
            <w:pPr>
              <w:numPr>
                <w:ilvl w:val="0"/>
                <w:numId w:val="0"/>
              </w:numPr>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一、</w:t>
            </w:r>
            <w:r>
              <w:rPr>
                <w:rFonts w:hint="eastAsia" w:ascii="仿宋" w:hAnsi="仿宋" w:eastAsia="仿宋" w:cs="仿宋"/>
                <w:b/>
                <w:bCs/>
                <w:iCs/>
                <w:color w:val="auto"/>
                <w:sz w:val="24"/>
                <w:szCs w:val="24"/>
                <w:highlight w:val="none"/>
              </w:rPr>
              <w:t>中标单位数量：</w:t>
            </w:r>
            <w:r>
              <w:rPr>
                <w:rFonts w:hint="eastAsia" w:ascii="仿宋" w:hAnsi="仿宋" w:eastAsia="仿宋" w:cs="仿宋"/>
                <w:b/>
                <w:color w:val="auto"/>
                <w:sz w:val="24"/>
                <w:highlight w:val="none"/>
                <w:lang w:eastAsia="zh-CN"/>
              </w:rPr>
              <w:t>本项目</w:t>
            </w:r>
            <w:r>
              <w:rPr>
                <w:rFonts w:hint="eastAsia" w:ascii="仿宋" w:hAnsi="仿宋" w:eastAsia="仿宋" w:cs="仿宋"/>
                <w:b/>
                <w:color w:val="auto"/>
                <w:sz w:val="24"/>
                <w:highlight w:val="none"/>
                <w:lang w:val="en-US" w:eastAsia="zh-CN"/>
              </w:rPr>
              <w:t>分5个包，每个包确定1家中标人。（1）投标人大于等于5家，依照得分高低，符合条件的前5家为入围单位；按得分从高到低的顺序，由入围单位现场依次自主选择1个包。（2）投标人小于5家，全部入围；按得分高低由入围单位依次每次选择1个包，直至所有包选择完毕。</w:t>
            </w:r>
          </w:p>
        </w:tc>
      </w:tr>
      <w:tr w14:paraId="3689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6A3CE5F">
            <w:pPr>
              <w:keepNext w:val="0"/>
              <w:keepLines w:val="0"/>
              <w:widowControl/>
              <w:suppressLineNumbers w:val="0"/>
              <w:jc w:val="left"/>
              <w:rPr>
                <w:rFonts w:hint="eastAsia" w:ascii="仿宋" w:hAnsi="仿宋" w:eastAsia="仿宋" w:cs="仿宋"/>
                <w:b/>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b/>
                <w:bCs/>
                <w:iCs/>
                <w:color w:val="auto"/>
                <w:sz w:val="24"/>
                <w:szCs w:val="24"/>
                <w:highlight w:val="none"/>
              </w:rPr>
              <w:t>二、</w:t>
            </w:r>
            <w:r>
              <w:rPr>
                <w:rFonts w:hint="eastAsia" w:ascii="仿宋" w:hAnsi="仿宋" w:eastAsia="仿宋" w:cs="仿宋"/>
                <w:b/>
                <w:color w:val="auto"/>
                <w:sz w:val="24"/>
                <w:szCs w:val="24"/>
                <w:highlight w:val="none"/>
              </w:rPr>
              <w:t>疗休养</w:t>
            </w:r>
            <w:r>
              <w:rPr>
                <w:rFonts w:hint="eastAsia" w:ascii="仿宋" w:hAnsi="仿宋" w:eastAsia="仿宋" w:cs="仿宋"/>
                <w:b/>
                <w:color w:val="auto"/>
                <w:sz w:val="24"/>
                <w:szCs w:val="24"/>
                <w:highlight w:val="none"/>
                <w:lang w:eastAsia="zh-CN"/>
              </w:rPr>
              <w:t>线路</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rPr>
              <w:t>投标人可根据招标人推荐景点制定合理的疗休养</w:t>
            </w:r>
            <w:r>
              <w:rPr>
                <w:rFonts w:hint="eastAsia" w:ascii="仿宋" w:hAnsi="仿宋" w:eastAsia="仿宋" w:cs="仿宋"/>
                <w:b/>
                <w:color w:val="auto"/>
                <w:sz w:val="24"/>
                <w:szCs w:val="24"/>
                <w:highlight w:val="none"/>
                <w:lang w:eastAsia="zh-CN"/>
              </w:rPr>
              <w:t>线路</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eastAsia="zh-CN"/>
              </w:rPr>
              <w:t>市内</w:t>
            </w:r>
            <w:r>
              <w:rPr>
                <w:rFonts w:hint="eastAsia" w:ascii="仿宋" w:hAnsi="仿宋" w:eastAsia="仿宋" w:cs="仿宋"/>
                <w:b/>
                <w:color w:val="auto"/>
                <w:sz w:val="24"/>
                <w:szCs w:val="24"/>
                <w:highlight w:val="none"/>
                <w:lang w:val="en-US" w:eastAsia="zh-CN"/>
              </w:rPr>
              <w:t>1条、市外</w:t>
            </w:r>
            <w:r>
              <w:rPr>
                <w:rFonts w:hint="eastAsia" w:ascii="仿宋" w:hAnsi="仿宋" w:eastAsia="仿宋" w:cs="仿宋"/>
                <w:b/>
                <w:color w:val="auto"/>
                <w:sz w:val="24"/>
                <w:szCs w:val="24"/>
                <w:highlight w:val="none"/>
              </w:rPr>
              <w:t>省内</w:t>
            </w:r>
            <w:r>
              <w:rPr>
                <w:rFonts w:hint="eastAsia" w:ascii="仿宋" w:hAnsi="仿宋" w:eastAsia="仿宋" w:cs="仿宋"/>
                <w:b/>
                <w:color w:val="auto"/>
                <w:sz w:val="24"/>
                <w:szCs w:val="24"/>
                <w:highlight w:val="none"/>
                <w:lang w:val="en-US" w:eastAsia="zh-CN"/>
              </w:rPr>
              <w:t>4</w:t>
            </w:r>
            <w:r>
              <w:rPr>
                <w:rFonts w:hint="eastAsia" w:ascii="仿宋" w:hAnsi="仿宋" w:eastAsia="仿宋" w:cs="仿宋"/>
                <w:b/>
                <w:color w:val="auto"/>
                <w:sz w:val="24"/>
                <w:szCs w:val="24"/>
                <w:highlight w:val="none"/>
              </w:rPr>
              <w:t>条、省外</w:t>
            </w:r>
            <w:r>
              <w:rPr>
                <w:rFonts w:hint="eastAsia" w:ascii="仿宋" w:hAnsi="仿宋" w:eastAsia="仿宋" w:cs="仿宋"/>
                <w:b/>
                <w:color w:val="auto"/>
                <w:sz w:val="24"/>
                <w:szCs w:val="24"/>
                <w:highlight w:val="none"/>
                <w:lang w:val="en-US" w:eastAsia="zh-CN"/>
              </w:rPr>
              <w:t>5</w:t>
            </w:r>
            <w:r>
              <w:rPr>
                <w:rFonts w:hint="eastAsia" w:ascii="仿宋" w:hAnsi="仿宋" w:eastAsia="仿宋" w:cs="仿宋"/>
                <w:b/>
                <w:color w:val="auto"/>
                <w:sz w:val="24"/>
                <w:szCs w:val="24"/>
                <w:highlight w:val="none"/>
              </w:rPr>
              <w:t>条），但不限于推荐景点。</w:t>
            </w:r>
            <w:r>
              <w:rPr>
                <w:rFonts w:hint="eastAsia" w:ascii="仿宋" w:hAnsi="仿宋" w:eastAsia="仿宋" w:cs="仿宋"/>
                <w:b/>
                <w:color w:val="auto"/>
                <w:sz w:val="24"/>
                <w:szCs w:val="24"/>
                <w:highlight w:val="none"/>
                <w:lang w:eastAsia="zh-CN"/>
              </w:rPr>
              <w:t>（行程中必须有参观爱国主义教育基地、工运史馆、</w:t>
            </w:r>
            <w:r>
              <w:rPr>
                <w:rFonts w:hint="eastAsia" w:ascii="仿宋" w:hAnsi="仿宋" w:eastAsia="仿宋" w:cs="仿宋"/>
                <w:b/>
                <w:color w:val="auto"/>
                <w:sz w:val="24"/>
                <w:szCs w:val="24"/>
                <w:highlight w:val="none"/>
                <w:lang w:val="en-US" w:eastAsia="zh-CN"/>
              </w:rPr>
              <w:t>劳模工匠馆、纪念馆、乡村产业集聚区等</w:t>
            </w:r>
            <w:r>
              <w:rPr>
                <w:rFonts w:hint="eastAsia" w:ascii="仿宋" w:hAnsi="仿宋" w:eastAsia="仿宋" w:cs="仿宋"/>
                <w:b/>
                <w:color w:val="auto"/>
                <w:sz w:val="24"/>
                <w:szCs w:val="24"/>
                <w:highlight w:val="none"/>
                <w:lang w:eastAsia="zh-CN"/>
              </w:rPr>
              <w:t>内容，至少一项行程安排）</w:t>
            </w:r>
          </w:p>
        </w:tc>
      </w:tr>
      <w:tr w14:paraId="1BDC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E9B8ADA">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bCs/>
                <w:color w:val="auto"/>
                <w:sz w:val="24"/>
                <w:szCs w:val="24"/>
                <w:highlight w:val="none"/>
              </w:rPr>
              <w:t>三、</w:t>
            </w:r>
            <w:r>
              <w:rPr>
                <w:rFonts w:hint="eastAsia" w:ascii="仿宋" w:hAnsi="仿宋" w:eastAsia="仿宋" w:cs="仿宋"/>
                <w:b/>
                <w:color w:val="auto"/>
                <w:sz w:val="24"/>
                <w:szCs w:val="24"/>
                <w:highlight w:val="none"/>
              </w:rPr>
              <w:t>人数：</w:t>
            </w:r>
            <w:r>
              <w:rPr>
                <w:rFonts w:hint="eastAsia" w:ascii="仿宋" w:hAnsi="仿宋" w:eastAsia="仿宋" w:cs="仿宋"/>
                <w:b w:val="0"/>
                <w:bCs/>
                <w:color w:val="auto"/>
                <w:sz w:val="24"/>
                <w:szCs w:val="24"/>
                <w:highlight w:val="none"/>
                <w:lang w:eastAsia="zh-CN"/>
              </w:rPr>
              <w:t>招标人职工人数</w:t>
            </w:r>
            <w:r>
              <w:rPr>
                <w:rFonts w:hint="eastAsia" w:ascii="仿宋" w:hAnsi="仿宋" w:eastAsia="仿宋" w:cs="仿宋"/>
                <w:b w:val="0"/>
                <w:bCs/>
                <w:color w:val="auto"/>
                <w:sz w:val="24"/>
                <w:szCs w:val="24"/>
                <w:highlight w:val="none"/>
                <w:lang w:val="en-US" w:eastAsia="zh-CN"/>
              </w:rPr>
              <w:t>990</w:t>
            </w:r>
            <w:r>
              <w:rPr>
                <w:rFonts w:hint="eastAsia" w:ascii="仿宋" w:hAnsi="仿宋" w:eastAsia="仿宋" w:cs="仿宋"/>
                <w:b w:val="0"/>
                <w:bCs/>
                <w:color w:val="auto"/>
                <w:sz w:val="24"/>
                <w:szCs w:val="24"/>
                <w:highlight w:val="none"/>
              </w:rPr>
              <w:t>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根据招标人职工个人意愿、分批出行</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出行具体时间、批次、总人数根据</w:t>
            </w:r>
            <w:r>
              <w:rPr>
                <w:rFonts w:hint="eastAsia" w:ascii="仿宋" w:hAnsi="仿宋" w:eastAsia="仿宋" w:cs="仿宋"/>
                <w:color w:val="auto"/>
                <w:sz w:val="24"/>
                <w:szCs w:val="24"/>
                <w:highlight w:val="none"/>
                <w:lang w:eastAsia="zh-CN"/>
              </w:rPr>
              <w:t>招标人单位工作</w:t>
            </w:r>
            <w:r>
              <w:rPr>
                <w:rFonts w:hint="eastAsia" w:ascii="仿宋" w:hAnsi="仿宋" w:eastAsia="仿宋" w:cs="仿宋"/>
                <w:color w:val="auto"/>
                <w:sz w:val="24"/>
                <w:szCs w:val="24"/>
                <w:highlight w:val="none"/>
              </w:rPr>
              <w:t>实际需求</w:t>
            </w:r>
            <w:r>
              <w:rPr>
                <w:rFonts w:hint="eastAsia" w:ascii="仿宋" w:hAnsi="仿宋" w:eastAsia="仿宋" w:cs="仿宋"/>
                <w:color w:val="auto"/>
                <w:sz w:val="24"/>
                <w:szCs w:val="24"/>
                <w:highlight w:val="none"/>
                <w:lang w:eastAsia="zh-CN"/>
              </w:rPr>
              <w:t>确定</w:t>
            </w:r>
            <w:r>
              <w:rPr>
                <w:rFonts w:hint="eastAsia" w:ascii="仿宋" w:hAnsi="仿宋" w:eastAsia="仿宋" w:cs="仿宋"/>
                <w:color w:val="auto"/>
                <w:sz w:val="24"/>
                <w:szCs w:val="24"/>
                <w:highlight w:val="none"/>
              </w:rPr>
              <w:t>，每批次人数暂定为</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-40人/车次。</w:t>
            </w:r>
            <w:r>
              <w:rPr>
                <w:rFonts w:hint="eastAsia" w:ascii="仿宋" w:hAnsi="仿宋" w:eastAsia="仿宋" w:cs="仿宋"/>
                <w:color w:val="auto"/>
                <w:kern w:val="0"/>
                <w:sz w:val="24"/>
                <w:highlight w:val="none"/>
              </w:rPr>
              <w:t>如遇政策性调整，招标人有权按照最新政策进行调整</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如遇出行人数不足等不确定因素，招标人有权终止本次线路的出行，投标人需自行承担无法出行带来的风险和损失，招标人不支付任何补偿费用。</w:t>
            </w:r>
          </w:p>
        </w:tc>
      </w:tr>
      <w:tr w14:paraId="1DD6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0981EAA">
            <w:pPr>
              <w:spacing w:line="360" w:lineRule="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四、疗休养天数和人均费用：</w:t>
            </w:r>
            <w:r>
              <w:rPr>
                <w:rFonts w:hint="eastAsia" w:ascii="仿宋" w:hAnsi="仿宋" w:eastAsia="仿宋" w:cs="仿宋"/>
                <w:b w:val="0"/>
                <w:bCs/>
                <w:color w:val="auto"/>
                <w:sz w:val="24"/>
                <w:szCs w:val="24"/>
                <w:highlight w:val="none"/>
                <w:vertAlign w:val="baseline"/>
                <w:lang w:val="en-US" w:eastAsia="zh-CN"/>
              </w:rPr>
              <w:t>市内、市外省内疗休养4天（其中双休2天），招标预算2000元/人；省外疗休养5天（其中双休2天），招标预算2500-4000元/人(中标金额超过2500元以上的部分，另行结算),招标预算包含食、宿、景点门票、交通等所有费用。</w:t>
            </w:r>
          </w:p>
        </w:tc>
      </w:tr>
      <w:tr w14:paraId="34B22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B709F32">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五、交通工具：</w:t>
            </w:r>
            <w:r>
              <w:rPr>
                <w:rFonts w:hint="eastAsia" w:ascii="仿宋" w:hAnsi="仿宋" w:eastAsia="仿宋" w:cs="仿宋"/>
                <w:color w:val="auto"/>
                <w:kern w:val="0"/>
                <w:sz w:val="24"/>
                <w:highlight w:val="none"/>
              </w:rPr>
              <w:t>采用高铁</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空调旅游车</w:t>
            </w:r>
            <w:r>
              <w:rPr>
                <w:rFonts w:hint="eastAsia" w:ascii="仿宋" w:hAnsi="仿宋" w:eastAsia="仿宋" w:cs="仿宋"/>
                <w:color w:val="auto"/>
                <w:kern w:val="0"/>
                <w:sz w:val="24"/>
                <w:highlight w:val="none"/>
                <w:lang w:eastAsia="zh-CN"/>
              </w:rPr>
              <w:t>或</w:t>
            </w:r>
            <w:r>
              <w:rPr>
                <w:rFonts w:hint="eastAsia" w:ascii="仿宋" w:hAnsi="仿宋" w:eastAsia="仿宋" w:cs="仿宋"/>
                <w:color w:val="auto"/>
                <w:kern w:val="0"/>
                <w:sz w:val="24"/>
                <w:highlight w:val="none"/>
              </w:rPr>
              <w:t>飞机出行</w:t>
            </w:r>
            <w:r>
              <w:rPr>
                <w:rFonts w:hint="eastAsia" w:ascii="仿宋" w:hAnsi="仿宋" w:eastAsia="仿宋" w:cs="仿宋"/>
                <w:color w:val="auto"/>
                <w:kern w:val="0"/>
                <w:sz w:val="24"/>
                <w:highlight w:val="none"/>
                <w:lang w:eastAsia="zh-CN"/>
              </w:rPr>
              <w:t>，出行交通工具须在招标文件中说明</w:t>
            </w:r>
            <w:r>
              <w:rPr>
                <w:rFonts w:hint="eastAsia" w:ascii="仿宋" w:hAnsi="仿宋" w:eastAsia="仿宋" w:cs="仿宋"/>
                <w:color w:val="auto"/>
                <w:kern w:val="0"/>
                <w:sz w:val="24"/>
                <w:highlight w:val="none"/>
              </w:rPr>
              <w:t>。车辆需运营3年内客车，配5年以上大客车驾龄且无重大安全事故司机，司机服务态度好</w:t>
            </w:r>
            <w:r>
              <w:rPr>
                <w:rFonts w:hint="eastAsia" w:ascii="仿宋" w:hAnsi="仿宋" w:eastAsia="仿宋" w:cs="仿宋"/>
                <w:color w:val="auto"/>
                <w:kern w:val="0"/>
                <w:sz w:val="24"/>
                <w:highlight w:val="none"/>
                <w:lang w:eastAsia="zh-CN"/>
              </w:rPr>
              <w:t>。中标人</w:t>
            </w:r>
            <w:r>
              <w:rPr>
                <w:rFonts w:hint="eastAsia" w:ascii="仿宋" w:hAnsi="仿宋" w:eastAsia="仿宋" w:cs="仿宋"/>
                <w:color w:val="auto"/>
                <w:kern w:val="0"/>
                <w:sz w:val="24"/>
                <w:highlight w:val="none"/>
              </w:rPr>
              <w:t>负责景区内所有交通及必要水上交通工具等；若是高铁前往的，提供的座位须为二等座位票以上（含）。投标人的方案应对此作出承诺，并预备不同人数团队的适配车型，出行前并应获得招标人认可</w:t>
            </w:r>
            <w:r>
              <w:rPr>
                <w:rFonts w:hint="eastAsia" w:ascii="仿宋" w:hAnsi="仿宋" w:eastAsia="仿宋" w:cs="仿宋"/>
                <w:color w:val="auto"/>
                <w:sz w:val="24"/>
                <w:szCs w:val="24"/>
                <w:highlight w:val="none"/>
              </w:rPr>
              <w:t>。</w:t>
            </w:r>
          </w:p>
        </w:tc>
      </w:tr>
      <w:tr w14:paraId="768C8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357D15C">
            <w:pPr>
              <w:spacing w:line="360" w:lineRule="auto"/>
              <w:jc w:val="left"/>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▲六、住宿要求：</w:t>
            </w:r>
            <w:r>
              <w:rPr>
                <w:rFonts w:hint="eastAsia" w:ascii="仿宋" w:hAnsi="仿宋" w:eastAsia="仿宋" w:cs="仿宋"/>
                <w:color w:val="auto"/>
                <w:kern w:val="0"/>
                <w:sz w:val="24"/>
                <w:highlight w:val="none"/>
              </w:rPr>
              <w:t>四星或四钻（含）以上酒店双标房（含早餐），设施完好，卫生、舒畅。如当地无四星</w:t>
            </w:r>
            <w:r>
              <w:rPr>
                <w:rFonts w:hint="eastAsia" w:ascii="仿宋" w:hAnsi="仿宋" w:eastAsia="仿宋" w:cs="仿宋"/>
                <w:color w:val="auto"/>
                <w:kern w:val="0"/>
                <w:sz w:val="24"/>
                <w:highlight w:val="none"/>
                <w:lang w:eastAsia="zh-CN"/>
              </w:rPr>
              <w:t>（钻）</w:t>
            </w:r>
            <w:r>
              <w:rPr>
                <w:rFonts w:hint="eastAsia" w:ascii="仿宋" w:hAnsi="仿宋" w:eastAsia="仿宋" w:cs="仿宋"/>
                <w:color w:val="auto"/>
                <w:kern w:val="0"/>
                <w:sz w:val="24"/>
                <w:highlight w:val="none"/>
              </w:rPr>
              <w:t>酒店可</w:t>
            </w:r>
            <w:r>
              <w:rPr>
                <w:rFonts w:hint="eastAsia" w:ascii="仿宋" w:hAnsi="仿宋" w:eastAsia="仿宋" w:cs="仿宋"/>
                <w:color w:val="auto"/>
                <w:kern w:val="0"/>
                <w:sz w:val="24"/>
                <w:highlight w:val="none"/>
                <w:lang w:eastAsia="zh-CN"/>
              </w:rPr>
              <w:t>选择同档次酒店（参照四星酒店标准）</w:t>
            </w:r>
            <w:r>
              <w:rPr>
                <w:rFonts w:hint="eastAsia" w:ascii="仿宋" w:hAnsi="仿宋" w:eastAsia="仿宋" w:cs="仿宋"/>
                <w:color w:val="auto"/>
                <w:kern w:val="0"/>
                <w:sz w:val="24"/>
                <w:highlight w:val="none"/>
              </w:rPr>
              <w:t>。宾馆选择必须符合疗休养目的，不能选择位置偏远且交通不便的地方；若团队中出现单男单女，个人不补</w:t>
            </w:r>
            <w:r>
              <w:rPr>
                <w:rFonts w:hint="eastAsia" w:ascii="仿宋" w:hAnsi="仿宋" w:eastAsia="仿宋" w:cs="仿宋"/>
                <w:color w:val="auto"/>
                <w:kern w:val="0"/>
                <w:sz w:val="24"/>
                <w:highlight w:val="none"/>
                <w:lang w:eastAsia="zh-CN"/>
              </w:rPr>
              <w:t>交</w:t>
            </w:r>
            <w:r>
              <w:rPr>
                <w:rFonts w:hint="eastAsia" w:ascii="仿宋" w:hAnsi="仿宋" w:eastAsia="仿宋" w:cs="仿宋"/>
                <w:color w:val="auto"/>
                <w:kern w:val="0"/>
                <w:sz w:val="24"/>
                <w:highlight w:val="none"/>
              </w:rPr>
              <w:t>住房差价；</w:t>
            </w:r>
            <w:r>
              <w:rPr>
                <w:rFonts w:hint="eastAsia" w:ascii="仿宋" w:hAnsi="仿宋" w:eastAsia="仿宋" w:cs="仿宋"/>
                <w:color w:val="auto"/>
                <w:kern w:val="0"/>
                <w:sz w:val="24"/>
                <w:highlight w:val="none"/>
                <w:lang w:eastAsia="zh-CN"/>
              </w:rPr>
              <w:t>如</w:t>
            </w:r>
            <w:r>
              <w:rPr>
                <w:rFonts w:hint="eastAsia" w:ascii="仿宋" w:hAnsi="仿宋" w:eastAsia="仿宋" w:cs="仿宋"/>
                <w:color w:val="auto"/>
                <w:kern w:val="0"/>
                <w:sz w:val="24"/>
                <w:highlight w:val="none"/>
              </w:rPr>
              <w:t>个人要求单住房</w:t>
            </w:r>
            <w:r>
              <w:rPr>
                <w:rFonts w:hint="eastAsia" w:ascii="仿宋" w:hAnsi="仿宋" w:eastAsia="仿宋" w:cs="仿宋"/>
                <w:color w:val="auto"/>
                <w:kern w:val="0"/>
                <w:sz w:val="24"/>
                <w:highlight w:val="none"/>
                <w:lang w:eastAsia="zh-CN"/>
              </w:rPr>
              <w:t>的</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由个人承担住</w:t>
            </w:r>
            <w:r>
              <w:rPr>
                <w:rFonts w:hint="eastAsia" w:ascii="仿宋" w:hAnsi="仿宋" w:eastAsia="仿宋" w:cs="仿宋"/>
                <w:color w:val="auto"/>
                <w:kern w:val="0"/>
                <w:sz w:val="24"/>
                <w:highlight w:val="none"/>
              </w:rPr>
              <w:t>房差价</w:t>
            </w:r>
            <w:r>
              <w:rPr>
                <w:rFonts w:hint="eastAsia" w:ascii="仿宋" w:hAnsi="仿宋" w:eastAsia="仿宋" w:cs="仿宋"/>
                <w:color w:val="auto"/>
                <w:kern w:val="0"/>
                <w:sz w:val="24"/>
                <w:highlight w:val="none"/>
                <w:lang w:eastAsia="zh-CN"/>
              </w:rPr>
              <w:t>。</w:t>
            </w:r>
          </w:p>
        </w:tc>
      </w:tr>
      <w:tr w14:paraId="5993B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2BDC3F5">
            <w:pPr>
              <w:pStyle w:val="72"/>
              <w:widowControl w:val="0"/>
              <w:spacing w:afterLines="0" w:line="440" w:lineRule="exact"/>
              <w:ind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b/>
                <w:color w:val="auto"/>
                <w:kern w:val="2"/>
                <w:sz w:val="24"/>
                <w:szCs w:val="24"/>
                <w:highlight w:val="none"/>
              </w:rPr>
              <w:t>七、餐饮要求：</w:t>
            </w:r>
            <w:r>
              <w:rPr>
                <w:rFonts w:hint="eastAsia" w:ascii="仿宋" w:hAnsi="仿宋" w:eastAsia="仿宋" w:cs="仿宋"/>
                <w:color w:val="auto"/>
                <w:kern w:val="2"/>
                <w:sz w:val="24"/>
                <w:szCs w:val="24"/>
                <w:highlight w:val="none"/>
              </w:rPr>
              <w:t>中餐</w:t>
            </w:r>
            <w:r>
              <w:rPr>
                <w:rFonts w:hint="eastAsia" w:ascii="仿宋" w:hAnsi="仿宋" w:eastAsia="仿宋" w:cs="仿宋"/>
                <w:b w:val="0"/>
                <w:bCs/>
                <w:color w:val="auto"/>
                <w:kern w:val="2"/>
                <w:sz w:val="24"/>
                <w:szCs w:val="24"/>
                <w:highlight w:val="none"/>
              </w:rPr>
              <w:t>不低于</w:t>
            </w:r>
            <w:r>
              <w:rPr>
                <w:rFonts w:hint="eastAsia" w:ascii="仿宋" w:hAnsi="仿宋" w:eastAsia="仿宋" w:cs="仿宋"/>
                <w:color w:val="auto"/>
                <w:kern w:val="2"/>
                <w:sz w:val="24"/>
                <w:szCs w:val="24"/>
                <w:highlight w:val="none"/>
              </w:rPr>
              <w:t>40元/人标准、晚餐</w:t>
            </w:r>
            <w:r>
              <w:rPr>
                <w:rFonts w:hint="eastAsia" w:ascii="仿宋" w:hAnsi="仿宋" w:eastAsia="仿宋" w:cs="仿宋"/>
                <w:b w:val="0"/>
                <w:bCs/>
                <w:color w:val="auto"/>
                <w:kern w:val="2"/>
                <w:sz w:val="24"/>
                <w:szCs w:val="24"/>
                <w:highlight w:val="none"/>
              </w:rPr>
              <w:t>不低于</w:t>
            </w:r>
            <w:r>
              <w:rPr>
                <w:rFonts w:hint="eastAsia" w:ascii="仿宋" w:hAnsi="仿宋" w:eastAsia="仿宋" w:cs="仿宋"/>
                <w:color w:val="auto"/>
                <w:kern w:val="2"/>
                <w:sz w:val="24"/>
                <w:szCs w:val="24"/>
                <w:highlight w:val="none"/>
              </w:rPr>
              <w:t>60元/人标准；中、晚正餐12菜一汤（6荤6素）、饮料、饭后至少2种水果</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0"/>
                <w:sz w:val="24"/>
                <w:highlight w:val="none"/>
              </w:rPr>
              <w:t>食物要求新鲜、安全</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同批次每餐菜品多样，不雷同。投标文件内</w:t>
            </w:r>
            <w:r>
              <w:rPr>
                <w:rFonts w:hint="eastAsia" w:ascii="仿宋" w:hAnsi="仿宋" w:eastAsia="仿宋" w:cs="仿宋"/>
                <w:color w:val="auto"/>
                <w:kern w:val="0"/>
                <w:sz w:val="24"/>
                <w:highlight w:val="none"/>
                <w:lang w:eastAsia="zh-CN"/>
              </w:rPr>
              <w:t>须</w:t>
            </w:r>
            <w:r>
              <w:rPr>
                <w:rFonts w:hint="eastAsia" w:ascii="仿宋" w:hAnsi="仿宋" w:eastAsia="仿宋" w:cs="仿宋"/>
                <w:color w:val="auto"/>
                <w:kern w:val="0"/>
                <w:sz w:val="24"/>
                <w:highlight w:val="none"/>
              </w:rPr>
              <w:t>详细说明每桌几人，人数不到一桌怎么处理等方案</w:t>
            </w:r>
            <w:r>
              <w:rPr>
                <w:rFonts w:hint="eastAsia" w:ascii="仿宋" w:hAnsi="仿宋" w:eastAsia="仿宋" w:cs="仿宋"/>
                <w:color w:val="auto"/>
                <w:kern w:val="0"/>
                <w:sz w:val="24"/>
                <w:highlight w:val="none"/>
                <w:lang w:eastAsia="zh-CN"/>
              </w:rPr>
              <w:t>。</w:t>
            </w:r>
          </w:p>
        </w:tc>
      </w:tr>
      <w:tr w14:paraId="40F65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462C286">
            <w:pPr>
              <w:pStyle w:val="72"/>
              <w:widowControl w:val="0"/>
              <w:spacing w:afterLines="0" w:line="44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eastAsia="zh-CN"/>
              </w:rPr>
              <w:t>八</w:t>
            </w:r>
            <w:r>
              <w:rPr>
                <w:rFonts w:hint="eastAsia" w:ascii="仿宋" w:hAnsi="仿宋" w:eastAsia="仿宋" w:cs="仿宋"/>
                <w:b/>
                <w:bCs/>
                <w:color w:val="auto"/>
                <w:sz w:val="24"/>
                <w:szCs w:val="24"/>
                <w:highlight w:val="none"/>
              </w:rPr>
              <w:t>、中标人的义务：</w:t>
            </w:r>
          </w:p>
        </w:tc>
      </w:tr>
      <w:tr w14:paraId="4240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CF6CF92">
            <w:pPr>
              <w:pStyle w:val="72"/>
              <w:widowControl w:val="0"/>
              <w:spacing w:afterLines="0" w:line="440" w:lineRule="exact"/>
              <w:ind w:firstLine="0" w:firstLineChars="0"/>
              <w:rPr>
                <w:rFonts w:hint="eastAsia" w:ascii="仿宋" w:hAnsi="仿宋" w:eastAsia="仿宋" w:cs="仿宋"/>
                <w:b/>
                <w:bCs/>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kern w:val="0"/>
                <w:sz w:val="24"/>
                <w:highlight w:val="none"/>
                <w:lang w:val="en-US" w:eastAsia="zh-CN"/>
              </w:rPr>
              <w:t xml:space="preserve">8.1 </w:t>
            </w:r>
            <w:r>
              <w:rPr>
                <w:rFonts w:hint="eastAsia" w:ascii="仿宋" w:hAnsi="仿宋" w:eastAsia="仿宋" w:cs="仿宋"/>
                <w:color w:val="auto"/>
                <w:kern w:val="0"/>
                <w:sz w:val="24"/>
                <w:highlight w:val="none"/>
                <w:lang w:eastAsia="zh-CN"/>
              </w:rPr>
              <w:t>履约保证金：</w:t>
            </w:r>
            <w:r>
              <w:rPr>
                <w:rFonts w:hint="eastAsia" w:ascii="仿宋" w:hAnsi="仿宋" w:eastAsia="仿宋" w:cs="仿宋"/>
                <w:color w:val="auto"/>
                <w:kern w:val="0"/>
                <w:sz w:val="24"/>
                <w:highlight w:val="none"/>
                <w:lang w:eastAsia="zh-CN"/>
              </w:rPr>
              <w:t>本次招标分</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lang w:eastAsia="zh-CN"/>
              </w:rPr>
              <w:t>个包，</w:t>
            </w:r>
            <w:r>
              <w:rPr>
                <w:rFonts w:hint="eastAsia" w:ascii="仿宋" w:hAnsi="仿宋" w:eastAsia="仿宋" w:cs="仿宋"/>
                <w:color w:val="auto"/>
                <w:kern w:val="0"/>
                <w:sz w:val="24"/>
                <w:highlight w:val="none"/>
                <w:lang w:val="en-US" w:eastAsia="zh-CN"/>
              </w:rPr>
              <w:t>按每包4000元交纳</w:t>
            </w:r>
            <w:r>
              <w:rPr>
                <w:rFonts w:hint="eastAsia" w:ascii="仿宋" w:hAnsi="仿宋" w:eastAsia="仿宋" w:cs="仿宋"/>
                <w:color w:val="auto"/>
                <w:kern w:val="0"/>
                <w:sz w:val="24"/>
                <w:highlight w:val="none"/>
                <w:lang w:eastAsia="zh-CN"/>
              </w:rPr>
              <w:t>履约保证金。疗休养活动结束后，一个月内退还。</w:t>
            </w:r>
          </w:p>
        </w:tc>
      </w:tr>
      <w:tr w14:paraId="3657C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DB55A78">
            <w:pPr>
              <w:pStyle w:val="72"/>
              <w:widowControl w:val="0"/>
              <w:spacing w:afterLines="0" w:line="44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★8.2 按法律法规要求投保旅行社责任险和每个人旅游意外险。为参加疗休养活动的职工购买额度不低于 100 万元的人身意外险，否则按无效标处理。对可能危及人身、财产安全的情况，应当事前作出说明和警示，并采取合理措施防止危害发生。</w:t>
            </w:r>
          </w:p>
        </w:tc>
      </w:tr>
      <w:tr w14:paraId="458B3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5DC67B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highlight w:val="none"/>
              </w:rPr>
              <w:t>★</w:t>
            </w:r>
            <w:r>
              <w:rPr>
                <w:rFonts w:hint="eastAsia" w:ascii="仿宋" w:hAnsi="仿宋" w:eastAsia="仿宋" w:cs="仿宋"/>
                <w:color w:val="auto"/>
                <w:sz w:val="24"/>
                <w:szCs w:val="24"/>
                <w:highlight w:val="none"/>
                <w:lang w:val="en-US" w:eastAsia="zh-CN"/>
              </w:rPr>
              <w:t xml:space="preserve">8.3 </w:t>
            </w:r>
            <w:r>
              <w:rPr>
                <w:rFonts w:hint="eastAsia" w:ascii="仿宋" w:hAnsi="仿宋" w:eastAsia="仿宋" w:cs="仿宋"/>
                <w:color w:val="auto"/>
                <w:kern w:val="0"/>
                <w:sz w:val="24"/>
                <w:highlight w:val="none"/>
              </w:rPr>
              <w:t>导游全程陪同，当地四星级旅行社（所在省份无旅行社星级评定的除外）地接社的专业导游讲解服务（无小费）；承诺为本项目提供的导游不得少于3人</w:t>
            </w:r>
            <w:r>
              <w:rPr>
                <w:rFonts w:hint="eastAsia" w:ascii="仿宋" w:hAnsi="仿宋" w:eastAsia="仿宋" w:cs="仿宋"/>
                <w:color w:val="auto"/>
                <w:sz w:val="24"/>
                <w:szCs w:val="24"/>
                <w:highlight w:val="none"/>
              </w:rPr>
              <w:t>。告知具体行程安排，各项服务内容及标准，当地的风俗习惯，安全避险措施，应急联络方式。</w:t>
            </w:r>
          </w:p>
        </w:tc>
      </w:tr>
      <w:tr w14:paraId="2180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531B3F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xml:space="preserve"> </w:t>
            </w:r>
            <w:r>
              <w:rPr>
                <w:rFonts w:hint="eastAsia" w:ascii="仿宋" w:hAnsi="仿宋" w:eastAsia="仿宋" w:cs="仿宋"/>
                <w:color w:val="auto"/>
                <w:kern w:val="0"/>
                <w:sz w:val="24"/>
                <w:highlight w:val="none"/>
              </w:rPr>
              <w:t>投标人编制的疗休养线路及行程安排原则上以休闲为主，环境优、空气好，利于职工放松身心。</w:t>
            </w:r>
            <w:r>
              <w:rPr>
                <w:rFonts w:hint="eastAsia" w:ascii="仿宋" w:hAnsi="仿宋" w:eastAsia="仿宋" w:cs="仿宋"/>
                <w:color w:val="auto"/>
                <w:sz w:val="24"/>
                <w:szCs w:val="24"/>
                <w:highlight w:val="none"/>
              </w:rPr>
              <w:t>行程中不得强迫或变相强迫购物及参加自费项目。</w:t>
            </w:r>
          </w:p>
        </w:tc>
      </w:tr>
      <w:tr w14:paraId="20CD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DBC44D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 招标人职工在旅行社安排的购物点所购物品，经专业权威部门认定属假冒伪劣商品或存在质量问题的，旅行社应当积极协助退换。</w:t>
            </w:r>
          </w:p>
        </w:tc>
      </w:tr>
      <w:tr w14:paraId="55C7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CA384A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 对个人资料信息保密。</w:t>
            </w:r>
          </w:p>
        </w:tc>
      </w:tr>
      <w:tr w14:paraId="4CA82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4769950">
            <w:pPr>
              <w:spacing w:line="360" w:lineRule="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九、其他责任</w:t>
            </w:r>
          </w:p>
        </w:tc>
      </w:tr>
      <w:tr w14:paraId="7C6EA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BC5994C">
            <w:pPr>
              <w:spacing w:line="360" w:lineRule="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9.1中标人必须遵守劳动法相关规定，与每位员工签订劳动合同，出现劳动纠纷事件一律与招标人无关，并加强对员工的培训、教育，爱护公共财物，确保安全工作，杜绝各类事故。</w:t>
            </w:r>
          </w:p>
        </w:tc>
      </w:tr>
      <w:tr w14:paraId="50D9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9E69D6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9.2中标人工作人员的日常管理及人身安全和发生的安全事故等均由中标人管理和承担，出现安全事件一律与招标人无关。</w:t>
            </w:r>
          </w:p>
        </w:tc>
      </w:tr>
      <w:tr w14:paraId="394BD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E6F684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9.3中标人应自觉接受、配合招标人的考核。</w:t>
            </w:r>
          </w:p>
        </w:tc>
      </w:tr>
      <w:tr w14:paraId="75B4A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592AFC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9.4招标人保留对本项目使用设备确认、审查的权利。</w:t>
            </w:r>
          </w:p>
        </w:tc>
      </w:tr>
      <w:tr w14:paraId="54681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4B23D9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9.5投标人必须根据设计方案，严格按照方案要求安排，达到预期效果。</w:t>
            </w:r>
          </w:p>
        </w:tc>
      </w:tr>
      <w:tr w14:paraId="5C1D8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739454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9.6投标人要充分考虑疗养活动时间和疗养活动安全，如果疗养活动期间发生安全事故，一切后果均由中标人负责。</w:t>
            </w:r>
          </w:p>
        </w:tc>
      </w:tr>
      <w:tr w14:paraId="14F2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47A3CF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9.7因中标人违约造成疗养者误机（车、船），中标人应承担疗养者直接经济损失。</w:t>
            </w:r>
          </w:p>
        </w:tc>
      </w:tr>
      <w:tr w14:paraId="6557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8EDE01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9.8中标人安排的餐饮未达到约定标准的，未达标一次应承担疗养费用4％的违约金。</w:t>
            </w:r>
          </w:p>
        </w:tc>
      </w:tr>
      <w:tr w14:paraId="2A9DE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2A3F70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9.9中标人安排的交通工具未达到约定标准的，未达标一次应承担疗养费用4％的违约金。</w:t>
            </w:r>
          </w:p>
        </w:tc>
      </w:tr>
      <w:tr w14:paraId="27DF1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3E02CC5">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9.10中标人安排的住宿未达到约定标准的，未达标一次应承担疗养费用6％的违约金。</w:t>
            </w:r>
          </w:p>
        </w:tc>
      </w:tr>
      <w:tr w14:paraId="0D3ED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E4C587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9.11因不可归责于中标人和疗养者的原因而减少疗养项目的，中标人可与疗养者协商提供替代项目，如协商不成中标人应退还该项目的费用及相应的导服费用。</w:t>
            </w:r>
          </w:p>
        </w:tc>
      </w:tr>
      <w:tr w14:paraId="227EA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075975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9.12中标人擅自变更或减少疗养项目的，每变更一项应支付疗养费用5％的违约金，并退还因项目变更而减少支出的费用；每减少一项应支付疗养费用5％的违约金，并退还相应疗养项目的导服费、门票等各项费用。</w:t>
            </w:r>
          </w:p>
        </w:tc>
      </w:tr>
      <w:tr w14:paraId="77806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1A2E49B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9.13中标人擅自</w:t>
            </w:r>
            <w:r>
              <w:rPr>
                <w:rFonts w:hint="eastAsia" w:ascii="仿宋" w:hAnsi="仿宋" w:eastAsia="仿宋" w:cs="仿宋"/>
                <w:color w:val="auto"/>
                <w:sz w:val="24"/>
                <w:szCs w:val="24"/>
                <w:highlight w:val="none"/>
                <w:lang w:eastAsia="zh-CN"/>
              </w:rPr>
              <w:t>安排</w:t>
            </w:r>
            <w:r>
              <w:rPr>
                <w:rFonts w:hint="eastAsia" w:ascii="仿宋" w:hAnsi="仿宋" w:eastAsia="仿宋" w:cs="仿宋"/>
                <w:color w:val="auto"/>
                <w:sz w:val="24"/>
                <w:szCs w:val="24"/>
                <w:highlight w:val="none"/>
              </w:rPr>
              <w:t>购物的，每增加一次应向疗养者支付疗养费用5％的违约金。</w:t>
            </w:r>
          </w:p>
        </w:tc>
      </w:tr>
      <w:tr w14:paraId="0BB7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2B4FFF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9.14中标人擅自缩短游览时间的，每一次应向疗养者支付疗养费用5％的违约金。</w:t>
            </w:r>
          </w:p>
        </w:tc>
      </w:tr>
      <w:tr w14:paraId="6FFF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823448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9.15导游无故离开疗养团队致疗养者无人照管的，中标人应承担疗养者因此自行支出的食宿交通费等直接费用，并支付疗养费用20%的违约金。</w:t>
            </w:r>
          </w:p>
        </w:tc>
      </w:tr>
      <w:tr w14:paraId="0D27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5BA5B4E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9.16因违约导致的实际损失超过违约金的，依据实际损失赔偿。</w:t>
            </w:r>
          </w:p>
        </w:tc>
      </w:tr>
      <w:tr w14:paraId="59065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7B57FDD">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highlight w:val="none"/>
              </w:rPr>
              <w:t>★</w:t>
            </w:r>
            <w:r>
              <w:rPr>
                <w:rFonts w:hint="eastAsia" w:ascii="仿宋" w:hAnsi="仿宋" w:eastAsia="仿宋" w:cs="仿宋"/>
                <w:color w:val="auto"/>
                <w:sz w:val="24"/>
                <w:szCs w:val="24"/>
                <w:highlight w:val="none"/>
                <w:lang w:val="en-US" w:eastAsia="zh-CN"/>
              </w:rPr>
              <w:t>9.17 本项目不得转包，一经发现，招标人有权单方面终止合同。未完成工作，由其他中标单位抽签替补。</w:t>
            </w:r>
          </w:p>
        </w:tc>
      </w:tr>
      <w:tr w14:paraId="7F73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0FF5527">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sz w:val="24"/>
                <w:szCs w:val="24"/>
                <w:highlight w:val="none"/>
              </w:rPr>
              <w:t>9.1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 xml:space="preserve"> 每批结束后由参加该批次疗休养的职工对中标人进行满意度测评（好、较好、一般、差），</w:t>
            </w:r>
            <w:r>
              <w:rPr>
                <w:rFonts w:hint="eastAsia" w:ascii="仿宋" w:hAnsi="仿宋" w:eastAsia="仿宋" w:cs="仿宋"/>
                <w:color w:val="auto"/>
                <w:kern w:val="0"/>
                <w:sz w:val="24"/>
                <w:highlight w:val="none"/>
              </w:rPr>
              <w:t>满意度≥</w:t>
            </w: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%（含），全额支付；70%- 8</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（不含）</w:t>
            </w:r>
            <w:r>
              <w:rPr>
                <w:rFonts w:hint="eastAsia" w:ascii="仿宋" w:hAnsi="仿宋" w:eastAsia="仿宋" w:cs="仿宋"/>
                <w:color w:val="auto"/>
                <w:sz w:val="24"/>
                <w:szCs w:val="24"/>
                <w:highlight w:val="none"/>
              </w:rPr>
              <w:t>的，扣</w:t>
            </w:r>
            <w:r>
              <w:rPr>
                <w:rFonts w:hint="eastAsia" w:ascii="仿宋" w:hAnsi="仿宋" w:eastAsia="仿宋" w:cs="仿宋"/>
                <w:color w:val="auto"/>
                <w:sz w:val="24"/>
                <w:szCs w:val="24"/>
                <w:highlight w:val="none"/>
                <w:lang w:eastAsia="zh-CN"/>
              </w:rPr>
              <w:t>本批次</w:t>
            </w:r>
            <w:r>
              <w:rPr>
                <w:rFonts w:hint="eastAsia" w:ascii="仿宋" w:hAnsi="仿宋" w:eastAsia="仿宋" w:cs="仿宋"/>
                <w:color w:val="auto"/>
                <w:sz w:val="24"/>
                <w:szCs w:val="24"/>
                <w:highlight w:val="none"/>
              </w:rPr>
              <w:t>总金额1%；60-70%</w:t>
            </w:r>
            <w:r>
              <w:rPr>
                <w:rFonts w:hint="eastAsia" w:ascii="仿宋" w:hAnsi="仿宋" w:eastAsia="仿宋" w:cs="仿宋"/>
                <w:color w:val="auto"/>
                <w:sz w:val="24"/>
                <w:szCs w:val="24"/>
                <w:highlight w:val="none"/>
                <w:lang w:eastAsia="zh-CN"/>
              </w:rPr>
              <w:t>（不含）</w:t>
            </w:r>
            <w:r>
              <w:rPr>
                <w:rFonts w:hint="eastAsia" w:ascii="仿宋" w:hAnsi="仿宋" w:eastAsia="仿宋" w:cs="仿宋"/>
                <w:color w:val="auto"/>
                <w:sz w:val="24"/>
                <w:szCs w:val="24"/>
                <w:highlight w:val="none"/>
              </w:rPr>
              <w:t>的，扣</w:t>
            </w:r>
            <w:r>
              <w:rPr>
                <w:rFonts w:hint="eastAsia" w:ascii="仿宋" w:hAnsi="仿宋" w:eastAsia="仿宋" w:cs="仿宋"/>
                <w:color w:val="auto"/>
                <w:sz w:val="24"/>
                <w:szCs w:val="24"/>
                <w:highlight w:val="none"/>
                <w:lang w:eastAsia="zh-CN"/>
              </w:rPr>
              <w:t>本批次</w:t>
            </w:r>
            <w:r>
              <w:rPr>
                <w:rFonts w:hint="eastAsia" w:ascii="仿宋" w:hAnsi="仿宋" w:eastAsia="仿宋" w:cs="仿宋"/>
                <w:color w:val="auto"/>
                <w:sz w:val="24"/>
                <w:szCs w:val="24"/>
                <w:highlight w:val="none"/>
              </w:rPr>
              <w:t>总金额2%；60%以下的，扣</w:t>
            </w:r>
            <w:r>
              <w:rPr>
                <w:rFonts w:hint="eastAsia" w:ascii="仿宋" w:hAnsi="仿宋" w:eastAsia="仿宋" w:cs="仿宋"/>
                <w:color w:val="auto"/>
                <w:sz w:val="24"/>
                <w:szCs w:val="24"/>
                <w:highlight w:val="none"/>
                <w:lang w:eastAsia="zh-CN"/>
              </w:rPr>
              <w:t>本批次</w:t>
            </w:r>
            <w:r>
              <w:rPr>
                <w:rFonts w:hint="eastAsia" w:ascii="仿宋" w:hAnsi="仿宋" w:eastAsia="仿宋" w:cs="仿宋"/>
                <w:color w:val="auto"/>
                <w:sz w:val="24"/>
                <w:szCs w:val="24"/>
                <w:highlight w:val="none"/>
              </w:rPr>
              <w:t>总金额3%，若累计2次为60%以下的，取消中标资格。</w:t>
            </w:r>
          </w:p>
        </w:tc>
      </w:tr>
      <w:tr w14:paraId="2A4F7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3ACBE118">
            <w:pPr>
              <w:spacing w:line="360" w:lineRule="auto"/>
              <w:rPr>
                <w:rFonts w:hint="eastAsia" w:ascii="仿宋" w:hAnsi="仿宋" w:eastAsia="仿宋" w:cs="仿宋"/>
                <w:color w:val="auto"/>
                <w:highlight w:val="none"/>
              </w:rPr>
            </w:pPr>
            <w:r>
              <w:rPr>
                <w:rFonts w:hint="eastAsia" w:ascii="仿宋" w:hAnsi="仿宋" w:eastAsia="仿宋" w:cs="仿宋"/>
                <w:color w:val="auto"/>
                <w:sz w:val="24"/>
                <w:szCs w:val="24"/>
                <w:highlight w:val="none"/>
                <w:lang w:val="en-US" w:eastAsia="zh-CN"/>
              </w:rPr>
              <w:t xml:space="preserve">9.19 </w:t>
            </w:r>
            <w:r>
              <w:rPr>
                <w:rFonts w:hint="eastAsia" w:ascii="仿宋" w:hAnsi="仿宋" w:eastAsia="仿宋" w:cs="仿宋"/>
                <w:color w:val="auto"/>
                <w:sz w:val="24"/>
                <w:szCs w:val="24"/>
                <w:highlight w:val="none"/>
              </w:rPr>
              <w:t>疗休养过程中每发生一起人身损害安全事件或意外事故导致其返回后影响正常工作的，扣总金额1%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合同期内连续发生二起或累计发生三起的，扣总金额</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，并</w:t>
            </w:r>
            <w:r>
              <w:rPr>
                <w:rFonts w:hint="eastAsia" w:ascii="仿宋" w:hAnsi="仿宋" w:eastAsia="仿宋" w:cs="仿宋"/>
                <w:color w:val="auto"/>
                <w:sz w:val="24"/>
                <w:szCs w:val="24"/>
                <w:highlight w:val="none"/>
              </w:rPr>
              <w:t>立即终止合同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若发生重大安全事故，直接终止合同并要求中标人依法赔偿各项损失；中标人如果拒不履行招标时的承诺，招标人有权终止合同。</w:t>
            </w:r>
            <w:r>
              <w:rPr>
                <w:rFonts w:hint="eastAsia" w:ascii="仿宋" w:hAnsi="仿宋" w:eastAsia="仿宋" w:cs="仿宋"/>
                <w:color w:val="auto"/>
                <w:sz w:val="24"/>
                <w:szCs w:val="24"/>
                <w:highlight w:val="none"/>
                <w:lang w:val="en-US" w:eastAsia="zh-CN"/>
              </w:rPr>
              <w:t>中标人因质疑、投诉被取消中标资格或不能履行合同的，则依名次进行替补。</w:t>
            </w:r>
          </w:p>
        </w:tc>
      </w:tr>
      <w:tr w14:paraId="1DA95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5AA4C1A">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9.19 </w:t>
            </w:r>
            <w:bookmarkStart w:id="12" w:name="OLE_LINK1"/>
            <w:r>
              <w:rPr>
                <w:rFonts w:hint="eastAsia" w:ascii="仿宋" w:hAnsi="仿宋" w:eastAsia="仿宋" w:cs="仿宋"/>
                <w:color w:val="auto"/>
                <w:sz w:val="24"/>
                <w:szCs w:val="24"/>
                <w:highlight w:val="none"/>
                <w:lang w:val="en-US" w:eastAsia="zh-CN"/>
              </w:rPr>
              <w:t>职工直系亲属</w:t>
            </w:r>
            <w:bookmarkEnd w:id="12"/>
            <w:r>
              <w:rPr>
                <w:rFonts w:hint="eastAsia" w:ascii="仿宋" w:hAnsi="仿宋" w:eastAsia="仿宋" w:cs="仿宋"/>
                <w:color w:val="auto"/>
                <w:sz w:val="24"/>
                <w:szCs w:val="24"/>
                <w:highlight w:val="none"/>
                <w:lang w:val="en-US" w:eastAsia="zh-CN"/>
              </w:rPr>
              <w:t>随同参加疗休养者，须与中标人订立合同（协议）。</w:t>
            </w:r>
          </w:p>
        </w:tc>
      </w:tr>
      <w:tr w14:paraId="6DECC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012FBCAB">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10、支付方式：</w:t>
            </w:r>
            <w:r>
              <w:rPr>
                <w:rFonts w:hint="eastAsia" w:ascii="仿宋" w:hAnsi="仿宋" w:eastAsia="仿宋" w:cs="仿宋"/>
                <w:color w:val="auto"/>
                <w:sz w:val="24"/>
                <w:szCs w:val="24"/>
                <w:highlight w:val="none"/>
                <w:lang w:val="en-US" w:eastAsia="zh-CN"/>
              </w:rPr>
              <w:t>单次疗养活动结束后凭发票于30个工作日内按实际参加人数结算（遇质量问题等特殊情况除外）。发票内容为2026年职工疗休养。发票章单位名称必须与投标时公章名称相符合，否则医院有权拒付相关款项。</w:t>
            </w:r>
          </w:p>
        </w:tc>
      </w:tr>
    </w:tbl>
    <w:p w14:paraId="39B211DB">
      <w:pPr>
        <w:pStyle w:val="24"/>
        <w:pageBreakBefore/>
        <w:spacing w:line="800" w:lineRule="exact"/>
        <w:ind w:firstLine="726"/>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第四部分  政府采购合同参考范本</w:t>
      </w:r>
    </w:p>
    <w:p w14:paraId="6BC721B9">
      <w:pPr>
        <w:rPr>
          <w:rFonts w:hint="eastAsia" w:ascii="仿宋" w:hAnsi="仿宋" w:eastAsia="仿宋" w:cs="仿宋"/>
          <w:color w:val="auto"/>
          <w:sz w:val="24"/>
          <w:highlight w:val="none"/>
        </w:rPr>
      </w:pPr>
    </w:p>
    <w:p w14:paraId="3EFB34FE">
      <w:pP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合同编号：</w:t>
      </w:r>
      <w:r>
        <w:rPr>
          <w:rFonts w:hint="eastAsia" w:ascii="仿宋" w:hAnsi="仿宋" w:eastAsia="仿宋" w:cs="仿宋"/>
          <w:color w:val="auto"/>
          <w:sz w:val="24"/>
          <w:highlight w:val="none"/>
          <w:u w:val="single"/>
        </w:rPr>
        <w:t xml:space="preserve">           </w:t>
      </w:r>
    </w:p>
    <w:p w14:paraId="7EACA5E0">
      <w:pPr>
        <w:spacing w:line="480" w:lineRule="auto"/>
        <w:jc w:val="center"/>
        <w:rPr>
          <w:rFonts w:hint="eastAsia" w:ascii="仿宋" w:hAnsi="仿宋" w:eastAsia="仿宋" w:cs="仿宋"/>
          <w:b/>
          <w:color w:val="auto"/>
          <w:sz w:val="28"/>
          <w:szCs w:val="28"/>
          <w:highlight w:val="none"/>
        </w:rPr>
      </w:pPr>
    </w:p>
    <w:p w14:paraId="2F644DEC">
      <w:pPr>
        <w:spacing w:line="480" w:lineRule="auto"/>
        <w:jc w:val="center"/>
        <w:rPr>
          <w:rFonts w:hint="eastAsia" w:ascii="仿宋" w:hAnsi="仿宋" w:eastAsia="仿宋" w:cs="仿宋"/>
          <w:b/>
          <w:color w:val="auto"/>
          <w:sz w:val="24"/>
          <w:highlight w:val="none"/>
        </w:rPr>
      </w:pPr>
    </w:p>
    <w:p w14:paraId="5D79F799">
      <w:pPr>
        <w:spacing w:line="480" w:lineRule="auto"/>
        <w:jc w:val="center"/>
        <w:rPr>
          <w:rFonts w:hint="eastAsia" w:ascii="仿宋" w:hAnsi="仿宋" w:eastAsia="仿宋" w:cs="仿宋"/>
          <w:b/>
          <w:color w:val="auto"/>
          <w:sz w:val="24"/>
          <w:highlight w:val="none"/>
        </w:rPr>
      </w:pPr>
    </w:p>
    <w:p w14:paraId="28993A64">
      <w:pPr>
        <w:spacing w:line="48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政府采购合同参考范本</w:t>
      </w:r>
    </w:p>
    <w:p w14:paraId="6B67DCE0">
      <w:pPr>
        <w:spacing w:line="48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（服务类）</w:t>
      </w:r>
    </w:p>
    <w:p w14:paraId="036276DE">
      <w:pPr>
        <w:pStyle w:val="6"/>
        <w:rPr>
          <w:rFonts w:hint="eastAsia" w:ascii="仿宋" w:hAnsi="仿宋" w:eastAsia="仿宋" w:cs="仿宋"/>
          <w:color w:val="auto"/>
          <w:highlight w:val="none"/>
        </w:rPr>
      </w:pPr>
    </w:p>
    <w:p w14:paraId="5754838C">
      <w:pPr>
        <w:pStyle w:val="6"/>
        <w:rPr>
          <w:rFonts w:hint="eastAsia" w:ascii="仿宋" w:hAnsi="仿宋" w:eastAsia="仿宋" w:cs="仿宋"/>
          <w:color w:val="auto"/>
          <w:highlight w:val="none"/>
        </w:rPr>
      </w:pPr>
    </w:p>
    <w:p w14:paraId="79479E47">
      <w:pPr>
        <w:pStyle w:val="6"/>
        <w:ind w:firstLine="562"/>
        <w:jc w:val="center"/>
        <w:rPr>
          <w:rFonts w:hint="eastAsia" w:ascii="仿宋" w:hAnsi="仿宋" w:eastAsia="仿宋" w:cs="仿宋"/>
          <w:b/>
          <w:color w:val="auto"/>
          <w:sz w:val="28"/>
          <w:highlight w:val="none"/>
        </w:rPr>
      </w:pPr>
      <w:r>
        <w:rPr>
          <w:rFonts w:hint="eastAsia" w:ascii="仿宋" w:hAnsi="仿宋" w:eastAsia="仿宋" w:cs="仿宋"/>
          <w:b/>
          <w:color w:val="auto"/>
          <w:sz w:val="28"/>
          <w:highlight w:val="none"/>
        </w:rPr>
        <w:t>第一部分  合同书</w:t>
      </w:r>
    </w:p>
    <w:p w14:paraId="03EBD4EA">
      <w:pPr>
        <w:pStyle w:val="6"/>
        <w:rPr>
          <w:rFonts w:hint="eastAsia" w:ascii="仿宋" w:hAnsi="仿宋" w:eastAsia="仿宋" w:cs="仿宋"/>
          <w:color w:val="auto"/>
          <w:highlight w:val="none"/>
        </w:rPr>
      </w:pPr>
    </w:p>
    <w:p w14:paraId="1F0814EC">
      <w:pPr>
        <w:pStyle w:val="6"/>
        <w:rPr>
          <w:rFonts w:hint="eastAsia" w:ascii="仿宋" w:hAnsi="仿宋" w:eastAsia="仿宋" w:cs="仿宋"/>
          <w:color w:val="auto"/>
          <w:highlight w:val="none"/>
        </w:rPr>
      </w:pPr>
    </w:p>
    <w:p w14:paraId="42754165">
      <w:pPr>
        <w:spacing w:before="120" w:line="22" w:lineRule="atLeast"/>
        <w:rPr>
          <w:rFonts w:hint="eastAsia" w:ascii="仿宋" w:hAnsi="仿宋" w:eastAsia="仿宋" w:cs="仿宋"/>
          <w:color w:val="auto"/>
          <w:sz w:val="24"/>
          <w:highlight w:val="none"/>
        </w:rPr>
      </w:pPr>
    </w:p>
    <w:p w14:paraId="7F87B1AE">
      <w:pPr>
        <w:spacing w:before="120" w:line="22" w:lineRule="atLeast"/>
        <w:ind w:left="96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p w14:paraId="26D6FBAE">
      <w:pPr>
        <w:pStyle w:val="283"/>
        <w:spacing w:before="120" w:line="22" w:lineRule="atLeast"/>
        <w:rPr>
          <w:rFonts w:hint="eastAsia" w:ascii="仿宋" w:hAnsi="仿宋" w:eastAsia="仿宋" w:cs="仿宋"/>
          <w:color w:val="auto"/>
          <w:szCs w:val="24"/>
          <w:highlight w:val="none"/>
        </w:rPr>
      </w:pPr>
    </w:p>
    <w:p w14:paraId="0A03B918">
      <w:pPr>
        <w:pStyle w:val="283"/>
        <w:spacing w:before="120" w:line="22" w:lineRule="atLeast"/>
        <w:rPr>
          <w:rFonts w:hint="eastAsia" w:ascii="仿宋" w:hAnsi="仿宋" w:eastAsia="仿宋" w:cs="仿宋"/>
          <w:color w:val="auto"/>
          <w:szCs w:val="24"/>
          <w:highlight w:val="none"/>
        </w:rPr>
      </w:pPr>
    </w:p>
    <w:p w14:paraId="48F6EBDD">
      <w:pPr>
        <w:rPr>
          <w:rFonts w:hint="eastAsia" w:ascii="仿宋" w:hAnsi="仿宋" w:eastAsia="仿宋" w:cs="仿宋"/>
          <w:color w:val="auto"/>
          <w:sz w:val="24"/>
          <w:highlight w:val="none"/>
        </w:rPr>
      </w:pPr>
    </w:p>
    <w:p w14:paraId="365F3984">
      <w:pPr>
        <w:spacing w:before="120" w:line="22" w:lineRule="atLeast"/>
        <w:ind w:left="96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甲方：</w:t>
      </w:r>
    </w:p>
    <w:p w14:paraId="16932B33">
      <w:pPr>
        <w:spacing w:before="120" w:line="22" w:lineRule="atLeast"/>
        <w:rPr>
          <w:rFonts w:hint="eastAsia" w:ascii="仿宋" w:hAnsi="仿宋" w:eastAsia="仿宋" w:cs="仿宋"/>
          <w:color w:val="auto"/>
          <w:sz w:val="24"/>
          <w:highlight w:val="none"/>
        </w:rPr>
      </w:pPr>
    </w:p>
    <w:p w14:paraId="4DDE0DB9">
      <w:pPr>
        <w:spacing w:before="120" w:line="22" w:lineRule="atLeast"/>
        <w:ind w:left="96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乙方：</w:t>
      </w:r>
    </w:p>
    <w:p w14:paraId="0F2F70A6">
      <w:pPr>
        <w:spacing w:before="120" w:line="22" w:lineRule="atLeast"/>
        <w:rPr>
          <w:rFonts w:hint="eastAsia" w:ascii="仿宋" w:hAnsi="仿宋" w:eastAsia="仿宋" w:cs="仿宋"/>
          <w:color w:val="auto"/>
          <w:sz w:val="24"/>
          <w:highlight w:val="none"/>
        </w:rPr>
      </w:pPr>
    </w:p>
    <w:p w14:paraId="7E59FA88">
      <w:pPr>
        <w:spacing w:before="120" w:line="22" w:lineRule="atLeast"/>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签订地：</w:t>
      </w:r>
    </w:p>
    <w:p w14:paraId="0B71DA6D">
      <w:pPr>
        <w:spacing w:before="120" w:line="22" w:lineRule="atLeast"/>
        <w:rPr>
          <w:rFonts w:hint="eastAsia" w:ascii="仿宋" w:hAnsi="仿宋" w:eastAsia="仿宋" w:cs="仿宋"/>
          <w:color w:val="auto"/>
          <w:sz w:val="24"/>
          <w:highlight w:val="none"/>
        </w:rPr>
      </w:pPr>
    </w:p>
    <w:p w14:paraId="5E927576">
      <w:pPr>
        <w:spacing w:before="120" w:line="22" w:lineRule="atLeast"/>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签订日期：年月日</w:t>
      </w:r>
    </w:p>
    <w:p w14:paraId="688F87D2">
      <w:pPr>
        <w:widowControl/>
        <w:jc w:val="left"/>
        <w:rPr>
          <w:rFonts w:hint="eastAsia" w:ascii="仿宋" w:hAnsi="仿宋" w:eastAsia="仿宋" w:cs="仿宋"/>
          <w:color w:val="auto"/>
          <w:kern w:val="0"/>
          <w:sz w:val="24"/>
          <w:highlight w:val="none"/>
        </w:rPr>
      </w:pPr>
    </w:p>
    <w:p w14:paraId="0BACC8DB">
      <w:pPr>
        <w:widowControl/>
        <w:jc w:val="left"/>
        <w:rPr>
          <w:rFonts w:hint="eastAsia" w:ascii="仿宋" w:hAnsi="仿宋" w:eastAsia="仿宋" w:cs="仿宋"/>
          <w:color w:val="auto"/>
          <w:kern w:val="0"/>
          <w:sz w:val="24"/>
          <w:highlight w:val="none"/>
        </w:rPr>
      </w:pPr>
    </w:p>
    <w:p w14:paraId="1006F887">
      <w:pPr>
        <w:widowControl/>
        <w:jc w:val="left"/>
        <w:rPr>
          <w:rFonts w:hint="eastAsia" w:ascii="仿宋" w:hAnsi="仿宋" w:eastAsia="仿宋" w:cs="仿宋"/>
          <w:color w:val="auto"/>
          <w:kern w:val="0"/>
          <w:sz w:val="24"/>
          <w:highlight w:val="none"/>
        </w:rPr>
      </w:pPr>
    </w:p>
    <w:p w14:paraId="1AE7B1C4">
      <w:pPr>
        <w:widowControl/>
        <w:jc w:val="left"/>
        <w:rPr>
          <w:rFonts w:hint="eastAsia" w:ascii="仿宋" w:hAnsi="仿宋" w:eastAsia="仿宋" w:cs="仿宋"/>
          <w:color w:val="auto"/>
          <w:kern w:val="0"/>
          <w:sz w:val="24"/>
          <w:highlight w:val="none"/>
        </w:rPr>
      </w:pPr>
    </w:p>
    <w:p w14:paraId="56CD3C3C">
      <w:pPr>
        <w:widowControl/>
        <w:jc w:val="left"/>
        <w:rPr>
          <w:rFonts w:hint="eastAsia" w:ascii="仿宋" w:hAnsi="仿宋" w:eastAsia="仿宋" w:cs="仿宋"/>
          <w:color w:val="auto"/>
          <w:kern w:val="0"/>
          <w:sz w:val="24"/>
          <w:highlight w:val="none"/>
        </w:rPr>
      </w:pPr>
    </w:p>
    <w:p w14:paraId="6B49AFF5">
      <w:pPr>
        <w:widowControl/>
        <w:jc w:val="left"/>
        <w:rPr>
          <w:rFonts w:hint="eastAsia" w:ascii="仿宋" w:hAnsi="仿宋" w:eastAsia="仿宋" w:cs="仿宋"/>
          <w:color w:val="auto"/>
          <w:kern w:val="0"/>
          <w:sz w:val="24"/>
          <w:highlight w:val="none"/>
        </w:rPr>
      </w:pPr>
    </w:p>
    <w:p w14:paraId="727376EE">
      <w:pPr>
        <w:widowControl/>
        <w:jc w:val="left"/>
        <w:rPr>
          <w:rFonts w:hint="eastAsia" w:ascii="仿宋" w:hAnsi="仿宋" w:eastAsia="仿宋" w:cs="仿宋"/>
          <w:color w:val="auto"/>
          <w:kern w:val="0"/>
          <w:sz w:val="24"/>
          <w:highlight w:val="none"/>
        </w:rPr>
      </w:pPr>
    </w:p>
    <w:p w14:paraId="5878B438">
      <w:pPr>
        <w:widowControl/>
        <w:jc w:val="left"/>
        <w:rPr>
          <w:rFonts w:hint="eastAsia" w:ascii="仿宋" w:hAnsi="仿宋" w:eastAsia="仿宋" w:cs="仿宋"/>
          <w:color w:val="auto"/>
          <w:kern w:val="0"/>
          <w:sz w:val="24"/>
          <w:highlight w:val="none"/>
        </w:rPr>
      </w:pPr>
    </w:p>
    <w:p w14:paraId="22030E29">
      <w:pPr>
        <w:widowControl/>
        <w:jc w:val="left"/>
        <w:rPr>
          <w:rFonts w:hint="eastAsia" w:ascii="仿宋" w:hAnsi="仿宋" w:eastAsia="仿宋" w:cs="仿宋"/>
          <w:color w:val="auto"/>
          <w:kern w:val="0"/>
          <w:sz w:val="24"/>
          <w:highlight w:val="none"/>
        </w:rPr>
      </w:pPr>
    </w:p>
    <w:p w14:paraId="255476F1">
      <w:pPr>
        <w:widowControl/>
        <w:jc w:val="left"/>
        <w:rPr>
          <w:rFonts w:hint="eastAsia" w:ascii="仿宋" w:hAnsi="仿宋" w:eastAsia="仿宋" w:cs="仿宋"/>
          <w:color w:val="auto"/>
          <w:kern w:val="0"/>
          <w:sz w:val="24"/>
          <w:highlight w:val="none"/>
        </w:rPr>
      </w:pPr>
    </w:p>
    <w:p w14:paraId="6437BAC5">
      <w:pPr>
        <w:widowControl/>
        <w:jc w:val="left"/>
        <w:rPr>
          <w:rFonts w:hint="eastAsia" w:ascii="仿宋" w:hAnsi="仿宋" w:eastAsia="仿宋" w:cs="仿宋"/>
          <w:color w:val="auto"/>
          <w:kern w:val="0"/>
          <w:sz w:val="24"/>
          <w:highlight w:val="none"/>
        </w:rPr>
      </w:pPr>
    </w:p>
    <w:p w14:paraId="7257D861">
      <w:pPr>
        <w:widowControl/>
        <w:jc w:val="left"/>
        <w:rPr>
          <w:rFonts w:hint="eastAsia" w:ascii="仿宋" w:hAnsi="仿宋" w:eastAsia="仿宋" w:cs="仿宋"/>
          <w:color w:val="auto"/>
          <w:kern w:val="0"/>
          <w:sz w:val="24"/>
          <w:highlight w:val="none"/>
        </w:rPr>
      </w:pPr>
    </w:p>
    <w:p w14:paraId="7A4FD62E">
      <w:pPr>
        <w:widowControl/>
        <w:jc w:val="left"/>
        <w:rPr>
          <w:rFonts w:hint="eastAsia" w:ascii="仿宋" w:hAnsi="仿宋" w:eastAsia="仿宋" w:cs="仿宋"/>
          <w:color w:val="auto"/>
          <w:kern w:val="0"/>
          <w:sz w:val="24"/>
          <w:highlight w:val="none"/>
        </w:rPr>
      </w:pPr>
    </w:p>
    <w:p w14:paraId="601E0D1E">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年月日</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（采购人）</w:t>
      </w:r>
      <w:r>
        <w:rPr>
          <w:rFonts w:hint="eastAsia" w:ascii="仿宋" w:hAnsi="仿宋" w:eastAsia="仿宋" w:cs="仿宋"/>
          <w:color w:val="auto"/>
          <w:sz w:val="24"/>
          <w:highlight w:val="none"/>
        </w:rPr>
        <w:t>以</w:t>
      </w:r>
      <w:r>
        <w:rPr>
          <w:rFonts w:hint="eastAsia" w:ascii="仿宋" w:hAnsi="仿宋" w:eastAsia="仿宋" w:cs="仿宋"/>
          <w:color w:val="auto"/>
          <w:sz w:val="24"/>
          <w:highlight w:val="none"/>
          <w:u w:val="single"/>
        </w:rPr>
        <w:t xml:space="preserve">   （政府采购方式）  </w:t>
      </w:r>
      <w:r>
        <w:rPr>
          <w:rFonts w:hint="eastAsia" w:ascii="仿宋" w:hAnsi="仿宋" w:eastAsia="仿宋" w:cs="仿宋"/>
          <w:color w:val="auto"/>
          <w:sz w:val="24"/>
          <w:highlight w:val="none"/>
        </w:rPr>
        <w:t>对</w:t>
      </w:r>
      <w:r>
        <w:rPr>
          <w:rFonts w:hint="eastAsia" w:ascii="仿宋" w:hAnsi="仿宋" w:eastAsia="仿宋" w:cs="仿宋"/>
          <w:color w:val="auto"/>
          <w:sz w:val="24"/>
          <w:highlight w:val="none"/>
          <w:u w:val="single"/>
        </w:rPr>
        <w:t xml:space="preserve">   （同前页项目名称）</w:t>
      </w:r>
      <w:r>
        <w:rPr>
          <w:rFonts w:hint="eastAsia" w:ascii="仿宋" w:hAnsi="仿宋" w:eastAsia="仿宋" w:cs="仿宋"/>
          <w:color w:val="auto"/>
          <w:sz w:val="24"/>
          <w:highlight w:val="none"/>
        </w:rPr>
        <w:t>项目进行了采购。经</w:t>
      </w:r>
      <w:r>
        <w:rPr>
          <w:rFonts w:hint="eastAsia" w:ascii="仿宋" w:hAnsi="仿宋" w:eastAsia="仿宋" w:cs="仿宋"/>
          <w:color w:val="auto"/>
          <w:sz w:val="24"/>
          <w:highlight w:val="none"/>
          <w:u w:val="single"/>
        </w:rPr>
        <w:t xml:space="preserve">   （相关评定主体名称）   </w:t>
      </w:r>
      <w:r>
        <w:rPr>
          <w:rFonts w:hint="eastAsia" w:ascii="仿宋" w:hAnsi="仿宋" w:eastAsia="仿宋" w:cs="仿宋"/>
          <w:color w:val="auto"/>
          <w:sz w:val="24"/>
          <w:highlight w:val="none"/>
        </w:rPr>
        <w:t>评定，</w:t>
      </w:r>
      <w:r>
        <w:rPr>
          <w:rFonts w:hint="eastAsia" w:ascii="仿宋" w:hAnsi="仿宋" w:eastAsia="仿宋" w:cs="仿宋"/>
          <w:color w:val="auto"/>
          <w:sz w:val="24"/>
          <w:highlight w:val="none"/>
          <w:u w:val="single"/>
        </w:rPr>
        <w:t xml:space="preserve">   （中标供应商名称）</w:t>
      </w:r>
      <w:r>
        <w:rPr>
          <w:rFonts w:hint="eastAsia" w:ascii="仿宋" w:hAnsi="仿宋" w:eastAsia="仿宋" w:cs="仿宋"/>
          <w:color w:val="auto"/>
          <w:sz w:val="24"/>
          <w:highlight w:val="none"/>
        </w:rPr>
        <w:t>为该项目中标供应商。现于中标通知书发出之日起三十日内，按照采购文件确定的事项签订本合同。</w:t>
      </w:r>
    </w:p>
    <w:p w14:paraId="05690CB2">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根据《中华人民共和国民法典》、《中华人民共和国政府采购法》等相关法律法规之规定，按照平等、自愿、公平、诚实信用和绿色的原则，经</w:t>
      </w:r>
      <w:r>
        <w:rPr>
          <w:rFonts w:hint="eastAsia" w:ascii="仿宋" w:hAnsi="仿宋" w:eastAsia="仿宋" w:cs="仿宋"/>
          <w:color w:val="auto"/>
          <w:sz w:val="24"/>
          <w:highlight w:val="none"/>
          <w:u w:val="single"/>
        </w:rPr>
        <w:t>（采购人）</w:t>
      </w:r>
      <w:r>
        <w:rPr>
          <w:rFonts w:hint="eastAsia" w:ascii="仿宋" w:hAnsi="仿宋" w:eastAsia="仿宋" w:cs="仿宋"/>
          <w:color w:val="auto"/>
          <w:sz w:val="24"/>
          <w:highlight w:val="none"/>
          <w:lang w:val="zh-CN"/>
        </w:rPr>
        <w:t>(以下简称：甲方)和</w:t>
      </w:r>
      <w:r>
        <w:rPr>
          <w:rFonts w:hint="eastAsia" w:ascii="仿宋" w:hAnsi="仿宋" w:eastAsia="仿宋" w:cs="仿宋"/>
          <w:color w:val="auto"/>
          <w:sz w:val="24"/>
          <w:highlight w:val="none"/>
          <w:u w:val="single"/>
        </w:rPr>
        <w:t xml:space="preserve">   （中标供应商名称）   </w:t>
      </w:r>
      <w:r>
        <w:rPr>
          <w:rFonts w:hint="eastAsia" w:ascii="仿宋" w:hAnsi="仿宋" w:eastAsia="仿宋" w:cs="仿宋"/>
          <w:color w:val="auto"/>
          <w:sz w:val="24"/>
          <w:highlight w:val="none"/>
          <w:lang w:val="zh-CN"/>
        </w:rPr>
        <w:t>(以下简称：乙方)协商一致，约定以下合同</w:t>
      </w:r>
      <w:r>
        <w:rPr>
          <w:rFonts w:hint="eastAsia" w:ascii="仿宋" w:hAnsi="仿宋" w:eastAsia="仿宋" w:cs="仿宋"/>
          <w:color w:val="auto"/>
          <w:sz w:val="24"/>
          <w:highlight w:val="none"/>
        </w:rPr>
        <w:t>条款，以兹共同遵守、全面履行。</w:t>
      </w:r>
    </w:p>
    <w:p w14:paraId="4E0BE804">
      <w:pPr>
        <w:spacing w:line="560" w:lineRule="exact"/>
        <w:ind w:firstLine="482" w:firstLineChars="200"/>
        <w:outlineLvl w:val="0"/>
        <w:rPr>
          <w:rFonts w:hint="eastAsia" w:ascii="仿宋" w:hAnsi="仿宋" w:eastAsia="仿宋" w:cs="仿宋"/>
          <w:b/>
          <w:color w:val="auto"/>
          <w:sz w:val="24"/>
          <w:highlight w:val="none"/>
        </w:rPr>
      </w:pPr>
      <w:bookmarkStart w:id="13" w:name="_Toc24059"/>
      <w:bookmarkStart w:id="14" w:name="_Toc3029"/>
      <w:bookmarkStart w:id="15" w:name="_Toc2232"/>
      <w:r>
        <w:rPr>
          <w:rFonts w:hint="eastAsia" w:ascii="仿宋" w:hAnsi="仿宋" w:eastAsia="仿宋" w:cs="仿宋"/>
          <w:b/>
          <w:color w:val="auto"/>
          <w:sz w:val="24"/>
          <w:highlight w:val="none"/>
        </w:rPr>
        <w:t>1.1 合同组成部分</w:t>
      </w:r>
      <w:bookmarkEnd w:id="13"/>
      <w:bookmarkEnd w:id="14"/>
      <w:bookmarkEnd w:id="15"/>
    </w:p>
    <w:p w14:paraId="5210AC7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6DB51EB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1.1.1 本合同及其补充合同、变更协议；</w:t>
      </w:r>
    </w:p>
    <w:p w14:paraId="4FE91195">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1.1.2 中标通知书；</w:t>
      </w:r>
    </w:p>
    <w:p w14:paraId="24217216">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1.1.3 投标文件（含澄清或者说明文件）；</w:t>
      </w:r>
    </w:p>
    <w:p w14:paraId="4CFAAA7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1.1.4 招标文件（含澄清或者修改文件）；</w:t>
      </w:r>
    </w:p>
    <w:p w14:paraId="6BA7118B">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1.1.5 其他相关采购文件。</w:t>
      </w:r>
    </w:p>
    <w:p w14:paraId="15DE2483">
      <w:pPr>
        <w:spacing w:line="560" w:lineRule="exact"/>
        <w:ind w:firstLine="482" w:firstLineChars="200"/>
        <w:outlineLvl w:val="0"/>
        <w:rPr>
          <w:rFonts w:hint="eastAsia" w:ascii="仿宋" w:hAnsi="仿宋" w:eastAsia="仿宋" w:cs="仿宋"/>
          <w:b/>
          <w:color w:val="auto"/>
          <w:sz w:val="24"/>
          <w:highlight w:val="none"/>
        </w:rPr>
      </w:pPr>
      <w:bookmarkStart w:id="16" w:name="_Toc21295"/>
      <w:bookmarkStart w:id="17" w:name="_Toc27126"/>
      <w:bookmarkStart w:id="18" w:name="_Toc24300"/>
      <w:r>
        <w:rPr>
          <w:rFonts w:hint="eastAsia" w:ascii="仿宋" w:hAnsi="仿宋" w:eastAsia="仿宋" w:cs="仿宋"/>
          <w:b/>
          <w:color w:val="auto"/>
          <w:sz w:val="24"/>
          <w:highlight w:val="none"/>
        </w:rPr>
        <w:t xml:space="preserve">1.2 </w:t>
      </w:r>
      <w:bookmarkEnd w:id="16"/>
      <w:bookmarkEnd w:id="17"/>
      <w:bookmarkEnd w:id="18"/>
      <w:r>
        <w:rPr>
          <w:rFonts w:hint="eastAsia" w:ascii="仿宋" w:hAnsi="仿宋" w:eastAsia="仿宋" w:cs="仿宋"/>
          <w:b/>
          <w:color w:val="auto"/>
          <w:sz w:val="24"/>
          <w:highlight w:val="none"/>
        </w:rPr>
        <w:t>服务</w:t>
      </w:r>
    </w:p>
    <w:p w14:paraId="278AACC6">
      <w:pPr>
        <w:spacing w:line="5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1.2.1 服务名称：；</w:t>
      </w:r>
    </w:p>
    <w:p w14:paraId="0738158E">
      <w:pPr>
        <w:spacing w:line="5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1.2.2 服务期限和内容：；</w:t>
      </w:r>
    </w:p>
    <w:p w14:paraId="0C00FB9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1.2.3 服务提供地点及方式：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46D23079">
      <w:pPr>
        <w:spacing w:line="560" w:lineRule="exact"/>
        <w:ind w:firstLine="482" w:firstLineChars="200"/>
        <w:outlineLvl w:val="0"/>
        <w:rPr>
          <w:rFonts w:hint="eastAsia" w:ascii="仿宋" w:hAnsi="仿宋" w:eastAsia="仿宋" w:cs="仿宋"/>
          <w:b/>
          <w:color w:val="auto"/>
          <w:sz w:val="24"/>
          <w:highlight w:val="none"/>
        </w:rPr>
      </w:pPr>
      <w:bookmarkStart w:id="19" w:name="_Toc23292"/>
      <w:bookmarkStart w:id="20" w:name="_Toc21551"/>
      <w:bookmarkStart w:id="21" w:name="_Toc21631"/>
      <w:r>
        <w:rPr>
          <w:rFonts w:hint="eastAsia" w:ascii="仿宋" w:hAnsi="仿宋" w:eastAsia="仿宋" w:cs="仿宋"/>
          <w:b/>
          <w:color w:val="auto"/>
          <w:sz w:val="24"/>
          <w:highlight w:val="none"/>
        </w:rPr>
        <w:t>1.3 价款</w:t>
      </w:r>
      <w:bookmarkEnd w:id="19"/>
      <w:bookmarkEnd w:id="20"/>
      <w:bookmarkEnd w:id="21"/>
    </w:p>
    <w:p w14:paraId="57DA5460">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本合同总价为：￥元（大写：元人民币）。</w:t>
      </w:r>
    </w:p>
    <w:p w14:paraId="1B920BCA">
      <w:pPr>
        <w:spacing w:line="5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分项价格：</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1BE7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644AA966">
            <w:pPr>
              <w:pStyle w:val="182"/>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6BC33BF6">
            <w:pPr>
              <w:pStyle w:val="182"/>
              <w:spacing w:line="560" w:lineRule="exact"/>
              <w:ind w:firstLine="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498A598A">
            <w:pPr>
              <w:pStyle w:val="182"/>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分项价格</w:t>
            </w:r>
          </w:p>
        </w:tc>
      </w:tr>
      <w:tr w14:paraId="76095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4CB2D39F">
            <w:pPr>
              <w:widowControl/>
              <w:jc w:val="left"/>
              <w:rPr>
                <w:rFonts w:hint="eastAsia" w:ascii="仿宋" w:hAnsi="仿宋" w:eastAsia="仿宋" w:cs="仿宋"/>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295B8D23">
            <w:pPr>
              <w:pStyle w:val="182"/>
              <w:spacing w:line="560" w:lineRule="exact"/>
              <w:ind w:firstLine="200"/>
              <w:jc w:val="center"/>
              <w:rPr>
                <w:rFonts w:hint="eastAsia" w:ascii="仿宋" w:hAnsi="仿宋" w:eastAsia="仿宋" w:cs="仿宋"/>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78579D1A">
            <w:pPr>
              <w:pStyle w:val="182"/>
              <w:spacing w:line="560" w:lineRule="exact"/>
              <w:ind w:firstLine="200"/>
              <w:jc w:val="center"/>
              <w:rPr>
                <w:rFonts w:hint="eastAsia" w:ascii="仿宋" w:hAnsi="仿宋" w:eastAsia="仿宋" w:cs="仿宋"/>
                <w:color w:val="auto"/>
                <w:sz w:val="24"/>
                <w:szCs w:val="24"/>
                <w:highlight w:val="none"/>
              </w:rPr>
            </w:pPr>
          </w:p>
        </w:tc>
      </w:tr>
      <w:tr w14:paraId="7ED18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0FCC99A5">
            <w:pPr>
              <w:pStyle w:val="182"/>
              <w:spacing w:line="560" w:lineRule="exact"/>
              <w:ind w:firstLine="200"/>
              <w:jc w:val="center"/>
              <w:rPr>
                <w:rFonts w:hint="eastAsia" w:ascii="仿宋" w:hAnsi="仿宋" w:eastAsia="仿宋" w:cs="仿宋"/>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3C95019B">
            <w:pPr>
              <w:pStyle w:val="182"/>
              <w:spacing w:line="560" w:lineRule="exact"/>
              <w:ind w:firstLine="200"/>
              <w:jc w:val="center"/>
              <w:rPr>
                <w:rFonts w:hint="eastAsia" w:ascii="仿宋" w:hAnsi="仿宋" w:eastAsia="仿宋" w:cs="仿宋"/>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0939B9EC">
            <w:pPr>
              <w:pStyle w:val="182"/>
              <w:spacing w:line="560" w:lineRule="exact"/>
              <w:ind w:firstLine="200"/>
              <w:jc w:val="center"/>
              <w:rPr>
                <w:rFonts w:hint="eastAsia" w:ascii="仿宋" w:hAnsi="仿宋" w:eastAsia="仿宋" w:cs="仿宋"/>
                <w:color w:val="auto"/>
                <w:sz w:val="24"/>
                <w:szCs w:val="24"/>
                <w:highlight w:val="none"/>
              </w:rPr>
            </w:pPr>
          </w:p>
        </w:tc>
      </w:tr>
      <w:tr w14:paraId="5219C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4C665AD2">
            <w:pPr>
              <w:pStyle w:val="182"/>
              <w:spacing w:line="560" w:lineRule="exact"/>
              <w:ind w:firstLine="200"/>
              <w:jc w:val="center"/>
              <w:rPr>
                <w:rFonts w:hint="eastAsia" w:ascii="仿宋" w:hAnsi="仿宋" w:eastAsia="仿宋" w:cs="仿宋"/>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F0EE13A">
            <w:pPr>
              <w:pStyle w:val="182"/>
              <w:spacing w:line="560" w:lineRule="exact"/>
              <w:ind w:firstLine="200"/>
              <w:jc w:val="center"/>
              <w:rPr>
                <w:rFonts w:hint="eastAsia" w:ascii="仿宋" w:hAnsi="仿宋" w:eastAsia="仿宋" w:cs="仿宋"/>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7AEBDE66">
            <w:pPr>
              <w:pStyle w:val="182"/>
              <w:spacing w:line="560" w:lineRule="exact"/>
              <w:ind w:firstLine="200"/>
              <w:jc w:val="center"/>
              <w:rPr>
                <w:rFonts w:hint="eastAsia" w:ascii="仿宋" w:hAnsi="仿宋" w:eastAsia="仿宋" w:cs="仿宋"/>
                <w:color w:val="auto"/>
                <w:sz w:val="24"/>
                <w:szCs w:val="24"/>
                <w:highlight w:val="none"/>
              </w:rPr>
            </w:pPr>
          </w:p>
        </w:tc>
      </w:tr>
      <w:tr w14:paraId="2438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0D2D738B">
            <w:pPr>
              <w:pStyle w:val="182"/>
              <w:spacing w:line="560" w:lineRule="exact"/>
              <w:ind w:firstLine="200"/>
              <w:jc w:val="center"/>
              <w:rPr>
                <w:rFonts w:hint="eastAsia" w:ascii="仿宋" w:hAnsi="仿宋" w:eastAsia="仿宋" w:cs="仿宋"/>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20D0C7D5">
            <w:pPr>
              <w:pStyle w:val="182"/>
              <w:spacing w:line="560" w:lineRule="exact"/>
              <w:ind w:firstLine="200"/>
              <w:jc w:val="center"/>
              <w:rPr>
                <w:rFonts w:hint="eastAsia" w:ascii="仿宋" w:hAnsi="仿宋" w:eastAsia="仿宋" w:cs="仿宋"/>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14EDE194">
            <w:pPr>
              <w:pStyle w:val="182"/>
              <w:spacing w:line="560" w:lineRule="exact"/>
              <w:ind w:firstLine="200"/>
              <w:jc w:val="center"/>
              <w:rPr>
                <w:rFonts w:hint="eastAsia" w:ascii="仿宋" w:hAnsi="仿宋" w:eastAsia="仿宋" w:cs="仿宋"/>
                <w:color w:val="auto"/>
                <w:sz w:val="24"/>
                <w:szCs w:val="24"/>
                <w:highlight w:val="none"/>
              </w:rPr>
            </w:pPr>
          </w:p>
        </w:tc>
      </w:tr>
      <w:tr w14:paraId="6A63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48D0B1AD">
            <w:pPr>
              <w:pStyle w:val="182"/>
              <w:spacing w:line="560" w:lineRule="exact"/>
              <w:ind w:firstLine="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53FA442A">
            <w:pPr>
              <w:pStyle w:val="182"/>
              <w:spacing w:line="560" w:lineRule="exact"/>
              <w:ind w:firstLine="200"/>
              <w:jc w:val="center"/>
              <w:rPr>
                <w:rFonts w:hint="eastAsia" w:ascii="仿宋" w:hAnsi="仿宋" w:eastAsia="仿宋" w:cs="仿宋"/>
                <w:color w:val="auto"/>
                <w:sz w:val="24"/>
                <w:szCs w:val="24"/>
                <w:highlight w:val="none"/>
              </w:rPr>
            </w:pPr>
          </w:p>
        </w:tc>
      </w:tr>
    </w:tbl>
    <w:p w14:paraId="6F4F4D42">
      <w:pPr>
        <w:spacing w:line="440" w:lineRule="exact"/>
        <w:ind w:firstLine="482" w:firstLineChars="200"/>
        <w:outlineLvl w:val="0"/>
        <w:rPr>
          <w:rFonts w:hint="eastAsia" w:ascii="仿宋" w:hAnsi="仿宋" w:eastAsia="仿宋" w:cs="仿宋"/>
          <w:b/>
          <w:color w:val="auto"/>
          <w:sz w:val="24"/>
          <w:highlight w:val="none"/>
        </w:rPr>
      </w:pPr>
      <w:bookmarkStart w:id="22" w:name="_Toc10340"/>
      <w:bookmarkStart w:id="23" w:name="_Toc1814"/>
      <w:bookmarkStart w:id="24" w:name="_Toc22618"/>
      <w:bookmarkStart w:id="25" w:name="_Toc32071"/>
      <w:bookmarkStart w:id="26" w:name="_Toc19304"/>
      <w:bookmarkStart w:id="27" w:name="_Toc2846"/>
      <w:r>
        <w:rPr>
          <w:rFonts w:hint="eastAsia" w:ascii="仿宋" w:hAnsi="仿宋" w:eastAsia="仿宋" w:cs="仿宋"/>
          <w:b/>
          <w:color w:val="auto"/>
          <w:sz w:val="24"/>
          <w:highlight w:val="none"/>
        </w:rPr>
        <w:t>1.4 付款</w:t>
      </w:r>
      <w:bookmarkEnd w:id="22"/>
      <w:bookmarkEnd w:id="23"/>
      <w:bookmarkEnd w:id="24"/>
      <w:r>
        <w:rPr>
          <w:rFonts w:hint="eastAsia" w:ascii="仿宋" w:hAnsi="仿宋" w:eastAsia="仿宋" w:cs="仿宋"/>
          <w:b/>
          <w:color w:val="auto"/>
          <w:sz w:val="24"/>
          <w:highlight w:val="none"/>
        </w:rPr>
        <w:t>方式、时间和条件</w:t>
      </w:r>
    </w:p>
    <w:p w14:paraId="4EA7CC12">
      <w:pPr>
        <w:pStyle w:val="285"/>
        <w:spacing w:before="0" w:beforeAutospacing="0" w:after="0" w:afterAutospacing="0" w:line="44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1.4.1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5DDE5794">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1.4.2付款方式按《浙江省财政厅关于进一步发挥政府采购政策 功能全力推动经济稳进提质的通知》（浙财采监〔2022〕3号）文件要求执行，具体付款方式由双方协商后在合同中明确。不得把履约保证金转为质量保证金或收取质量保证金。</w:t>
      </w:r>
    </w:p>
    <w:p w14:paraId="3A9E8161">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1.4.3甲方迟延支付乙方款项的，向乙方支付逾期利息。双方可以在合同专用条款中约定逾期利率，约定利率不得低于合同订立时1年期贷款市场报价利率；未作约定的，按照每日利率万分之五支付逾期利息。</w:t>
      </w:r>
    </w:p>
    <w:p w14:paraId="1D19B16C">
      <w:pPr>
        <w:spacing w:line="440" w:lineRule="exact"/>
        <w:ind w:firstLine="480" w:firstLineChars="200"/>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1.4.4资金支付的方式、时间和条件详见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5B770E0F">
      <w:pPr>
        <w:spacing w:line="56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1.5</w:t>
      </w:r>
      <w:bookmarkEnd w:id="25"/>
      <w:bookmarkEnd w:id="26"/>
      <w:bookmarkEnd w:id="27"/>
      <w:bookmarkStart w:id="28" w:name="_Toc27250"/>
      <w:bookmarkStart w:id="29" w:name="_Toc19554"/>
      <w:bookmarkStart w:id="30" w:name="_Toc21423"/>
      <w:r>
        <w:rPr>
          <w:rFonts w:hint="eastAsia" w:ascii="仿宋" w:hAnsi="仿宋" w:eastAsia="仿宋" w:cs="仿宋"/>
          <w:b/>
          <w:color w:val="auto"/>
          <w:sz w:val="24"/>
          <w:highlight w:val="none"/>
        </w:rPr>
        <w:t>违约责任</w:t>
      </w:r>
      <w:bookmarkEnd w:id="28"/>
      <w:bookmarkEnd w:id="29"/>
      <w:bookmarkEnd w:id="30"/>
    </w:p>
    <w:p w14:paraId="3DF7320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1.5.1 除不可抗力外，如果乙方没有按照本合同约定的期限、地点和方式提供服务，那么甲方可要求乙方支付违约金，违约金按元/次计算，最高限额为本合同总价的%；未按要求提供服务的违约金计算数额达到前述最高限额之日起，甲方有权在要求乙方支付违约金的同时，书面通知乙方解除本合同；</w:t>
      </w:r>
    </w:p>
    <w:p w14:paraId="276ABF6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14:paraId="4CF682CE">
      <w:pPr>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1.5.3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A02032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3B89A50">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35ED01E">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1.5.6 如果出现政府采购监督管理部门在处理投诉事项期间，书面通知甲方暂停采购活动的情形，或者询问或质疑事项可能影响中标结果的，导致甲方中止履行合同的情形，均不视为甲方违约。</w:t>
      </w:r>
    </w:p>
    <w:p w14:paraId="5BC29CB4">
      <w:pPr>
        <w:spacing w:line="560" w:lineRule="exact"/>
        <w:ind w:left="-420" w:leftChars="-200" w:right="-420" w:rightChars="-200" w:firstLine="960" w:firstLineChars="400"/>
        <w:rPr>
          <w:rFonts w:hint="eastAsia" w:ascii="仿宋" w:hAnsi="仿宋" w:eastAsia="仿宋" w:cs="仿宋"/>
          <w:color w:val="auto"/>
          <w:highlight w:val="none"/>
        </w:rPr>
      </w:pPr>
      <w:r>
        <w:rPr>
          <w:rFonts w:hint="eastAsia" w:ascii="仿宋" w:hAnsi="仿宋" w:eastAsia="仿宋" w:cs="仿宋"/>
          <w:color w:val="auto"/>
          <w:sz w:val="24"/>
          <w:highlight w:val="none"/>
        </w:rPr>
        <w:t>1.5.7违约责任</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另有约定的，从其约定。</w:t>
      </w:r>
    </w:p>
    <w:p w14:paraId="2E22B593">
      <w:pPr>
        <w:spacing w:line="560" w:lineRule="exact"/>
        <w:ind w:firstLine="482" w:firstLineChars="200"/>
        <w:outlineLvl w:val="0"/>
        <w:rPr>
          <w:rFonts w:hint="eastAsia" w:ascii="仿宋" w:hAnsi="仿宋" w:eastAsia="仿宋" w:cs="仿宋"/>
          <w:b/>
          <w:color w:val="auto"/>
          <w:sz w:val="24"/>
          <w:highlight w:val="none"/>
        </w:rPr>
      </w:pPr>
      <w:bookmarkStart w:id="31" w:name="_Toc16021"/>
      <w:bookmarkStart w:id="32" w:name="_Toc15583"/>
      <w:bookmarkStart w:id="33" w:name="_Toc28375"/>
      <w:r>
        <w:rPr>
          <w:rFonts w:hint="eastAsia" w:ascii="仿宋" w:hAnsi="仿宋" w:eastAsia="仿宋" w:cs="仿宋"/>
          <w:b/>
          <w:color w:val="auto"/>
          <w:sz w:val="24"/>
          <w:highlight w:val="none"/>
        </w:rPr>
        <w:t>1.6合同争议的解决</w:t>
      </w:r>
      <w:bookmarkEnd w:id="31"/>
      <w:bookmarkEnd w:id="32"/>
      <w:bookmarkEnd w:id="33"/>
    </w:p>
    <w:p w14:paraId="74087C53">
      <w:pPr>
        <w:spacing w:line="560" w:lineRule="exact"/>
        <w:ind w:left="-61" w:leftChars="-29" w:right="-420" w:rightChars="-200"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本合同履行过程中发生的任何争议，双方当事人均可通过和解或者调解解决；不愿和解、调解或者和解、调解不成的，可以选择以下第</w:t>
      </w:r>
      <w:r>
        <w:rPr>
          <w:rFonts w:hint="eastAsia" w:ascii="仿宋" w:hAnsi="仿宋" w:eastAsia="仿宋" w:cs="仿宋"/>
          <w:b/>
          <w:i/>
          <w:color w:val="auto"/>
          <w:sz w:val="24"/>
          <w:highlight w:val="none"/>
          <w:u w:val="single"/>
        </w:rPr>
        <w:t xml:space="preserve"> 合同专用条款  </w:t>
      </w:r>
      <w:r>
        <w:rPr>
          <w:rFonts w:hint="eastAsia" w:ascii="仿宋" w:hAnsi="仿宋" w:eastAsia="仿宋" w:cs="仿宋"/>
          <w:color w:val="auto"/>
          <w:sz w:val="24"/>
          <w:highlight w:val="none"/>
        </w:rPr>
        <w:t>条款规定的方式解决：</w:t>
      </w:r>
    </w:p>
    <w:p w14:paraId="6F922081">
      <w:pPr>
        <w:spacing w:line="560" w:lineRule="exact"/>
        <w:ind w:left="-420" w:leftChars="-200" w:right="-420" w:rightChars="-200"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1.6.1 将争议提交</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仲裁委员会依申请仲裁时其现行有效的仲裁规则裁决；</w:t>
      </w:r>
    </w:p>
    <w:p w14:paraId="52FD20CB">
      <w:pPr>
        <w:spacing w:line="560" w:lineRule="exact"/>
        <w:ind w:left="-420" w:leftChars="-200" w:right="-420" w:rightChars="-200"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1.6.2 向</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人民法院起诉。</w:t>
      </w:r>
    </w:p>
    <w:p w14:paraId="6E810F21">
      <w:pPr>
        <w:spacing w:line="560" w:lineRule="exact"/>
        <w:ind w:firstLine="482" w:firstLineChars="200"/>
        <w:outlineLvl w:val="0"/>
        <w:rPr>
          <w:rFonts w:hint="eastAsia" w:ascii="仿宋" w:hAnsi="仿宋" w:eastAsia="仿宋" w:cs="仿宋"/>
          <w:b/>
          <w:color w:val="auto"/>
          <w:sz w:val="24"/>
          <w:highlight w:val="none"/>
        </w:rPr>
      </w:pPr>
      <w:bookmarkStart w:id="34" w:name="_Toc15322"/>
      <w:bookmarkStart w:id="35" w:name="_Toc11173"/>
      <w:bookmarkStart w:id="36" w:name="_Toc7245"/>
      <w:r>
        <w:rPr>
          <w:rFonts w:hint="eastAsia" w:ascii="仿宋" w:hAnsi="仿宋" w:eastAsia="仿宋" w:cs="仿宋"/>
          <w:b/>
          <w:color w:val="auto"/>
          <w:sz w:val="24"/>
          <w:highlight w:val="none"/>
        </w:rPr>
        <w:t>1.7合同生效</w:t>
      </w:r>
      <w:bookmarkEnd w:id="34"/>
      <w:bookmarkEnd w:id="35"/>
      <w:bookmarkEnd w:id="36"/>
    </w:p>
    <w:p w14:paraId="38AE925A">
      <w:pPr>
        <w:spacing w:line="560" w:lineRule="exact"/>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本合同自双方当事人盖章或者签字时生效。</w:t>
      </w:r>
    </w:p>
    <w:p w14:paraId="1C3CA53B">
      <w:pPr>
        <w:autoSpaceDE w:val="0"/>
        <w:autoSpaceDN w:val="0"/>
        <w:spacing w:line="560" w:lineRule="exact"/>
        <w:rPr>
          <w:rFonts w:hint="eastAsia" w:ascii="仿宋" w:hAnsi="仿宋" w:eastAsia="仿宋" w:cs="仿宋"/>
          <w:color w:val="auto"/>
          <w:sz w:val="24"/>
          <w:highlight w:val="none"/>
          <w:lang w:val="zh-CN"/>
        </w:rPr>
      </w:pPr>
    </w:p>
    <w:p w14:paraId="1B5EBDCA">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b/>
          <w:color w:val="auto"/>
          <w:sz w:val="24"/>
          <w:highlight w:val="none"/>
          <w:lang w:val="zh-CN"/>
        </w:rPr>
        <w:t>甲方</w:t>
      </w:r>
      <w:r>
        <w:rPr>
          <w:rFonts w:hint="eastAsia" w:ascii="仿宋" w:hAnsi="仿宋" w:eastAsia="仿宋" w:cs="仿宋"/>
          <w:color w:val="auto"/>
          <w:sz w:val="24"/>
          <w:highlight w:val="none"/>
          <w:lang w:val="zh-CN"/>
        </w:rPr>
        <w:t>：</w:t>
      </w:r>
      <w:r>
        <w:rPr>
          <w:rFonts w:hint="eastAsia" w:ascii="仿宋" w:hAnsi="仿宋" w:eastAsia="仿宋" w:cs="仿宋"/>
          <w:b/>
          <w:color w:val="auto"/>
          <w:sz w:val="24"/>
          <w:highlight w:val="none"/>
          <w:lang w:val="zh-CN"/>
        </w:rPr>
        <w:t xml:space="preserve">      </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lang w:val="zh-CN"/>
        </w:rPr>
        <w:t>乙方</w:t>
      </w:r>
      <w:r>
        <w:rPr>
          <w:rFonts w:hint="eastAsia" w:ascii="仿宋" w:hAnsi="仿宋" w:eastAsia="仿宋" w:cs="仿宋"/>
          <w:color w:val="auto"/>
          <w:sz w:val="24"/>
          <w:highlight w:val="none"/>
          <w:lang w:val="zh-CN"/>
        </w:rPr>
        <w:t>：</w:t>
      </w:r>
    </w:p>
    <w:p w14:paraId="3CEC0C58">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统一社会信用代码：</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统一社会信用代码或身份证号码：</w:t>
      </w:r>
    </w:p>
    <w:p w14:paraId="1A6A8A5C">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住所：</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住所：</w:t>
      </w:r>
    </w:p>
    <w:p w14:paraId="2D3CC41A">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法定代表人或授权代表（签字）：</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 xml:space="preserve">法定代表人或授权代表（签字）:                         </w:t>
      </w:r>
    </w:p>
    <w:p w14:paraId="25DA066E">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联系人：</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联系人：</w:t>
      </w:r>
    </w:p>
    <w:p w14:paraId="2C873E44">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约定送达地址：</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约定送达地址：</w:t>
      </w:r>
    </w:p>
    <w:p w14:paraId="3D216436">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邮政编码：</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邮政编码：</w:t>
      </w:r>
    </w:p>
    <w:p w14:paraId="09370001">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电话:                              电话: </w:t>
      </w:r>
    </w:p>
    <w:p w14:paraId="1102F5B8">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传真:                              传真:</w:t>
      </w:r>
    </w:p>
    <w:p w14:paraId="27E2FAB9">
      <w:pPr>
        <w:autoSpaceDE w:val="0"/>
        <w:autoSpaceDN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电子邮箱：</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电子邮箱：</w:t>
      </w:r>
    </w:p>
    <w:p w14:paraId="35D3FDFC">
      <w:pPr>
        <w:autoSpaceDE w:val="0"/>
        <w:autoSpaceDN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开户银行：                         开户银行： </w:t>
      </w:r>
    </w:p>
    <w:p w14:paraId="0524A641">
      <w:pPr>
        <w:autoSpaceDE w:val="0"/>
        <w:autoSpaceDN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开户名称：                         开户名称： </w:t>
      </w:r>
    </w:p>
    <w:p w14:paraId="15A02513">
      <w:pPr>
        <w:autoSpaceDE w:val="0"/>
        <w:autoSpaceDN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开户账号：</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开户账号：</w:t>
      </w:r>
    </w:p>
    <w:p w14:paraId="19FB31DF">
      <w:pPr>
        <w:rPr>
          <w:rFonts w:hint="eastAsia" w:ascii="仿宋" w:hAnsi="仿宋" w:eastAsia="仿宋" w:cs="仿宋"/>
          <w:color w:val="auto"/>
          <w:sz w:val="24"/>
          <w:highlight w:val="none"/>
          <w:u w:val="single"/>
        </w:rPr>
      </w:pPr>
    </w:p>
    <w:p w14:paraId="3B034799">
      <w:pPr>
        <w:pStyle w:val="284"/>
        <w:pageBreakBefore/>
        <w:spacing w:line="560" w:lineRule="exact"/>
        <w:ind w:firstLine="723"/>
        <w:jc w:val="center"/>
        <w:rPr>
          <w:rFonts w:hint="eastAsia" w:ascii="仿宋" w:hAnsi="仿宋" w:eastAsia="仿宋" w:cs="仿宋"/>
          <w:b/>
          <w:color w:val="auto"/>
          <w:sz w:val="36"/>
          <w:szCs w:val="36"/>
          <w:highlight w:val="none"/>
        </w:rPr>
      </w:pPr>
      <w:bookmarkStart w:id="37" w:name="_Toc331685783"/>
      <w:r>
        <w:rPr>
          <w:rFonts w:hint="eastAsia" w:ascii="仿宋" w:hAnsi="仿宋" w:eastAsia="仿宋" w:cs="仿宋"/>
          <w:b/>
          <w:color w:val="auto"/>
          <w:sz w:val="36"/>
          <w:szCs w:val="36"/>
          <w:highlight w:val="none"/>
        </w:rPr>
        <w:t>第二部分合同一般条款</w:t>
      </w:r>
      <w:bookmarkEnd w:id="37"/>
    </w:p>
    <w:p w14:paraId="621BFD91">
      <w:pPr>
        <w:spacing w:line="560" w:lineRule="exact"/>
        <w:ind w:firstLine="482" w:firstLineChars="200"/>
        <w:outlineLvl w:val="0"/>
        <w:rPr>
          <w:rFonts w:hint="eastAsia" w:ascii="仿宋" w:hAnsi="仿宋" w:eastAsia="仿宋" w:cs="仿宋"/>
          <w:b/>
          <w:color w:val="auto"/>
          <w:sz w:val="24"/>
          <w:highlight w:val="none"/>
        </w:rPr>
      </w:pPr>
      <w:bookmarkStart w:id="38" w:name="_Toc16917"/>
      <w:bookmarkStart w:id="39" w:name="_Toc28763"/>
      <w:bookmarkStart w:id="40" w:name="_Toc279701240"/>
      <w:bookmarkStart w:id="41" w:name="_Ref467379101"/>
      <w:bookmarkStart w:id="42" w:name="_Ref467378499"/>
      <w:bookmarkStart w:id="43" w:name="_Ref467379214"/>
      <w:bookmarkStart w:id="44" w:name="_Ref467379094"/>
      <w:bookmarkStart w:id="45" w:name="_Ref467379225"/>
      <w:bookmarkStart w:id="46" w:name="_Ref467378463"/>
      <w:bookmarkStart w:id="47" w:name="_Ref467379109"/>
      <w:bookmarkStart w:id="48" w:name="_Ref467379205"/>
      <w:bookmarkStart w:id="49" w:name="_Toc259093669"/>
      <w:bookmarkStart w:id="50" w:name="_Ref467378404"/>
      <w:bookmarkStart w:id="51" w:name="_Toc487900349"/>
      <w:bookmarkStart w:id="52" w:name="_Toc19614"/>
      <w:bookmarkStart w:id="53" w:name="_Ref467379195"/>
      <w:r>
        <w:rPr>
          <w:rFonts w:hint="eastAsia" w:ascii="仿宋" w:hAnsi="仿宋" w:eastAsia="仿宋" w:cs="仿宋"/>
          <w:b/>
          <w:color w:val="auto"/>
          <w:sz w:val="24"/>
          <w:highlight w:val="none"/>
        </w:rPr>
        <w:t>2.1 定义</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6E877F36">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本合同中的下列词语应按以下内容进行解释：</w:t>
      </w:r>
    </w:p>
    <w:p w14:paraId="4B61FB22">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 “合同”系指采购人和中标供应商签订的载明双方当事人所达成的协议，并包括所有的附件、附录和构成合同的其他文件。</w:t>
      </w:r>
    </w:p>
    <w:p w14:paraId="2D08F71F">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2.1.2 “合同价”系指根据合同约定，中标供应商在完全履行合同义务后，采购人应支付给中标供应商的价格。</w:t>
      </w:r>
    </w:p>
    <w:p w14:paraId="6D98D42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 “货物”系指中标供应商根据合同约定应向采购人交付的一切各种形态和种类的物品，包括原材料、燃料、设备、机械、仪表、备件、计算机软件、产品等，并包括工具、手册等其他相关资料。</w:t>
      </w:r>
    </w:p>
    <w:p w14:paraId="72765C46">
      <w:pPr>
        <w:spacing w:line="560" w:lineRule="exact"/>
        <w:ind w:firstLine="480" w:firstLineChars="200"/>
        <w:rPr>
          <w:rFonts w:hint="eastAsia" w:ascii="仿宋" w:hAnsi="仿宋" w:eastAsia="仿宋" w:cs="仿宋"/>
          <w:color w:val="auto"/>
          <w:sz w:val="24"/>
          <w:highlight w:val="none"/>
        </w:rPr>
      </w:pPr>
      <w:bookmarkStart w:id="54" w:name="_Ref467378840"/>
      <w:r>
        <w:rPr>
          <w:rFonts w:hint="eastAsia" w:ascii="仿宋" w:hAnsi="仿宋" w:eastAsia="仿宋" w:cs="仿宋"/>
          <w:color w:val="auto"/>
          <w:sz w:val="24"/>
          <w:highlight w:val="none"/>
        </w:rPr>
        <w:t>2.1.4 “甲方”系指与中标供应商签署合同的采购人</w:t>
      </w:r>
      <w:bookmarkEnd w:id="54"/>
      <w:r>
        <w:rPr>
          <w:rFonts w:hint="eastAsia" w:ascii="仿宋" w:hAnsi="仿宋" w:eastAsia="仿宋" w:cs="仿宋"/>
          <w:color w:val="auto"/>
          <w:sz w:val="24"/>
          <w:highlight w:val="none"/>
        </w:rPr>
        <w:t>。</w:t>
      </w:r>
    </w:p>
    <w:p w14:paraId="3A741D87">
      <w:pPr>
        <w:spacing w:line="560" w:lineRule="exact"/>
        <w:ind w:firstLine="480" w:firstLineChars="200"/>
        <w:rPr>
          <w:rFonts w:hint="eastAsia" w:ascii="仿宋" w:hAnsi="仿宋" w:eastAsia="仿宋" w:cs="仿宋"/>
          <w:color w:val="auto"/>
          <w:sz w:val="24"/>
          <w:highlight w:val="none"/>
          <w:lang w:eastAsia="zh-CN"/>
        </w:rPr>
      </w:pPr>
      <w:bookmarkStart w:id="55" w:name="_Ref467379400"/>
      <w:r>
        <w:rPr>
          <w:rFonts w:hint="eastAsia" w:ascii="仿宋" w:hAnsi="仿宋" w:eastAsia="仿宋" w:cs="仿宋"/>
          <w:color w:val="auto"/>
          <w:sz w:val="24"/>
          <w:highlight w:val="none"/>
        </w:rPr>
        <w:t>2.1.5 “乙方”系指根据合同约定交付货物的中标供应商</w:t>
      </w:r>
      <w:bookmarkEnd w:id="55"/>
      <w:r>
        <w:rPr>
          <w:rFonts w:hint="eastAsia" w:ascii="仿宋" w:hAnsi="仿宋" w:eastAsia="仿宋" w:cs="仿宋"/>
          <w:color w:val="auto"/>
          <w:sz w:val="24"/>
          <w:highlight w:val="none"/>
          <w:lang w:eastAsia="zh-CN"/>
        </w:rPr>
        <w:t>。</w:t>
      </w:r>
    </w:p>
    <w:p w14:paraId="7705C690">
      <w:pPr>
        <w:spacing w:line="560" w:lineRule="exact"/>
        <w:ind w:firstLine="480" w:firstLineChars="200"/>
        <w:rPr>
          <w:rFonts w:hint="eastAsia" w:ascii="仿宋" w:hAnsi="仿宋" w:eastAsia="仿宋" w:cs="仿宋"/>
          <w:color w:val="auto"/>
          <w:sz w:val="24"/>
          <w:highlight w:val="none"/>
        </w:rPr>
      </w:pPr>
      <w:bookmarkStart w:id="56" w:name="_Ref467379436"/>
      <w:r>
        <w:rPr>
          <w:rFonts w:hint="eastAsia" w:ascii="仿宋" w:hAnsi="仿宋" w:eastAsia="仿宋" w:cs="仿宋"/>
          <w:color w:val="auto"/>
          <w:sz w:val="24"/>
          <w:highlight w:val="none"/>
        </w:rPr>
        <w:t>2.1.6 “现场”系指合同约定货物将要运至或者安装的地点。</w:t>
      </w:r>
      <w:bookmarkEnd w:id="56"/>
    </w:p>
    <w:p w14:paraId="1FD3CF4D">
      <w:pPr>
        <w:spacing w:line="560" w:lineRule="exact"/>
        <w:ind w:firstLine="482" w:firstLineChars="200"/>
        <w:outlineLvl w:val="0"/>
        <w:rPr>
          <w:rFonts w:hint="eastAsia" w:ascii="仿宋" w:hAnsi="仿宋" w:eastAsia="仿宋" w:cs="仿宋"/>
          <w:b/>
          <w:color w:val="auto"/>
          <w:sz w:val="24"/>
          <w:highlight w:val="none"/>
        </w:rPr>
      </w:pPr>
      <w:bookmarkStart w:id="57" w:name="_Toc27635"/>
      <w:bookmarkStart w:id="58" w:name="_Toc32504"/>
      <w:bookmarkStart w:id="59" w:name="_Toc279701241"/>
      <w:bookmarkStart w:id="60" w:name="_Toc487900350"/>
      <w:bookmarkStart w:id="61" w:name="_Toc13336"/>
      <w:bookmarkStart w:id="62" w:name="_Toc259093670"/>
      <w:r>
        <w:rPr>
          <w:rFonts w:hint="eastAsia" w:ascii="仿宋" w:hAnsi="仿宋" w:eastAsia="仿宋" w:cs="仿宋"/>
          <w:b/>
          <w:color w:val="auto"/>
          <w:sz w:val="24"/>
          <w:highlight w:val="none"/>
        </w:rPr>
        <w:t>2.2 技术规范</w:t>
      </w:r>
      <w:bookmarkEnd w:id="57"/>
      <w:bookmarkEnd w:id="58"/>
      <w:bookmarkEnd w:id="59"/>
      <w:bookmarkEnd w:id="60"/>
      <w:bookmarkEnd w:id="61"/>
      <w:bookmarkEnd w:id="62"/>
    </w:p>
    <w:p w14:paraId="6D5B31C5">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29DF57CD">
      <w:pPr>
        <w:spacing w:line="560" w:lineRule="exact"/>
        <w:ind w:firstLine="482" w:firstLineChars="200"/>
        <w:outlineLvl w:val="0"/>
        <w:rPr>
          <w:rFonts w:hint="eastAsia" w:ascii="仿宋" w:hAnsi="仿宋" w:eastAsia="仿宋" w:cs="仿宋"/>
          <w:b/>
          <w:color w:val="auto"/>
          <w:sz w:val="24"/>
          <w:highlight w:val="none"/>
        </w:rPr>
      </w:pPr>
      <w:bookmarkStart w:id="63" w:name="_Toc259093671"/>
      <w:bookmarkStart w:id="64" w:name="_Toc279701242"/>
      <w:bookmarkStart w:id="65" w:name="_Toc9829"/>
      <w:bookmarkStart w:id="66" w:name="_Toc27853"/>
      <w:bookmarkStart w:id="67" w:name="_Toc487900351"/>
      <w:bookmarkStart w:id="68" w:name="_Toc31634"/>
      <w:r>
        <w:rPr>
          <w:rFonts w:hint="eastAsia" w:ascii="仿宋" w:hAnsi="仿宋" w:eastAsia="仿宋" w:cs="仿宋"/>
          <w:b/>
          <w:color w:val="auto"/>
          <w:sz w:val="24"/>
          <w:highlight w:val="none"/>
        </w:rPr>
        <w:t>2.3 知识产权</w:t>
      </w:r>
      <w:bookmarkEnd w:id="63"/>
      <w:bookmarkEnd w:id="64"/>
      <w:bookmarkEnd w:id="65"/>
      <w:bookmarkEnd w:id="66"/>
      <w:bookmarkEnd w:id="67"/>
      <w:bookmarkEnd w:id="68"/>
    </w:p>
    <w:p w14:paraId="277D3362">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6DA1987C">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2.3.2具有知识产权的计算机软件等货物的知识产权归属，详见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0BD85A31">
      <w:pPr>
        <w:spacing w:line="560" w:lineRule="exact"/>
        <w:ind w:firstLine="482" w:firstLineChars="200"/>
        <w:outlineLvl w:val="0"/>
        <w:rPr>
          <w:rFonts w:hint="eastAsia" w:ascii="仿宋" w:hAnsi="仿宋" w:eastAsia="仿宋" w:cs="仿宋"/>
          <w:b/>
          <w:color w:val="auto"/>
          <w:sz w:val="24"/>
          <w:highlight w:val="none"/>
        </w:rPr>
      </w:pPr>
      <w:bookmarkStart w:id="69" w:name="_Toc11932"/>
      <w:bookmarkStart w:id="70" w:name="_Toc4194"/>
      <w:bookmarkStart w:id="71" w:name="_Toc29149"/>
      <w:r>
        <w:rPr>
          <w:rFonts w:hint="eastAsia" w:ascii="仿宋" w:hAnsi="仿宋" w:eastAsia="仿宋" w:cs="仿宋"/>
          <w:b/>
          <w:color w:val="auto"/>
          <w:sz w:val="24"/>
          <w:highlight w:val="none"/>
        </w:rPr>
        <w:t>2.4 包装和装运</w:t>
      </w:r>
      <w:bookmarkEnd w:id="69"/>
      <w:bookmarkEnd w:id="70"/>
      <w:bookmarkEnd w:id="71"/>
    </w:p>
    <w:p w14:paraId="3EAB4183">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2.4.1除</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7C9694F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2.4.2乙方提供产品及相关快递服务的具体包装要求应符合《商品包装政府采购需求标准（试行）》《快递包装政府采购需求标准（试行）》，并作为履约验收的内容，必要时甲方可以要求乙方在履约验收环节出具检测报告。 </w:t>
      </w:r>
    </w:p>
    <w:p w14:paraId="6316E69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2.4.2 装运货物的要求和通知，详见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6BFB68F3">
      <w:pPr>
        <w:spacing w:line="560" w:lineRule="exact"/>
        <w:ind w:firstLine="482" w:firstLineChars="200"/>
        <w:outlineLvl w:val="0"/>
        <w:rPr>
          <w:rFonts w:hint="eastAsia" w:ascii="仿宋" w:hAnsi="仿宋" w:eastAsia="仿宋" w:cs="仿宋"/>
          <w:b/>
          <w:color w:val="auto"/>
          <w:sz w:val="24"/>
          <w:highlight w:val="none"/>
        </w:rPr>
      </w:pPr>
      <w:bookmarkStart w:id="72" w:name="_Ref467379527"/>
      <w:bookmarkStart w:id="73" w:name="_Toc259093674"/>
      <w:bookmarkStart w:id="74" w:name="_Toc279701245"/>
      <w:bookmarkStart w:id="75" w:name="_Ref467378541"/>
      <w:bookmarkStart w:id="76" w:name="_Ref467378591"/>
      <w:bookmarkStart w:id="77" w:name="_Ref467379542"/>
      <w:bookmarkStart w:id="78" w:name="_Toc487900354"/>
      <w:bookmarkStart w:id="79" w:name="_Ref467379536"/>
      <w:bookmarkStart w:id="80" w:name="_Toc26182"/>
      <w:bookmarkStart w:id="81" w:name="_Toc19074"/>
      <w:bookmarkStart w:id="82" w:name="_Toc30272"/>
      <w:r>
        <w:rPr>
          <w:rFonts w:hint="eastAsia" w:ascii="仿宋" w:hAnsi="仿宋" w:eastAsia="仿宋" w:cs="仿宋"/>
          <w:b/>
          <w:color w:val="auto"/>
          <w:sz w:val="24"/>
          <w:highlight w:val="none"/>
        </w:rPr>
        <w:t>2.</w:t>
      </w:r>
      <w:bookmarkEnd w:id="72"/>
      <w:bookmarkEnd w:id="73"/>
      <w:bookmarkEnd w:id="74"/>
      <w:bookmarkEnd w:id="75"/>
      <w:bookmarkEnd w:id="76"/>
      <w:bookmarkEnd w:id="77"/>
      <w:bookmarkEnd w:id="78"/>
      <w:bookmarkEnd w:id="79"/>
      <w:r>
        <w:rPr>
          <w:rFonts w:hint="eastAsia" w:ascii="仿宋" w:hAnsi="仿宋" w:eastAsia="仿宋" w:cs="仿宋"/>
          <w:b/>
          <w:color w:val="auto"/>
          <w:sz w:val="24"/>
          <w:highlight w:val="none"/>
        </w:rPr>
        <w:t>5 履约检查和问题反馈</w:t>
      </w:r>
      <w:bookmarkEnd w:id="80"/>
      <w:bookmarkEnd w:id="81"/>
      <w:bookmarkEnd w:id="82"/>
    </w:p>
    <w:p w14:paraId="75A273B1">
      <w:pPr>
        <w:spacing w:line="560" w:lineRule="exact"/>
        <w:ind w:firstLine="480" w:firstLineChars="200"/>
        <w:rPr>
          <w:rFonts w:hint="eastAsia" w:ascii="仿宋" w:hAnsi="仿宋" w:eastAsia="仿宋" w:cs="仿宋"/>
          <w:color w:val="auto"/>
          <w:sz w:val="24"/>
          <w:highlight w:val="none"/>
        </w:rPr>
      </w:pPr>
      <w:bookmarkStart w:id="83" w:name="_Ref467379657"/>
      <w:r>
        <w:rPr>
          <w:rFonts w:hint="eastAsia" w:ascii="仿宋" w:hAnsi="仿宋" w:eastAsia="仿宋" w:cs="仿宋"/>
          <w:color w:val="auto"/>
          <w:sz w:val="24"/>
          <w:highlight w:val="none"/>
        </w:rPr>
        <w:t>2.5.1</w:t>
      </w:r>
      <w:bookmarkEnd w:id="83"/>
      <w:bookmarkStart w:id="84" w:name="_Toc186431854"/>
      <w:bookmarkStart w:id="85" w:name="_Toc279701247"/>
      <w:bookmarkStart w:id="86" w:name="_Toc259093676"/>
      <w:bookmarkStart w:id="87" w:name="_Ref467379793"/>
      <w:bookmarkStart w:id="88" w:name="_Ref467379807"/>
      <w:bookmarkStart w:id="89" w:name="_Toc487900357"/>
      <w:r>
        <w:rPr>
          <w:rFonts w:hint="eastAsia" w:ascii="仿宋" w:hAnsi="仿宋" w:eastAsia="仿宋" w:cs="仿宋"/>
          <w:color w:val="auto"/>
          <w:sz w:val="24"/>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14:paraId="1E5BE0CF">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2.5.2 合同履行期间，甲方有权将履行过程中出现的问题反馈给乙方，双方当事人应以书面形式约定需要完善和改进的内容</w:t>
      </w:r>
      <w:bookmarkEnd w:id="84"/>
      <w:bookmarkStart w:id="90" w:name="_Toc186431855"/>
      <w:r>
        <w:rPr>
          <w:rFonts w:hint="eastAsia" w:ascii="仿宋" w:hAnsi="仿宋" w:eastAsia="仿宋" w:cs="仿宋"/>
          <w:color w:val="auto"/>
          <w:sz w:val="24"/>
          <w:highlight w:val="none"/>
        </w:rPr>
        <w:t>。</w:t>
      </w:r>
    </w:p>
    <w:bookmarkEnd w:id="85"/>
    <w:bookmarkEnd w:id="86"/>
    <w:bookmarkEnd w:id="87"/>
    <w:bookmarkEnd w:id="88"/>
    <w:bookmarkEnd w:id="89"/>
    <w:bookmarkEnd w:id="90"/>
    <w:p w14:paraId="5AB58D6D">
      <w:pPr>
        <w:spacing w:line="560" w:lineRule="exact"/>
        <w:ind w:firstLine="482" w:firstLineChars="200"/>
        <w:outlineLvl w:val="0"/>
        <w:rPr>
          <w:rFonts w:hint="eastAsia" w:ascii="仿宋" w:hAnsi="仿宋" w:eastAsia="仿宋" w:cs="仿宋"/>
          <w:b/>
          <w:color w:val="auto"/>
          <w:sz w:val="24"/>
          <w:highlight w:val="none"/>
        </w:rPr>
      </w:pPr>
      <w:bookmarkStart w:id="91" w:name="_Ref467379863"/>
      <w:bookmarkStart w:id="92" w:name="_Toc259093677"/>
      <w:bookmarkStart w:id="93" w:name="_Ref467379923"/>
      <w:bookmarkStart w:id="94" w:name="_Toc279701248"/>
      <w:bookmarkStart w:id="95" w:name="_Toc487900358"/>
      <w:bookmarkStart w:id="96" w:name="_Ref467379852"/>
      <w:bookmarkStart w:id="97" w:name="_Toc3225"/>
      <w:bookmarkStart w:id="98" w:name="_Toc16110"/>
      <w:bookmarkStart w:id="99" w:name="_Toc774"/>
      <w:r>
        <w:rPr>
          <w:rFonts w:hint="eastAsia" w:ascii="仿宋" w:hAnsi="仿宋" w:eastAsia="仿宋" w:cs="仿宋"/>
          <w:b/>
          <w:color w:val="auto"/>
          <w:sz w:val="24"/>
          <w:highlight w:val="none"/>
        </w:rPr>
        <w:t>2.6 技术资料</w:t>
      </w:r>
      <w:bookmarkEnd w:id="91"/>
      <w:bookmarkEnd w:id="92"/>
      <w:bookmarkEnd w:id="93"/>
      <w:bookmarkEnd w:id="94"/>
      <w:bookmarkEnd w:id="95"/>
      <w:bookmarkEnd w:id="96"/>
      <w:r>
        <w:rPr>
          <w:rFonts w:hint="eastAsia" w:ascii="仿宋" w:hAnsi="仿宋" w:eastAsia="仿宋" w:cs="仿宋"/>
          <w:b/>
          <w:color w:val="auto"/>
          <w:sz w:val="24"/>
          <w:highlight w:val="none"/>
        </w:rPr>
        <w:t>和保密义务</w:t>
      </w:r>
      <w:bookmarkEnd w:id="97"/>
      <w:bookmarkEnd w:id="98"/>
      <w:bookmarkEnd w:id="99"/>
    </w:p>
    <w:p w14:paraId="74CB1940">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2.6.1 乙方有权依据合同约定和项目需要，向甲方了解有关情况，调阅有关资料等，甲方应予积极配合；</w:t>
      </w:r>
    </w:p>
    <w:p w14:paraId="1C8AE6A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2.6.2 乙方有义务妥善保管和保护由甲方提供的前款信息和资料等；</w:t>
      </w:r>
    </w:p>
    <w:p w14:paraId="76905AF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DD0F49C">
      <w:pPr>
        <w:spacing w:line="560" w:lineRule="exact"/>
        <w:ind w:firstLine="482" w:firstLineChars="200"/>
        <w:outlineLvl w:val="0"/>
        <w:rPr>
          <w:rFonts w:hint="eastAsia" w:ascii="仿宋" w:hAnsi="仿宋" w:eastAsia="仿宋" w:cs="仿宋"/>
          <w:b/>
          <w:color w:val="auto"/>
          <w:sz w:val="24"/>
          <w:highlight w:val="none"/>
        </w:rPr>
      </w:pPr>
      <w:bookmarkStart w:id="100" w:name="_Toc7860"/>
      <w:r>
        <w:rPr>
          <w:rFonts w:hint="eastAsia" w:ascii="仿宋" w:hAnsi="仿宋" w:eastAsia="仿宋" w:cs="仿宋"/>
          <w:b/>
          <w:color w:val="auto"/>
          <w:sz w:val="24"/>
          <w:highlight w:val="none"/>
        </w:rPr>
        <w:t>2.7 质量保证</w:t>
      </w:r>
      <w:bookmarkEnd w:id="100"/>
    </w:p>
    <w:p w14:paraId="421E1192">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2.7.1 乙方应建立和完善履行合同的内部质量保证体系，并提供相关内部规章制度给甲方，以便甲方进行监督检查；</w:t>
      </w:r>
    </w:p>
    <w:p w14:paraId="140E359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2.7.2 乙方应保证履行合同的人员数量和素质、软件和硬件设备的配置、场地、环境和设施等满足全面履行合同的要求，并应接受甲方的监督检查。</w:t>
      </w:r>
    </w:p>
    <w:p w14:paraId="115EB67E">
      <w:pPr>
        <w:spacing w:line="560" w:lineRule="exact"/>
        <w:ind w:firstLine="482" w:firstLineChars="200"/>
        <w:outlineLvl w:val="0"/>
        <w:rPr>
          <w:rFonts w:hint="eastAsia" w:ascii="仿宋" w:hAnsi="仿宋" w:eastAsia="仿宋" w:cs="仿宋"/>
          <w:b/>
          <w:color w:val="auto"/>
          <w:sz w:val="24"/>
          <w:highlight w:val="none"/>
        </w:rPr>
      </w:pPr>
      <w:bookmarkStart w:id="101" w:name="_Toc17244"/>
      <w:bookmarkStart w:id="102" w:name="_Toc279701252"/>
      <w:bookmarkStart w:id="103" w:name="_Toc487900362"/>
      <w:bookmarkStart w:id="104" w:name="_Toc259093681"/>
      <w:r>
        <w:rPr>
          <w:rFonts w:hint="eastAsia" w:ascii="仿宋" w:hAnsi="仿宋" w:eastAsia="仿宋" w:cs="仿宋"/>
          <w:b/>
          <w:color w:val="auto"/>
          <w:sz w:val="24"/>
          <w:highlight w:val="none"/>
        </w:rPr>
        <w:t>2.8 货物的风险负担</w:t>
      </w:r>
      <w:bookmarkEnd w:id="101"/>
    </w:p>
    <w:p w14:paraId="65AD3CF9">
      <w:pPr>
        <w:spacing w:line="560" w:lineRule="exact"/>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货物或者在途货物或者交付给第一承运人后的货物毁损、灭失的风险负担详见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3CEDFBCE">
      <w:pPr>
        <w:spacing w:line="560" w:lineRule="exact"/>
        <w:ind w:firstLine="482" w:firstLineChars="200"/>
        <w:outlineLvl w:val="0"/>
        <w:rPr>
          <w:rFonts w:hint="eastAsia" w:ascii="仿宋" w:hAnsi="仿宋" w:eastAsia="仿宋" w:cs="仿宋"/>
          <w:b/>
          <w:color w:val="auto"/>
          <w:sz w:val="24"/>
          <w:highlight w:val="none"/>
        </w:rPr>
      </w:pPr>
      <w:bookmarkStart w:id="105" w:name="_Toc14055"/>
      <w:r>
        <w:rPr>
          <w:rFonts w:hint="eastAsia" w:ascii="仿宋" w:hAnsi="仿宋" w:eastAsia="仿宋" w:cs="仿宋"/>
          <w:b/>
          <w:color w:val="auto"/>
          <w:sz w:val="24"/>
          <w:highlight w:val="none"/>
        </w:rPr>
        <w:t>2.9 延迟交货</w:t>
      </w:r>
      <w:bookmarkEnd w:id="102"/>
      <w:bookmarkEnd w:id="103"/>
      <w:bookmarkEnd w:id="104"/>
      <w:bookmarkEnd w:id="105"/>
    </w:p>
    <w:p w14:paraId="2F3A82BA">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33D1CA86">
      <w:pPr>
        <w:spacing w:line="560" w:lineRule="exact"/>
        <w:ind w:firstLine="482" w:firstLineChars="200"/>
        <w:outlineLvl w:val="0"/>
        <w:rPr>
          <w:rFonts w:hint="eastAsia" w:ascii="仿宋" w:hAnsi="仿宋" w:eastAsia="仿宋" w:cs="仿宋"/>
          <w:b/>
          <w:color w:val="auto"/>
          <w:sz w:val="24"/>
          <w:highlight w:val="none"/>
        </w:rPr>
      </w:pPr>
      <w:bookmarkStart w:id="106" w:name="_Toc7502"/>
      <w:bookmarkStart w:id="107" w:name="_Ref467378121"/>
      <w:bookmarkStart w:id="108" w:name="_Toc259093683"/>
      <w:bookmarkStart w:id="109" w:name="_Toc487900364"/>
      <w:bookmarkStart w:id="110" w:name="_Toc279701254"/>
      <w:r>
        <w:rPr>
          <w:rFonts w:hint="eastAsia" w:ascii="仿宋" w:hAnsi="仿宋" w:eastAsia="仿宋" w:cs="仿宋"/>
          <w:b/>
          <w:color w:val="auto"/>
          <w:sz w:val="24"/>
          <w:highlight w:val="none"/>
        </w:rPr>
        <w:t>2.10 合同变更</w:t>
      </w:r>
      <w:bookmarkEnd w:id="106"/>
    </w:p>
    <w:p w14:paraId="5D3373D3">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合同继续履行将损害国家利益和社会公共利益的，双方当事人应当以书面形式变更合同。有过错的一方应当承担赔偿责任，双方当事人都有过错的，各自承担相应的责任。</w:t>
      </w:r>
      <w:bookmarkStart w:id="111" w:name="_Toc279701259"/>
      <w:bookmarkStart w:id="112" w:name="_Toc259093688"/>
      <w:bookmarkStart w:id="113" w:name="_Toc487900369"/>
    </w:p>
    <w:p w14:paraId="3569ED2B">
      <w:pPr>
        <w:spacing w:line="560" w:lineRule="exact"/>
        <w:ind w:firstLine="482" w:firstLineChars="200"/>
        <w:outlineLvl w:val="0"/>
        <w:rPr>
          <w:rFonts w:hint="eastAsia" w:ascii="仿宋" w:hAnsi="仿宋" w:eastAsia="仿宋" w:cs="仿宋"/>
          <w:b/>
          <w:color w:val="auto"/>
          <w:sz w:val="24"/>
          <w:highlight w:val="none"/>
        </w:rPr>
      </w:pPr>
      <w:bookmarkStart w:id="114" w:name="_Toc10366"/>
      <w:bookmarkStart w:id="115" w:name="_Toc22955"/>
      <w:bookmarkStart w:id="116" w:name="_Toc15237"/>
      <w:r>
        <w:rPr>
          <w:rFonts w:hint="eastAsia" w:ascii="仿宋" w:hAnsi="仿宋" w:eastAsia="仿宋" w:cs="仿宋"/>
          <w:b/>
          <w:color w:val="auto"/>
          <w:sz w:val="24"/>
          <w:highlight w:val="none"/>
        </w:rPr>
        <w:t>2.11 合同转让</w:t>
      </w:r>
      <w:bookmarkEnd w:id="111"/>
      <w:bookmarkEnd w:id="112"/>
      <w:bookmarkEnd w:id="113"/>
      <w:r>
        <w:rPr>
          <w:rFonts w:hint="eastAsia" w:ascii="仿宋" w:hAnsi="仿宋" w:eastAsia="仿宋" w:cs="仿宋"/>
          <w:b/>
          <w:color w:val="auto"/>
          <w:sz w:val="24"/>
          <w:highlight w:val="none"/>
        </w:rPr>
        <w:t>和分包</w:t>
      </w:r>
      <w:bookmarkEnd w:id="114"/>
      <w:bookmarkEnd w:id="115"/>
      <w:bookmarkEnd w:id="116"/>
      <w:r>
        <w:rPr>
          <w:rFonts w:hint="eastAsia" w:ascii="仿宋" w:hAnsi="仿宋" w:eastAsia="仿宋" w:cs="仿宋"/>
          <w:b/>
          <w:color w:val="auto"/>
          <w:sz w:val="24"/>
          <w:highlight w:val="none"/>
        </w:rPr>
        <w:t>（如有）</w:t>
      </w:r>
    </w:p>
    <w:p w14:paraId="21A2EB38">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17FCEEA">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2.11.2乙方采取分包方式履行合同的，甲方可直接向分包供应商支付款项。</w:t>
      </w:r>
    </w:p>
    <w:p w14:paraId="635B2149">
      <w:pPr>
        <w:spacing w:line="560" w:lineRule="exact"/>
        <w:ind w:firstLine="482" w:firstLineChars="200"/>
        <w:outlineLvl w:val="0"/>
        <w:rPr>
          <w:rFonts w:hint="eastAsia" w:ascii="仿宋" w:hAnsi="仿宋" w:eastAsia="仿宋" w:cs="仿宋"/>
          <w:b/>
          <w:color w:val="auto"/>
          <w:sz w:val="24"/>
          <w:highlight w:val="none"/>
        </w:rPr>
      </w:pPr>
      <w:bookmarkStart w:id="117" w:name="_Toc16508"/>
      <w:bookmarkStart w:id="118" w:name="_Toc14066"/>
      <w:bookmarkStart w:id="119" w:name="_Toc13566"/>
      <w:r>
        <w:rPr>
          <w:rFonts w:hint="eastAsia" w:ascii="仿宋" w:hAnsi="仿宋" w:eastAsia="仿宋" w:cs="仿宋"/>
          <w:b/>
          <w:color w:val="auto"/>
          <w:sz w:val="24"/>
          <w:highlight w:val="none"/>
        </w:rPr>
        <w:t>2.12 不可抗力</w:t>
      </w:r>
      <w:bookmarkEnd w:id="117"/>
      <w:bookmarkEnd w:id="118"/>
      <w:bookmarkEnd w:id="119"/>
    </w:p>
    <w:p w14:paraId="4B39BCFC">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2.12.1如果任何一方遭遇法律规定的不可抗力，致使合同履行受阻时，履行合同的期限应予延长，延长的期限应相当于不可抗力所影响的时间；</w:t>
      </w:r>
    </w:p>
    <w:p w14:paraId="30D2B706">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2.12.2 因不可抗力致使不能实现合同目的的，当事人可以解除合同；</w:t>
      </w:r>
    </w:p>
    <w:p w14:paraId="7574D0BA">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2.12.3 因不可抗力致使合同有变更必要的，双方当事人应在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约定时间内以书面形式变更合同；</w:t>
      </w:r>
    </w:p>
    <w:p w14:paraId="673DCDE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2.12.4受不可抗力影响的一方在不可抗力发生后，应在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约定时间内以书面形式通知对方当事人，并在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约定时间内，将有关部门出具的证明文件送达对方当事人。</w:t>
      </w:r>
    </w:p>
    <w:p w14:paraId="6AFC4E7D">
      <w:pPr>
        <w:spacing w:line="560" w:lineRule="exact"/>
        <w:ind w:firstLine="482" w:firstLineChars="200"/>
        <w:outlineLvl w:val="0"/>
        <w:rPr>
          <w:rFonts w:hint="eastAsia" w:ascii="仿宋" w:hAnsi="仿宋" w:eastAsia="仿宋" w:cs="仿宋"/>
          <w:b/>
          <w:color w:val="auto"/>
          <w:sz w:val="24"/>
          <w:highlight w:val="none"/>
        </w:rPr>
      </w:pPr>
      <w:bookmarkStart w:id="120" w:name="_Toc689"/>
      <w:bookmarkStart w:id="121" w:name="_Toc279701255"/>
      <w:bookmarkStart w:id="122" w:name="_Toc487900365"/>
      <w:bookmarkStart w:id="123" w:name="_Toc6969"/>
      <w:bookmarkStart w:id="124" w:name="_Toc259093684"/>
      <w:bookmarkStart w:id="125" w:name="_Toc30676"/>
      <w:r>
        <w:rPr>
          <w:rFonts w:hint="eastAsia" w:ascii="仿宋" w:hAnsi="仿宋" w:eastAsia="仿宋" w:cs="仿宋"/>
          <w:b/>
          <w:color w:val="auto"/>
          <w:sz w:val="24"/>
          <w:highlight w:val="none"/>
        </w:rPr>
        <w:t>2.13 税费</w:t>
      </w:r>
      <w:bookmarkEnd w:id="120"/>
      <w:bookmarkEnd w:id="121"/>
      <w:bookmarkEnd w:id="122"/>
      <w:bookmarkEnd w:id="123"/>
      <w:bookmarkEnd w:id="124"/>
      <w:bookmarkEnd w:id="125"/>
    </w:p>
    <w:p w14:paraId="00D849B6">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与合同有关的一切税费，均按照中华人民共和国法律的相关规定。</w:t>
      </w:r>
    </w:p>
    <w:p w14:paraId="7EDE3655">
      <w:pPr>
        <w:spacing w:line="560" w:lineRule="exact"/>
        <w:ind w:firstLine="482" w:firstLineChars="200"/>
        <w:outlineLvl w:val="0"/>
        <w:rPr>
          <w:rFonts w:hint="eastAsia" w:ascii="仿宋" w:hAnsi="仿宋" w:eastAsia="仿宋" w:cs="仿宋"/>
          <w:b/>
          <w:color w:val="auto"/>
          <w:sz w:val="24"/>
          <w:highlight w:val="none"/>
        </w:rPr>
      </w:pPr>
      <w:bookmarkStart w:id="126" w:name="_Toc259093687"/>
      <w:bookmarkStart w:id="127" w:name="_Toc16959"/>
      <w:bookmarkStart w:id="128" w:name="_Toc8298"/>
      <w:bookmarkStart w:id="129" w:name="_Toc487900368"/>
      <w:bookmarkStart w:id="130" w:name="_Toc279701258"/>
      <w:bookmarkStart w:id="131" w:name="_Toc7102"/>
      <w:r>
        <w:rPr>
          <w:rFonts w:hint="eastAsia" w:ascii="仿宋" w:hAnsi="仿宋" w:eastAsia="仿宋" w:cs="仿宋"/>
          <w:b/>
          <w:color w:val="auto"/>
          <w:sz w:val="24"/>
          <w:highlight w:val="none"/>
        </w:rPr>
        <w:t>2.14乙方破产</w:t>
      </w:r>
      <w:bookmarkEnd w:id="126"/>
      <w:bookmarkEnd w:id="127"/>
      <w:bookmarkEnd w:id="128"/>
      <w:bookmarkEnd w:id="129"/>
      <w:bookmarkEnd w:id="130"/>
      <w:bookmarkEnd w:id="131"/>
    </w:p>
    <w:p w14:paraId="6D95FAF3">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160B6DD">
      <w:pPr>
        <w:spacing w:line="560" w:lineRule="exact"/>
        <w:ind w:firstLine="482" w:firstLineChars="200"/>
        <w:outlineLvl w:val="0"/>
        <w:rPr>
          <w:rFonts w:hint="eastAsia" w:ascii="仿宋" w:hAnsi="仿宋" w:eastAsia="仿宋" w:cs="仿宋"/>
          <w:b/>
          <w:color w:val="auto"/>
          <w:sz w:val="24"/>
          <w:highlight w:val="none"/>
        </w:rPr>
      </w:pPr>
      <w:bookmarkStart w:id="132" w:name="_Toc15387"/>
      <w:bookmarkStart w:id="133" w:name="_Toc6134"/>
      <w:bookmarkStart w:id="134" w:name="_Toc29333"/>
      <w:r>
        <w:rPr>
          <w:rFonts w:hint="eastAsia" w:ascii="仿宋" w:hAnsi="仿宋" w:eastAsia="仿宋" w:cs="仿宋"/>
          <w:b/>
          <w:color w:val="auto"/>
          <w:sz w:val="24"/>
          <w:highlight w:val="none"/>
        </w:rPr>
        <w:t>2.15 合同中止、终止</w:t>
      </w:r>
      <w:bookmarkEnd w:id="132"/>
      <w:bookmarkEnd w:id="133"/>
      <w:bookmarkEnd w:id="134"/>
    </w:p>
    <w:p w14:paraId="2464BC3B">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2.15.1 双方当事人不得擅自中止或者终止合同；</w:t>
      </w:r>
    </w:p>
    <w:p w14:paraId="7624464A">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2.15.2合同继续履行将损害国家利益和社会公共利益的，双方当事人应当中止或者终止合同。有过错的一方应当承担赔偿责任，双方当事人都有过错的，各自承担相应的责任。</w:t>
      </w:r>
    </w:p>
    <w:p w14:paraId="38BE8D1D">
      <w:pPr>
        <w:spacing w:line="560" w:lineRule="exact"/>
        <w:ind w:firstLine="482" w:firstLineChars="200"/>
        <w:outlineLvl w:val="0"/>
        <w:rPr>
          <w:rFonts w:hint="eastAsia" w:ascii="仿宋" w:hAnsi="仿宋" w:eastAsia="仿宋" w:cs="仿宋"/>
          <w:b/>
          <w:color w:val="auto"/>
          <w:sz w:val="24"/>
          <w:highlight w:val="none"/>
        </w:rPr>
      </w:pPr>
      <w:bookmarkStart w:id="135" w:name="_Toc6596"/>
      <w:bookmarkStart w:id="136" w:name="_Toc14563"/>
      <w:bookmarkStart w:id="137" w:name="_Toc1125"/>
      <w:r>
        <w:rPr>
          <w:rFonts w:hint="eastAsia" w:ascii="仿宋" w:hAnsi="仿宋" w:eastAsia="仿宋" w:cs="仿宋"/>
          <w:b/>
          <w:color w:val="auto"/>
          <w:sz w:val="24"/>
          <w:highlight w:val="none"/>
        </w:rPr>
        <w:t>2.16检验和验收</w:t>
      </w:r>
      <w:bookmarkEnd w:id="135"/>
      <w:bookmarkEnd w:id="136"/>
      <w:bookmarkEnd w:id="137"/>
    </w:p>
    <w:p w14:paraId="5BA1D077">
      <w:pPr>
        <w:tabs>
          <w:tab w:val="left" w:pos="360"/>
          <w:tab w:val="left" w:pos="540"/>
          <w:tab w:val="left" w:pos="1080"/>
        </w:tabs>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2.16.1货物交付前，乙方应对货物的质量、数量等方面进行详细、全面的检验，并向甲方出具证明货物符合合同约定的文件；货物交付时，乙方在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约定时间内组织验收，并可依法邀请相关方参加，验收应出具验收书。</w:t>
      </w:r>
    </w:p>
    <w:p w14:paraId="3C9B627D">
      <w:pPr>
        <w:tabs>
          <w:tab w:val="left" w:pos="360"/>
          <w:tab w:val="left" w:pos="540"/>
          <w:tab w:val="left" w:pos="1080"/>
        </w:tabs>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2.16.2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02EC7FBC">
      <w:pPr>
        <w:tabs>
          <w:tab w:val="left" w:pos="360"/>
          <w:tab w:val="left" w:pos="540"/>
          <w:tab w:val="left" w:pos="1080"/>
        </w:tabs>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2.16.3 检验和验收标准、程序等具体内容以及前述验收书的效力详见</w:t>
      </w:r>
      <w:r>
        <w:rPr>
          <w:rFonts w:hint="eastAsia" w:ascii="仿宋" w:hAnsi="仿宋" w:eastAsia="仿宋" w:cs="仿宋"/>
          <w:b/>
          <w:i/>
          <w:color w:val="auto"/>
          <w:sz w:val="24"/>
          <w:highlight w:val="none"/>
          <w:u w:val="single"/>
        </w:rPr>
        <w:t>合同专用条款</w:t>
      </w:r>
      <w:r>
        <w:rPr>
          <w:rFonts w:hint="eastAsia" w:ascii="仿宋" w:hAnsi="仿宋" w:eastAsia="仿宋" w:cs="仿宋"/>
          <w:i/>
          <w:color w:val="auto"/>
          <w:sz w:val="24"/>
          <w:highlight w:val="none"/>
        </w:rPr>
        <w:t>。</w:t>
      </w:r>
    </w:p>
    <w:bookmarkEnd w:id="107"/>
    <w:bookmarkEnd w:id="108"/>
    <w:bookmarkEnd w:id="109"/>
    <w:bookmarkEnd w:id="110"/>
    <w:p w14:paraId="1AF7BAF3">
      <w:pPr>
        <w:spacing w:line="560" w:lineRule="exact"/>
        <w:ind w:firstLine="482" w:firstLineChars="200"/>
        <w:outlineLvl w:val="0"/>
        <w:rPr>
          <w:rFonts w:hint="eastAsia" w:ascii="仿宋" w:hAnsi="仿宋" w:eastAsia="仿宋" w:cs="仿宋"/>
          <w:b/>
          <w:color w:val="auto"/>
          <w:sz w:val="24"/>
          <w:highlight w:val="none"/>
        </w:rPr>
      </w:pPr>
      <w:bookmarkStart w:id="138" w:name="_Toc279701261"/>
      <w:bookmarkStart w:id="139" w:name="_Toc487900371"/>
      <w:bookmarkStart w:id="140" w:name="_Toc259093690"/>
      <w:bookmarkStart w:id="141" w:name="_Toc19604"/>
      <w:bookmarkStart w:id="142" w:name="_Toc25182"/>
      <w:bookmarkStart w:id="143" w:name="_Toc11284"/>
      <w:r>
        <w:rPr>
          <w:rFonts w:hint="eastAsia" w:ascii="仿宋" w:hAnsi="仿宋" w:eastAsia="仿宋" w:cs="仿宋"/>
          <w:b/>
          <w:color w:val="auto"/>
          <w:sz w:val="24"/>
          <w:highlight w:val="none"/>
        </w:rPr>
        <w:t>2.17 通知</w:t>
      </w:r>
      <w:bookmarkEnd w:id="138"/>
      <w:bookmarkEnd w:id="139"/>
      <w:bookmarkEnd w:id="140"/>
      <w:r>
        <w:rPr>
          <w:rFonts w:hint="eastAsia" w:ascii="仿宋" w:hAnsi="仿宋" w:eastAsia="仿宋" w:cs="仿宋"/>
          <w:b/>
          <w:color w:val="auto"/>
          <w:sz w:val="24"/>
          <w:highlight w:val="none"/>
        </w:rPr>
        <w:t>和送达</w:t>
      </w:r>
      <w:bookmarkEnd w:id="141"/>
      <w:bookmarkEnd w:id="142"/>
      <w:bookmarkEnd w:id="143"/>
    </w:p>
    <w:p w14:paraId="2937F5F5">
      <w:pPr>
        <w:spacing w:line="560" w:lineRule="exact"/>
        <w:ind w:firstLine="480" w:firstLineChars="200"/>
        <w:rPr>
          <w:rFonts w:hint="eastAsia" w:ascii="仿宋" w:hAnsi="仿宋" w:eastAsia="仿宋" w:cs="仿宋"/>
          <w:color w:val="auto"/>
          <w:sz w:val="24"/>
          <w:highlight w:val="none"/>
        </w:rPr>
      </w:pPr>
      <w:bookmarkStart w:id="144" w:name="_Toc6698"/>
      <w:bookmarkStart w:id="145" w:name="_Toc3135"/>
      <w:bookmarkStart w:id="146" w:name="_Toc279701262"/>
      <w:bookmarkStart w:id="147" w:name="_Toc487900372"/>
      <w:bookmarkStart w:id="148" w:name="_Toc259093691"/>
      <w:r>
        <w:rPr>
          <w:rFonts w:hint="eastAsia" w:ascii="仿宋" w:hAnsi="仿宋" w:eastAsia="仿宋" w:cs="仿宋"/>
          <w:color w:val="auto"/>
          <w:sz w:val="24"/>
          <w:highlight w:val="none"/>
        </w:rPr>
        <w:t>2.17.1任何一方因履行合同而以合同第一部分尾部所列明的传真或电子邮件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144"/>
      <w:bookmarkEnd w:id="145"/>
    </w:p>
    <w:p w14:paraId="49D8EED9">
      <w:pPr>
        <w:spacing w:line="560" w:lineRule="exact"/>
        <w:ind w:firstLine="480" w:firstLineChars="200"/>
        <w:rPr>
          <w:rFonts w:hint="eastAsia" w:ascii="仿宋" w:hAnsi="仿宋" w:eastAsia="仿宋" w:cs="仿宋"/>
          <w:color w:val="auto"/>
          <w:sz w:val="24"/>
          <w:highlight w:val="none"/>
        </w:rPr>
      </w:pPr>
      <w:bookmarkStart w:id="149" w:name="_Toc23128"/>
      <w:bookmarkStart w:id="150" w:name="_Toc23294"/>
      <w:r>
        <w:rPr>
          <w:rFonts w:hint="eastAsia" w:ascii="仿宋" w:hAnsi="仿宋" w:eastAsia="仿宋" w:cs="仿宋"/>
          <w:color w:val="auto"/>
          <w:sz w:val="24"/>
          <w:highlight w:val="none"/>
        </w:rPr>
        <w:t>2.17.2以当面交付方式送达的，交付之时视为送达；以电子邮件方式送达的，发出电子邮件之时视为送达；以传真方式送达的，发出传真之时视为送达；以邮寄方式送达的，邮件挂号寄出或者交邮之日之次日视为送达。</w:t>
      </w:r>
      <w:bookmarkEnd w:id="149"/>
      <w:bookmarkEnd w:id="150"/>
    </w:p>
    <w:p w14:paraId="0467AB1D">
      <w:pPr>
        <w:spacing w:line="560" w:lineRule="exact"/>
        <w:ind w:firstLine="482" w:firstLineChars="200"/>
        <w:outlineLvl w:val="0"/>
        <w:rPr>
          <w:rFonts w:hint="eastAsia" w:ascii="仿宋" w:hAnsi="仿宋" w:eastAsia="仿宋" w:cs="仿宋"/>
          <w:b/>
          <w:color w:val="auto"/>
          <w:sz w:val="24"/>
          <w:highlight w:val="none"/>
        </w:rPr>
      </w:pPr>
      <w:bookmarkStart w:id="151" w:name="_Toc4355"/>
      <w:bookmarkStart w:id="152" w:name="_Toc18540"/>
      <w:bookmarkStart w:id="153" w:name="_Toc30599"/>
      <w:r>
        <w:rPr>
          <w:rFonts w:hint="eastAsia" w:ascii="仿宋" w:hAnsi="仿宋" w:eastAsia="仿宋" w:cs="仿宋"/>
          <w:b/>
          <w:color w:val="auto"/>
          <w:sz w:val="24"/>
          <w:highlight w:val="none"/>
        </w:rPr>
        <w:t>2.18 计量单位</w:t>
      </w:r>
      <w:bookmarkEnd w:id="146"/>
      <w:bookmarkEnd w:id="147"/>
      <w:bookmarkEnd w:id="148"/>
      <w:bookmarkEnd w:id="151"/>
      <w:bookmarkEnd w:id="152"/>
      <w:bookmarkEnd w:id="153"/>
    </w:p>
    <w:p w14:paraId="206D54E0">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除技术规范中另有规定外,合同的计量单位均使用国家法定计量单位。</w:t>
      </w:r>
    </w:p>
    <w:p w14:paraId="79F91F44">
      <w:pPr>
        <w:spacing w:line="560" w:lineRule="exact"/>
        <w:ind w:firstLine="482" w:firstLineChars="200"/>
        <w:outlineLvl w:val="0"/>
        <w:rPr>
          <w:rFonts w:hint="eastAsia" w:ascii="仿宋" w:hAnsi="仿宋" w:eastAsia="仿宋" w:cs="仿宋"/>
          <w:b/>
          <w:color w:val="auto"/>
          <w:sz w:val="24"/>
          <w:highlight w:val="none"/>
        </w:rPr>
      </w:pPr>
      <w:bookmarkStart w:id="154" w:name="_Toc487900373"/>
      <w:bookmarkStart w:id="155" w:name="_Toc18567"/>
      <w:bookmarkStart w:id="156" w:name="_Toc10330"/>
      <w:bookmarkStart w:id="157" w:name="_Toc279701263"/>
      <w:bookmarkStart w:id="158" w:name="_Toc259093692"/>
      <w:bookmarkStart w:id="159" w:name="_Toc12773"/>
      <w:r>
        <w:rPr>
          <w:rFonts w:hint="eastAsia" w:ascii="仿宋" w:hAnsi="仿宋" w:eastAsia="仿宋" w:cs="仿宋"/>
          <w:b/>
          <w:color w:val="auto"/>
          <w:sz w:val="24"/>
          <w:highlight w:val="none"/>
        </w:rPr>
        <w:t>2.19 合同使用的文字和适用的法律</w:t>
      </w:r>
      <w:bookmarkEnd w:id="154"/>
      <w:bookmarkEnd w:id="155"/>
      <w:bookmarkEnd w:id="156"/>
      <w:bookmarkEnd w:id="157"/>
      <w:bookmarkEnd w:id="158"/>
      <w:bookmarkEnd w:id="159"/>
    </w:p>
    <w:p w14:paraId="4CA263E3">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2.19.1 合同使用汉语书就、变更和解释；</w:t>
      </w:r>
    </w:p>
    <w:p w14:paraId="65DC52E8">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2.19.2 合同适用中华人民共和国法律。</w:t>
      </w:r>
    </w:p>
    <w:p w14:paraId="54B2A9EA">
      <w:pPr>
        <w:spacing w:line="560" w:lineRule="exact"/>
        <w:ind w:firstLine="482" w:firstLineChars="200"/>
        <w:outlineLvl w:val="0"/>
        <w:rPr>
          <w:rFonts w:hint="eastAsia" w:ascii="仿宋" w:hAnsi="仿宋" w:eastAsia="仿宋" w:cs="仿宋"/>
          <w:b/>
          <w:color w:val="auto"/>
          <w:sz w:val="24"/>
          <w:highlight w:val="none"/>
        </w:rPr>
      </w:pPr>
      <w:bookmarkStart w:id="160" w:name="_Toc279701264"/>
      <w:bookmarkStart w:id="161" w:name="_Toc3148"/>
      <w:bookmarkStart w:id="162" w:name="_Toc259093693"/>
      <w:bookmarkStart w:id="163" w:name="_Toc12004"/>
      <w:bookmarkStart w:id="164" w:name="_Toc16673"/>
      <w:bookmarkStart w:id="165" w:name="_Toc487900374"/>
      <w:r>
        <w:rPr>
          <w:rFonts w:hint="eastAsia" w:ascii="仿宋" w:hAnsi="仿宋" w:eastAsia="仿宋" w:cs="仿宋"/>
          <w:b/>
          <w:color w:val="auto"/>
          <w:sz w:val="24"/>
          <w:highlight w:val="none"/>
        </w:rPr>
        <w:t>2.20 履约保证金</w:t>
      </w:r>
      <w:bookmarkEnd w:id="160"/>
      <w:bookmarkEnd w:id="161"/>
      <w:bookmarkEnd w:id="162"/>
      <w:bookmarkEnd w:id="163"/>
      <w:bookmarkEnd w:id="164"/>
    </w:p>
    <w:p w14:paraId="4211FE0D">
      <w:pPr>
        <w:pStyle w:val="285"/>
        <w:spacing w:before="0" w:beforeAutospacing="0" w:after="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2.20.1 采购文件要求乙方提交履约保证金的，乙方应按</w:t>
      </w:r>
      <w:r>
        <w:rPr>
          <w:rFonts w:hint="eastAsia" w:ascii="仿宋" w:hAnsi="仿宋" w:eastAsia="仿宋" w:cs="仿宋"/>
          <w:b/>
          <w:i/>
          <w:color w:val="auto"/>
          <w:highlight w:val="none"/>
          <w:u w:val="single"/>
        </w:rPr>
        <w:t>合同专用条款</w:t>
      </w:r>
      <w:r>
        <w:rPr>
          <w:rFonts w:hint="eastAsia" w:ascii="仿宋" w:hAnsi="仿宋" w:eastAsia="仿宋" w:cs="仿宋"/>
          <w:color w:val="auto"/>
          <w:highlight w:val="none"/>
        </w:rPr>
        <w:t>约定的方式，以支票、汇票、本票或者金融机构、担保机构出具的保函等非现金形式，提交不超过合同金额1%的履约保证金；鼓励和支持乙方以银行、保险公司出具的保函形式提供履约保证。</w:t>
      </w:r>
    </w:p>
    <w:p w14:paraId="5BAC0E46">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2.20.2  履约保证金在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约定期间内不予退还。乙方在前述约定期间届满前能履行完合同约定义务事项的，甲方在前述约定期间届满之日起个工作日内，按</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 xml:space="preserve">约定的方式将履约保证金退还乙方，逾期退还的，乙方可要求甲方支付违约金，违约金按每迟延退还一日的应退还而未退还金额的%计算，最高限额为本合同履约保证金的%； </w:t>
      </w:r>
    </w:p>
    <w:p w14:paraId="0D6DBBA5">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2.20.3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222943CB">
      <w:pPr>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2.20.4甲方在乙方履行完合同约定义务事项后及时退还，延迟退还的，应当按照合同约定和法律规定承担相应的赔偿责任。</w:t>
      </w:r>
    </w:p>
    <w:p w14:paraId="471BCDB2">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2.21对于因甲方原因导致变更、中止或者终止政府采购合同的，甲方应当依照合同约定对供应商受到的损失予以赔偿或者补偿。</w:t>
      </w:r>
    </w:p>
    <w:bookmarkEnd w:id="165"/>
    <w:p w14:paraId="2D9C90F3">
      <w:pPr>
        <w:spacing w:line="560" w:lineRule="exact"/>
        <w:ind w:firstLine="482" w:firstLineChars="200"/>
        <w:outlineLvl w:val="0"/>
        <w:rPr>
          <w:rFonts w:hint="eastAsia" w:ascii="仿宋" w:hAnsi="仿宋" w:eastAsia="仿宋" w:cs="仿宋"/>
          <w:b/>
          <w:color w:val="auto"/>
          <w:sz w:val="24"/>
          <w:highlight w:val="none"/>
        </w:rPr>
      </w:pPr>
      <w:bookmarkStart w:id="166" w:name="_Toc14001"/>
      <w:bookmarkStart w:id="167" w:name="_Toc6885"/>
      <w:bookmarkStart w:id="168" w:name="_Toc19890"/>
      <w:r>
        <w:rPr>
          <w:rFonts w:hint="eastAsia" w:ascii="仿宋" w:hAnsi="仿宋" w:eastAsia="仿宋" w:cs="仿宋"/>
          <w:b/>
          <w:color w:val="auto"/>
          <w:sz w:val="24"/>
          <w:highlight w:val="none"/>
        </w:rPr>
        <w:t>2.22合同份数</w:t>
      </w:r>
      <w:bookmarkEnd w:id="166"/>
      <w:bookmarkEnd w:id="167"/>
      <w:bookmarkEnd w:id="168"/>
    </w:p>
    <w:p w14:paraId="5C6B32AE">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合同份数按</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规定，每份均具有同等法律效力。</w:t>
      </w:r>
    </w:p>
    <w:p w14:paraId="2E8147CF">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2.23根据《绍兴市柴油动力移动源排气污染防治办法》第九条、第十三条的规定，乙方在合同实施过程中使用的柴油动力移动源（柴油货车、非道路移动机械）必须符合低排放要求并已向生态环境部门申领绿色编码，在进入作业现场前须如实向甲方登记报备绿色编码，未申领绿色编码的柴油动力移动源不得进入作业现场施工。在作业现场发现有未申领绿色编码的柴油动力移动源或者未如实进行绿色编码报备的，认定乙方违约，按照本合同违约条款承担相应违约责任。 </w:t>
      </w:r>
    </w:p>
    <w:p w14:paraId="2536A67F">
      <w:pPr>
        <w:pStyle w:val="284"/>
        <w:spacing w:line="560" w:lineRule="exact"/>
        <w:jc w:val="center"/>
        <w:rPr>
          <w:rFonts w:hint="eastAsia" w:ascii="仿宋" w:hAnsi="仿宋" w:eastAsia="仿宋" w:cs="仿宋"/>
          <w:b/>
          <w:color w:val="auto"/>
          <w:szCs w:val="24"/>
          <w:highlight w:val="none"/>
        </w:rPr>
      </w:pPr>
      <w:r>
        <w:rPr>
          <w:rFonts w:hint="eastAsia" w:ascii="仿宋" w:hAnsi="仿宋" w:eastAsia="仿宋" w:cs="仿宋"/>
          <w:color w:val="auto"/>
          <w:kern w:val="0"/>
          <w:szCs w:val="24"/>
          <w:highlight w:val="none"/>
        </w:rPr>
        <w:br w:type="page"/>
      </w:r>
      <w:bookmarkStart w:id="169" w:name="_Toc331685784"/>
      <w:bookmarkEnd w:id="169"/>
      <w:r>
        <w:rPr>
          <w:rFonts w:hint="eastAsia" w:ascii="仿宋" w:hAnsi="仿宋" w:eastAsia="仿宋" w:cs="仿宋"/>
          <w:b/>
          <w:color w:val="auto"/>
          <w:szCs w:val="24"/>
          <w:highlight w:val="none"/>
        </w:rPr>
        <w:t>第三部分合同专用条款</w:t>
      </w:r>
    </w:p>
    <w:p w14:paraId="3B98387D">
      <w:pPr>
        <w:spacing w:line="560" w:lineRule="exact"/>
        <w:ind w:left="-420" w:leftChars="-200" w:right="-420" w:rightChars="-200"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4"/>
        <w:tblW w:w="912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51"/>
        <w:gridCol w:w="8275"/>
      </w:tblGrid>
      <w:tr w14:paraId="757955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51" w:type="dxa"/>
            <w:tcBorders>
              <w:left w:val="single" w:color="auto" w:sz="4" w:space="0"/>
            </w:tcBorders>
            <w:vAlign w:val="center"/>
          </w:tcPr>
          <w:p w14:paraId="1C45EE08">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条款号</w:t>
            </w:r>
          </w:p>
        </w:tc>
        <w:tc>
          <w:tcPr>
            <w:tcW w:w="8275" w:type="dxa"/>
            <w:vAlign w:val="center"/>
          </w:tcPr>
          <w:p w14:paraId="2FF38CCD">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约定内容</w:t>
            </w:r>
          </w:p>
        </w:tc>
      </w:tr>
      <w:tr w14:paraId="263FD3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502666E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1.4.4</w:t>
            </w:r>
          </w:p>
        </w:tc>
        <w:tc>
          <w:tcPr>
            <w:tcW w:w="8275" w:type="dxa"/>
            <w:vAlign w:val="center"/>
          </w:tcPr>
          <w:p w14:paraId="584C42D0">
            <w:pPr>
              <w:spacing w:line="360" w:lineRule="auto"/>
              <w:rPr>
                <w:rFonts w:hint="eastAsia" w:ascii="仿宋" w:hAnsi="仿宋" w:eastAsia="仿宋" w:cs="仿宋"/>
                <w:color w:val="auto"/>
                <w:sz w:val="24"/>
                <w:highlight w:val="none"/>
              </w:rPr>
            </w:pPr>
          </w:p>
        </w:tc>
      </w:tr>
      <w:tr w14:paraId="08E7D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2334DA9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1.5.1 </w:t>
            </w:r>
          </w:p>
        </w:tc>
        <w:tc>
          <w:tcPr>
            <w:tcW w:w="8275" w:type="dxa"/>
            <w:vAlign w:val="center"/>
          </w:tcPr>
          <w:p w14:paraId="7C803132">
            <w:pPr>
              <w:spacing w:line="360" w:lineRule="auto"/>
              <w:rPr>
                <w:rFonts w:hint="eastAsia" w:ascii="仿宋" w:hAnsi="仿宋" w:eastAsia="仿宋" w:cs="仿宋"/>
                <w:color w:val="auto"/>
                <w:sz w:val="24"/>
                <w:highlight w:val="none"/>
              </w:rPr>
            </w:pPr>
          </w:p>
        </w:tc>
      </w:tr>
      <w:tr w14:paraId="42574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5891D7D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1.5.2</w:t>
            </w:r>
          </w:p>
        </w:tc>
        <w:tc>
          <w:tcPr>
            <w:tcW w:w="8275" w:type="dxa"/>
            <w:vAlign w:val="center"/>
          </w:tcPr>
          <w:p w14:paraId="2864358F">
            <w:pPr>
              <w:spacing w:line="360" w:lineRule="auto"/>
              <w:rPr>
                <w:rFonts w:hint="eastAsia" w:ascii="仿宋" w:hAnsi="仿宋" w:eastAsia="仿宋" w:cs="仿宋"/>
                <w:color w:val="auto"/>
                <w:sz w:val="24"/>
                <w:highlight w:val="none"/>
              </w:rPr>
            </w:pPr>
          </w:p>
        </w:tc>
      </w:tr>
      <w:tr w14:paraId="2A0EF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76938A5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1.5.3 </w:t>
            </w:r>
          </w:p>
        </w:tc>
        <w:tc>
          <w:tcPr>
            <w:tcW w:w="8275" w:type="dxa"/>
            <w:vAlign w:val="center"/>
          </w:tcPr>
          <w:p w14:paraId="1A9C728E">
            <w:pPr>
              <w:spacing w:line="360" w:lineRule="auto"/>
              <w:rPr>
                <w:rFonts w:hint="eastAsia" w:ascii="仿宋" w:hAnsi="仿宋" w:eastAsia="仿宋" w:cs="仿宋"/>
                <w:color w:val="auto"/>
                <w:sz w:val="24"/>
                <w:highlight w:val="none"/>
              </w:rPr>
            </w:pPr>
          </w:p>
        </w:tc>
      </w:tr>
      <w:tr w14:paraId="4B1EF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76DAEE2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1.6.7</w:t>
            </w:r>
          </w:p>
        </w:tc>
        <w:tc>
          <w:tcPr>
            <w:tcW w:w="8275" w:type="dxa"/>
            <w:vAlign w:val="center"/>
          </w:tcPr>
          <w:p w14:paraId="1B5E00B9">
            <w:pPr>
              <w:spacing w:line="360" w:lineRule="auto"/>
              <w:rPr>
                <w:rFonts w:hint="eastAsia" w:ascii="仿宋" w:hAnsi="仿宋" w:eastAsia="仿宋" w:cs="仿宋"/>
                <w:color w:val="auto"/>
                <w:sz w:val="24"/>
                <w:highlight w:val="none"/>
              </w:rPr>
            </w:pPr>
          </w:p>
        </w:tc>
      </w:tr>
      <w:tr w14:paraId="0955EE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7F1FA46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1.7</w:t>
            </w:r>
          </w:p>
        </w:tc>
        <w:tc>
          <w:tcPr>
            <w:tcW w:w="8275" w:type="dxa"/>
            <w:vAlign w:val="center"/>
          </w:tcPr>
          <w:p w14:paraId="35D9EC67">
            <w:pPr>
              <w:spacing w:line="360" w:lineRule="auto"/>
              <w:rPr>
                <w:rFonts w:hint="eastAsia" w:ascii="仿宋" w:hAnsi="仿宋" w:eastAsia="仿宋" w:cs="仿宋"/>
                <w:color w:val="auto"/>
                <w:sz w:val="24"/>
                <w:highlight w:val="none"/>
              </w:rPr>
            </w:pPr>
          </w:p>
        </w:tc>
      </w:tr>
      <w:tr w14:paraId="094A2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24C067A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1.7.1</w:t>
            </w:r>
          </w:p>
        </w:tc>
        <w:tc>
          <w:tcPr>
            <w:tcW w:w="8275" w:type="dxa"/>
            <w:vAlign w:val="center"/>
          </w:tcPr>
          <w:p w14:paraId="03045820">
            <w:pPr>
              <w:spacing w:line="360" w:lineRule="auto"/>
              <w:rPr>
                <w:rFonts w:hint="eastAsia" w:ascii="仿宋" w:hAnsi="仿宋" w:eastAsia="仿宋" w:cs="仿宋"/>
                <w:color w:val="auto"/>
                <w:sz w:val="24"/>
                <w:highlight w:val="none"/>
              </w:rPr>
            </w:pPr>
          </w:p>
        </w:tc>
      </w:tr>
      <w:tr w14:paraId="2D108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677B8AC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1.7.2</w:t>
            </w:r>
          </w:p>
        </w:tc>
        <w:tc>
          <w:tcPr>
            <w:tcW w:w="8275" w:type="dxa"/>
            <w:vAlign w:val="center"/>
          </w:tcPr>
          <w:p w14:paraId="4391BAFE">
            <w:pPr>
              <w:spacing w:line="360" w:lineRule="auto"/>
              <w:rPr>
                <w:rFonts w:hint="eastAsia" w:ascii="仿宋" w:hAnsi="仿宋" w:eastAsia="仿宋" w:cs="仿宋"/>
                <w:color w:val="auto"/>
                <w:sz w:val="24"/>
                <w:highlight w:val="none"/>
              </w:rPr>
            </w:pPr>
          </w:p>
        </w:tc>
      </w:tr>
      <w:tr w14:paraId="73FCE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028F51B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2.3.2</w:t>
            </w:r>
          </w:p>
        </w:tc>
        <w:tc>
          <w:tcPr>
            <w:tcW w:w="8275" w:type="dxa"/>
            <w:vAlign w:val="center"/>
          </w:tcPr>
          <w:p w14:paraId="7F09AC03">
            <w:pPr>
              <w:spacing w:line="360" w:lineRule="auto"/>
              <w:ind w:left="-420" w:leftChars="-200" w:right="-420" w:rightChars="-200" w:firstLine="480" w:firstLineChars="200"/>
              <w:rPr>
                <w:rFonts w:hint="eastAsia" w:ascii="仿宋" w:hAnsi="仿宋" w:eastAsia="仿宋" w:cs="仿宋"/>
                <w:color w:val="auto"/>
                <w:sz w:val="24"/>
                <w:highlight w:val="none"/>
              </w:rPr>
            </w:pPr>
          </w:p>
        </w:tc>
      </w:tr>
      <w:tr w14:paraId="22B2DC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0D3C241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2.4.1</w:t>
            </w:r>
          </w:p>
        </w:tc>
        <w:tc>
          <w:tcPr>
            <w:tcW w:w="8275" w:type="dxa"/>
            <w:vAlign w:val="center"/>
          </w:tcPr>
          <w:p w14:paraId="5DB3E4E2">
            <w:pPr>
              <w:spacing w:line="360" w:lineRule="auto"/>
              <w:ind w:left="-420" w:leftChars="-200" w:right="-420" w:rightChars="-200" w:firstLine="480" w:firstLineChars="200"/>
              <w:rPr>
                <w:rFonts w:hint="eastAsia" w:ascii="仿宋" w:hAnsi="仿宋" w:eastAsia="仿宋" w:cs="仿宋"/>
                <w:color w:val="auto"/>
                <w:sz w:val="24"/>
                <w:highlight w:val="none"/>
              </w:rPr>
            </w:pPr>
          </w:p>
        </w:tc>
      </w:tr>
      <w:tr w14:paraId="52285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7895387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2.4.2</w:t>
            </w:r>
          </w:p>
        </w:tc>
        <w:tc>
          <w:tcPr>
            <w:tcW w:w="8275" w:type="dxa"/>
            <w:vAlign w:val="center"/>
          </w:tcPr>
          <w:p w14:paraId="3F5168D8">
            <w:pPr>
              <w:spacing w:line="360" w:lineRule="auto"/>
              <w:rPr>
                <w:rFonts w:hint="eastAsia" w:ascii="仿宋" w:hAnsi="仿宋" w:eastAsia="仿宋" w:cs="仿宋"/>
                <w:color w:val="auto"/>
                <w:sz w:val="24"/>
                <w:highlight w:val="none"/>
              </w:rPr>
            </w:pPr>
          </w:p>
        </w:tc>
      </w:tr>
      <w:tr w14:paraId="08F1C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tcPr>
          <w:p w14:paraId="25E96AC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2.8 </w:t>
            </w:r>
          </w:p>
        </w:tc>
        <w:tc>
          <w:tcPr>
            <w:tcW w:w="8275" w:type="dxa"/>
          </w:tcPr>
          <w:p w14:paraId="5AE01C4A">
            <w:pPr>
              <w:spacing w:line="360" w:lineRule="auto"/>
              <w:rPr>
                <w:rFonts w:hint="eastAsia" w:ascii="仿宋" w:hAnsi="仿宋" w:eastAsia="仿宋" w:cs="仿宋"/>
                <w:color w:val="auto"/>
                <w:sz w:val="24"/>
                <w:highlight w:val="none"/>
              </w:rPr>
            </w:pPr>
          </w:p>
        </w:tc>
      </w:tr>
      <w:tr w14:paraId="3F8DE9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0EA3327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2.12.3</w:t>
            </w:r>
          </w:p>
        </w:tc>
        <w:tc>
          <w:tcPr>
            <w:tcW w:w="8275" w:type="dxa"/>
            <w:vAlign w:val="center"/>
          </w:tcPr>
          <w:p w14:paraId="2A3AE3BE">
            <w:pPr>
              <w:spacing w:line="360" w:lineRule="auto"/>
              <w:rPr>
                <w:rFonts w:hint="eastAsia" w:ascii="仿宋" w:hAnsi="仿宋" w:eastAsia="仿宋" w:cs="仿宋"/>
                <w:color w:val="auto"/>
                <w:sz w:val="24"/>
                <w:highlight w:val="none"/>
              </w:rPr>
            </w:pPr>
          </w:p>
        </w:tc>
      </w:tr>
      <w:tr w14:paraId="70A2D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3B0A249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2.12.4</w:t>
            </w:r>
          </w:p>
        </w:tc>
        <w:tc>
          <w:tcPr>
            <w:tcW w:w="8275" w:type="dxa"/>
            <w:vAlign w:val="center"/>
          </w:tcPr>
          <w:p w14:paraId="62BB5E0B">
            <w:pPr>
              <w:spacing w:line="360" w:lineRule="auto"/>
              <w:rPr>
                <w:rFonts w:hint="eastAsia" w:ascii="仿宋" w:hAnsi="仿宋" w:eastAsia="仿宋" w:cs="仿宋"/>
                <w:color w:val="auto"/>
                <w:sz w:val="24"/>
                <w:highlight w:val="none"/>
              </w:rPr>
            </w:pPr>
          </w:p>
        </w:tc>
      </w:tr>
      <w:tr w14:paraId="2747B2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6A563A9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2.16.1</w:t>
            </w:r>
          </w:p>
        </w:tc>
        <w:tc>
          <w:tcPr>
            <w:tcW w:w="8275" w:type="dxa"/>
            <w:vAlign w:val="center"/>
          </w:tcPr>
          <w:p w14:paraId="6E592071">
            <w:pPr>
              <w:spacing w:line="360" w:lineRule="auto"/>
              <w:rPr>
                <w:rFonts w:hint="eastAsia" w:ascii="仿宋" w:hAnsi="仿宋" w:eastAsia="仿宋" w:cs="仿宋"/>
                <w:color w:val="auto"/>
                <w:sz w:val="24"/>
                <w:highlight w:val="none"/>
              </w:rPr>
            </w:pPr>
          </w:p>
        </w:tc>
      </w:tr>
      <w:tr w14:paraId="24B18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51" w:type="dxa"/>
            <w:tcBorders>
              <w:left w:val="single" w:color="auto" w:sz="4" w:space="0"/>
            </w:tcBorders>
            <w:vAlign w:val="center"/>
          </w:tcPr>
          <w:p w14:paraId="6166CE1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2.16.3</w:t>
            </w:r>
          </w:p>
        </w:tc>
        <w:tc>
          <w:tcPr>
            <w:tcW w:w="8275" w:type="dxa"/>
            <w:vAlign w:val="center"/>
          </w:tcPr>
          <w:p w14:paraId="198A26B1">
            <w:pPr>
              <w:spacing w:line="360" w:lineRule="auto"/>
              <w:rPr>
                <w:rFonts w:hint="eastAsia" w:ascii="仿宋" w:hAnsi="仿宋" w:eastAsia="仿宋" w:cs="仿宋"/>
                <w:color w:val="auto"/>
                <w:sz w:val="24"/>
                <w:highlight w:val="none"/>
              </w:rPr>
            </w:pPr>
          </w:p>
        </w:tc>
      </w:tr>
      <w:tr w14:paraId="64E617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51" w:type="dxa"/>
            <w:tcBorders>
              <w:left w:val="single" w:color="auto" w:sz="4" w:space="0"/>
            </w:tcBorders>
          </w:tcPr>
          <w:p w14:paraId="468B64A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2.20.1</w:t>
            </w:r>
          </w:p>
        </w:tc>
        <w:tc>
          <w:tcPr>
            <w:tcW w:w="8275" w:type="dxa"/>
          </w:tcPr>
          <w:p w14:paraId="53F66152">
            <w:pPr>
              <w:spacing w:line="360" w:lineRule="auto"/>
              <w:rPr>
                <w:rFonts w:hint="eastAsia" w:ascii="仿宋" w:hAnsi="仿宋" w:eastAsia="仿宋" w:cs="仿宋"/>
                <w:color w:val="auto"/>
                <w:sz w:val="24"/>
                <w:highlight w:val="none"/>
              </w:rPr>
            </w:pPr>
          </w:p>
        </w:tc>
      </w:tr>
      <w:tr w14:paraId="6159F1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51" w:type="dxa"/>
            <w:tcBorders>
              <w:left w:val="single" w:color="auto" w:sz="4" w:space="0"/>
            </w:tcBorders>
            <w:vAlign w:val="center"/>
          </w:tcPr>
          <w:p w14:paraId="76C76C0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2.20.2 </w:t>
            </w:r>
          </w:p>
        </w:tc>
        <w:tc>
          <w:tcPr>
            <w:tcW w:w="8275" w:type="dxa"/>
            <w:vAlign w:val="center"/>
          </w:tcPr>
          <w:p w14:paraId="5651E69F">
            <w:pPr>
              <w:spacing w:line="360" w:lineRule="auto"/>
              <w:rPr>
                <w:rFonts w:hint="eastAsia" w:ascii="仿宋" w:hAnsi="仿宋" w:eastAsia="仿宋" w:cs="仿宋"/>
                <w:color w:val="auto"/>
                <w:sz w:val="24"/>
                <w:highlight w:val="none"/>
              </w:rPr>
            </w:pPr>
          </w:p>
        </w:tc>
      </w:tr>
      <w:tr w14:paraId="28FADE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51" w:type="dxa"/>
            <w:tcBorders>
              <w:left w:val="single" w:color="auto" w:sz="4" w:space="0"/>
            </w:tcBorders>
            <w:vAlign w:val="center"/>
          </w:tcPr>
          <w:p w14:paraId="5BEBA543">
            <w:pPr>
              <w:spacing w:line="360" w:lineRule="auto"/>
              <w:ind w:left="-420" w:leftChars="-200" w:right="-420" w:rightChars="-200" w:firstLine="480" w:firstLineChars="200"/>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2.22</w:t>
            </w:r>
          </w:p>
        </w:tc>
        <w:tc>
          <w:tcPr>
            <w:tcW w:w="8275" w:type="dxa"/>
            <w:vAlign w:val="center"/>
          </w:tcPr>
          <w:p w14:paraId="6C40D58E">
            <w:pPr>
              <w:spacing w:line="360" w:lineRule="auto"/>
              <w:rPr>
                <w:rFonts w:hint="eastAsia" w:ascii="仿宋" w:hAnsi="仿宋" w:eastAsia="仿宋" w:cs="仿宋"/>
                <w:color w:val="auto"/>
                <w:sz w:val="24"/>
                <w:highlight w:val="none"/>
              </w:rPr>
            </w:pPr>
          </w:p>
        </w:tc>
      </w:tr>
    </w:tbl>
    <w:p w14:paraId="1DA72101">
      <w:pPr>
        <w:spacing w:line="360" w:lineRule="auto"/>
        <w:ind w:left="-420" w:leftChars="-200" w:right="-420" w:rightChars="-200" w:firstLine="480" w:firstLineChars="200"/>
        <w:rPr>
          <w:rFonts w:hint="eastAsia" w:ascii="仿宋" w:hAnsi="仿宋" w:eastAsia="仿宋" w:cs="仿宋"/>
          <w:color w:val="auto"/>
          <w:sz w:val="24"/>
          <w:highlight w:val="none"/>
        </w:rPr>
      </w:pPr>
    </w:p>
    <w:p w14:paraId="3A5A78A2">
      <w:pPr>
        <w:spacing w:line="38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（注：在正式签约时，根据上述精神应拟就更为详尽的合同书）</w:t>
      </w:r>
    </w:p>
    <w:p w14:paraId="0B6E47C8">
      <w:pPr>
        <w:pStyle w:val="24"/>
        <w:pageBreakBefore/>
        <w:spacing w:line="800" w:lineRule="exact"/>
        <w:ind w:firstLine="726"/>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第五部分  评标方法及标准</w:t>
      </w:r>
    </w:p>
    <w:p w14:paraId="4C1B82B9">
      <w:pPr>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1、评标方法：</w:t>
      </w:r>
    </w:p>
    <w:p w14:paraId="371883E9">
      <w:pPr>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1.1本次评标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中标候选人。中标候选人并列的，采用随机抽取的方式确定。</w:t>
      </w:r>
    </w:p>
    <w:p w14:paraId="16F282B9">
      <w:pPr>
        <w:spacing w:line="440" w:lineRule="exact"/>
        <w:ind w:firstLine="472" w:firstLineChars="196"/>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1.2采用综合评分法的，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F40F576">
      <w:pPr>
        <w:spacing w:line="440" w:lineRule="exact"/>
        <w:ind w:firstLine="482" w:firstLineChars="200"/>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非单一产品采购项目，采购人应当根据采购项目技术构成、产品价格比重等合理确定核心产品，并在招标文件中载明。多家投标人提供的核心产品品牌相同的，按前款规定处理。</w:t>
      </w:r>
    </w:p>
    <w:p w14:paraId="6A5461D0">
      <w:pPr>
        <w:spacing w:line="440" w:lineRule="exact"/>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2.评分标准：</w:t>
      </w:r>
      <w:r>
        <w:rPr>
          <w:rFonts w:hint="eastAsia" w:ascii="仿宋" w:hAnsi="仿宋" w:eastAsia="仿宋" w:cs="仿宋"/>
          <w:color w:val="auto"/>
          <w:sz w:val="24"/>
          <w:highlight w:val="none"/>
        </w:rPr>
        <w:t>共100分，其中商务技术分</w:t>
      </w:r>
      <w:r>
        <w:rPr>
          <w:rFonts w:hint="eastAsia" w:ascii="仿宋" w:hAnsi="仿宋" w:eastAsia="仿宋" w:cs="仿宋"/>
          <w:color w:val="auto"/>
          <w:sz w:val="24"/>
          <w:highlight w:val="none"/>
          <w:lang w:val="en-US" w:eastAsia="zh-CN"/>
        </w:rPr>
        <w:t>75</w:t>
      </w:r>
      <w:r>
        <w:rPr>
          <w:rFonts w:hint="eastAsia" w:ascii="仿宋" w:hAnsi="仿宋" w:eastAsia="仿宋" w:cs="仿宋"/>
          <w:color w:val="auto"/>
          <w:sz w:val="24"/>
          <w:highlight w:val="none"/>
        </w:rPr>
        <w:t>分，价格分</w:t>
      </w:r>
      <w:r>
        <w:rPr>
          <w:rFonts w:hint="eastAsia" w:ascii="仿宋" w:hAnsi="仿宋" w:eastAsia="仿宋" w:cs="仿宋"/>
          <w:color w:val="auto"/>
          <w:sz w:val="24"/>
          <w:highlight w:val="none"/>
          <w:lang w:val="en-US" w:eastAsia="zh-CN"/>
        </w:rPr>
        <w:t>25</w:t>
      </w:r>
      <w:r>
        <w:rPr>
          <w:rFonts w:hint="eastAsia" w:ascii="仿宋" w:hAnsi="仿宋" w:eastAsia="仿宋" w:cs="仿宋"/>
          <w:color w:val="auto"/>
          <w:sz w:val="24"/>
          <w:highlight w:val="none"/>
        </w:rPr>
        <w:t>分。评分依下述所列为评标打分依据，分值如下（计算分值时，按其算术平均值保留小数2位）。</w:t>
      </w:r>
    </w:p>
    <w:p w14:paraId="69290201">
      <w:pPr>
        <w:spacing w:line="440" w:lineRule="exact"/>
        <w:rPr>
          <w:rFonts w:hint="eastAsia" w:ascii="仿宋" w:hAnsi="仿宋" w:eastAsia="仿宋" w:cs="仿宋"/>
          <w:b/>
          <w:bCs/>
          <w:iCs/>
          <w:color w:val="auto"/>
          <w:sz w:val="24"/>
          <w:highlight w:val="none"/>
        </w:rPr>
      </w:pPr>
      <w:r>
        <w:rPr>
          <w:rFonts w:hint="eastAsia" w:ascii="仿宋" w:hAnsi="仿宋" w:eastAsia="仿宋" w:cs="仿宋"/>
          <w:b/>
          <w:bCs/>
          <w:iCs/>
          <w:color w:val="auto"/>
          <w:sz w:val="24"/>
          <w:highlight w:val="none"/>
        </w:rPr>
        <w:t>2.1</w:t>
      </w:r>
      <w:r>
        <w:rPr>
          <w:rFonts w:hint="eastAsia" w:ascii="仿宋" w:hAnsi="仿宋" w:eastAsia="仿宋" w:cs="仿宋"/>
          <w:b/>
          <w:bCs/>
          <w:iCs/>
          <w:color w:val="auto"/>
          <w:sz w:val="24"/>
          <w:highlight w:val="none"/>
          <w:lang w:val="en-US" w:eastAsia="zh-CN"/>
        </w:rPr>
        <w:t xml:space="preserve"> </w:t>
      </w:r>
      <w:r>
        <w:rPr>
          <w:rFonts w:hint="eastAsia" w:ascii="仿宋" w:hAnsi="仿宋" w:eastAsia="仿宋" w:cs="仿宋"/>
          <w:b/>
          <w:bCs/>
          <w:iCs/>
          <w:color w:val="auto"/>
          <w:sz w:val="24"/>
          <w:highlight w:val="none"/>
        </w:rPr>
        <w:t>商务技术分（</w:t>
      </w:r>
      <w:r>
        <w:rPr>
          <w:rFonts w:hint="eastAsia" w:ascii="仿宋" w:hAnsi="仿宋" w:eastAsia="仿宋" w:cs="仿宋"/>
          <w:b/>
          <w:bCs/>
          <w:iCs/>
          <w:color w:val="auto"/>
          <w:sz w:val="24"/>
          <w:highlight w:val="none"/>
          <w:lang w:val="en-US" w:eastAsia="zh-CN"/>
        </w:rPr>
        <w:t>75</w:t>
      </w:r>
      <w:r>
        <w:rPr>
          <w:rFonts w:hint="eastAsia" w:ascii="仿宋" w:hAnsi="仿宋" w:eastAsia="仿宋" w:cs="仿宋"/>
          <w:b/>
          <w:bCs/>
          <w:iCs/>
          <w:color w:val="auto"/>
          <w:sz w:val="24"/>
          <w:highlight w:val="none"/>
        </w:rPr>
        <w:t>分）</w:t>
      </w:r>
    </w:p>
    <w:tbl>
      <w:tblPr>
        <w:tblStyle w:val="44"/>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230"/>
        <w:gridCol w:w="6660"/>
        <w:gridCol w:w="690"/>
      </w:tblGrid>
      <w:tr w14:paraId="3B4EE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05" w:type="dxa"/>
            <w:noWrap w:val="0"/>
            <w:vAlign w:val="center"/>
          </w:tcPr>
          <w:p w14:paraId="3933CA5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lang w:eastAsia="zh-CN"/>
              </w:rPr>
              <w:t>序号</w:t>
            </w:r>
          </w:p>
        </w:tc>
        <w:tc>
          <w:tcPr>
            <w:tcW w:w="1230" w:type="dxa"/>
            <w:noWrap w:val="0"/>
            <w:vAlign w:val="center"/>
          </w:tcPr>
          <w:p w14:paraId="4E3288E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评分内容</w:t>
            </w:r>
          </w:p>
        </w:tc>
        <w:tc>
          <w:tcPr>
            <w:tcW w:w="6660" w:type="dxa"/>
            <w:noWrap w:val="0"/>
            <w:vAlign w:val="top"/>
          </w:tcPr>
          <w:p w14:paraId="4F45E46A">
            <w:pPr>
              <w:keepNext w:val="0"/>
              <w:keepLines w:val="0"/>
              <w:pageBreakBefore w:val="0"/>
              <w:kinsoku/>
              <w:wordWrap/>
              <w:overflowPunct/>
              <w:topLinePunct w:val="0"/>
              <w:autoSpaceDE/>
              <w:autoSpaceDN/>
              <w:bidi w:val="0"/>
              <w:adjustRightInd/>
              <w:snapToGrid/>
              <w:spacing w:line="320" w:lineRule="exact"/>
              <w:ind w:left="-115" w:leftChars="-55" w:right="-115" w:rightChars="-55"/>
              <w:jc w:val="center"/>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 分 说 明</w:t>
            </w:r>
          </w:p>
        </w:tc>
        <w:tc>
          <w:tcPr>
            <w:tcW w:w="690" w:type="dxa"/>
            <w:noWrap w:val="0"/>
            <w:vAlign w:val="center"/>
          </w:tcPr>
          <w:p w14:paraId="458CECF9">
            <w:pPr>
              <w:keepNext w:val="0"/>
              <w:keepLines w:val="0"/>
              <w:pageBreakBefore w:val="0"/>
              <w:kinsoku/>
              <w:wordWrap/>
              <w:overflowPunct/>
              <w:topLinePunct w:val="0"/>
              <w:autoSpaceDE/>
              <w:autoSpaceDN/>
              <w:bidi w:val="0"/>
              <w:adjustRightInd/>
              <w:snapToGrid/>
              <w:spacing w:line="320" w:lineRule="exact"/>
              <w:ind w:left="-115" w:leftChars="-55" w:right="-115" w:rightChars="-55"/>
              <w:jc w:val="center"/>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分值</w:t>
            </w:r>
          </w:p>
        </w:tc>
      </w:tr>
      <w:tr w14:paraId="064E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05" w:type="dxa"/>
            <w:noWrap w:val="0"/>
            <w:vAlign w:val="center"/>
          </w:tcPr>
          <w:p w14:paraId="422F941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230" w:type="dxa"/>
            <w:noWrap w:val="0"/>
            <w:vAlign w:val="center"/>
          </w:tcPr>
          <w:p w14:paraId="51AD84E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技术指标响应性</w:t>
            </w:r>
          </w:p>
          <w:p w14:paraId="5187B57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15分）</w:t>
            </w:r>
          </w:p>
        </w:tc>
        <w:tc>
          <w:tcPr>
            <w:tcW w:w="6660" w:type="dxa"/>
            <w:noWrap w:val="0"/>
            <w:vAlign w:val="center"/>
          </w:tcPr>
          <w:p w14:paraId="63024532">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满足招标文件要求的得1</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分。技术指标中打“★”号的指标必须满足，否则作无效投标处理；打“▲”号的指标，每有一项偏离的扣5分；每有一项偏离的扣2分。扣完为止。</w:t>
            </w:r>
          </w:p>
        </w:tc>
        <w:tc>
          <w:tcPr>
            <w:tcW w:w="690" w:type="dxa"/>
            <w:noWrap w:val="0"/>
            <w:vAlign w:val="center"/>
          </w:tcPr>
          <w:p w14:paraId="75C8A8B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w:t>
            </w:r>
          </w:p>
        </w:tc>
      </w:tr>
      <w:tr w14:paraId="2E2BA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05" w:type="dxa"/>
            <w:vMerge w:val="restart"/>
            <w:noWrap w:val="0"/>
            <w:vAlign w:val="center"/>
          </w:tcPr>
          <w:p w14:paraId="0D53E1B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Cs/>
                <w:iCs/>
                <w:color w:val="auto"/>
                <w:sz w:val="21"/>
                <w:szCs w:val="21"/>
                <w:highlight w:val="none"/>
                <w:lang w:val="en-US" w:eastAsia="zh-CN"/>
              </w:rPr>
            </w:pPr>
            <w:r>
              <w:rPr>
                <w:rFonts w:hint="eastAsia" w:ascii="仿宋" w:hAnsi="仿宋" w:eastAsia="仿宋" w:cs="仿宋"/>
                <w:bCs/>
                <w:iCs/>
                <w:color w:val="auto"/>
                <w:sz w:val="21"/>
                <w:szCs w:val="21"/>
                <w:highlight w:val="none"/>
                <w:lang w:val="en-US" w:eastAsia="zh-CN"/>
              </w:rPr>
              <w:t>2</w:t>
            </w:r>
          </w:p>
        </w:tc>
        <w:tc>
          <w:tcPr>
            <w:tcW w:w="1230" w:type="dxa"/>
            <w:vMerge w:val="restart"/>
            <w:noWrap w:val="0"/>
            <w:vAlign w:val="center"/>
          </w:tcPr>
          <w:p w14:paraId="04A0E9E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bCs/>
                <w:iCs/>
                <w:color w:val="auto"/>
                <w:sz w:val="21"/>
                <w:szCs w:val="21"/>
                <w:highlight w:val="none"/>
                <w:lang w:eastAsia="zh-CN"/>
              </w:rPr>
              <w:t>综合</w:t>
            </w:r>
            <w:r>
              <w:rPr>
                <w:rFonts w:hint="eastAsia" w:ascii="仿宋" w:hAnsi="仿宋" w:eastAsia="仿宋" w:cs="仿宋"/>
                <w:bCs/>
                <w:iCs/>
                <w:color w:val="auto"/>
                <w:sz w:val="21"/>
                <w:szCs w:val="21"/>
                <w:highlight w:val="none"/>
              </w:rPr>
              <w:t>实力</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10分）</w:t>
            </w:r>
          </w:p>
        </w:tc>
        <w:tc>
          <w:tcPr>
            <w:tcW w:w="6660" w:type="dxa"/>
            <w:noWrap w:val="0"/>
            <w:vAlign w:val="top"/>
          </w:tcPr>
          <w:p w14:paraId="71F8F98C">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公司组织架构完善，管理制度健全，人员组成合理，工作流程规范，安全管理措施有力。</w:t>
            </w:r>
            <w:r>
              <w:rPr>
                <w:rFonts w:hint="eastAsia" w:ascii="仿宋" w:hAnsi="仿宋" w:eastAsia="仿宋" w:cs="仿宋"/>
                <w:color w:val="auto"/>
                <w:sz w:val="21"/>
                <w:szCs w:val="21"/>
                <w:highlight w:val="none"/>
              </w:rPr>
              <w:t>根据投标单位服务能力、信誉度、服务承诺、响应承诺等情况，进行评价打分。</w:t>
            </w:r>
            <w:r>
              <w:rPr>
                <w:rFonts w:hint="eastAsia" w:ascii="仿宋" w:hAnsi="仿宋" w:eastAsia="仿宋" w:cs="仿宋"/>
                <w:color w:val="auto"/>
                <w:sz w:val="21"/>
                <w:szCs w:val="21"/>
                <w:highlight w:val="none"/>
                <w:lang w:val="en-US" w:eastAsia="zh-CN"/>
              </w:rPr>
              <w:t>0-3</w:t>
            </w:r>
            <w:r>
              <w:rPr>
                <w:rFonts w:hint="eastAsia" w:ascii="仿宋" w:hAnsi="仿宋" w:eastAsia="仿宋" w:cs="仿宋"/>
                <w:color w:val="auto"/>
                <w:sz w:val="21"/>
                <w:szCs w:val="21"/>
                <w:highlight w:val="none"/>
              </w:rPr>
              <w:t>分。</w:t>
            </w:r>
          </w:p>
        </w:tc>
        <w:tc>
          <w:tcPr>
            <w:tcW w:w="690" w:type="dxa"/>
            <w:noWrap w:val="0"/>
            <w:vAlign w:val="center"/>
          </w:tcPr>
          <w:p w14:paraId="606D2A26">
            <w:pPr>
              <w:keepNext w:val="0"/>
              <w:keepLines w:val="0"/>
              <w:pageBreakBefore w:val="0"/>
              <w:kinsoku/>
              <w:wordWrap/>
              <w:overflowPunct/>
              <w:topLinePunct w:val="0"/>
              <w:autoSpaceDE/>
              <w:autoSpaceDN/>
              <w:bidi w:val="0"/>
              <w:adjustRightInd/>
              <w:snapToGrid/>
              <w:spacing w:line="320" w:lineRule="exact"/>
              <w:ind w:left="-115" w:leftChars="-55" w:right="-115" w:rightChars="-55"/>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p>
        </w:tc>
      </w:tr>
      <w:tr w14:paraId="0959A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05" w:type="dxa"/>
            <w:vMerge w:val="continue"/>
            <w:noWrap w:val="0"/>
            <w:vAlign w:val="center"/>
          </w:tcPr>
          <w:p w14:paraId="536F4E3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Cs/>
                <w:iCs/>
                <w:color w:val="auto"/>
                <w:sz w:val="21"/>
                <w:szCs w:val="21"/>
                <w:highlight w:val="none"/>
                <w:lang w:eastAsia="zh-CN"/>
              </w:rPr>
            </w:pPr>
          </w:p>
        </w:tc>
        <w:tc>
          <w:tcPr>
            <w:tcW w:w="1230" w:type="dxa"/>
            <w:vMerge w:val="continue"/>
            <w:noWrap w:val="0"/>
            <w:vAlign w:val="center"/>
          </w:tcPr>
          <w:p w14:paraId="4829538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Cs/>
                <w:iCs/>
                <w:color w:val="auto"/>
                <w:sz w:val="21"/>
                <w:szCs w:val="21"/>
                <w:highlight w:val="none"/>
                <w:lang w:eastAsia="zh-CN"/>
              </w:rPr>
            </w:pPr>
          </w:p>
        </w:tc>
        <w:tc>
          <w:tcPr>
            <w:tcW w:w="6660" w:type="dxa"/>
            <w:noWrap w:val="0"/>
            <w:vAlign w:val="top"/>
          </w:tcPr>
          <w:p w14:paraId="18032BB3">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供应商具有有效期内质量管理体系认证证书得2分,不提供不得分。</w:t>
            </w:r>
          </w:p>
          <w:p w14:paraId="706AE0C7">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highlight w:val="none"/>
                <w:lang w:val="en-US" w:eastAsia="zh-CN"/>
              </w:rPr>
            </w:pPr>
            <w:r>
              <w:rPr>
                <w:rFonts w:hint="eastAsia" w:ascii="仿宋" w:hAnsi="仿宋" w:eastAsia="仿宋" w:cs="仿宋"/>
                <w:color w:val="auto"/>
                <w:sz w:val="21"/>
                <w:szCs w:val="21"/>
                <w:highlight w:val="none"/>
                <w:lang w:val="en-US" w:eastAsia="zh-CN"/>
              </w:rPr>
              <w:t>注：需提供中国国家认证认可监督管理委员会（http://www.cnca.gov.cn/）网页截图，相关证书和网页截图扫描件导入资信商务及技术文件中。</w:t>
            </w:r>
          </w:p>
        </w:tc>
        <w:tc>
          <w:tcPr>
            <w:tcW w:w="690" w:type="dxa"/>
            <w:noWrap w:val="0"/>
            <w:vAlign w:val="center"/>
          </w:tcPr>
          <w:p w14:paraId="0EF6C4F9">
            <w:pPr>
              <w:keepNext w:val="0"/>
              <w:keepLines w:val="0"/>
              <w:pageBreakBefore w:val="0"/>
              <w:kinsoku/>
              <w:wordWrap/>
              <w:overflowPunct/>
              <w:topLinePunct w:val="0"/>
              <w:autoSpaceDE/>
              <w:autoSpaceDN/>
              <w:bidi w:val="0"/>
              <w:adjustRightInd/>
              <w:snapToGrid/>
              <w:spacing w:line="320" w:lineRule="exact"/>
              <w:ind w:left="-115" w:leftChars="-55" w:right="-115" w:rightChars="-55"/>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r>
      <w:tr w14:paraId="67CCA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05" w:type="dxa"/>
            <w:vMerge w:val="continue"/>
            <w:noWrap w:val="0"/>
            <w:vAlign w:val="center"/>
          </w:tcPr>
          <w:p w14:paraId="3DDD978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1"/>
                <w:szCs w:val="21"/>
                <w:highlight w:val="none"/>
              </w:rPr>
            </w:pPr>
          </w:p>
        </w:tc>
        <w:tc>
          <w:tcPr>
            <w:tcW w:w="1230" w:type="dxa"/>
            <w:vMerge w:val="continue"/>
            <w:noWrap w:val="0"/>
            <w:vAlign w:val="center"/>
          </w:tcPr>
          <w:p w14:paraId="2E0BE99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1"/>
                <w:szCs w:val="21"/>
                <w:highlight w:val="none"/>
              </w:rPr>
            </w:pPr>
          </w:p>
        </w:tc>
        <w:tc>
          <w:tcPr>
            <w:tcW w:w="6660" w:type="dxa"/>
            <w:noWrap w:val="0"/>
            <w:vAlign w:val="center"/>
          </w:tcPr>
          <w:p w14:paraId="4FC95042">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投标人被授予四星及以上得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分，三星级得</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分，其他不得分，需提供相关证明材料（省级及以上旅游主管部门颁发的证书或证明材料），以最新的评定文件为准。</w:t>
            </w:r>
          </w:p>
        </w:tc>
        <w:tc>
          <w:tcPr>
            <w:tcW w:w="690" w:type="dxa"/>
            <w:noWrap w:val="0"/>
            <w:vAlign w:val="center"/>
          </w:tcPr>
          <w:p w14:paraId="678CCC53">
            <w:pPr>
              <w:keepNext w:val="0"/>
              <w:keepLines w:val="0"/>
              <w:pageBreakBefore w:val="0"/>
              <w:kinsoku/>
              <w:wordWrap/>
              <w:overflowPunct/>
              <w:topLinePunct w:val="0"/>
              <w:autoSpaceDE/>
              <w:autoSpaceDN/>
              <w:bidi w:val="0"/>
              <w:adjustRightInd/>
              <w:snapToGrid/>
              <w:spacing w:line="320" w:lineRule="exact"/>
              <w:ind w:left="-115" w:leftChars="-55" w:right="-115" w:rightChars="-55"/>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p>
        </w:tc>
      </w:tr>
      <w:tr w14:paraId="7B96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805" w:type="dxa"/>
            <w:vMerge w:val="continue"/>
            <w:noWrap w:val="0"/>
            <w:vAlign w:val="center"/>
          </w:tcPr>
          <w:p w14:paraId="2DE2857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1"/>
                <w:szCs w:val="21"/>
                <w:highlight w:val="none"/>
              </w:rPr>
            </w:pPr>
          </w:p>
        </w:tc>
        <w:tc>
          <w:tcPr>
            <w:tcW w:w="1230" w:type="dxa"/>
            <w:vMerge w:val="continue"/>
            <w:noWrap w:val="0"/>
            <w:vAlign w:val="center"/>
          </w:tcPr>
          <w:p w14:paraId="2CC42A2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1"/>
                <w:szCs w:val="21"/>
                <w:highlight w:val="none"/>
              </w:rPr>
            </w:pPr>
          </w:p>
        </w:tc>
        <w:tc>
          <w:tcPr>
            <w:tcW w:w="6660" w:type="dxa"/>
            <w:noWrap w:val="0"/>
            <w:vAlign w:val="center"/>
          </w:tcPr>
          <w:p w14:paraId="40189649">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20</w:t>
            </w:r>
            <w:r>
              <w:rPr>
                <w:rFonts w:hint="eastAsia" w:ascii="仿宋" w:hAnsi="仿宋" w:eastAsia="仿宋" w:cs="仿宋"/>
                <w:color w:val="auto"/>
                <w:sz w:val="21"/>
                <w:szCs w:val="21"/>
                <w:highlight w:val="none"/>
                <w:lang w:val="en-US" w:eastAsia="zh-CN"/>
              </w:rPr>
              <w:t>23</w:t>
            </w:r>
            <w:r>
              <w:rPr>
                <w:rFonts w:hint="eastAsia" w:ascii="仿宋" w:hAnsi="仿宋" w:eastAsia="仿宋" w:cs="仿宋"/>
                <w:color w:val="auto"/>
                <w:sz w:val="21"/>
                <w:szCs w:val="21"/>
                <w:highlight w:val="none"/>
                <w:lang w:eastAsia="zh-CN"/>
              </w:rPr>
              <w:t>年至今，投标人获得政府或行业主管部门（或行业协会）</w:t>
            </w:r>
            <w:r>
              <w:rPr>
                <w:rFonts w:hint="eastAsia" w:ascii="仿宋" w:hAnsi="仿宋" w:eastAsia="仿宋" w:cs="仿宋"/>
                <w:color w:val="auto"/>
                <w:sz w:val="24"/>
                <w:highlight w:val="none"/>
              </w:rPr>
              <w:t>颁</w:t>
            </w:r>
            <w:r>
              <w:rPr>
                <w:rFonts w:hint="eastAsia" w:ascii="仿宋" w:hAnsi="仿宋" w:eastAsia="仿宋" w:cs="仿宋"/>
                <w:color w:val="auto"/>
                <w:sz w:val="21"/>
                <w:szCs w:val="21"/>
                <w:highlight w:val="none"/>
                <w:lang w:eastAsia="zh-CN"/>
              </w:rPr>
              <w:t>发的各类荣誉：国家级奖项得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分，省级奖项得</w:t>
            </w:r>
            <w:r>
              <w:rPr>
                <w:rFonts w:hint="eastAsia" w:ascii="仿宋" w:hAnsi="仿宋" w:eastAsia="仿宋" w:cs="仿宋"/>
                <w:color w:val="auto"/>
                <w:sz w:val="21"/>
                <w:szCs w:val="21"/>
                <w:highlight w:val="none"/>
                <w:lang w:val="en-US" w:eastAsia="zh-CN"/>
              </w:rPr>
              <w:t>1.5</w:t>
            </w:r>
            <w:r>
              <w:rPr>
                <w:rFonts w:hint="eastAsia" w:ascii="仿宋" w:hAnsi="仿宋" w:eastAsia="仿宋" w:cs="仿宋"/>
                <w:color w:val="auto"/>
                <w:sz w:val="21"/>
                <w:szCs w:val="21"/>
                <w:highlight w:val="none"/>
                <w:lang w:eastAsia="zh-CN"/>
              </w:rPr>
              <w:t>分，市级奖项</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分。每提供一个得相应分值，最高为</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分。（提供相关证明材料，并加盖公章）</w:t>
            </w:r>
          </w:p>
        </w:tc>
        <w:tc>
          <w:tcPr>
            <w:tcW w:w="690" w:type="dxa"/>
            <w:noWrap w:val="0"/>
            <w:vAlign w:val="center"/>
          </w:tcPr>
          <w:p w14:paraId="0AD4862F">
            <w:pPr>
              <w:keepNext w:val="0"/>
              <w:keepLines w:val="0"/>
              <w:pageBreakBefore w:val="0"/>
              <w:kinsoku/>
              <w:wordWrap/>
              <w:overflowPunct/>
              <w:topLinePunct w:val="0"/>
              <w:autoSpaceDE/>
              <w:autoSpaceDN/>
              <w:bidi w:val="0"/>
              <w:adjustRightInd/>
              <w:snapToGrid/>
              <w:spacing w:line="320" w:lineRule="exact"/>
              <w:ind w:right="71" w:rightChars="34"/>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r>
      <w:tr w14:paraId="1ED32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05" w:type="dxa"/>
            <w:vMerge w:val="restart"/>
            <w:noWrap w:val="0"/>
            <w:vAlign w:val="center"/>
          </w:tcPr>
          <w:p w14:paraId="0146C2D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230" w:type="dxa"/>
            <w:vMerge w:val="restart"/>
            <w:noWrap w:val="0"/>
            <w:vAlign w:val="center"/>
          </w:tcPr>
          <w:p w14:paraId="37D3231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行程</w:t>
            </w:r>
            <w:r>
              <w:rPr>
                <w:rFonts w:hint="eastAsia" w:ascii="仿宋" w:hAnsi="仿宋" w:eastAsia="仿宋" w:cs="仿宋"/>
                <w:color w:val="auto"/>
                <w:sz w:val="21"/>
                <w:szCs w:val="21"/>
                <w:highlight w:val="none"/>
              </w:rPr>
              <w:t>安排</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22分）</w:t>
            </w:r>
          </w:p>
        </w:tc>
        <w:tc>
          <w:tcPr>
            <w:tcW w:w="6660" w:type="dxa"/>
            <w:noWrap w:val="0"/>
            <w:vAlign w:val="center"/>
          </w:tcPr>
          <w:p w14:paraId="6B59D2C7">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根据投标人提供的疗休养行程安排</w:t>
            </w:r>
            <w:r>
              <w:rPr>
                <w:rFonts w:hint="eastAsia" w:ascii="仿宋" w:hAnsi="仿宋" w:eastAsia="仿宋" w:cs="仿宋"/>
                <w:color w:val="auto"/>
                <w:sz w:val="21"/>
                <w:szCs w:val="21"/>
                <w:highlight w:val="none"/>
                <w:lang w:eastAsia="zh-CN"/>
              </w:rPr>
              <w:t>方案</w:t>
            </w:r>
            <w:r>
              <w:rPr>
                <w:rFonts w:hint="eastAsia" w:ascii="仿宋" w:hAnsi="仿宋" w:eastAsia="仿宋" w:cs="仿宋"/>
                <w:b/>
                <w:bCs/>
                <w:color w:val="auto"/>
                <w:sz w:val="21"/>
                <w:szCs w:val="21"/>
                <w:highlight w:val="none"/>
                <w:lang w:eastAsia="zh-CN"/>
              </w:rPr>
              <w:t>（要求提供所有线路的行程方案）</w:t>
            </w:r>
            <w:r>
              <w:rPr>
                <w:rFonts w:hint="eastAsia" w:ascii="仿宋" w:hAnsi="仿宋" w:eastAsia="仿宋" w:cs="仿宋"/>
                <w:color w:val="auto"/>
                <w:sz w:val="21"/>
                <w:szCs w:val="21"/>
                <w:highlight w:val="none"/>
              </w:rPr>
              <w:t>，由专家酌情打分。</w:t>
            </w:r>
            <w:r>
              <w:rPr>
                <w:rFonts w:hint="eastAsia" w:ascii="仿宋" w:hAnsi="仿宋" w:eastAsia="仿宋" w:cs="仿宋"/>
                <w:color w:val="auto"/>
                <w:sz w:val="21"/>
                <w:szCs w:val="21"/>
                <w:highlight w:val="none"/>
                <w:lang w:val="en-US" w:eastAsia="zh-CN"/>
              </w:rPr>
              <w:t>0-7</w:t>
            </w:r>
            <w:r>
              <w:rPr>
                <w:rFonts w:hint="eastAsia" w:ascii="仿宋" w:hAnsi="仿宋" w:eastAsia="仿宋" w:cs="仿宋"/>
                <w:color w:val="auto"/>
                <w:sz w:val="21"/>
                <w:szCs w:val="21"/>
                <w:highlight w:val="none"/>
              </w:rPr>
              <w:t>分。</w:t>
            </w:r>
          </w:p>
        </w:tc>
        <w:tc>
          <w:tcPr>
            <w:tcW w:w="690" w:type="dxa"/>
            <w:noWrap w:val="0"/>
            <w:vAlign w:val="center"/>
          </w:tcPr>
          <w:p w14:paraId="2AD36FF3">
            <w:pPr>
              <w:keepNext w:val="0"/>
              <w:keepLines w:val="0"/>
              <w:pageBreakBefore w:val="0"/>
              <w:kinsoku/>
              <w:wordWrap/>
              <w:overflowPunct/>
              <w:topLinePunct w:val="0"/>
              <w:autoSpaceDE/>
              <w:autoSpaceDN/>
              <w:bidi w:val="0"/>
              <w:adjustRightInd/>
              <w:snapToGrid/>
              <w:spacing w:line="320" w:lineRule="exact"/>
              <w:ind w:left="-115" w:leftChars="-55" w:right="-115" w:rightChars="-55"/>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7</w:t>
            </w:r>
          </w:p>
        </w:tc>
      </w:tr>
      <w:tr w14:paraId="3CB7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05" w:type="dxa"/>
            <w:vMerge w:val="continue"/>
            <w:noWrap w:val="0"/>
            <w:vAlign w:val="center"/>
          </w:tcPr>
          <w:p w14:paraId="6695E13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1"/>
                <w:szCs w:val="21"/>
                <w:highlight w:val="none"/>
              </w:rPr>
            </w:pPr>
          </w:p>
        </w:tc>
        <w:tc>
          <w:tcPr>
            <w:tcW w:w="1230" w:type="dxa"/>
            <w:vMerge w:val="continue"/>
            <w:noWrap w:val="0"/>
            <w:vAlign w:val="center"/>
          </w:tcPr>
          <w:p w14:paraId="50DB29E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1"/>
                <w:szCs w:val="21"/>
                <w:highlight w:val="none"/>
              </w:rPr>
            </w:pPr>
          </w:p>
        </w:tc>
        <w:tc>
          <w:tcPr>
            <w:tcW w:w="6660" w:type="dxa"/>
            <w:noWrap w:val="0"/>
            <w:vAlign w:val="center"/>
          </w:tcPr>
          <w:p w14:paraId="68D4ED1D">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根据投标人提供的住宿</w:t>
            </w:r>
            <w:r>
              <w:rPr>
                <w:rFonts w:hint="eastAsia" w:ascii="仿宋" w:hAnsi="仿宋" w:eastAsia="仿宋" w:cs="仿宋"/>
                <w:color w:val="auto"/>
                <w:sz w:val="21"/>
                <w:szCs w:val="21"/>
                <w:highlight w:val="none"/>
                <w:lang w:eastAsia="zh-CN"/>
              </w:rPr>
              <w:t>方案</w:t>
            </w:r>
            <w:r>
              <w:rPr>
                <w:rFonts w:hint="eastAsia" w:ascii="仿宋" w:hAnsi="仿宋" w:eastAsia="仿宋" w:cs="仿宋"/>
                <w:color w:val="auto"/>
                <w:sz w:val="21"/>
                <w:szCs w:val="21"/>
                <w:highlight w:val="none"/>
              </w:rPr>
              <w:t>，由专家酌情打分。</w:t>
            </w:r>
            <w:r>
              <w:rPr>
                <w:rFonts w:hint="eastAsia" w:ascii="仿宋" w:hAnsi="仿宋" w:eastAsia="仿宋" w:cs="仿宋"/>
                <w:color w:val="auto"/>
                <w:sz w:val="21"/>
                <w:szCs w:val="21"/>
                <w:highlight w:val="none"/>
                <w:lang w:val="en-US" w:eastAsia="zh-CN"/>
              </w:rPr>
              <w:t>0-5</w:t>
            </w:r>
            <w:r>
              <w:rPr>
                <w:rFonts w:hint="eastAsia" w:ascii="仿宋" w:hAnsi="仿宋" w:eastAsia="仿宋" w:cs="仿宋"/>
                <w:color w:val="auto"/>
                <w:sz w:val="21"/>
                <w:szCs w:val="21"/>
                <w:highlight w:val="none"/>
              </w:rPr>
              <w:t>分。</w:t>
            </w:r>
          </w:p>
        </w:tc>
        <w:tc>
          <w:tcPr>
            <w:tcW w:w="690" w:type="dxa"/>
            <w:noWrap w:val="0"/>
            <w:vAlign w:val="center"/>
          </w:tcPr>
          <w:p w14:paraId="599D089D">
            <w:pPr>
              <w:keepNext w:val="0"/>
              <w:keepLines w:val="0"/>
              <w:pageBreakBefore w:val="0"/>
              <w:kinsoku/>
              <w:wordWrap/>
              <w:overflowPunct/>
              <w:topLinePunct w:val="0"/>
              <w:autoSpaceDE/>
              <w:autoSpaceDN/>
              <w:bidi w:val="0"/>
              <w:adjustRightInd/>
              <w:snapToGrid/>
              <w:spacing w:line="320" w:lineRule="exact"/>
              <w:ind w:left="-115" w:leftChars="-55" w:right="-115" w:rightChars="-55"/>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r>
      <w:tr w14:paraId="6549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05" w:type="dxa"/>
            <w:vMerge w:val="continue"/>
            <w:noWrap w:val="0"/>
            <w:vAlign w:val="center"/>
          </w:tcPr>
          <w:p w14:paraId="4932B23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1"/>
                <w:szCs w:val="21"/>
                <w:highlight w:val="none"/>
              </w:rPr>
            </w:pPr>
          </w:p>
        </w:tc>
        <w:tc>
          <w:tcPr>
            <w:tcW w:w="1230" w:type="dxa"/>
            <w:vMerge w:val="continue"/>
            <w:noWrap w:val="0"/>
            <w:vAlign w:val="center"/>
          </w:tcPr>
          <w:p w14:paraId="7DDB911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1"/>
                <w:szCs w:val="21"/>
                <w:highlight w:val="none"/>
              </w:rPr>
            </w:pPr>
          </w:p>
        </w:tc>
        <w:tc>
          <w:tcPr>
            <w:tcW w:w="6660" w:type="dxa"/>
            <w:noWrap w:val="0"/>
            <w:vAlign w:val="center"/>
          </w:tcPr>
          <w:p w14:paraId="2819A41E">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根据投标人提供的餐饮</w:t>
            </w:r>
            <w:r>
              <w:rPr>
                <w:rFonts w:hint="eastAsia" w:ascii="仿宋" w:hAnsi="仿宋" w:eastAsia="仿宋" w:cs="仿宋"/>
                <w:color w:val="auto"/>
                <w:sz w:val="21"/>
                <w:szCs w:val="21"/>
                <w:highlight w:val="none"/>
                <w:lang w:eastAsia="zh-CN"/>
              </w:rPr>
              <w:t>方案</w:t>
            </w:r>
            <w:r>
              <w:rPr>
                <w:rFonts w:hint="eastAsia" w:ascii="仿宋" w:hAnsi="仿宋" w:eastAsia="仿宋" w:cs="仿宋"/>
                <w:color w:val="auto"/>
                <w:sz w:val="21"/>
                <w:szCs w:val="21"/>
                <w:highlight w:val="none"/>
              </w:rPr>
              <w:t>，由专家酌情打分。</w:t>
            </w:r>
            <w:r>
              <w:rPr>
                <w:rFonts w:hint="eastAsia" w:ascii="仿宋" w:hAnsi="仿宋" w:eastAsia="仿宋" w:cs="仿宋"/>
                <w:color w:val="auto"/>
                <w:sz w:val="21"/>
                <w:szCs w:val="21"/>
                <w:highlight w:val="none"/>
                <w:lang w:val="en-US" w:eastAsia="zh-CN"/>
              </w:rPr>
              <w:t>0-5</w:t>
            </w:r>
            <w:r>
              <w:rPr>
                <w:rFonts w:hint="eastAsia" w:ascii="仿宋" w:hAnsi="仿宋" w:eastAsia="仿宋" w:cs="仿宋"/>
                <w:color w:val="auto"/>
                <w:sz w:val="21"/>
                <w:szCs w:val="21"/>
                <w:highlight w:val="none"/>
              </w:rPr>
              <w:t>分。</w:t>
            </w:r>
          </w:p>
        </w:tc>
        <w:tc>
          <w:tcPr>
            <w:tcW w:w="690" w:type="dxa"/>
            <w:noWrap w:val="0"/>
            <w:vAlign w:val="center"/>
          </w:tcPr>
          <w:p w14:paraId="34F396C2">
            <w:pPr>
              <w:keepNext w:val="0"/>
              <w:keepLines w:val="0"/>
              <w:pageBreakBefore w:val="0"/>
              <w:kinsoku/>
              <w:wordWrap/>
              <w:overflowPunct/>
              <w:topLinePunct w:val="0"/>
              <w:autoSpaceDE/>
              <w:autoSpaceDN/>
              <w:bidi w:val="0"/>
              <w:adjustRightInd/>
              <w:snapToGrid/>
              <w:spacing w:line="320" w:lineRule="exact"/>
              <w:ind w:left="-115" w:leftChars="-55" w:right="-115" w:rightChars="-55"/>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r>
      <w:tr w14:paraId="76AA2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05" w:type="dxa"/>
            <w:vMerge w:val="continue"/>
            <w:noWrap w:val="0"/>
            <w:vAlign w:val="center"/>
          </w:tcPr>
          <w:p w14:paraId="20D420E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1"/>
                <w:szCs w:val="21"/>
                <w:highlight w:val="none"/>
              </w:rPr>
            </w:pPr>
          </w:p>
        </w:tc>
        <w:tc>
          <w:tcPr>
            <w:tcW w:w="1230" w:type="dxa"/>
            <w:vMerge w:val="continue"/>
            <w:noWrap w:val="0"/>
            <w:vAlign w:val="center"/>
          </w:tcPr>
          <w:p w14:paraId="5FD212D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1"/>
                <w:szCs w:val="21"/>
                <w:highlight w:val="none"/>
              </w:rPr>
            </w:pPr>
          </w:p>
        </w:tc>
        <w:tc>
          <w:tcPr>
            <w:tcW w:w="6660" w:type="dxa"/>
            <w:noWrap w:val="0"/>
            <w:vAlign w:val="center"/>
          </w:tcPr>
          <w:p w14:paraId="694E7B98">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根据投标人提供的</w:t>
            </w:r>
            <w:r>
              <w:rPr>
                <w:rFonts w:hint="eastAsia" w:ascii="仿宋" w:hAnsi="仿宋" w:eastAsia="仿宋" w:cs="仿宋"/>
                <w:color w:val="auto"/>
                <w:sz w:val="21"/>
                <w:szCs w:val="21"/>
                <w:highlight w:val="none"/>
                <w:lang w:eastAsia="zh-CN"/>
              </w:rPr>
              <w:t>车辆安排方案</w:t>
            </w:r>
            <w:r>
              <w:rPr>
                <w:rFonts w:hint="eastAsia" w:ascii="仿宋" w:hAnsi="仿宋" w:eastAsia="仿宋" w:cs="仿宋"/>
                <w:color w:val="auto"/>
                <w:sz w:val="21"/>
                <w:szCs w:val="21"/>
                <w:highlight w:val="none"/>
              </w:rPr>
              <w:t>，由专家酌情打分。</w:t>
            </w:r>
            <w:r>
              <w:rPr>
                <w:rFonts w:hint="eastAsia" w:ascii="仿宋" w:hAnsi="仿宋" w:eastAsia="仿宋" w:cs="仿宋"/>
                <w:color w:val="auto"/>
                <w:sz w:val="21"/>
                <w:szCs w:val="21"/>
                <w:highlight w:val="none"/>
                <w:lang w:val="en-US" w:eastAsia="zh-CN"/>
              </w:rPr>
              <w:t>0-5</w:t>
            </w:r>
            <w:r>
              <w:rPr>
                <w:rFonts w:hint="eastAsia" w:ascii="仿宋" w:hAnsi="仿宋" w:eastAsia="仿宋" w:cs="仿宋"/>
                <w:color w:val="auto"/>
                <w:sz w:val="21"/>
                <w:szCs w:val="21"/>
                <w:highlight w:val="none"/>
              </w:rPr>
              <w:t>分。</w:t>
            </w:r>
          </w:p>
        </w:tc>
        <w:tc>
          <w:tcPr>
            <w:tcW w:w="690" w:type="dxa"/>
            <w:noWrap w:val="0"/>
            <w:vAlign w:val="center"/>
          </w:tcPr>
          <w:p w14:paraId="3C8F14C7">
            <w:pPr>
              <w:keepNext w:val="0"/>
              <w:keepLines w:val="0"/>
              <w:pageBreakBefore w:val="0"/>
              <w:kinsoku/>
              <w:wordWrap/>
              <w:overflowPunct/>
              <w:topLinePunct w:val="0"/>
              <w:autoSpaceDE/>
              <w:autoSpaceDN/>
              <w:bidi w:val="0"/>
              <w:adjustRightInd/>
              <w:snapToGrid/>
              <w:spacing w:line="320" w:lineRule="exact"/>
              <w:ind w:left="-115" w:leftChars="-55" w:right="-115" w:rightChars="-55"/>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r>
      <w:tr w14:paraId="05AD8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05" w:type="dxa"/>
            <w:vMerge w:val="restart"/>
            <w:noWrap w:val="0"/>
            <w:vAlign w:val="center"/>
          </w:tcPr>
          <w:p w14:paraId="357FBA0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1230" w:type="dxa"/>
            <w:vMerge w:val="restart"/>
            <w:noWrap w:val="0"/>
            <w:vAlign w:val="center"/>
          </w:tcPr>
          <w:p w14:paraId="3A049DF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队伍配备</w:t>
            </w:r>
          </w:p>
          <w:p w14:paraId="254C8AA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及导游素质</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12分）</w:t>
            </w:r>
          </w:p>
        </w:tc>
        <w:tc>
          <w:tcPr>
            <w:tcW w:w="6660" w:type="dxa"/>
            <w:noWrap w:val="0"/>
            <w:vAlign w:val="center"/>
          </w:tcPr>
          <w:p w14:paraId="4AE166E1">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投标人具有专职导游5人（含）得3分，每增加1人加0.5分，最高8分。提供具有导游证资格人员的证书及相应的社保缴纳证明复印件并加盖投标人公章。</w:t>
            </w:r>
            <w:r>
              <w:rPr>
                <w:rFonts w:hint="eastAsia" w:ascii="仿宋" w:hAnsi="仿宋" w:eastAsia="仿宋" w:cs="仿宋"/>
                <w:b/>
                <w:bCs/>
                <w:color w:val="auto"/>
                <w:sz w:val="21"/>
                <w:szCs w:val="21"/>
                <w:highlight w:val="none"/>
                <w:lang w:val="en-US" w:eastAsia="zh-CN"/>
              </w:rPr>
              <w:t>兼职导游不得分。</w:t>
            </w:r>
          </w:p>
        </w:tc>
        <w:tc>
          <w:tcPr>
            <w:tcW w:w="690" w:type="dxa"/>
            <w:noWrap w:val="0"/>
            <w:vAlign w:val="center"/>
          </w:tcPr>
          <w:p w14:paraId="4DD80E80">
            <w:pPr>
              <w:keepNext w:val="0"/>
              <w:keepLines w:val="0"/>
              <w:pageBreakBefore w:val="0"/>
              <w:kinsoku/>
              <w:wordWrap/>
              <w:overflowPunct/>
              <w:topLinePunct w:val="0"/>
              <w:autoSpaceDE/>
              <w:autoSpaceDN/>
              <w:bidi w:val="0"/>
              <w:adjustRightInd/>
              <w:snapToGrid/>
              <w:spacing w:line="320" w:lineRule="exact"/>
              <w:ind w:left="-115" w:leftChars="-55" w:right="-115" w:rightChars="-55"/>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8</w:t>
            </w:r>
          </w:p>
        </w:tc>
      </w:tr>
      <w:tr w14:paraId="1023A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05" w:type="dxa"/>
            <w:vMerge w:val="continue"/>
            <w:noWrap w:val="0"/>
            <w:vAlign w:val="center"/>
          </w:tcPr>
          <w:p w14:paraId="1A17D43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1"/>
                <w:szCs w:val="21"/>
                <w:highlight w:val="none"/>
                <w:lang w:val="en-US" w:eastAsia="zh-CN"/>
              </w:rPr>
            </w:pPr>
          </w:p>
        </w:tc>
        <w:tc>
          <w:tcPr>
            <w:tcW w:w="1230" w:type="dxa"/>
            <w:vMerge w:val="continue"/>
            <w:noWrap w:val="0"/>
            <w:vAlign w:val="center"/>
          </w:tcPr>
          <w:p w14:paraId="181AF7F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1"/>
                <w:szCs w:val="21"/>
                <w:highlight w:val="none"/>
              </w:rPr>
            </w:pPr>
          </w:p>
        </w:tc>
        <w:tc>
          <w:tcPr>
            <w:tcW w:w="6660" w:type="dxa"/>
            <w:noWrap w:val="0"/>
            <w:vAlign w:val="center"/>
          </w:tcPr>
          <w:p w14:paraId="5D05A7B3">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投标人具有高级导游每1名得1分；中级导游每1名得0.5分；初级导游每1名得0.2分，最高4分。提供具有人员的相关资料及相应的社保缴纳证明复印件并加盖单位公章。</w:t>
            </w:r>
            <w:r>
              <w:rPr>
                <w:rFonts w:hint="eastAsia" w:ascii="仿宋" w:hAnsi="仿宋" w:eastAsia="仿宋" w:cs="仿宋"/>
                <w:b/>
                <w:bCs/>
                <w:color w:val="auto"/>
                <w:sz w:val="21"/>
                <w:szCs w:val="21"/>
                <w:highlight w:val="none"/>
                <w:lang w:eastAsia="zh-CN"/>
              </w:rPr>
              <w:t>兼职导游不得分。</w:t>
            </w:r>
          </w:p>
        </w:tc>
        <w:tc>
          <w:tcPr>
            <w:tcW w:w="690" w:type="dxa"/>
            <w:noWrap w:val="0"/>
            <w:vAlign w:val="center"/>
          </w:tcPr>
          <w:p w14:paraId="4BB7EFD1">
            <w:pPr>
              <w:keepNext w:val="0"/>
              <w:keepLines w:val="0"/>
              <w:pageBreakBefore w:val="0"/>
              <w:kinsoku/>
              <w:wordWrap/>
              <w:overflowPunct/>
              <w:topLinePunct w:val="0"/>
              <w:autoSpaceDE/>
              <w:autoSpaceDN/>
              <w:bidi w:val="0"/>
              <w:adjustRightInd/>
              <w:snapToGrid/>
              <w:spacing w:line="320" w:lineRule="exact"/>
              <w:ind w:left="-115" w:leftChars="-55" w:right="-115" w:rightChars="-55"/>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4</w:t>
            </w:r>
          </w:p>
        </w:tc>
      </w:tr>
      <w:tr w14:paraId="3FC4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05" w:type="dxa"/>
            <w:vMerge w:val="restart"/>
            <w:noWrap w:val="0"/>
            <w:vAlign w:val="center"/>
          </w:tcPr>
          <w:p w14:paraId="14E9677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1230" w:type="dxa"/>
            <w:vMerge w:val="restart"/>
            <w:noWrap w:val="0"/>
            <w:vAlign w:val="center"/>
          </w:tcPr>
          <w:p w14:paraId="617D42A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保险情况（</w:t>
            </w:r>
            <w:r>
              <w:rPr>
                <w:rFonts w:hint="eastAsia" w:ascii="仿宋" w:hAnsi="仿宋" w:eastAsia="仿宋" w:cs="仿宋"/>
                <w:color w:val="auto"/>
                <w:sz w:val="21"/>
                <w:szCs w:val="21"/>
                <w:highlight w:val="none"/>
                <w:lang w:val="en-US" w:eastAsia="zh-CN"/>
              </w:rPr>
              <w:t>6分）</w:t>
            </w:r>
          </w:p>
        </w:tc>
        <w:tc>
          <w:tcPr>
            <w:tcW w:w="6660" w:type="dxa"/>
            <w:noWrap w:val="0"/>
            <w:vAlign w:val="center"/>
          </w:tcPr>
          <w:p w14:paraId="31CC356D">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旅行社责任险</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500-1000万元（不含）得1分，1000-1500万元（不含）得2分，1500万及以上得3分。</w:t>
            </w:r>
          </w:p>
        </w:tc>
        <w:tc>
          <w:tcPr>
            <w:tcW w:w="690" w:type="dxa"/>
            <w:noWrap w:val="0"/>
            <w:vAlign w:val="center"/>
          </w:tcPr>
          <w:p w14:paraId="5C16266E">
            <w:pPr>
              <w:keepNext w:val="0"/>
              <w:keepLines w:val="0"/>
              <w:pageBreakBefore w:val="0"/>
              <w:kinsoku/>
              <w:wordWrap/>
              <w:overflowPunct/>
              <w:topLinePunct w:val="0"/>
              <w:autoSpaceDE/>
              <w:autoSpaceDN/>
              <w:bidi w:val="0"/>
              <w:adjustRightInd/>
              <w:snapToGrid/>
              <w:spacing w:line="320" w:lineRule="exact"/>
              <w:ind w:left="-115" w:leftChars="-55" w:right="-115" w:rightChars="-55"/>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r>
      <w:tr w14:paraId="161B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05" w:type="dxa"/>
            <w:vMerge w:val="continue"/>
            <w:noWrap w:val="0"/>
            <w:vAlign w:val="center"/>
          </w:tcPr>
          <w:p w14:paraId="79DF43A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1"/>
                <w:szCs w:val="21"/>
                <w:highlight w:val="none"/>
              </w:rPr>
            </w:pPr>
          </w:p>
        </w:tc>
        <w:tc>
          <w:tcPr>
            <w:tcW w:w="1230" w:type="dxa"/>
            <w:vMerge w:val="continue"/>
            <w:noWrap w:val="0"/>
            <w:vAlign w:val="center"/>
          </w:tcPr>
          <w:p w14:paraId="463C9ED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1"/>
                <w:szCs w:val="21"/>
                <w:highlight w:val="none"/>
              </w:rPr>
            </w:pPr>
          </w:p>
        </w:tc>
        <w:tc>
          <w:tcPr>
            <w:tcW w:w="6660" w:type="dxa"/>
            <w:noWrap w:val="0"/>
            <w:vAlign w:val="center"/>
          </w:tcPr>
          <w:p w14:paraId="12FB8729">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人身意外险</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为参加疗休养活动的职工购买额度不低于100万元的人身意外险的基础上，每增加50万元得1分，最高3分。</w:t>
            </w:r>
          </w:p>
        </w:tc>
        <w:tc>
          <w:tcPr>
            <w:tcW w:w="690" w:type="dxa"/>
            <w:noWrap w:val="0"/>
            <w:vAlign w:val="center"/>
          </w:tcPr>
          <w:p w14:paraId="1142311C">
            <w:pPr>
              <w:keepNext w:val="0"/>
              <w:keepLines w:val="0"/>
              <w:pageBreakBefore w:val="0"/>
              <w:kinsoku/>
              <w:wordWrap/>
              <w:overflowPunct/>
              <w:topLinePunct w:val="0"/>
              <w:autoSpaceDE/>
              <w:autoSpaceDN/>
              <w:bidi w:val="0"/>
              <w:adjustRightInd/>
              <w:snapToGrid/>
              <w:spacing w:line="320" w:lineRule="exact"/>
              <w:ind w:left="-115" w:leftChars="-55" w:right="-115" w:rightChars="-55"/>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r>
      <w:tr w14:paraId="5788F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05" w:type="dxa"/>
            <w:noWrap w:val="0"/>
            <w:vAlign w:val="center"/>
          </w:tcPr>
          <w:p w14:paraId="57BA282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w:t>
            </w:r>
          </w:p>
        </w:tc>
        <w:tc>
          <w:tcPr>
            <w:tcW w:w="1230" w:type="dxa"/>
            <w:noWrap w:val="0"/>
            <w:vAlign w:val="center"/>
          </w:tcPr>
          <w:p w14:paraId="232B476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投标人业绩</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2分）</w:t>
            </w:r>
          </w:p>
        </w:tc>
        <w:tc>
          <w:tcPr>
            <w:tcW w:w="6660" w:type="dxa"/>
            <w:noWrap w:val="0"/>
            <w:vAlign w:val="center"/>
          </w:tcPr>
          <w:p w14:paraId="144882B7">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人提供2023年1月1日至今承接过的案例，在浙江省同级医院或其他行政事业单位案例合同，50万元及以上，每有1份得1分（同一单位，合同金额可以累加，只算作一份合同）；10（含）～50万元，每有1份得0.5分。需提供合同复印件和发票均加盖投标人公章，未提供不得分。</w:t>
            </w:r>
          </w:p>
        </w:tc>
        <w:tc>
          <w:tcPr>
            <w:tcW w:w="690" w:type="dxa"/>
            <w:noWrap w:val="0"/>
            <w:vAlign w:val="center"/>
          </w:tcPr>
          <w:p w14:paraId="2928BAF2">
            <w:pPr>
              <w:keepNext w:val="0"/>
              <w:keepLines w:val="0"/>
              <w:pageBreakBefore w:val="0"/>
              <w:kinsoku/>
              <w:wordWrap/>
              <w:overflowPunct/>
              <w:topLinePunct w:val="0"/>
              <w:autoSpaceDE/>
              <w:autoSpaceDN/>
              <w:bidi w:val="0"/>
              <w:adjustRightInd/>
              <w:snapToGrid/>
              <w:spacing w:line="320" w:lineRule="exact"/>
              <w:ind w:left="71" w:leftChars="34" w:right="71" w:rightChars="34" w:firstLine="1"/>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r>
      <w:tr w14:paraId="2B7BB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05" w:type="dxa"/>
            <w:noWrap w:val="0"/>
            <w:vAlign w:val="center"/>
          </w:tcPr>
          <w:p w14:paraId="7A574D50">
            <w:pPr>
              <w:keepNext w:val="0"/>
              <w:keepLines w:val="0"/>
              <w:pageBreakBefore w:val="0"/>
              <w:kinsoku/>
              <w:wordWrap/>
              <w:overflowPunct/>
              <w:topLinePunct w:val="0"/>
              <w:autoSpaceDE/>
              <w:autoSpaceDN/>
              <w:bidi w:val="0"/>
              <w:adjustRightInd/>
              <w:snapToGrid/>
              <w:spacing w:line="320" w:lineRule="exact"/>
              <w:ind w:left="71" w:leftChars="34" w:right="71" w:rightChars="34" w:firstLine="1"/>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w:t>
            </w:r>
          </w:p>
        </w:tc>
        <w:tc>
          <w:tcPr>
            <w:tcW w:w="1230" w:type="dxa"/>
            <w:noWrap w:val="0"/>
            <w:vAlign w:val="center"/>
          </w:tcPr>
          <w:p w14:paraId="2F3233C0">
            <w:pPr>
              <w:keepNext w:val="0"/>
              <w:keepLines w:val="0"/>
              <w:pageBreakBefore w:val="0"/>
              <w:kinsoku/>
              <w:wordWrap/>
              <w:overflowPunct/>
              <w:topLinePunct w:val="0"/>
              <w:autoSpaceDE/>
              <w:autoSpaceDN/>
              <w:bidi w:val="0"/>
              <w:adjustRightInd/>
              <w:snapToGrid/>
              <w:spacing w:line="320" w:lineRule="exact"/>
              <w:ind w:left="71" w:leftChars="34" w:right="71" w:rightChars="34" w:firstLine="1"/>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应急方案（</w:t>
            </w:r>
            <w:r>
              <w:rPr>
                <w:rFonts w:hint="eastAsia" w:ascii="仿宋" w:hAnsi="仿宋" w:eastAsia="仿宋" w:cs="仿宋"/>
                <w:color w:val="auto"/>
                <w:sz w:val="21"/>
                <w:szCs w:val="21"/>
                <w:highlight w:val="none"/>
                <w:lang w:val="en-US" w:eastAsia="zh-CN"/>
              </w:rPr>
              <w:t>3分）</w:t>
            </w:r>
          </w:p>
        </w:tc>
        <w:tc>
          <w:tcPr>
            <w:tcW w:w="6660" w:type="dxa"/>
            <w:noWrap w:val="0"/>
            <w:vAlign w:val="center"/>
          </w:tcPr>
          <w:p w14:paraId="0E49EA82">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针对突发情况的相关应急预案的全面性、可行性等。</w:t>
            </w:r>
            <w:r>
              <w:rPr>
                <w:rFonts w:hint="eastAsia" w:ascii="仿宋" w:hAnsi="仿宋" w:eastAsia="仿宋" w:cs="仿宋"/>
                <w:color w:val="auto"/>
                <w:sz w:val="21"/>
                <w:szCs w:val="21"/>
                <w:highlight w:val="none"/>
              </w:rPr>
              <w:t>由专家酌情打分。</w:t>
            </w:r>
            <w:r>
              <w:rPr>
                <w:rFonts w:hint="eastAsia" w:ascii="仿宋" w:hAnsi="仿宋" w:eastAsia="仿宋" w:cs="仿宋"/>
                <w:color w:val="auto"/>
                <w:sz w:val="21"/>
                <w:szCs w:val="21"/>
                <w:highlight w:val="none"/>
                <w:lang w:val="en-US" w:eastAsia="zh-CN"/>
              </w:rPr>
              <w:t>0-3</w:t>
            </w:r>
            <w:r>
              <w:rPr>
                <w:rFonts w:hint="eastAsia" w:ascii="仿宋" w:hAnsi="仿宋" w:eastAsia="仿宋" w:cs="仿宋"/>
                <w:color w:val="auto"/>
                <w:sz w:val="21"/>
                <w:szCs w:val="21"/>
                <w:highlight w:val="none"/>
              </w:rPr>
              <w:t>分。</w:t>
            </w:r>
          </w:p>
        </w:tc>
        <w:tc>
          <w:tcPr>
            <w:tcW w:w="690" w:type="dxa"/>
            <w:noWrap w:val="0"/>
            <w:vAlign w:val="center"/>
          </w:tcPr>
          <w:p w14:paraId="5E64E4EB">
            <w:pPr>
              <w:keepNext w:val="0"/>
              <w:keepLines w:val="0"/>
              <w:pageBreakBefore w:val="0"/>
              <w:kinsoku/>
              <w:wordWrap/>
              <w:overflowPunct/>
              <w:topLinePunct w:val="0"/>
              <w:autoSpaceDE/>
              <w:autoSpaceDN/>
              <w:bidi w:val="0"/>
              <w:adjustRightInd/>
              <w:snapToGrid/>
              <w:spacing w:line="320" w:lineRule="exact"/>
              <w:ind w:left="-115" w:leftChars="-55" w:right="-115" w:rightChars="-55"/>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r>
      <w:tr w14:paraId="30E21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05" w:type="dxa"/>
            <w:noWrap w:val="0"/>
            <w:vAlign w:val="center"/>
          </w:tcPr>
          <w:p w14:paraId="7ABDA52B">
            <w:pPr>
              <w:keepNext w:val="0"/>
              <w:keepLines w:val="0"/>
              <w:pageBreakBefore w:val="0"/>
              <w:kinsoku/>
              <w:wordWrap/>
              <w:overflowPunct/>
              <w:topLinePunct w:val="0"/>
              <w:autoSpaceDE/>
              <w:autoSpaceDN/>
              <w:bidi w:val="0"/>
              <w:adjustRightInd/>
              <w:snapToGrid/>
              <w:spacing w:line="320" w:lineRule="exact"/>
              <w:ind w:left="71" w:leftChars="34" w:right="71" w:rightChars="34" w:firstLine="1"/>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w:t>
            </w:r>
          </w:p>
        </w:tc>
        <w:tc>
          <w:tcPr>
            <w:tcW w:w="1230" w:type="dxa"/>
            <w:noWrap w:val="0"/>
            <w:vAlign w:val="center"/>
          </w:tcPr>
          <w:p w14:paraId="60A5CC5D">
            <w:pPr>
              <w:keepNext w:val="0"/>
              <w:keepLines w:val="0"/>
              <w:pageBreakBefore w:val="0"/>
              <w:kinsoku/>
              <w:wordWrap/>
              <w:overflowPunct/>
              <w:topLinePunct w:val="0"/>
              <w:autoSpaceDE/>
              <w:autoSpaceDN/>
              <w:bidi w:val="0"/>
              <w:adjustRightInd/>
              <w:snapToGrid/>
              <w:spacing w:line="320" w:lineRule="exact"/>
              <w:ind w:left="71" w:leftChars="34" w:right="71" w:rightChars="34" w:firstLine="1"/>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增值服务（</w:t>
            </w:r>
            <w:r>
              <w:rPr>
                <w:rFonts w:hint="eastAsia" w:ascii="仿宋" w:hAnsi="仿宋" w:eastAsia="仿宋" w:cs="仿宋"/>
                <w:color w:val="auto"/>
                <w:sz w:val="21"/>
                <w:szCs w:val="21"/>
                <w:highlight w:val="none"/>
                <w:lang w:val="en-US" w:eastAsia="zh-CN"/>
              </w:rPr>
              <w:t>5分）</w:t>
            </w:r>
          </w:p>
        </w:tc>
        <w:tc>
          <w:tcPr>
            <w:tcW w:w="6660" w:type="dxa"/>
            <w:noWrap w:val="0"/>
            <w:vAlign w:val="center"/>
          </w:tcPr>
          <w:p w14:paraId="43D89182">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根据额外提供的符合规范的增值服务和特色服务（包括但不限于小零食、水果、水、饮料、纪念品、应急医药包、生日派对、篝火晚会、团建活动等），由专家酌情打分。</w:t>
            </w:r>
            <w:r>
              <w:rPr>
                <w:rFonts w:hint="eastAsia" w:ascii="仿宋" w:hAnsi="仿宋" w:eastAsia="仿宋" w:cs="仿宋"/>
                <w:color w:val="auto"/>
                <w:sz w:val="21"/>
                <w:szCs w:val="21"/>
                <w:highlight w:val="none"/>
              </w:rPr>
              <w:t>由专家酌情打分。</w:t>
            </w:r>
            <w:r>
              <w:rPr>
                <w:rFonts w:hint="eastAsia" w:ascii="仿宋" w:hAnsi="仿宋" w:eastAsia="仿宋" w:cs="仿宋"/>
                <w:color w:val="auto"/>
                <w:sz w:val="21"/>
                <w:szCs w:val="21"/>
                <w:highlight w:val="none"/>
                <w:lang w:val="en-US" w:eastAsia="zh-CN"/>
              </w:rPr>
              <w:t>0-5</w:t>
            </w:r>
            <w:r>
              <w:rPr>
                <w:rFonts w:hint="eastAsia" w:ascii="仿宋" w:hAnsi="仿宋" w:eastAsia="仿宋" w:cs="仿宋"/>
                <w:color w:val="auto"/>
                <w:sz w:val="21"/>
                <w:szCs w:val="21"/>
                <w:highlight w:val="none"/>
              </w:rPr>
              <w:t>分。</w:t>
            </w:r>
          </w:p>
        </w:tc>
        <w:tc>
          <w:tcPr>
            <w:tcW w:w="690" w:type="dxa"/>
            <w:noWrap w:val="0"/>
            <w:vAlign w:val="center"/>
          </w:tcPr>
          <w:p w14:paraId="560D858A">
            <w:pPr>
              <w:keepNext w:val="0"/>
              <w:keepLines w:val="0"/>
              <w:pageBreakBefore w:val="0"/>
              <w:kinsoku/>
              <w:wordWrap/>
              <w:overflowPunct/>
              <w:topLinePunct w:val="0"/>
              <w:autoSpaceDE/>
              <w:autoSpaceDN/>
              <w:bidi w:val="0"/>
              <w:adjustRightInd/>
              <w:snapToGrid/>
              <w:spacing w:line="320" w:lineRule="exact"/>
              <w:ind w:left="-115" w:leftChars="-55" w:right="-115" w:rightChars="-55"/>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5</w:t>
            </w:r>
          </w:p>
        </w:tc>
      </w:tr>
    </w:tbl>
    <w:p w14:paraId="25600046">
      <w:pPr>
        <w:spacing w:line="440" w:lineRule="exact"/>
        <w:rPr>
          <w:rFonts w:hint="eastAsia" w:ascii="仿宋" w:hAnsi="仿宋" w:eastAsia="仿宋" w:cs="仿宋"/>
          <w:b/>
          <w:bCs/>
          <w:iCs/>
          <w:color w:val="auto"/>
          <w:sz w:val="24"/>
          <w:highlight w:val="none"/>
        </w:rPr>
      </w:pPr>
      <w:r>
        <w:rPr>
          <w:rFonts w:hint="eastAsia" w:ascii="仿宋" w:hAnsi="仿宋" w:eastAsia="仿宋" w:cs="仿宋"/>
          <w:b/>
          <w:bCs/>
          <w:iCs/>
          <w:color w:val="auto"/>
          <w:sz w:val="24"/>
          <w:highlight w:val="none"/>
        </w:rPr>
        <w:t>2.2价格分（</w:t>
      </w:r>
      <w:r>
        <w:rPr>
          <w:rFonts w:hint="eastAsia" w:ascii="仿宋" w:hAnsi="仿宋" w:eastAsia="仿宋" w:cs="仿宋"/>
          <w:b/>
          <w:bCs/>
          <w:iCs/>
          <w:color w:val="auto"/>
          <w:sz w:val="24"/>
          <w:highlight w:val="none"/>
          <w:lang w:val="en-US" w:eastAsia="zh-CN"/>
        </w:rPr>
        <w:t>25</w:t>
      </w:r>
      <w:r>
        <w:rPr>
          <w:rFonts w:hint="eastAsia" w:ascii="仿宋" w:hAnsi="仿宋" w:eastAsia="仿宋" w:cs="仿宋"/>
          <w:b/>
          <w:bCs/>
          <w:iCs/>
          <w:color w:val="auto"/>
          <w:sz w:val="24"/>
          <w:highlight w:val="none"/>
        </w:rPr>
        <w:t>分）</w:t>
      </w:r>
    </w:p>
    <w:p w14:paraId="6CCE3C32">
      <w:pPr>
        <w:spacing w:line="440" w:lineRule="exact"/>
        <w:rPr>
          <w:rFonts w:hint="eastAsia" w:ascii="仿宋" w:hAnsi="仿宋" w:eastAsia="仿宋" w:cs="仿宋"/>
          <w:color w:val="auto"/>
          <w:highlight w:val="none"/>
        </w:rPr>
      </w:pPr>
      <w:r>
        <w:rPr>
          <w:rFonts w:hint="eastAsia" w:ascii="仿宋" w:hAnsi="仿宋" w:eastAsia="仿宋" w:cs="仿宋"/>
          <w:b/>
          <w:bCs w:val="0"/>
          <w:iCs/>
          <w:color w:val="auto"/>
          <w:sz w:val="24"/>
          <w:szCs w:val="24"/>
          <w:highlight w:val="none"/>
          <w:lang w:val="en-US" w:eastAsia="zh-CN"/>
        </w:rPr>
        <w:t>2.2.1.职工疗休养报价（价格分20分）</w:t>
      </w:r>
    </w:p>
    <w:p w14:paraId="51D98A51">
      <w:pPr>
        <w:spacing w:line="440" w:lineRule="exact"/>
        <w:ind w:firstLine="480" w:firstLineChars="200"/>
        <w:rPr>
          <w:rFonts w:hint="eastAsia" w:ascii="仿宋" w:hAnsi="仿宋" w:eastAsia="仿宋" w:cs="仿宋"/>
          <w:bCs/>
          <w:iCs/>
          <w:color w:val="auto"/>
          <w:sz w:val="24"/>
          <w:highlight w:val="none"/>
        </w:rPr>
      </w:pPr>
      <w:r>
        <w:rPr>
          <w:rFonts w:hint="eastAsia" w:ascii="仿宋" w:hAnsi="仿宋" w:eastAsia="仿宋" w:cs="仿宋"/>
          <w:bCs/>
          <w:iCs/>
          <w:color w:val="auto"/>
          <w:sz w:val="24"/>
          <w:highlight w:val="none"/>
          <w:lang w:val="en-US" w:eastAsia="zh-CN"/>
        </w:rPr>
        <w:t>①</w:t>
      </w:r>
      <w:r>
        <w:rPr>
          <w:rFonts w:hint="eastAsia" w:ascii="仿宋" w:hAnsi="仿宋" w:eastAsia="仿宋" w:cs="仿宋"/>
          <w:bCs/>
          <w:iCs/>
          <w:color w:val="auto"/>
          <w:sz w:val="24"/>
          <w:highlight w:val="none"/>
        </w:rPr>
        <w:t>评标基准价：即所有满足招标文件要求的有效投标报价的算术平均值（按四舍六入五留双取整）作为评标基准价，其价格分为满分。</w:t>
      </w:r>
    </w:p>
    <w:p w14:paraId="02B6CCF3">
      <w:pPr>
        <w:spacing w:line="440" w:lineRule="exact"/>
        <w:ind w:firstLine="480" w:firstLineChars="200"/>
        <w:rPr>
          <w:rFonts w:hint="eastAsia" w:ascii="仿宋" w:hAnsi="仿宋" w:eastAsia="仿宋" w:cs="仿宋"/>
          <w:bCs/>
          <w:iCs/>
          <w:color w:val="auto"/>
          <w:sz w:val="24"/>
          <w:highlight w:val="none"/>
        </w:rPr>
      </w:pPr>
      <w:r>
        <w:rPr>
          <w:rFonts w:hint="eastAsia" w:ascii="仿宋" w:hAnsi="仿宋" w:eastAsia="仿宋" w:cs="仿宋"/>
          <w:bCs/>
          <w:iCs/>
          <w:color w:val="auto"/>
          <w:sz w:val="24"/>
          <w:highlight w:val="none"/>
          <w:lang w:val="en-US" w:eastAsia="zh-CN"/>
        </w:rPr>
        <w:t>②</w:t>
      </w:r>
      <w:r>
        <w:rPr>
          <w:rFonts w:hint="eastAsia" w:ascii="仿宋" w:hAnsi="仿宋" w:eastAsia="仿宋" w:cs="仿宋"/>
          <w:bCs/>
          <w:iCs/>
          <w:color w:val="auto"/>
          <w:sz w:val="24"/>
          <w:highlight w:val="none"/>
        </w:rPr>
        <w:t>其他投标人</w:t>
      </w:r>
      <w:bookmarkEnd w:id="7"/>
      <w:bookmarkEnd w:id="8"/>
      <w:bookmarkEnd w:id="9"/>
      <w:bookmarkEnd w:id="10"/>
      <w:r>
        <w:rPr>
          <w:rFonts w:hint="eastAsia" w:ascii="仿宋" w:hAnsi="仿宋" w:eastAsia="仿宋" w:cs="仿宋"/>
          <w:bCs/>
          <w:iCs/>
          <w:color w:val="auto"/>
          <w:sz w:val="24"/>
          <w:highlight w:val="none"/>
        </w:rPr>
        <w:t>的价格分统一按照下列公式计算(保留小数2位)：</w:t>
      </w:r>
    </w:p>
    <w:p w14:paraId="0696A977">
      <w:pPr>
        <w:spacing w:line="440" w:lineRule="exact"/>
        <w:rPr>
          <w:rFonts w:hint="eastAsia" w:ascii="仿宋" w:hAnsi="仿宋" w:eastAsia="仿宋" w:cs="仿宋"/>
          <w:bCs/>
          <w:iCs/>
          <w:color w:val="auto"/>
          <w:sz w:val="24"/>
          <w:highlight w:val="none"/>
        </w:rPr>
      </w:pPr>
      <w:r>
        <w:rPr>
          <w:rFonts w:hint="eastAsia" w:ascii="仿宋" w:hAnsi="仿宋" w:eastAsia="仿宋" w:cs="仿宋"/>
          <w:bCs/>
          <w:iCs/>
          <w:color w:val="auto"/>
          <w:sz w:val="24"/>
          <w:highlight w:val="none"/>
        </w:rPr>
        <w:t>报价偏离（高于或低于）评标基准价的，按报价与评标基准价（各投标人的有效报价-评标基准价）的算术差，计算报价得分：每低于1个百分点扣0.2分；每高于1个百分点扣0.3分。扣至0分为止。</w:t>
      </w:r>
    </w:p>
    <w:p w14:paraId="6DF6ABBA">
      <w:pPr>
        <w:spacing w:line="560" w:lineRule="exact"/>
        <w:jc w:val="left"/>
        <w:rPr>
          <w:rFonts w:hint="eastAsia" w:ascii="仿宋" w:hAnsi="仿宋" w:eastAsia="仿宋" w:cs="仿宋"/>
          <w:b/>
          <w:bCs/>
          <w:color w:val="auto"/>
          <w:sz w:val="24"/>
          <w:szCs w:val="24"/>
          <w:highlight w:val="none"/>
        </w:rPr>
      </w:pPr>
      <w:r>
        <w:rPr>
          <w:rFonts w:hint="eastAsia" w:ascii="仿宋" w:hAnsi="仿宋" w:eastAsia="仿宋" w:cs="仿宋"/>
          <w:b/>
          <w:bCs w:val="0"/>
          <w:iCs/>
          <w:color w:val="auto"/>
          <w:sz w:val="24"/>
          <w:szCs w:val="24"/>
          <w:highlight w:val="none"/>
          <w:lang w:val="en-US" w:eastAsia="zh-CN"/>
        </w:rPr>
        <w:t>2.2.2.职工家属报价（价格分5分）</w:t>
      </w:r>
    </w:p>
    <w:p w14:paraId="1FFBBF12">
      <w:pPr>
        <w:pStyle w:val="2"/>
        <w:rPr>
          <w:rFonts w:hint="eastAsia" w:ascii="仿宋" w:hAnsi="仿宋" w:eastAsia="仿宋" w:cs="仿宋"/>
          <w:color w:val="auto"/>
          <w:highlight w:val="none"/>
        </w:rPr>
      </w:pPr>
      <w:r>
        <w:rPr>
          <w:rFonts w:hint="eastAsia" w:ascii="仿宋" w:hAnsi="仿宋" w:eastAsia="仿宋" w:cs="仿宋"/>
          <w:bCs/>
          <w:iCs/>
          <w:color w:val="auto"/>
          <w:sz w:val="24"/>
          <w:szCs w:val="24"/>
          <w:highlight w:val="none"/>
        </w:rPr>
        <w:t>投标人对招标人职工一同参加疗休养的家属的收费标准，收费标准应根据年龄、身高以及出行线路等实际情况分别作出详细说明。收费标准高于职工额定标准的不得分</w:t>
      </w:r>
      <w:r>
        <w:rPr>
          <w:rFonts w:hint="eastAsia" w:ascii="仿宋" w:hAnsi="仿宋" w:eastAsia="仿宋" w:cs="仿宋"/>
          <w:bCs/>
          <w:iCs/>
          <w:color w:val="auto"/>
          <w:sz w:val="24"/>
          <w:szCs w:val="24"/>
          <w:highlight w:val="none"/>
          <w:lang w:eastAsia="zh-CN"/>
        </w:rPr>
        <w:t>；</w:t>
      </w:r>
      <w:r>
        <w:rPr>
          <w:rFonts w:hint="eastAsia" w:ascii="仿宋" w:hAnsi="仿宋" w:eastAsia="仿宋" w:cs="仿宋"/>
          <w:bCs/>
          <w:iCs/>
          <w:color w:val="auto"/>
          <w:sz w:val="24"/>
          <w:szCs w:val="24"/>
          <w:highlight w:val="none"/>
        </w:rPr>
        <w:t>无收费标准或者只针对成人的得</w:t>
      </w:r>
      <w:r>
        <w:rPr>
          <w:rFonts w:hint="eastAsia" w:ascii="仿宋" w:hAnsi="仿宋" w:eastAsia="仿宋" w:cs="仿宋"/>
          <w:bCs/>
          <w:iCs/>
          <w:color w:val="auto"/>
          <w:sz w:val="24"/>
          <w:szCs w:val="24"/>
          <w:highlight w:val="none"/>
          <w:lang w:val="en-US" w:eastAsia="zh-CN"/>
        </w:rPr>
        <w:t>0.1-</w:t>
      </w:r>
      <w:r>
        <w:rPr>
          <w:rFonts w:hint="eastAsia" w:ascii="仿宋" w:hAnsi="仿宋" w:eastAsia="仿宋" w:cs="仿宋"/>
          <w:bCs/>
          <w:iCs/>
          <w:color w:val="auto"/>
          <w:sz w:val="24"/>
          <w:szCs w:val="24"/>
          <w:highlight w:val="none"/>
        </w:rPr>
        <w:t>1</w:t>
      </w:r>
      <w:r>
        <w:rPr>
          <w:rFonts w:hint="eastAsia" w:ascii="仿宋" w:hAnsi="仿宋" w:eastAsia="仿宋" w:cs="仿宋"/>
          <w:bCs/>
          <w:iCs/>
          <w:color w:val="auto"/>
          <w:sz w:val="24"/>
          <w:szCs w:val="24"/>
          <w:highlight w:val="none"/>
          <w:lang w:val="en-US" w:eastAsia="zh-CN"/>
        </w:rPr>
        <w:t>.0</w:t>
      </w:r>
      <w:r>
        <w:rPr>
          <w:rFonts w:hint="eastAsia" w:ascii="仿宋" w:hAnsi="仿宋" w:eastAsia="仿宋" w:cs="仿宋"/>
          <w:bCs/>
          <w:iCs/>
          <w:color w:val="auto"/>
          <w:sz w:val="24"/>
          <w:szCs w:val="24"/>
          <w:highlight w:val="none"/>
        </w:rPr>
        <w:t>分，有标准但不具体详实的得</w:t>
      </w:r>
      <w:r>
        <w:rPr>
          <w:rFonts w:hint="eastAsia" w:ascii="仿宋" w:hAnsi="仿宋" w:eastAsia="仿宋" w:cs="仿宋"/>
          <w:bCs/>
          <w:iCs/>
          <w:color w:val="auto"/>
          <w:sz w:val="24"/>
          <w:szCs w:val="24"/>
          <w:highlight w:val="none"/>
          <w:lang w:val="en-US" w:eastAsia="zh-CN"/>
        </w:rPr>
        <w:t>1.1-3.0</w:t>
      </w:r>
      <w:r>
        <w:rPr>
          <w:rFonts w:hint="eastAsia" w:ascii="仿宋" w:hAnsi="仿宋" w:eastAsia="仿宋" w:cs="仿宋"/>
          <w:bCs/>
          <w:iCs/>
          <w:color w:val="auto"/>
          <w:sz w:val="24"/>
          <w:szCs w:val="24"/>
          <w:highlight w:val="none"/>
        </w:rPr>
        <w:t>分，标准全面</w:t>
      </w:r>
      <w:r>
        <w:rPr>
          <w:rFonts w:hint="eastAsia" w:ascii="仿宋" w:hAnsi="仿宋" w:eastAsia="仿宋" w:cs="仿宋"/>
          <w:bCs/>
          <w:iCs/>
          <w:color w:val="auto"/>
          <w:sz w:val="24"/>
          <w:szCs w:val="24"/>
          <w:highlight w:val="none"/>
          <w:lang w:eastAsia="zh-CN"/>
        </w:rPr>
        <w:t>、</w:t>
      </w:r>
      <w:r>
        <w:rPr>
          <w:rFonts w:hint="eastAsia" w:ascii="仿宋" w:hAnsi="仿宋" w:eastAsia="仿宋" w:cs="仿宋"/>
          <w:bCs/>
          <w:iCs/>
          <w:color w:val="auto"/>
          <w:sz w:val="24"/>
          <w:szCs w:val="24"/>
          <w:highlight w:val="none"/>
        </w:rPr>
        <w:t>详实</w:t>
      </w:r>
      <w:r>
        <w:rPr>
          <w:rFonts w:hint="eastAsia" w:ascii="仿宋" w:hAnsi="仿宋" w:eastAsia="仿宋" w:cs="仿宋"/>
          <w:bCs/>
          <w:iCs/>
          <w:color w:val="auto"/>
          <w:sz w:val="24"/>
          <w:szCs w:val="24"/>
          <w:highlight w:val="none"/>
          <w:lang w:eastAsia="zh-CN"/>
        </w:rPr>
        <w:t>且报价合理</w:t>
      </w:r>
      <w:r>
        <w:rPr>
          <w:rFonts w:hint="eastAsia" w:ascii="仿宋" w:hAnsi="仿宋" w:eastAsia="仿宋" w:cs="仿宋"/>
          <w:bCs/>
          <w:iCs/>
          <w:color w:val="auto"/>
          <w:sz w:val="24"/>
          <w:szCs w:val="24"/>
          <w:highlight w:val="none"/>
        </w:rPr>
        <w:t>的得</w:t>
      </w:r>
      <w:r>
        <w:rPr>
          <w:rFonts w:hint="eastAsia" w:ascii="仿宋" w:hAnsi="仿宋" w:eastAsia="仿宋" w:cs="仿宋"/>
          <w:bCs/>
          <w:iCs/>
          <w:color w:val="auto"/>
          <w:sz w:val="24"/>
          <w:szCs w:val="24"/>
          <w:highlight w:val="none"/>
          <w:lang w:val="en-US" w:eastAsia="zh-CN"/>
        </w:rPr>
        <w:t>3.1-5.0</w:t>
      </w:r>
      <w:r>
        <w:rPr>
          <w:rFonts w:hint="eastAsia" w:ascii="仿宋" w:hAnsi="仿宋" w:eastAsia="仿宋" w:cs="仿宋"/>
          <w:bCs/>
          <w:iCs/>
          <w:color w:val="auto"/>
          <w:sz w:val="24"/>
          <w:szCs w:val="24"/>
          <w:highlight w:val="none"/>
        </w:rPr>
        <w:t>分。</w:t>
      </w:r>
    </w:p>
    <w:p w14:paraId="7141B733">
      <w:pPr>
        <w:pageBreakBefore/>
        <w:snapToGrid w:val="0"/>
        <w:spacing w:line="360" w:lineRule="auto"/>
        <w:jc w:val="center"/>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t>第六部分</w:t>
      </w:r>
      <w:r>
        <w:rPr>
          <w:rFonts w:hint="eastAsia" w:ascii="仿宋" w:hAnsi="仿宋" w:eastAsia="仿宋" w:cs="仿宋"/>
          <w:b/>
          <w:color w:val="auto"/>
          <w:sz w:val="36"/>
          <w:szCs w:val="36"/>
          <w:highlight w:val="none"/>
        </w:rPr>
        <w:t>投标文件</w:t>
      </w:r>
      <w:r>
        <w:rPr>
          <w:rFonts w:hint="eastAsia" w:ascii="仿宋" w:hAnsi="仿宋" w:eastAsia="仿宋" w:cs="仿宋"/>
          <w:b/>
          <w:color w:val="auto"/>
          <w:sz w:val="36"/>
          <w:szCs w:val="20"/>
          <w:highlight w:val="none"/>
        </w:rPr>
        <w:t>应提交的有关格式范例</w:t>
      </w:r>
    </w:p>
    <w:p w14:paraId="7C364684">
      <w:pPr>
        <w:spacing w:line="360" w:lineRule="auto"/>
        <w:ind w:firstLine="480" w:firstLineChars="200"/>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投标人按照以下格式编制投标文件，并将报价文件、商务技术（资信）文件分别编制成册。</w:t>
      </w:r>
    </w:p>
    <w:p w14:paraId="3904EFD9">
      <w:pPr>
        <w:spacing w:line="360" w:lineRule="auto"/>
        <w:ind w:firstLine="480" w:firstLineChars="200"/>
        <w:outlineLvl w:val="0"/>
        <w:rPr>
          <w:rFonts w:hint="eastAsia" w:ascii="仿宋" w:hAnsi="仿宋" w:eastAsia="仿宋" w:cs="仿宋"/>
          <w:color w:val="auto"/>
          <w:sz w:val="24"/>
          <w:highlight w:val="none"/>
        </w:rPr>
      </w:pPr>
    </w:p>
    <w:p w14:paraId="449B9626">
      <w:pPr>
        <w:spacing w:line="360" w:lineRule="auto"/>
        <w:ind w:firstLine="480" w:firstLineChars="200"/>
        <w:outlineLvl w:val="0"/>
        <w:rPr>
          <w:rFonts w:hint="eastAsia" w:ascii="仿宋" w:hAnsi="仿宋" w:eastAsia="仿宋" w:cs="仿宋"/>
          <w:color w:val="auto"/>
          <w:sz w:val="24"/>
          <w:highlight w:val="none"/>
        </w:rPr>
      </w:pPr>
    </w:p>
    <w:p w14:paraId="0A9A2D77">
      <w:pPr>
        <w:spacing w:line="360" w:lineRule="auto"/>
        <w:ind w:firstLine="480" w:firstLineChars="200"/>
        <w:outlineLvl w:val="0"/>
        <w:rPr>
          <w:rFonts w:hint="eastAsia" w:ascii="仿宋" w:hAnsi="仿宋" w:eastAsia="仿宋" w:cs="仿宋"/>
          <w:color w:val="auto"/>
          <w:sz w:val="24"/>
          <w:highlight w:val="none"/>
        </w:rPr>
      </w:pPr>
    </w:p>
    <w:p w14:paraId="6BFED7E5">
      <w:pPr>
        <w:spacing w:line="360" w:lineRule="auto"/>
        <w:ind w:firstLine="480" w:firstLineChars="200"/>
        <w:outlineLvl w:val="0"/>
        <w:rPr>
          <w:rFonts w:hint="eastAsia" w:ascii="仿宋" w:hAnsi="仿宋" w:eastAsia="仿宋" w:cs="仿宋"/>
          <w:color w:val="auto"/>
          <w:sz w:val="24"/>
          <w:highlight w:val="none"/>
        </w:rPr>
      </w:pPr>
    </w:p>
    <w:p w14:paraId="4D258309">
      <w:pPr>
        <w:spacing w:line="360" w:lineRule="auto"/>
        <w:ind w:firstLine="480" w:firstLineChars="200"/>
        <w:outlineLvl w:val="0"/>
        <w:rPr>
          <w:rFonts w:hint="eastAsia" w:ascii="仿宋" w:hAnsi="仿宋" w:eastAsia="仿宋" w:cs="仿宋"/>
          <w:color w:val="auto"/>
          <w:sz w:val="24"/>
          <w:highlight w:val="none"/>
        </w:rPr>
      </w:pPr>
    </w:p>
    <w:p w14:paraId="04F6DF6F">
      <w:pPr>
        <w:snapToGrid w:val="0"/>
        <w:spacing w:line="360" w:lineRule="auto"/>
        <w:jc w:val="center"/>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报价文件部分</w:t>
      </w:r>
    </w:p>
    <w:p w14:paraId="14A58C5C">
      <w:pPr>
        <w:spacing w:line="360" w:lineRule="auto"/>
        <w:jc w:val="center"/>
        <w:outlineLvl w:val="0"/>
        <w:rPr>
          <w:rFonts w:hint="eastAsia" w:ascii="仿宋" w:hAnsi="仿宋" w:eastAsia="仿宋" w:cs="仿宋"/>
          <w:b/>
          <w:color w:val="auto"/>
          <w:kern w:val="0"/>
          <w:sz w:val="24"/>
          <w:highlight w:val="none"/>
        </w:rPr>
      </w:pPr>
    </w:p>
    <w:p w14:paraId="661A6FD1">
      <w:pPr>
        <w:spacing w:line="360" w:lineRule="auto"/>
        <w:jc w:val="center"/>
        <w:outlineLvl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目录</w:t>
      </w:r>
    </w:p>
    <w:p w14:paraId="2662E482">
      <w:pPr>
        <w:spacing w:line="360" w:lineRule="auto"/>
        <w:outlineLvl w:val="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（1）投标响应函……………………………………………………（页码）</w:t>
      </w:r>
    </w:p>
    <w:p w14:paraId="31FEA384">
      <w:pPr>
        <w:spacing w:line="360" w:lineRule="auto"/>
        <w:outlineLvl w:val="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（2）开标一览表……………………………………………………（页码）</w:t>
      </w:r>
    </w:p>
    <w:p w14:paraId="09370CAB">
      <w:pPr>
        <w:pStyle w:val="7"/>
        <w:spacing w:line="800" w:lineRule="atLeast"/>
        <w:ind w:left="0" w:leftChars="0"/>
        <w:rPr>
          <w:rFonts w:hint="eastAsia" w:ascii="仿宋" w:hAnsi="仿宋" w:eastAsia="仿宋" w:cs="仿宋"/>
          <w:b/>
          <w:color w:val="auto"/>
          <w:sz w:val="36"/>
          <w:szCs w:val="36"/>
          <w:highlight w:val="none"/>
        </w:rPr>
      </w:pPr>
    </w:p>
    <w:p w14:paraId="4C15109E">
      <w:pPr>
        <w:pStyle w:val="7"/>
        <w:spacing w:line="800" w:lineRule="atLeast"/>
        <w:ind w:left="0" w:leftChars="0"/>
        <w:rPr>
          <w:rFonts w:hint="eastAsia" w:ascii="仿宋" w:hAnsi="仿宋" w:eastAsia="仿宋" w:cs="仿宋"/>
          <w:b/>
          <w:color w:val="auto"/>
          <w:sz w:val="36"/>
          <w:szCs w:val="36"/>
          <w:highlight w:val="none"/>
        </w:rPr>
      </w:pPr>
    </w:p>
    <w:p w14:paraId="5AF5A7E6">
      <w:pPr>
        <w:pStyle w:val="7"/>
        <w:spacing w:line="800" w:lineRule="atLeast"/>
        <w:ind w:left="0" w:leftChars="0"/>
        <w:rPr>
          <w:rFonts w:hint="eastAsia" w:ascii="仿宋" w:hAnsi="仿宋" w:eastAsia="仿宋" w:cs="仿宋"/>
          <w:b/>
          <w:color w:val="auto"/>
          <w:sz w:val="36"/>
          <w:szCs w:val="36"/>
          <w:highlight w:val="none"/>
        </w:rPr>
      </w:pPr>
    </w:p>
    <w:p w14:paraId="53DAE855">
      <w:pPr>
        <w:rPr>
          <w:rFonts w:hint="eastAsia" w:ascii="仿宋" w:hAnsi="仿宋" w:eastAsia="仿宋" w:cs="仿宋"/>
          <w:b/>
          <w:color w:val="auto"/>
          <w:sz w:val="30"/>
          <w:szCs w:val="30"/>
          <w:highlight w:val="none"/>
        </w:rPr>
      </w:pPr>
    </w:p>
    <w:p w14:paraId="41FB6BE2">
      <w:pPr>
        <w:rPr>
          <w:rFonts w:hint="eastAsia" w:ascii="仿宋" w:hAnsi="仿宋" w:eastAsia="仿宋" w:cs="仿宋"/>
          <w:b/>
          <w:color w:val="auto"/>
          <w:sz w:val="30"/>
          <w:szCs w:val="30"/>
          <w:highlight w:val="none"/>
        </w:rPr>
      </w:pPr>
    </w:p>
    <w:p w14:paraId="0748A917">
      <w:pPr>
        <w:pageBreakBefore/>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1、投标响应函（格式）</w:t>
      </w:r>
    </w:p>
    <w:p w14:paraId="4369DF98">
      <w:pPr>
        <w:pStyle w:val="72"/>
        <w:spacing w:afterLines="0" w:line="440" w:lineRule="exact"/>
        <w:ind w:firstLine="0" w:firstLineChars="0"/>
        <w:rPr>
          <w:rFonts w:hint="eastAsia" w:ascii="仿宋" w:hAnsi="仿宋" w:eastAsia="仿宋" w:cs="仿宋"/>
          <w:color w:val="auto"/>
          <w:szCs w:val="24"/>
          <w:highlight w:val="none"/>
        </w:rPr>
      </w:pPr>
    </w:p>
    <w:p w14:paraId="4015E72D">
      <w:pPr>
        <w:pStyle w:val="72"/>
        <w:spacing w:afterLines="0" w:line="440" w:lineRule="exact"/>
        <w:ind w:firstLine="0" w:firstLineChars="0"/>
        <w:rPr>
          <w:rFonts w:hint="eastAsia" w:ascii="仿宋" w:hAnsi="仿宋" w:eastAsia="仿宋" w:cs="仿宋"/>
          <w:color w:val="auto"/>
          <w:szCs w:val="24"/>
          <w:highlight w:val="none"/>
        </w:rPr>
      </w:pPr>
      <w:r>
        <w:rPr>
          <w:rFonts w:hint="eastAsia" w:ascii="仿宋" w:hAnsi="仿宋" w:eastAsia="仿宋" w:cs="仿宋"/>
          <w:color w:val="auto"/>
          <w:szCs w:val="24"/>
          <w:highlight w:val="none"/>
        </w:rPr>
        <w:t>致：</w:t>
      </w:r>
      <w:r>
        <w:rPr>
          <w:rFonts w:hint="eastAsia" w:ascii="仿宋" w:hAnsi="仿宋" w:eastAsia="仿宋" w:cs="仿宋"/>
          <w:color w:val="auto"/>
          <w:szCs w:val="24"/>
          <w:highlight w:val="none"/>
          <w:u w:val="single"/>
        </w:rPr>
        <w:t>绍兴市中医院、泰宇建筑工程技术咨询有限公司</w:t>
      </w:r>
    </w:p>
    <w:p w14:paraId="5E63A171">
      <w:pPr>
        <w:pStyle w:val="72"/>
        <w:spacing w:afterLines="0"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根据贵方招标文件（</w:t>
      </w:r>
      <w:r>
        <w:rPr>
          <w:rFonts w:hint="eastAsia" w:ascii="仿宋" w:hAnsi="仿宋" w:eastAsia="仿宋" w:cs="仿宋"/>
          <w:b/>
          <w:color w:val="auto"/>
          <w:szCs w:val="24"/>
          <w:highlight w:val="none"/>
          <w:u w:val="single"/>
        </w:rPr>
        <w:t>填写招标编号：</w:t>
      </w:r>
      <w:r>
        <w:rPr>
          <w:rFonts w:hint="eastAsia" w:ascii="仿宋" w:hAnsi="仿宋" w:eastAsia="仿宋" w:cs="仿宋"/>
          <w:color w:val="auto"/>
          <w:szCs w:val="24"/>
          <w:highlight w:val="none"/>
        </w:rPr>
        <w:t>）的要求，正式授权</w:t>
      </w:r>
      <w:r>
        <w:rPr>
          <w:rFonts w:hint="eastAsia" w:ascii="仿宋" w:hAnsi="仿宋" w:eastAsia="仿宋" w:cs="仿宋"/>
          <w:b/>
          <w:color w:val="auto"/>
          <w:szCs w:val="24"/>
          <w:highlight w:val="none"/>
          <w:u w:val="single"/>
        </w:rPr>
        <w:t>（全权代表姓名    、单位    、职务   ）</w:t>
      </w:r>
      <w:r>
        <w:rPr>
          <w:rFonts w:hint="eastAsia" w:ascii="仿宋" w:hAnsi="仿宋" w:eastAsia="仿宋" w:cs="仿宋"/>
          <w:color w:val="auto"/>
          <w:szCs w:val="24"/>
          <w:highlight w:val="none"/>
        </w:rPr>
        <w:t>代表投标人</w:t>
      </w:r>
      <w:r>
        <w:rPr>
          <w:rFonts w:hint="eastAsia" w:ascii="仿宋" w:hAnsi="仿宋" w:eastAsia="仿宋" w:cs="仿宋"/>
          <w:color w:val="auto"/>
          <w:szCs w:val="24"/>
          <w:highlight w:val="none"/>
          <w:u w:val="single"/>
        </w:rPr>
        <w:t>（</w:t>
      </w:r>
      <w:r>
        <w:rPr>
          <w:rFonts w:hint="eastAsia" w:ascii="仿宋" w:hAnsi="仿宋" w:eastAsia="仿宋" w:cs="仿宋"/>
          <w:b/>
          <w:color w:val="auto"/>
          <w:szCs w:val="24"/>
          <w:highlight w:val="none"/>
          <w:u w:val="single"/>
        </w:rPr>
        <w:t xml:space="preserve">填写单位    、地址   </w:t>
      </w:r>
      <w:r>
        <w:rPr>
          <w:rFonts w:hint="eastAsia" w:ascii="仿宋" w:hAnsi="仿宋" w:eastAsia="仿宋" w:cs="仿宋"/>
          <w:color w:val="auto"/>
          <w:szCs w:val="24"/>
          <w:highlight w:val="none"/>
          <w:u w:val="single"/>
        </w:rPr>
        <w:t>）</w:t>
      </w:r>
      <w:r>
        <w:rPr>
          <w:rFonts w:hint="eastAsia" w:ascii="仿宋" w:hAnsi="仿宋" w:eastAsia="仿宋" w:cs="仿宋"/>
          <w:color w:val="auto"/>
          <w:szCs w:val="24"/>
          <w:highlight w:val="none"/>
        </w:rPr>
        <w:t>提交投标文件。</w:t>
      </w:r>
    </w:p>
    <w:p w14:paraId="05D2ABBA">
      <w:pPr>
        <w:pStyle w:val="72"/>
        <w:spacing w:afterLines="0"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我方已完全明白招标文件的所有条款要求，兹声明同意如下：</w:t>
      </w:r>
    </w:p>
    <w:p w14:paraId="18ADB723">
      <w:pPr>
        <w:pStyle w:val="15"/>
        <w:tabs>
          <w:tab w:val="clear" w:pos="1697"/>
        </w:tabs>
        <w:spacing w:afterLines="0" w:line="440" w:lineRule="exact"/>
        <w:ind w:left="0"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w:t>
      </w:r>
      <w:r>
        <w:rPr>
          <w:rFonts w:hint="eastAsia" w:ascii="仿宋" w:hAnsi="仿宋" w:eastAsia="仿宋" w:cs="仿宋"/>
          <w:color w:val="auto"/>
          <w:highlight w:val="none"/>
        </w:rPr>
        <w:t>我方同意在投标人</w:t>
      </w:r>
      <w:r>
        <w:rPr>
          <w:rFonts w:hint="eastAsia" w:ascii="仿宋" w:hAnsi="仿宋" w:eastAsia="仿宋" w:cs="仿宋"/>
          <w:color w:val="auto"/>
          <w:kern w:val="44"/>
          <w:highlight w:val="none"/>
        </w:rPr>
        <w:t>须知</w:t>
      </w:r>
      <w:r>
        <w:rPr>
          <w:rFonts w:hint="eastAsia" w:ascii="仿宋" w:hAnsi="仿宋" w:eastAsia="仿宋" w:cs="仿宋"/>
          <w:color w:val="auto"/>
          <w:highlight w:val="none"/>
        </w:rPr>
        <w:t>规定的开标日期起遵守本投标文件中的承诺且在投标有效期满之前均具有约束力</w:t>
      </w:r>
      <w:r>
        <w:rPr>
          <w:rFonts w:hint="eastAsia" w:ascii="仿宋" w:hAnsi="仿宋" w:eastAsia="仿宋" w:cs="仿宋"/>
          <w:color w:val="auto"/>
          <w:szCs w:val="24"/>
          <w:highlight w:val="none"/>
        </w:rPr>
        <w:t>。</w:t>
      </w:r>
    </w:p>
    <w:p w14:paraId="44E90BC6">
      <w:pPr>
        <w:pStyle w:val="72"/>
        <w:spacing w:afterLines="0"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2.我方承诺已经具备《中华人民共和国政府采购法》中规定的参加政府采购活动的供应商应当具备的条件。</w:t>
      </w:r>
    </w:p>
    <w:p w14:paraId="5A4D93D2">
      <w:pPr>
        <w:pStyle w:val="72"/>
        <w:spacing w:afterLines="0" w:line="440" w:lineRule="exact"/>
        <w:ind w:firstLine="480"/>
        <w:rPr>
          <w:rFonts w:hint="eastAsia" w:ascii="仿宋" w:hAnsi="仿宋" w:eastAsia="仿宋" w:cs="仿宋"/>
          <w:color w:val="auto"/>
          <w:highlight w:val="none"/>
        </w:rPr>
      </w:pPr>
      <w:r>
        <w:rPr>
          <w:rFonts w:hint="eastAsia" w:ascii="仿宋" w:hAnsi="仿宋" w:eastAsia="仿宋" w:cs="仿宋"/>
          <w:color w:val="auto"/>
          <w:szCs w:val="24"/>
          <w:highlight w:val="none"/>
        </w:rPr>
        <w:t>3.</w:t>
      </w:r>
      <w:r>
        <w:rPr>
          <w:rFonts w:hint="eastAsia" w:ascii="仿宋" w:hAnsi="仿宋" w:eastAsia="仿宋" w:cs="仿宋"/>
          <w:color w:val="auto"/>
          <w:highlight w:val="none"/>
        </w:rPr>
        <w:t>本公司投标文件中填列的技术参数、配置、服务、数量等相关内容都是真实、准确的。保证在本次项目中所提供的资料全部真实和合法。同意向泰宇建筑工程技术咨询有限公司提供可能另外要求的与投标有关的任何数据或资料。</w:t>
      </w:r>
    </w:p>
    <w:p w14:paraId="71001102">
      <w:pPr>
        <w:pStyle w:val="72"/>
        <w:spacing w:afterLines="0"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4.我方理解贵方将不受你们所收到的最低报价的约束。</w:t>
      </w:r>
    </w:p>
    <w:p w14:paraId="30AE506F">
      <w:pPr>
        <w:pStyle w:val="15"/>
        <w:tabs>
          <w:tab w:val="clear" w:pos="1697"/>
        </w:tabs>
        <w:spacing w:afterLines="0" w:line="440" w:lineRule="exact"/>
        <w:ind w:left="0" w:firstLine="480" w:firstLineChars="200"/>
        <w:rPr>
          <w:rFonts w:hint="eastAsia" w:ascii="仿宋" w:hAnsi="仿宋" w:eastAsia="仿宋" w:cs="仿宋"/>
          <w:color w:val="auto"/>
          <w:szCs w:val="24"/>
          <w:highlight w:val="none"/>
        </w:rPr>
      </w:pPr>
      <w:r>
        <w:rPr>
          <w:rFonts w:hint="eastAsia" w:ascii="仿宋" w:hAnsi="仿宋" w:eastAsia="仿宋" w:cs="仿宋"/>
          <w:color w:val="auto"/>
          <w:highlight w:val="none"/>
        </w:rPr>
        <w:t>5.</w:t>
      </w:r>
      <w:r>
        <w:rPr>
          <w:rFonts w:hint="eastAsia" w:ascii="仿宋" w:hAnsi="仿宋" w:eastAsia="仿宋" w:cs="仿宋"/>
          <w:color w:val="auto"/>
          <w:szCs w:val="24"/>
          <w:highlight w:val="none"/>
        </w:rPr>
        <w:t>本投标自开标之日（投标截止之日）起90天内有效。</w:t>
      </w:r>
    </w:p>
    <w:p w14:paraId="13D7EF68">
      <w:pPr>
        <w:pStyle w:val="72"/>
        <w:spacing w:afterLines="0" w:line="440" w:lineRule="exact"/>
        <w:ind w:firstLine="480"/>
        <w:rPr>
          <w:rFonts w:hint="eastAsia" w:ascii="仿宋" w:hAnsi="仿宋" w:eastAsia="仿宋" w:cs="仿宋"/>
          <w:color w:val="auto"/>
          <w:highlight w:val="none"/>
        </w:rPr>
      </w:pPr>
      <w:r>
        <w:rPr>
          <w:rFonts w:hint="eastAsia" w:ascii="仿宋" w:hAnsi="仿宋" w:eastAsia="仿宋" w:cs="仿宋"/>
          <w:color w:val="auto"/>
          <w:szCs w:val="24"/>
          <w:highlight w:val="none"/>
        </w:rPr>
        <w:t>6</w:t>
      </w:r>
      <w:r>
        <w:rPr>
          <w:rFonts w:hint="eastAsia" w:ascii="仿宋" w:hAnsi="仿宋" w:eastAsia="仿宋" w:cs="仿宋"/>
          <w:color w:val="auto"/>
          <w:highlight w:val="none"/>
        </w:rPr>
        <w:t>.我方将严格遵守《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0F519681">
      <w:pP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a)提供虚假材料谋取中标、成交的；</w:t>
      </w:r>
    </w:p>
    <w:p w14:paraId="390D2460">
      <w:pP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b)采取不正当手段诋毁、排挤其他供应商的；</w:t>
      </w:r>
    </w:p>
    <w:p w14:paraId="42CB3EE1">
      <w:pP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c)与采购人、其它供应商或者采购代理机构恶意串通的；</w:t>
      </w:r>
    </w:p>
    <w:p w14:paraId="288978B5">
      <w:pP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d)向采购人、采购代理机构行贿或者提供其他不正当利益的；</w:t>
      </w:r>
    </w:p>
    <w:p w14:paraId="2CF58F92">
      <w:pP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e)在招标采购过程中与采购人进行协商谈判的；</w:t>
      </w:r>
    </w:p>
    <w:p w14:paraId="490CC363">
      <w:pP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f)拒绝有关部门监督检查或提供虚假情况的。</w:t>
      </w:r>
    </w:p>
    <w:p w14:paraId="067F936A">
      <w:pP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供应商有前款第a)至e)项情形之一的，中标、成交无效。</w:t>
      </w:r>
    </w:p>
    <w:p w14:paraId="26FBCD7E">
      <w:pPr>
        <w:pStyle w:val="72"/>
        <w:spacing w:afterLines="0"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地址：　　　　　　　　　　　　　　　邮政编码：</w:t>
      </w:r>
    </w:p>
    <w:p w14:paraId="27AA8C72">
      <w:pPr>
        <w:pStyle w:val="72"/>
        <w:spacing w:afterLines="0"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电话：                              传真：</w:t>
      </w:r>
    </w:p>
    <w:p w14:paraId="39114C17">
      <w:pPr>
        <w:pStyle w:val="72"/>
        <w:spacing w:afterLines="0"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开户银行：                          帐号：</w:t>
      </w:r>
    </w:p>
    <w:p w14:paraId="55360CAE">
      <w:pPr>
        <w:pStyle w:val="72"/>
        <w:spacing w:afterLines="0"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法定代表人或其授权代表(签字或盖章)：</w:t>
      </w:r>
    </w:p>
    <w:p w14:paraId="7B5FBC94">
      <w:pPr>
        <w:pStyle w:val="72"/>
        <w:spacing w:afterLines="0" w:line="440" w:lineRule="exact"/>
        <w:ind w:firstLine="480"/>
        <w:rPr>
          <w:rFonts w:hint="eastAsia" w:ascii="仿宋" w:hAnsi="仿宋" w:eastAsia="仿宋" w:cs="仿宋"/>
          <w:color w:val="auto"/>
          <w:szCs w:val="24"/>
          <w:highlight w:val="none"/>
        </w:rPr>
        <w:sectPr>
          <w:footerReference r:id="rId6" w:type="first"/>
          <w:headerReference r:id="rId3" w:type="default"/>
          <w:footerReference r:id="rId4" w:type="default"/>
          <w:footerReference r:id="rId5" w:type="even"/>
          <w:pgSz w:w="11906" w:h="16838"/>
          <w:pgMar w:top="1440" w:right="1558" w:bottom="1246" w:left="1758" w:header="1021" w:footer="902" w:gutter="0"/>
          <w:cols w:space="425" w:num="1"/>
          <w:titlePg/>
          <w:docGrid w:type="lines" w:linePitch="312" w:charSpace="0"/>
        </w:sectPr>
      </w:pPr>
      <w:r>
        <w:rPr>
          <w:rFonts w:hint="eastAsia" w:ascii="仿宋" w:hAnsi="仿宋" w:eastAsia="仿宋" w:cs="仿宋"/>
          <w:color w:val="auto"/>
          <w:szCs w:val="24"/>
          <w:highlight w:val="none"/>
        </w:rPr>
        <w:t xml:space="preserve">投标人(盖章)：　　　　　　　　　日期： </w:t>
      </w:r>
    </w:p>
    <w:p w14:paraId="6DC69A59">
      <w:pPr>
        <w:pStyle w:val="72"/>
        <w:spacing w:afterLines="0" w:line="440" w:lineRule="exact"/>
        <w:ind w:firstLine="480"/>
        <w:rPr>
          <w:rFonts w:hint="eastAsia" w:ascii="仿宋" w:hAnsi="仿宋" w:eastAsia="仿宋" w:cs="仿宋"/>
          <w:color w:val="auto"/>
          <w:sz w:val="24"/>
          <w:highlight w:val="none"/>
        </w:rPr>
      </w:pPr>
      <w:r>
        <w:rPr>
          <w:rFonts w:hint="eastAsia" w:ascii="仿宋" w:hAnsi="仿宋" w:eastAsia="仿宋" w:cs="仿宋"/>
          <w:color w:val="auto"/>
          <w:szCs w:val="24"/>
          <w:highlight w:val="none"/>
        </w:rPr>
        <w:t xml:space="preserve">  </w:t>
      </w:r>
      <w:r>
        <w:rPr>
          <w:rFonts w:hint="eastAsia" w:ascii="仿宋" w:hAnsi="仿宋" w:eastAsia="仿宋" w:cs="仿宋"/>
          <w:b/>
          <w:color w:val="auto"/>
          <w:sz w:val="30"/>
          <w:szCs w:val="30"/>
          <w:highlight w:val="none"/>
        </w:rPr>
        <w:t>2、开标一览表（格式）</w:t>
      </w:r>
    </w:p>
    <w:p w14:paraId="0DE84C3F">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w:t>
      </w:r>
    </w:p>
    <w:p w14:paraId="63BAA340">
      <w:pPr>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标    项：</w:t>
      </w:r>
    </w:p>
    <w:p w14:paraId="31A5B90A">
      <w:pPr>
        <w:snapToGrid w:val="0"/>
        <w:spacing w:line="4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招标编号：</w:t>
      </w:r>
    </w:p>
    <w:p w14:paraId="17D51363">
      <w:pPr>
        <w:spacing w:line="440" w:lineRule="exact"/>
        <w:jc w:val="left"/>
        <w:rPr>
          <w:rFonts w:hint="eastAsia" w:ascii="仿宋" w:hAnsi="仿宋" w:eastAsia="仿宋" w:cs="仿宋"/>
          <w:b/>
          <w:bCs w:val="0"/>
          <w:color w:val="auto"/>
          <w:sz w:val="21"/>
          <w:szCs w:val="21"/>
          <w:highlight w:val="none"/>
          <w:shd w:val="clear" w:color="auto" w:fill="FBFDF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单位：元</w:t>
      </w:r>
      <w:r>
        <w:rPr>
          <w:rFonts w:hint="eastAsia" w:ascii="仿宋" w:hAnsi="仿宋" w:eastAsia="仿宋" w:cs="仿宋"/>
          <w:color w:val="auto"/>
          <w:sz w:val="24"/>
          <w:highlight w:val="none"/>
          <w:lang w:val="en-US" w:eastAsia="zh-CN"/>
        </w:rPr>
        <w:t>/人</w:t>
      </w:r>
    </w:p>
    <w:tbl>
      <w:tblPr>
        <w:tblStyle w:val="44"/>
        <w:tblW w:w="520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95"/>
        <w:gridCol w:w="1739"/>
        <w:gridCol w:w="1065"/>
        <w:gridCol w:w="960"/>
        <w:gridCol w:w="765"/>
        <w:gridCol w:w="1980"/>
        <w:gridCol w:w="915"/>
        <w:gridCol w:w="1050"/>
        <w:gridCol w:w="915"/>
        <w:gridCol w:w="1739"/>
        <w:gridCol w:w="1065"/>
        <w:gridCol w:w="1035"/>
      </w:tblGrid>
      <w:tr w14:paraId="25E9F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5" w:type="pct"/>
            <w:vMerge w:val="restart"/>
            <w:noWrap w:val="0"/>
            <w:vAlign w:val="center"/>
          </w:tcPr>
          <w:p w14:paraId="004476DB">
            <w:pPr>
              <w:widowControl/>
              <w:jc w:val="center"/>
              <w:textAlignment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标项</w:t>
            </w:r>
          </w:p>
        </w:tc>
        <w:tc>
          <w:tcPr>
            <w:tcW w:w="1623" w:type="pct"/>
            <w:gridSpan w:val="4"/>
            <w:noWrap w:val="0"/>
            <w:vAlign w:val="top"/>
          </w:tcPr>
          <w:p w14:paraId="1355FB34">
            <w:pPr>
              <w:keepNext w:val="0"/>
              <w:keepLines w:val="0"/>
              <w:widowControl/>
              <w:suppressLineNumbers w:val="0"/>
              <w:jc w:val="center"/>
              <w:textAlignment w:val="center"/>
              <w:rPr>
                <w:rFonts w:hint="eastAsia" w:ascii="仿宋" w:hAnsi="仿宋" w:eastAsia="仿宋" w:cs="仿宋"/>
                <w:bCs/>
                <w:color w:val="auto"/>
                <w:sz w:val="18"/>
                <w:szCs w:val="18"/>
                <w:highlight w:val="none"/>
                <w:lang w:val="en-US" w:eastAsia="zh-CN"/>
              </w:rPr>
            </w:pPr>
            <w:r>
              <w:rPr>
                <w:rFonts w:hint="eastAsia" w:ascii="仿宋" w:hAnsi="仿宋" w:eastAsia="仿宋" w:cs="仿宋"/>
                <w:bCs/>
                <w:color w:val="auto"/>
                <w:sz w:val="18"/>
                <w:szCs w:val="18"/>
                <w:highlight w:val="none"/>
                <w:lang w:eastAsia="zh-CN"/>
              </w:rPr>
              <w:t>省外</w:t>
            </w:r>
          </w:p>
        </w:tc>
        <w:tc>
          <w:tcPr>
            <w:tcW w:w="1573" w:type="pct"/>
            <w:gridSpan w:val="4"/>
            <w:noWrap w:val="0"/>
            <w:vAlign w:val="top"/>
          </w:tcPr>
          <w:p w14:paraId="214BF148">
            <w:pPr>
              <w:keepNext w:val="0"/>
              <w:keepLines w:val="0"/>
              <w:widowControl/>
              <w:suppressLineNumbers w:val="0"/>
              <w:jc w:val="center"/>
              <w:textAlignment w:val="center"/>
              <w:rPr>
                <w:rFonts w:hint="eastAsia" w:ascii="仿宋" w:hAnsi="仿宋" w:eastAsia="仿宋" w:cs="仿宋"/>
                <w:bCs/>
                <w:color w:val="auto"/>
                <w:kern w:val="2"/>
                <w:sz w:val="18"/>
                <w:szCs w:val="18"/>
                <w:highlight w:val="none"/>
                <w:lang w:val="en-US" w:eastAsia="zh-CN" w:bidi="ar-SA"/>
              </w:rPr>
            </w:pPr>
            <w:r>
              <w:rPr>
                <w:rFonts w:hint="eastAsia" w:ascii="仿宋" w:hAnsi="仿宋" w:eastAsia="仿宋" w:cs="仿宋"/>
                <w:bCs/>
                <w:color w:val="auto"/>
                <w:sz w:val="18"/>
                <w:szCs w:val="18"/>
                <w:highlight w:val="none"/>
                <w:lang w:eastAsia="zh-CN"/>
              </w:rPr>
              <w:t>市外省内</w:t>
            </w:r>
          </w:p>
        </w:tc>
        <w:tc>
          <w:tcPr>
            <w:tcW w:w="1588" w:type="pct"/>
            <w:gridSpan w:val="4"/>
            <w:noWrap w:val="0"/>
            <w:vAlign w:val="top"/>
          </w:tcPr>
          <w:p w14:paraId="5AEA8EE4">
            <w:pPr>
              <w:keepNext w:val="0"/>
              <w:keepLines w:val="0"/>
              <w:widowControl/>
              <w:suppressLineNumbers w:val="0"/>
              <w:jc w:val="center"/>
              <w:textAlignment w:val="center"/>
              <w:rPr>
                <w:rFonts w:hint="eastAsia" w:ascii="仿宋" w:hAnsi="仿宋" w:eastAsia="仿宋" w:cs="仿宋"/>
                <w:bCs/>
                <w:color w:val="auto"/>
                <w:kern w:val="2"/>
                <w:sz w:val="18"/>
                <w:szCs w:val="18"/>
                <w:highlight w:val="none"/>
                <w:lang w:val="en-US" w:eastAsia="zh-CN" w:bidi="ar-SA"/>
              </w:rPr>
            </w:pPr>
            <w:r>
              <w:rPr>
                <w:rFonts w:hint="eastAsia" w:ascii="仿宋" w:hAnsi="仿宋" w:eastAsia="仿宋" w:cs="仿宋"/>
                <w:bCs/>
                <w:color w:val="auto"/>
                <w:kern w:val="2"/>
                <w:sz w:val="18"/>
                <w:szCs w:val="18"/>
                <w:highlight w:val="none"/>
                <w:lang w:val="en-US" w:eastAsia="zh-CN" w:bidi="ar-SA"/>
              </w:rPr>
              <w:t>市内</w:t>
            </w:r>
          </w:p>
        </w:tc>
      </w:tr>
      <w:tr w14:paraId="74C01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5" w:type="pct"/>
            <w:vMerge w:val="continue"/>
            <w:noWrap w:val="0"/>
            <w:vAlign w:val="center"/>
          </w:tcPr>
          <w:p w14:paraId="7D2EBF8F">
            <w:pPr>
              <w:widowControl/>
              <w:jc w:val="center"/>
              <w:textAlignment w:val="center"/>
              <w:rPr>
                <w:rFonts w:hint="eastAsia" w:ascii="仿宋" w:hAnsi="仿宋" w:eastAsia="仿宋" w:cs="仿宋"/>
                <w:color w:val="auto"/>
                <w:kern w:val="0"/>
                <w:sz w:val="18"/>
                <w:szCs w:val="18"/>
                <w:highlight w:val="none"/>
                <w:lang w:val="en-US" w:eastAsia="zh-CN" w:bidi="ar"/>
              </w:rPr>
            </w:pPr>
          </w:p>
        </w:tc>
        <w:tc>
          <w:tcPr>
            <w:tcW w:w="946" w:type="pct"/>
            <w:gridSpan w:val="2"/>
            <w:noWrap w:val="0"/>
            <w:vAlign w:val="center"/>
          </w:tcPr>
          <w:p w14:paraId="4EBC8B95">
            <w:pPr>
              <w:keepNext w:val="0"/>
              <w:keepLines w:val="0"/>
              <w:widowControl/>
              <w:suppressLineNumbers w:val="0"/>
              <w:jc w:val="center"/>
              <w:textAlignment w:val="center"/>
              <w:rPr>
                <w:rFonts w:hint="eastAsia" w:ascii="仿宋" w:hAnsi="仿宋" w:eastAsia="仿宋" w:cs="仿宋"/>
                <w:bCs/>
                <w:color w:val="auto"/>
                <w:sz w:val="18"/>
                <w:szCs w:val="18"/>
                <w:highlight w:val="none"/>
                <w:lang w:eastAsia="zh-CN"/>
              </w:rPr>
            </w:pPr>
            <w:r>
              <w:rPr>
                <w:rFonts w:hint="eastAsia" w:ascii="仿宋" w:hAnsi="仿宋" w:eastAsia="仿宋" w:cs="仿宋"/>
                <w:bCs/>
                <w:color w:val="auto"/>
                <w:sz w:val="18"/>
                <w:szCs w:val="18"/>
                <w:highlight w:val="none"/>
                <w:lang w:eastAsia="zh-CN"/>
              </w:rPr>
              <w:t>行程线路</w:t>
            </w:r>
          </w:p>
        </w:tc>
        <w:tc>
          <w:tcPr>
            <w:tcW w:w="355" w:type="pct"/>
            <w:noWrap w:val="0"/>
            <w:vAlign w:val="center"/>
          </w:tcPr>
          <w:p w14:paraId="0C5E6E6F">
            <w:pPr>
              <w:keepNext w:val="0"/>
              <w:keepLines w:val="0"/>
              <w:widowControl/>
              <w:suppressLineNumbers w:val="0"/>
              <w:jc w:val="center"/>
              <w:textAlignment w:val="center"/>
              <w:rPr>
                <w:rFonts w:hint="eastAsia" w:ascii="仿宋" w:hAnsi="仿宋" w:eastAsia="仿宋" w:cs="仿宋"/>
                <w:bCs/>
                <w:color w:val="auto"/>
                <w:sz w:val="18"/>
                <w:szCs w:val="18"/>
                <w:highlight w:val="none"/>
                <w:lang w:eastAsia="zh-CN"/>
              </w:rPr>
            </w:pPr>
            <w:r>
              <w:rPr>
                <w:rFonts w:hint="eastAsia" w:ascii="仿宋" w:hAnsi="仿宋" w:eastAsia="仿宋" w:cs="仿宋"/>
                <w:bCs/>
                <w:color w:val="auto"/>
                <w:sz w:val="18"/>
                <w:szCs w:val="18"/>
                <w:highlight w:val="none"/>
                <w:lang w:eastAsia="zh-CN"/>
              </w:rPr>
              <w:t>预算价格</w:t>
            </w:r>
          </w:p>
          <w:p w14:paraId="436A070B">
            <w:pPr>
              <w:keepNext w:val="0"/>
              <w:keepLines w:val="0"/>
              <w:widowControl/>
              <w:suppressLineNumbers w:val="0"/>
              <w:jc w:val="center"/>
              <w:textAlignment w:val="center"/>
              <w:rPr>
                <w:rFonts w:hint="eastAsia" w:ascii="仿宋" w:hAnsi="仿宋" w:eastAsia="仿宋" w:cs="仿宋"/>
                <w:bCs/>
                <w:color w:val="auto"/>
                <w:sz w:val="18"/>
                <w:szCs w:val="18"/>
                <w:highlight w:val="none"/>
                <w:lang w:val="en-US" w:eastAsia="zh-CN"/>
              </w:rPr>
            </w:pPr>
            <w:r>
              <w:rPr>
                <w:rFonts w:hint="eastAsia" w:ascii="仿宋" w:hAnsi="仿宋" w:eastAsia="仿宋" w:cs="仿宋"/>
                <w:bCs/>
                <w:color w:val="auto"/>
                <w:sz w:val="18"/>
                <w:szCs w:val="18"/>
                <w:highlight w:val="none"/>
                <w:lang w:val="en-US" w:eastAsia="zh-CN"/>
              </w:rPr>
              <w:t>（元）</w:t>
            </w:r>
          </w:p>
        </w:tc>
        <w:tc>
          <w:tcPr>
            <w:tcW w:w="320" w:type="pct"/>
            <w:noWrap w:val="0"/>
            <w:vAlign w:val="center"/>
          </w:tcPr>
          <w:p w14:paraId="6D2D1EE9">
            <w:pPr>
              <w:keepNext w:val="0"/>
              <w:keepLines w:val="0"/>
              <w:widowControl/>
              <w:suppressLineNumbers w:val="0"/>
              <w:jc w:val="center"/>
              <w:textAlignment w:val="center"/>
              <w:rPr>
                <w:rFonts w:hint="eastAsia" w:ascii="仿宋" w:hAnsi="仿宋" w:eastAsia="仿宋" w:cs="仿宋"/>
                <w:bCs/>
                <w:color w:val="auto"/>
                <w:sz w:val="18"/>
                <w:szCs w:val="18"/>
                <w:highlight w:val="none"/>
                <w:lang w:eastAsia="zh-CN"/>
              </w:rPr>
            </w:pPr>
            <w:r>
              <w:rPr>
                <w:rFonts w:hint="eastAsia" w:ascii="仿宋" w:hAnsi="仿宋" w:eastAsia="仿宋" w:cs="仿宋"/>
                <w:bCs/>
                <w:color w:val="auto"/>
                <w:sz w:val="18"/>
                <w:szCs w:val="18"/>
                <w:highlight w:val="none"/>
                <w:lang w:eastAsia="zh-CN"/>
              </w:rPr>
              <w:t>投标报价</w:t>
            </w:r>
          </w:p>
          <w:p w14:paraId="0C61EAB5">
            <w:pPr>
              <w:keepNext w:val="0"/>
              <w:keepLines w:val="0"/>
              <w:widowControl/>
              <w:suppressLineNumbers w:val="0"/>
              <w:jc w:val="center"/>
              <w:textAlignment w:val="center"/>
              <w:rPr>
                <w:rFonts w:hint="eastAsia" w:ascii="仿宋" w:hAnsi="仿宋" w:eastAsia="仿宋" w:cs="仿宋"/>
                <w:bCs/>
                <w:color w:val="auto"/>
                <w:sz w:val="18"/>
                <w:szCs w:val="18"/>
                <w:highlight w:val="none"/>
                <w:lang w:eastAsia="zh-CN"/>
              </w:rPr>
            </w:pPr>
            <w:r>
              <w:rPr>
                <w:rFonts w:hint="eastAsia" w:ascii="仿宋" w:hAnsi="仿宋" w:eastAsia="仿宋" w:cs="仿宋"/>
                <w:bCs/>
                <w:color w:val="auto"/>
                <w:sz w:val="18"/>
                <w:szCs w:val="18"/>
                <w:highlight w:val="none"/>
                <w:lang w:val="en-US" w:eastAsia="zh-CN"/>
              </w:rPr>
              <w:t>（元）</w:t>
            </w:r>
          </w:p>
        </w:tc>
        <w:tc>
          <w:tcPr>
            <w:tcW w:w="917" w:type="pct"/>
            <w:gridSpan w:val="2"/>
            <w:noWrap w:val="0"/>
            <w:vAlign w:val="center"/>
          </w:tcPr>
          <w:p w14:paraId="74E933E3">
            <w:pPr>
              <w:keepNext w:val="0"/>
              <w:keepLines w:val="0"/>
              <w:widowControl/>
              <w:suppressLineNumbers w:val="0"/>
              <w:jc w:val="center"/>
              <w:textAlignment w:val="center"/>
              <w:rPr>
                <w:rFonts w:hint="eastAsia" w:ascii="仿宋" w:hAnsi="仿宋" w:eastAsia="仿宋" w:cs="仿宋"/>
                <w:bCs/>
                <w:color w:val="auto"/>
                <w:kern w:val="2"/>
                <w:sz w:val="18"/>
                <w:szCs w:val="18"/>
                <w:highlight w:val="none"/>
                <w:lang w:val="en-US" w:eastAsia="zh-CN" w:bidi="ar-SA"/>
              </w:rPr>
            </w:pPr>
            <w:r>
              <w:rPr>
                <w:rFonts w:hint="eastAsia" w:ascii="仿宋" w:hAnsi="仿宋" w:eastAsia="仿宋" w:cs="仿宋"/>
                <w:bCs/>
                <w:color w:val="auto"/>
                <w:sz w:val="18"/>
                <w:szCs w:val="18"/>
                <w:highlight w:val="none"/>
                <w:lang w:eastAsia="zh-CN"/>
              </w:rPr>
              <w:t>行程线路</w:t>
            </w:r>
          </w:p>
        </w:tc>
        <w:tc>
          <w:tcPr>
            <w:tcW w:w="305" w:type="pct"/>
            <w:noWrap w:val="0"/>
            <w:vAlign w:val="center"/>
          </w:tcPr>
          <w:p w14:paraId="56880444">
            <w:pPr>
              <w:keepNext w:val="0"/>
              <w:keepLines w:val="0"/>
              <w:widowControl/>
              <w:suppressLineNumbers w:val="0"/>
              <w:jc w:val="center"/>
              <w:textAlignment w:val="center"/>
              <w:rPr>
                <w:rFonts w:hint="eastAsia" w:ascii="仿宋" w:hAnsi="仿宋" w:eastAsia="仿宋" w:cs="仿宋"/>
                <w:bCs/>
                <w:color w:val="auto"/>
                <w:sz w:val="18"/>
                <w:szCs w:val="18"/>
                <w:highlight w:val="none"/>
                <w:lang w:eastAsia="zh-CN"/>
              </w:rPr>
            </w:pPr>
            <w:r>
              <w:rPr>
                <w:rFonts w:hint="eastAsia" w:ascii="仿宋" w:hAnsi="仿宋" w:eastAsia="仿宋" w:cs="仿宋"/>
                <w:bCs/>
                <w:color w:val="auto"/>
                <w:sz w:val="18"/>
                <w:szCs w:val="18"/>
                <w:highlight w:val="none"/>
                <w:lang w:eastAsia="zh-CN"/>
              </w:rPr>
              <w:t>预算价格</w:t>
            </w:r>
          </w:p>
          <w:p w14:paraId="32F1FB8B">
            <w:pPr>
              <w:keepNext w:val="0"/>
              <w:keepLines w:val="0"/>
              <w:widowControl/>
              <w:suppressLineNumbers w:val="0"/>
              <w:jc w:val="center"/>
              <w:textAlignment w:val="center"/>
              <w:rPr>
                <w:rFonts w:hint="eastAsia" w:ascii="仿宋" w:hAnsi="仿宋" w:eastAsia="仿宋" w:cs="仿宋"/>
                <w:bCs/>
                <w:color w:val="auto"/>
                <w:sz w:val="18"/>
                <w:szCs w:val="18"/>
                <w:highlight w:val="none"/>
                <w:lang w:val="en-US" w:eastAsia="zh-CN"/>
              </w:rPr>
            </w:pPr>
            <w:r>
              <w:rPr>
                <w:rFonts w:hint="eastAsia" w:ascii="仿宋" w:hAnsi="仿宋" w:eastAsia="仿宋" w:cs="仿宋"/>
                <w:bCs/>
                <w:color w:val="auto"/>
                <w:sz w:val="18"/>
                <w:szCs w:val="18"/>
                <w:highlight w:val="none"/>
                <w:lang w:val="en-US" w:eastAsia="zh-CN"/>
              </w:rPr>
              <w:t>（元）</w:t>
            </w:r>
          </w:p>
        </w:tc>
        <w:tc>
          <w:tcPr>
            <w:tcW w:w="350" w:type="pct"/>
            <w:noWrap w:val="0"/>
            <w:vAlign w:val="center"/>
          </w:tcPr>
          <w:p w14:paraId="22A85C21">
            <w:pPr>
              <w:keepNext w:val="0"/>
              <w:keepLines w:val="0"/>
              <w:widowControl/>
              <w:suppressLineNumbers w:val="0"/>
              <w:jc w:val="center"/>
              <w:textAlignment w:val="center"/>
              <w:rPr>
                <w:rFonts w:hint="eastAsia" w:ascii="仿宋" w:hAnsi="仿宋" w:eastAsia="仿宋" w:cs="仿宋"/>
                <w:bCs/>
                <w:color w:val="auto"/>
                <w:sz w:val="18"/>
                <w:szCs w:val="18"/>
                <w:highlight w:val="none"/>
                <w:lang w:eastAsia="zh-CN"/>
              </w:rPr>
            </w:pPr>
            <w:r>
              <w:rPr>
                <w:rFonts w:hint="eastAsia" w:ascii="仿宋" w:hAnsi="仿宋" w:eastAsia="仿宋" w:cs="仿宋"/>
                <w:bCs/>
                <w:color w:val="auto"/>
                <w:sz w:val="18"/>
                <w:szCs w:val="18"/>
                <w:highlight w:val="none"/>
                <w:lang w:eastAsia="zh-CN"/>
              </w:rPr>
              <w:t>投标报价</w:t>
            </w:r>
          </w:p>
          <w:p w14:paraId="3DEBB755">
            <w:pPr>
              <w:keepNext w:val="0"/>
              <w:keepLines w:val="0"/>
              <w:widowControl/>
              <w:suppressLineNumbers w:val="0"/>
              <w:jc w:val="center"/>
              <w:textAlignment w:val="center"/>
              <w:rPr>
                <w:rFonts w:hint="eastAsia" w:ascii="仿宋" w:hAnsi="仿宋" w:eastAsia="仿宋" w:cs="仿宋"/>
                <w:bCs/>
                <w:color w:val="auto"/>
                <w:kern w:val="2"/>
                <w:sz w:val="18"/>
                <w:szCs w:val="18"/>
                <w:highlight w:val="none"/>
                <w:lang w:val="en-US" w:eastAsia="zh-CN" w:bidi="ar-SA"/>
              </w:rPr>
            </w:pPr>
            <w:r>
              <w:rPr>
                <w:rFonts w:hint="eastAsia" w:ascii="仿宋" w:hAnsi="仿宋" w:eastAsia="仿宋" w:cs="仿宋"/>
                <w:bCs/>
                <w:color w:val="auto"/>
                <w:sz w:val="18"/>
                <w:szCs w:val="18"/>
                <w:highlight w:val="none"/>
                <w:lang w:val="en-US" w:eastAsia="zh-CN"/>
              </w:rPr>
              <w:t>（元）</w:t>
            </w:r>
          </w:p>
        </w:tc>
        <w:tc>
          <w:tcPr>
            <w:tcW w:w="886" w:type="pct"/>
            <w:gridSpan w:val="2"/>
            <w:noWrap w:val="0"/>
            <w:vAlign w:val="center"/>
          </w:tcPr>
          <w:p w14:paraId="0D70488B">
            <w:pPr>
              <w:keepNext w:val="0"/>
              <w:keepLines w:val="0"/>
              <w:widowControl/>
              <w:suppressLineNumbers w:val="0"/>
              <w:jc w:val="center"/>
              <w:textAlignment w:val="center"/>
              <w:rPr>
                <w:rFonts w:hint="eastAsia" w:ascii="仿宋" w:hAnsi="仿宋" w:eastAsia="仿宋" w:cs="仿宋"/>
                <w:bCs/>
                <w:color w:val="auto"/>
                <w:kern w:val="2"/>
                <w:sz w:val="18"/>
                <w:szCs w:val="18"/>
                <w:highlight w:val="none"/>
                <w:lang w:val="en-US" w:eastAsia="zh-CN" w:bidi="ar-SA"/>
              </w:rPr>
            </w:pPr>
            <w:r>
              <w:rPr>
                <w:rFonts w:hint="eastAsia" w:ascii="仿宋" w:hAnsi="仿宋" w:eastAsia="仿宋" w:cs="仿宋"/>
                <w:bCs/>
                <w:color w:val="auto"/>
                <w:sz w:val="18"/>
                <w:szCs w:val="18"/>
                <w:highlight w:val="none"/>
                <w:lang w:eastAsia="zh-CN"/>
              </w:rPr>
              <w:t>行程线路</w:t>
            </w:r>
          </w:p>
        </w:tc>
        <w:tc>
          <w:tcPr>
            <w:tcW w:w="355" w:type="pct"/>
            <w:noWrap w:val="0"/>
            <w:vAlign w:val="center"/>
          </w:tcPr>
          <w:p w14:paraId="26244C2A">
            <w:pPr>
              <w:keepNext w:val="0"/>
              <w:keepLines w:val="0"/>
              <w:widowControl/>
              <w:suppressLineNumbers w:val="0"/>
              <w:jc w:val="center"/>
              <w:textAlignment w:val="center"/>
              <w:rPr>
                <w:rFonts w:hint="eastAsia" w:ascii="仿宋" w:hAnsi="仿宋" w:eastAsia="仿宋" w:cs="仿宋"/>
                <w:bCs/>
                <w:color w:val="auto"/>
                <w:sz w:val="18"/>
                <w:szCs w:val="18"/>
                <w:highlight w:val="none"/>
                <w:lang w:eastAsia="zh-CN"/>
              </w:rPr>
            </w:pPr>
            <w:r>
              <w:rPr>
                <w:rFonts w:hint="eastAsia" w:ascii="仿宋" w:hAnsi="仿宋" w:eastAsia="仿宋" w:cs="仿宋"/>
                <w:bCs/>
                <w:color w:val="auto"/>
                <w:sz w:val="18"/>
                <w:szCs w:val="18"/>
                <w:highlight w:val="none"/>
                <w:lang w:eastAsia="zh-CN"/>
              </w:rPr>
              <w:t>预算价格</w:t>
            </w:r>
          </w:p>
          <w:p w14:paraId="68C8C498">
            <w:pPr>
              <w:keepNext w:val="0"/>
              <w:keepLines w:val="0"/>
              <w:widowControl/>
              <w:suppressLineNumbers w:val="0"/>
              <w:jc w:val="center"/>
              <w:textAlignment w:val="center"/>
              <w:rPr>
                <w:rFonts w:hint="eastAsia" w:ascii="仿宋" w:hAnsi="仿宋" w:eastAsia="仿宋" w:cs="仿宋"/>
                <w:bCs/>
                <w:color w:val="auto"/>
                <w:kern w:val="2"/>
                <w:sz w:val="18"/>
                <w:szCs w:val="18"/>
                <w:highlight w:val="none"/>
                <w:lang w:val="en-US" w:eastAsia="zh-CN" w:bidi="ar-SA"/>
              </w:rPr>
            </w:pPr>
            <w:r>
              <w:rPr>
                <w:rFonts w:hint="eastAsia" w:ascii="仿宋" w:hAnsi="仿宋" w:eastAsia="仿宋" w:cs="仿宋"/>
                <w:bCs/>
                <w:color w:val="auto"/>
                <w:sz w:val="18"/>
                <w:szCs w:val="18"/>
                <w:highlight w:val="none"/>
                <w:lang w:val="en-US" w:eastAsia="zh-CN"/>
              </w:rPr>
              <w:t>（元）</w:t>
            </w:r>
          </w:p>
        </w:tc>
        <w:tc>
          <w:tcPr>
            <w:tcW w:w="345" w:type="pct"/>
            <w:noWrap w:val="0"/>
            <w:vAlign w:val="center"/>
          </w:tcPr>
          <w:p w14:paraId="25463968">
            <w:pPr>
              <w:keepNext w:val="0"/>
              <w:keepLines w:val="0"/>
              <w:widowControl/>
              <w:suppressLineNumbers w:val="0"/>
              <w:jc w:val="center"/>
              <w:textAlignment w:val="center"/>
              <w:rPr>
                <w:rFonts w:hint="eastAsia" w:ascii="仿宋" w:hAnsi="仿宋" w:eastAsia="仿宋" w:cs="仿宋"/>
                <w:bCs/>
                <w:color w:val="auto"/>
                <w:sz w:val="18"/>
                <w:szCs w:val="18"/>
                <w:highlight w:val="none"/>
                <w:lang w:eastAsia="zh-CN"/>
              </w:rPr>
            </w:pPr>
            <w:r>
              <w:rPr>
                <w:rFonts w:hint="eastAsia" w:ascii="仿宋" w:hAnsi="仿宋" w:eastAsia="仿宋" w:cs="仿宋"/>
                <w:bCs/>
                <w:color w:val="auto"/>
                <w:sz w:val="18"/>
                <w:szCs w:val="18"/>
                <w:highlight w:val="none"/>
                <w:lang w:eastAsia="zh-CN"/>
              </w:rPr>
              <w:t>投标报价</w:t>
            </w:r>
          </w:p>
          <w:p w14:paraId="3CCB512E">
            <w:pPr>
              <w:keepNext w:val="0"/>
              <w:keepLines w:val="0"/>
              <w:widowControl/>
              <w:suppressLineNumbers w:val="0"/>
              <w:jc w:val="center"/>
              <w:textAlignment w:val="center"/>
              <w:rPr>
                <w:rFonts w:hint="eastAsia" w:ascii="仿宋" w:hAnsi="仿宋" w:eastAsia="仿宋" w:cs="仿宋"/>
                <w:bCs/>
                <w:color w:val="auto"/>
                <w:sz w:val="18"/>
                <w:szCs w:val="18"/>
                <w:highlight w:val="none"/>
                <w:lang w:val="en-US" w:eastAsia="zh-CN"/>
              </w:rPr>
            </w:pPr>
            <w:r>
              <w:rPr>
                <w:rFonts w:hint="eastAsia" w:ascii="仿宋" w:hAnsi="仿宋" w:eastAsia="仿宋" w:cs="仿宋"/>
                <w:bCs/>
                <w:color w:val="auto"/>
                <w:sz w:val="18"/>
                <w:szCs w:val="18"/>
                <w:highlight w:val="none"/>
                <w:lang w:val="en-US" w:eastAsia="zh-CN"/>
              </w:rPr>
              <w:t>（元）</w:t>
            </w:r>
          </w:p>
        </w:tc>
      </w:tr>
      <w:tr w14:paraId="640E0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5" w:type="pct"/>
            <w:noWrap w:val="0"/>
            <w:vAlign w:val="center"/>
          </w:tcPr>
          <w:p w14:paraId="450674F8">
            <w:pPr>
              <w:widowControl/>
              <w:jc w:val="center"/>
              <w:textAlignment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01标</w:t>
            </w:r>
          </w:p>
        </w:tc>
        <w:tc>
          <w:tcPr>
            <w:tcW w:w="365" w:type="pct"/>
            <w:noWrap w:val="0"/>
            <w:vAlign w:val="center"/>
          </w:tcPr>
          <w:p w14:paraId="27853BDE">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湖北恩施</w:t>
            </w:r>
          </w:p>
        </w:tc>
        <w:tc>
          <w:tcPr>
            <w:tcW w:w="580" w:type="pct"/>
            <w:noWrap w:val="0"/>
            <w:vAlign w:val="center"/>
          </w:tcPr>
          <w:p w14:paraId="3802A46B">
            <w:pPr>
              <w:keepNext w:val="0"/>
              <w:keepLines w:val="0"/>
              <w:widowControl/>
              <w:suppressLineNumbers w:val="0"/>
              <w:jc w:val="center"/>
              <w:textAlignment w:val="center"/>
              <w:rPr>
                <w:rFonts w:hint="eastAsia" w:ascii="仿宋" w:hAnsi="仿宋" w:eastAsia="仿宋" w:cs="仿宋"/>
                <w:bCs/>
                <w:color w:val="auto"/>
                <w:sz w:val="18"/>
                <w:szCs w:val="18"/>
                <w:highlight w:val="none"/>
              </w:rPr>
            </w:pPr>
            <w:r>
              <w:rPr>
                <w:rFonts w:hint="eastAsia" w:ascii="仿宋" w:hAnsi="仿宋" w:eastAsia="仿宋" w:cs="仿宋"/>
                <w:i w:val="0"/>
                <w:iCs w:val="0"/>
                <w:color w:val="auto"/>
                <w:kern w:val="0"/>
                <w:sz w:val="18"/>
                <w:szCs w:val="18"/>
                <w:highlight w:val="none"/>
                <w:u w:val="none"/>
                <w:lang w:val="en-US" w:eastAsia="zh-CN" w:bidi="ar"/>
              </w:rPr>
              <w:t>恩施大峡谷、云龙河地缝、七星寨、恩施女儿城、土司城</w:t>
            </w:r>
          </w:p>
        </w:tc>
        <w:tc>
          <w:tcPr>
            <w:tcW w:w="355" w:type="pct"/>
            <w:noWrap w:val="0"/>
            <w:vAlign w:val="center"/>
          </w:tcPr>
          <w:p w14:paraId="75F1D1B6">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4000</w:t>
            </w:r>
          </w:p>
        </w:tc>
        <w:tc>
          <w:tcPr>
            <w:tcW w:w="320" w:type="pct"/>
            <w:noWrap w:val="0"/>
            <w:vAlign w:val="center"/>
          </w:tcPr>
          <w:p w14:paraId="5BCB74A5">
            <w:pPr>
              <w:keepNext w:val="0"/>
              <w:keepLines w:val="0"/>
              <w:widowControl/>
              <w:suppressLineNumbers w:val="0"/>
              <w:jc w:val="both"/>
              <w:textAlignment w:val="center"/>
              <w:rPr>
                <w:rFonts w:hint="eastAsia" w:ascii="仿宋" w:hAnsi="仿宋" w:eastAsia="仿宋" w:cs="仿宋"/>
                <w:bCs/>
                <w:color w:val="auto"/>
                <w:sz w:val="18"/>
                <w:szCs w:val="18"/>
                <w:highlight w:val="none"/>
                <w:lang w:val="en-US" w:eastAsia="zh-CN"/>
              </w:rPr>
            </w:pPr>
            <w:r>
              <w:rPr>
                <w:rFonts w:hint="eastAsia" w:ascii="仿宋" w:hAnsi="仿宋" w:eastAsia="仿宋" w:cs="仿宋"/>
                <w:bCs/>
                <w:color w:val="auto"/>
                <w:sz w:val="18"/>
                <w:szCs w:val="18"/>
                <w:highlight w:val="none"/>
                <w:lang w:val="en-US" w:eastAsia="zh-CN"/>
              </w:rPr>
              <w:t>小写：</w:t>
            </w:r>
          </w:p>
          <w:p w14:paraId="050889C8">
            <w:pPr>
              <w:pStyle w:val="2"/>
              <w:ind w:left="0" w:leftChars="0" w:firstLine="0" w:firstLineChars="0"/>
              <w:rPr>
                <w:rFonts w:hint="default"/>
                <w:color w:val="auto"/>
                <w:highlight w:val="none"/>
                <w:lang w:val="en-US" w:eastAsia="zh-CN"/>
              </w:rPr>
            </w:pPr>
            <w:r>
              <w:rPr>
                <w:rFonts w:hint="eastAsia" w:ascii="仿宋" w:hAnsi="仿宋" w:eastAsia="仿宋" w:cs="仿宋"/>
                <w:bCs/>
                <w:color w:val="auto"/>
                <w:sz w:val="18"/>
                <w:szCs w:val="18"/>
                <w:highlight w:val="none"/>
                <w:lang w:val="en-US" w:eastAsia="zh-CN"/>
              </w:rPr>
              <w:t>大写：</w:t>
            </w:r>
          </w:p>
        </w:tc>
        <w:tc>
          <w:tcPr>
            <w:tcW w:w="255" w:type="pct"/>
            <w:noWrap w:val="0"/>
            <w:vAlign w:val="center"/>
          </w:tcPr>
          <w:p w14:paraId="10713368">
            <w:pPr>
              <w:keepNext w:val="0"/>
              <w:keepLines w:val="0"/>
              <w:widowControl/>
              <w:suppressLineNumbers w:val="0"/>
              <w:jc w:val="center"/>
              <w:textAlignment w:val="center"/>
              <w:rPr>
                <w:rFonts w:hint="eastAsia" w:ascii="仿宋" w:hAnsi="仿宋" w:eastAsia="仿宋" w:cs="仿宋"/>
                <w:bCs/>
                <w:color w:val="auto"/>
                <w:sz w:val="18"/>
                <w:szCs w:val="18"/>
                <w:highlight w:val="none"/>
                <w:lang w:val="en-US" w:eastAsia="zh-CN"/>
              </w:rPr>
            </w:pPr>
            <w:r>
              <w:rPr>
                <w:rFonts w:hint="eastAsia" w:ascii="仿宋" w:hAnsi="仿宋" w:eastAsia="仿宋" w:cs="仿宋"/>
                <w:i w:val="0"/>
                <w:iCs w:val="0"/>
                <w:color w:val="auto"/>
                <w:kern w:val="0"/>
                <w:sz w:val="18"/>
                <w:szCs w:val="18"/>
                <w:highlight w:val="none"/>
                <w:u w:val="none"/>
                <w:lang w:val="en-US" w:eastAsia="zh-CN" w:bidi="ar"/>
              </w:rPr>
              <w:t>温州苍南</w:t>
            </w:r>
          </w:p>
        </w:tc>
        <w:tc>
          <w:tcPr>
            <w:tcW w:w="661" w:type="pct"/>
            <w:noWrap w:val="0"/>
            <w:vAlign w:val="center"/>
          </w:tcPr>
          <w:p w14:paraId="5EC7BC92">
            <w:pPr>
              <w:keepNext w:val="0"/>
              <w:keepLines w:val="0"/>
              <w:widowControl/>
              <w:suppressLineNumbers w:val="0"/>
              <w:jc w:val="center"/>
              <w:textAlignment w:val="center"/>
              <w:rPr>
                <w:rFonts w:hint="eastAsia" w:ascii="仿宋" w:hAnsi="仿宋" w:eastAsia="仿宋" w:cs="仿宋"/>
                <w:bCs/>
                <w:color w:val="auto"/>
                <w:kern w:val="2"/>
                <w:sz w:val="18"/>
                <w:szCs w:val="18"/>
                <w:highlight w:val="none"/>
                <w:lang w:val="en-US" w:eastAsia="zh-CN" w:bidi="ar-SA"/>
              </w:rPr>
            </w:pPr>
            <w:r>
              <w:rPr>
                <w:rFonts w:hint="eastAsia" w:ascii="仿宋" w:hAnsi="仿宋" w:eastAsia="仿宋" w:cs="仿宋"/>
                <w:i w:val="0"/>
                <w:iCs w:val="0"/>
                <w:color w:val="auto"/>
                <w:kern w:val="0"/>
                <w:sz w:val="18"/>
                <w:szCs w:val="18"/>
                <w:highlight w:val="none"/>
                <w:u w:val="none"/>
                <w:lang w:val="en-US" w:eastAsia="zh-CN" w:bidi="ar"/>
              </w:rPr>
              <w:t>江心屿、五马街、 168黄金海岸线、出海捕鱼、渔寮大沙滩、南洋312平硐</w:t>
            </w:r>
          </w:p>
        </w:tc>
        <w:tc>
          <w:tcPr>
            <w:tcW w:w="305" w:type="pct"/>
            <w:noWrap w:val="0"/>
            <w:vAlign w:val="center"/>
          </w:tcPr>
          <w:p w14:paraId="34C9B6B4">
            <w:pPr>
              <w:keepNext w:val="0"/>
              <w:keepLines w:val="0"/>
              <w:widowControl/>
              <w:suppressLineNumbers w:val="0"/>
              <w:jc w:val="center"/>
              <w:textAlignment w:val="center"/>
              <w:rPr>
                <w:rFonts w:hint="eastAsia" w:ascii="仿宋" w:hAnsi="仿宋" w:eastAsia="仿宋" w:cs="仿宋"/>
                <w:bCs/>
                <w:color w:val="auto"/>
                <w:kern w:val="2"/>
                <w:sz w:val="18"/>
                <w:szCs w:val="18"/>
                <w:highlight w:val="none"/>
                <w:lang w:val="en-US" w:eastAsia="zh-CN" w:bidi="ar-SA"/>
              </w:rPr>
            </w:pPr>
            <w:r>
              <w:rPr>
                <w:rFonts w:hint="eastAsia" w:ascii="仿宋" w:hAnsi="仿宋" w:eastAsia="仿宋" w:cs="仿宋"/>
                <w:i w:val="0"/>
                <w:iCs w:val="0"/>
                <w:color w:val="auto"/>
                <w:kern w:val="0"/>
                <w:sz w:val="18"/>
                <w:szCs w:val="18"/>
                <w:highlight w:val="none"/>
                <w:u w:val="none"/>
                <w:lang w:val="en-US" w:eastAsia="zh-CN" w:bidi="ar"/>
              </w:rPr>
              <w:t>2000</w:t>
            </w:r>
          </w:p>
        </w:tc>
        <w:tc>
          <w:tcPr>
            <w:tcW w:w="350" w:type="pct"/>
            <w:noWrap w:val="0"/>
            <w:vAlign w:val="center"/>
          </w:tcPr>
          <w:p w14:paraId="241B6BD6">
            <w:pPr>
              <w:keepNext w:val="0"/>
              <w:keepLines w:val="0"/>
              <w:widowControl/>
              <w:suppressLineNumbers w:val="0"/>
              <w:jc w:val="both"/>
              <w:textAlignment w:val="center"/>
              <w:rPr>
                <w:rFonts w:hint="eastAsia" w:ascii="仿宋" w:hAnsi="仿宋" w:eastAsia="仿宋" w:cs="仿宋"/>
                <w:bCs/>
                <w:color w:val="auto"/>
                <w:sz w:val="18"/>
                <w:szCs w:val="18"/>
                <w:highlight w:val="none"/>
                <w:lang w:val="en-US" w:eastAsia="zh-CN"/>
              </w:rPr>
            </w:pPr>
            <w:r>
              <w:rPr>
                <w:rFonts w:hint="eastAsia" w:ascii="仿宋" w:hAnsi="仿宋" w:eastAsia="仿宋" w:cs="仿宋"/>
                <w:bCs/>
                <w:color w:val="auto"/>
                <w:sz w:val="18"/>
                <w:szCs w:val="18"/>
                <w:highlight w:val="none"/>
                <w:lang w:val="en-US" w:eastAsia="zh-CN"/>
              </w:rPr>
              <w:t>小写：</w:t>
            </w:r>
          </w:p>
          <w:p w14:paraId="5B54BCCE">
            <w:pPr>
              <w:pStyle w:val="2"/>
              <w:ind w:firstLine="0" w:firstLineChars="0"/>
              <w:jc w:val="both"/>
              <w:rPr>
                <w:rFonts w:hint="eastAsia" w:ascii="仿宋" w:hAnsi="仿宋" w:eastAsia="仿宋" w:cs="仿宋"/>
                <w:bCs/>
                <w:color w:val="auto"/>
                <w:kern w:val="2"/>
                <w:sz w:val="18"/>
                <w:szCs w:val="18"/>
                <w:highlight w:val="none"/>
                <w:lang w:val="en-US" w:eastAsia="zh-CN" w:bidi="ar-SA"/>
              </w:rPr>
            </w:pPr>
            <w:r>
              <w:rPr>
                <w:rFonts w:hint="eastAsia" w:ascii="仿宋" w:hAnsi="仿宋" w:eastAsia="仿宋" w:cs="仿宋"/>
                <w:bCs/>
                <w:color w:val="auto"/>
                <w:sz w:val="18"/>
                <w:szCs w:val="18"/>
                <w:highlight w:val="none"/>
                <w:lang w:val="en-US" w:eastAsia="zh-CN"/>
              </w:rPr>
              <w:t>大写：</w:t>
            </w:r>
          </w:p>
        </w:tc>
        <w:tc>
          <w:tcPr>
            <w:tcW w:w="305" w:type="pct"/>
            <w:noWrap w:val="0"/>
            <w:vAlign w:val="center"/>
          </w:tcPr>
          <w:p w14:paraId="7AC868A5">
            <w:pPr>
              <w:pStyle w:val="2"/>
              <w:ind w:firstLine="0" w:firstLineChars="0"/>
              <w:jc w:val="center"/>
              <w:rPr>
                <w:rFonts w:hint="eastAsia" w:ascii="仿宋" w:hAnsi="仿宋" w:eastAsia="仿宋" w:cs="仿宋"/>
                <w:bCs/>
                <w:color w:val="auto"/>
                <w:kern w:val="2"/>
                <w:sz w:val="18"/>
                <w:szCs w:val="18"/>
                <w:highlight w:val="none"/>
                <w:lang w:val="en-US" w:eastAsia="zh-CN" w:bidi="ar-SA"/>
              </w:rPr>
            </w:pPr>
            <w:r>
              <w:rPr>
                <w:rFonts w:hint="eastAsia" w:ascii="仿宋" w:hAnsi="仿宋" w:eastAsia="仿宋" w:cs="仿宋"/>
                <w:bCs/>
                <w:color w:val="auto"/>
                <w:kern w:val="2"/>
                <w:sz w:val="18"/>
                <w:szCs w:val="18"/>
                <w:highlight w:val="none"/>
                <w:lang w:val="en-US" w:eastAsia="zh-CN" w:bidi="ar-SA"/>
              </w:rPr>
              <w:t>/</w:t>
            </w:r>
          </w:p>
        </w:tc>
        <w:tc>
          <w:tcPr>
            <w:tcW w:w="580" w:type="pct"/>
            <w:noWrap w:val="0"/>
            <w:vAlign w:val="center"/>
          </w:tcPr>
          <w:p w14:paraId="1D9DD4F8">
            <w:pPr>
              <w:pStyle w:val="2"/>
              <w:ind w:firstLine="0" w:firstLineChars="0"/>
              <w:jc w:val="center"/>
              <w:rPr>
                <w:rFonts w:hint="eastAsia" w:ascii="仿宋" w:hAnsi="仿宋" w:eastAsia="仿宋" w:cs="仿宋"/>
                <w:bCs/>
                <w:color w:val="auto"/>
                <w:kern w:val="2"/>
                <w:sz w:val="18"/>
                <w:szCs w:val="18"/>
                <w:highlight w:val="none"/>
                <w:lang w:val="en-US" w:eastAsia="zh-CN" w:bidi="ar-SA"/>
              </w:rPr>
            </w:pPr>
            <w:r>
              <w:rPr>
                <w:rFonts w:hint="eastAsia" w:ascii="仿宋" w:hAnsi="仿宋" w:eastAsia="仿宋" w:cs="仿宋"/>
                <w:bCs/>
                <w:color w:val="auto"/>
                <w:kern w:val="2"/>
                <w:sz w:val="18"/>
                <w:szCs w:val="18"/>
                <w:highlight w:val="none"/>
                <w:lang w:val="en-US" w:eastAsia="zh-CN" w:bidi="ar-SA"/>
              </w:rPr>
              <w:t>/</w:t>
            </w:r>
          </w:p>
        </w:tc>
        <w:tc>
          <w:tcPr>
            <w:tcW w:w="355" w:type="pct"/>
            <w:noWrap w:val="0"/>
            <w:vAlign w:val="center"/>
          </w:tcPr>
          <w:p w14:paraId="0F2C5F99">
            <w:pPr>
              <w:pStyle w:val="2"/>
              <w:ind w:firstLine="0" w:firstLineChars="0"/>
              <w:jc w:val="center"/>
              <w:rPr>
                <w:rFonts w:hint="eastAsia" w:ascii="仿宋" w:hAnsi="仿宋" w:eastAsia="仿宋" w:cs="仿宋"/>
                <w:bCs/>
                <w:color w:val="auto"/>
                <w:kern w:val="2"/>
                <w:sz w:val="18"/>
                <w:szCs w:val="18"/>
                <w:highlight w:val="none"/>
                <w:lang w:val="en-US" w:eastAsia="zh-CN" w:bidi="ar-SA"/>
              </w:rPr>
            </w:pPr>
            <w:r>
              <w:rPr>
                <w:rFonts w:hint="eastAsia" w:ascii="仿宋" w:hAnsi="仿宋" w:eastAsia="仿宋" w:cs="仿宋"/>
                <w:bCs/>
                <w:color w:val="auto"/>
                <w:kern w:val="2"/>
                <w:sz w:val="18"/>
                <w:szCs w:val="18"/>
                <w:highlight w:val="none"/>
                <w:lang w:val="en-US" w:eastAsia="zh-CN" w:bidi="ar-SA"/>
              </w:rPr>
              <w:t>/</w:t>
            </w:r>
          </w:p>
        </w:tc>
        <w:tc>
          <w:tcPr>
            <w:tcW w:w="345" w:type="pct"/>
            <w:noWrap w:val="0"/>
            <w:vAlign w:val="center"/>
          </w:tcPr>
          <w:p w14:paraId="4B3F0AD9">
            <w:pPr>
              <w:ind w:firstLine="0" w:firstLineChars="0"/>
              <w:jc w:val="center"/>
              <w:rPr>
                <w:rFonts w:hint="eastAsia" w:ascii="仿宋" w:hAnsi="仿宋" w:eastAsia="仿宋" w:cs="仿宋"/>
                <w:bCs/>
                <w:color w:val="auto"/>
                <w:kern w:val="2"/>
                <w:sz w:val="18"/>
                <w:szCs w:val="18"/>
                <w:highlight w:val="none"/>
                <w:lang w:val="en-US" w:eastAsia="zh-CN" w:bidi="ar-SA"/>
              </w:rPr>
            </w:pPr>
            <w:r>
              <w:rPr>
                <w:rFonts w:hint="eastAsia" w:ascii="仿宋" w:hAnsi="仿宋" w:eastAsia="仿宋" w:cs="仿宋"/>
                <w:bCs/>
                <w:color w:val="auto"/>
                <w:kern w:val="2"/>
                <w:sz w:val="18"/>
                <w:szCs w:val="18"/>
                <w:highlight w:val="none"/>
                <w:lang w:val="en-US" w:eastAsia="zh-CN" w:bidi="ar-SA"/>
              </w:rPr>
              <w:t>/</w:t>
            </w:r>
          </w:p>
        </w:tc>
      </w:tr>
      <w:tr w14:paraId="58B00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5" w:type="pct"/>
            <w:noWrap w:val="0"/>
            <w:vAlign w:val="center"/>
          </w:tcPr>
          <w:p w14:paraId="2C2481DB">
            <w:pPr>
              <w:widowControl/>
              <w:jc w:val="center"/>
              <w:textAlignment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02标</w:t>
            </w:r>
          </w:p>
        </w:tc>
        <w:tc>
          <w:tcPr>
            <w:tcW w:w="365" w:type="pct"/>
            <w:noWrap w:val="0"/>
            <w:vAlign w:val="center"/>
          </w:tcPr>
          <w:p w14:paraId="0AB8B203">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泉州漳州</w:t>
            </w:r>
          </w:p>
        </w:tc>
        <w:tc>
          <w:tcPr>
            <w:tcW w:w="580" w:type="pct"/>
            <w:noWrap w:val="0"/>
            <w:vAlign w:val="center"/>
          </w:tcPr>
          <w:p w14:paraId="68ACB84D">
            <w:pPr>
              <w:keepNext w:val="0"/>
              <w:keepLines w:val="0"/>
              <w:widowControl/>
              <w:suppressLineNumbers w:val="0"/>
              <w:jc w:val="center"/>
              <w:textAlignment w:val="center"/>
              <w:rPr>
                <w:rFonts w:hint="eastAsia" w:ascii="仿宋" w:hAnsi="仿宋" w:eastAsia="仿宋" w:cs="仿宋"/>
                <w:bCs/>
                <w:color w:val="auto"/>
                <w:sz w:val="18"/>
                <w:szCs w:val="18"/>
                <w:highlight w:val="none"/>
              </w:rPr>
            </w:pPr>
            <w:r>
              <w:rPr>
                <w:rFonts w:hint="eastAsia" w:ascii="仿宋" w:hAnsi="仿宋" w:eastAsia="仿宋" w:cs="仿宋"/>
                <w:i w:val="0"/>
                <w:iCs w:val="0"/>
                <w:color w:val="auto"/>
                <w:kern w:val="0"/>
                <w:sz w:val="18"/>
                <w:szCs w:val="18"/>
                <w:highlight w:val="none"/>
                <w:u w:val="none"/>
                <w:lang w:val="en-US" w:eastAsia="zh-CN" w:bidi="ar"/>
              </w:rPr>
              <w:t>浔埔渔村、崇武古城、洛伽寺、开元寺、西街、云水谣、漳州古城、风动石、南门湾</w:t>
            </w:r>
          </w:p>
        </w:tc>
        <w:tc>
          <w:tcPr>
            <w:tcW w:w="355" w:type="pct"/>
            <w:noWrap w:val="0"/>
            <w:vAlign w:val="center"/>
          </w:tcPr>
          <w:p w14:paraId="4B59AE20">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3000</w:t>
            </w:r>
          </w:p>
        </w:tc>
        <w:tc>
          <w:tcPr>
            <w:tcW w:w="320" w:type="pct"/>
            <w:noWrap w:val="0"/>
            <w:vAlign w:val="center"/>
          </w:tcPr>
          <w:p w14:paraId="086C3FE2">
            <w:pPr>
              <w:keepNext w:val="0"/>
              <w:keepLines w:val="0"/>
              <w:widowControl/>
              <w:suppressLineNumbers w:val="0"/>
              <w:jc w:val="both"/>
              <w:textAlignment w:val="center"/>
              <w:rPr>
                <w:rFonts w:hint="eastAsia" w:ascii="仿宋" w:hAnsi="仿宋" w:eastAsia="仿宋" w:cs="仿宋"/>
                <w:bCs/>
                <w:color w:val="auto"/>
                <w:sz w:val="18"/>
                <w:szCs w:val="18"/>
                <w:highlight w:val="none"/>
                <w:lang w:val="en-US" w:eastAsia="zh-CN"/>
              </w:rPr>
            </w:pPr>
            <w:r>
              <w:rPr>
                <w:rFonts w:hint="eastAsia" w:ascii="仿宋" w:hAnsi="仿宋" w:eastAsia="仿宋" w:cs="仿宋"/>
                <w:bCs/>
                <w:color w:val="auto"/>
                <w:sz w:val="18"/>
                <w:szCs w:val="18"/>
                <w:highlight w:val="none"/>
                <w:lang w:val="en-US" w:eastAsia="zh-CN"/>
              </w:rPr>
              <w:t>小写：</w:t>
            </w:r>
          </w:p>
          <w:p w14:paraId="57770A82">
            <w:pPr>
              <w:keepNext w:val="0"/>
              <w:keepLines w:val="0"/>
              <w:widowControl/>
              <w:suppressLineNumbers w:val="0"/>
              <w:jc w:val="both"/>
              <w:textAlignment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lang w:val="en-US" w:eastAsia="zh-CN"/>
              </w:rPr>
              <w:t>大写：</w:t>
            </w:r>
          </w:p>
        </w:tc>
        <w:tc>
          <w:tcPr>
            <w:tcW w:w="255" w:type="pct"/>
            <w:noWrap w:val="0"/>
            <w:vAlign w:val="center"/>
          </w:tcPr>
          <w:p w14:paraId="207D69DF">
            <w:pPr>
              <w:keepNext w:val="0"/>
              <w:keepLines w:val="0"/>
              <w:widowControl/>
              <w:suppressLineNumbers w:val="0"/>
              <w:jc w:val="center"/>
              <w:textAlignment w:val="center"/>
              <w:rPr>
                <w:rFonts w:hint="eastAsia" w:ascii="仿宋" w:hAnsi="仿宋" w:eastAsia="仿宋" w:cs="仿宋"/>
                <w:bCs/>
                <w:color w:val="auto"/>
                <w:sz w:val="18"/>
                <w:szCs w:val="18"/>
                <w:highlight w:val="none"/>
                <w:lang w:val="en-US" w:eastAsia="zh-CN"/>
              </w:rPr>
            </w:pPr>
            <w:r>
              <w:rPr>
                <w:rFonts w:hint="eastAsia" w:ascii="仿宋" w:hAnsi="仿宋" w:eastAsia="仿宋" w:cs="仿宋"/>
                <w:i w:val="0"/>
                <w:iCs w:val="0"/>
                <w:color w:val="auto"/>
                <w:kern w:val="0"/>
                <w:sz w:val="18"/>
                <w:szCs w:val="18"/>
                <w:highlight w:val="none"/>
                <w:u w:val="none"/>
                <w:lang w:val="en-US" w:eastAsia="zh-CN" w:bidi="ar"/>
              </w:rPr>
              <w:t>三门.温岭.天台</w:t>
            </w:r>
          </w:p>
        </w:tc>
        <w:tc>
          <w:tcPr>
            <w:tcW w:w="661" w:type="pct"/>
            <w:noWrap w:val="0"/>
            <w:vAlign w:val="center"/>
          </w:tcPr>
          <w:p w14:paraId="30B191CA">
            <w:pPr>
              <w:keepNext w:val="0"/>
              <w:keepLines w:val="0"/>
              <w:widowControl/>
              <w:suppressLineNumbers w:val="0"/>
              <w:jc w:val="center"/>
              <w:textAlignment w:val="center"/>
              <w:rPr>
                <w:rFonts w:hint="eastAsia" w:ascii="仿宋" w:hAnsi="仿宋" w:eastAsia="仿宋" w:cs="仿宋"/>
                <w:bCs/>
                <w:color w:val="auto"/>
                <w:kern w:val="2"/>
                <w:sz w:val="18"/>
                <w:szCs w:val="18"/>
                <w:highlight w:val="none"/>
                <w:lang w:val="en-US" w:eastAsia="zh-CN" w:bidi="ar-SA"/>
              </w:rPr>
            </w:pPr>
            <w:r>
              <w:rPr>
                <w:rFonts w:hint="eastAsia" w:ascii="仿宋" w:hAnsi="仿宋" w:eastAsia="仿宋" w:cs="仿宋"/>
                <w:i w:val="0"/>
                <w:iCs w:val="0"/>
                <w:color w:val="auto"/>
                <w:kern w:val="0"/>
                <w:sz w:val="18"/>
                <w:szCs w:val="18"/>
                <w:highlight w:val="none"/>
                <w:u w:val="none"/>
                <w:lang w:val="en-US" w:eastAsia="zh-CN" w:bidi="ar"/>
              </w:rPr>
              <w:t>蛇蟠岛-野人洞、山门出海捕鱼活动、七彩小箬村，金沙滩、滨海绿道、国清寺</w:t>
            </w:r>
          </w:p>
        </w:tc>
        <w:tc>
          <w:tcPr>
            <w:tcW w:w="305" w:type="pct"/>
            <w:noWrap w:val="0"/>
            <w:vAlign w:val="center"/>
          </w:tcPr>
          <w:p w14:paraId="11D35C72">
            <w:pPr>
              <w:keepNext w:val="0"/>
              <w:keepLines w:val="0"/>
              <w:widowControl/>
              <w:suppressLineNumbers w:val="0"/>
              <w:jc w:val="center"/>
              <w:textAlignment w:val="center"/>
              <w:rPr>
                <w:rFonts w:hint="eastAsia" w:ascii="仿宋" w:hAnsi="仿宋" w:eastAsia="仿宋" w:cs="仿宋"/>
                <w:bCs/>
                <w:color w:val="auto"/>
                <w:kern w:val="2"/>
                <w:sz w:val="18"/>
                <w:szCs w:val="18"/>
                <w:highlight w:val="none"/>
                <w:lang w:val="en-US" w:eastAsia="zh-CN" w:bidi="ar-SA"/>
              </w:rPr>
            </w:pPr>
            <w:r>
              <w:rPr>
                <w:rFonts w:hint="eastAsia" w:ascii="仿宋" w:hAnsi="仿宋" w:eastAsia="仿宋" w:cs="仿宋"/>
                <w:i w:val="0"/>
                <w:iCs w:val="0"/>
                <w:color w:val="auto"/>
                <w:kern w:val="0"/>
                <w:sz w:val="18"/>
                <w:szCs w:val="18"/>
                <w:highlight w:val="none"/>
                <w:u w:val="none"/>
                <w:lang w:val="en-US" w:eastAsia="zh-CN" w:bidi="ar"/>
              </w:rPr>
              <w:t>2000</w:t>
            </w:r>
          </w:p>
        </w:tc>
        <w:tc>
          <w:tcPr>
            <w:tcW w:w="350" w:type="pct"/>
            <w:noWrap w:val="0"/>
            <w:vAlign w:val="center"/>
          </w:tcPr>
          <w:p w14:paraId="463889F1">
            <w:pPr>
              <w:keepNext w:val="0"/>
              <w:keepLines w:val="0"/>
              <w:widowControl/>
              <w:suppressLineNumbers w:val="0"/>
              <w:jc w:val="both"/>
              <w:textAlignment w:val="center"/>
              <w:rPr>
                <w:rFonts w:hint="eastAsia" w:ascii="仿宋" w:hAnsi="仿宋" w:eastAsia="仿宋" w:cs="仿宋"/>
                <w:bCs/>
                <w:color w:val="auto"/>
                <w:sz w:val="18"/>
                <w:szCs w:val="18"/>
                <w:highlight w:val="none"/>
                <w:lang w:val="en-US" w:eastAsia="zh-CN"/>
              </w:rPr>
            </w:pPr>
            <w:r>
              <w:rPr>
                <w:rFonts w:hint="eastAsia" w:ascii="仿宋" w:hAnsi="仿宋" w:eastAsia="仿宋" w:cs="仿宋"/>
                <w:bCs/>
                <w:color w:val="auto"/>
                <w:sz w:val="18"/>
                <w:szCs w:val="18"/>
                <w:highlight w:val="none"/>
                <w:lang w:val="en-US" w:eastAsia="zh-CN"/>
              </w:rPr>
              <w:t>小写：</w:t>
            </w:r>
          </w:p>
          <w:p w14:paraId="5D582034">
            <w:pPr>
              <w:pStyle w:val="2"/>
              <w:ind w:firstLine="0" w:firstLineChars="0"/>
              <w:jc w:val="both"/>
              <w:rPr>
                <w:rFonts w:hint="eastAsia" w:ascii="仿宋" w:hAnsi="仿宋" w:eastAsia="仿宋" w:cs="仿宋"/>
                <w:bCs/>
                <w:color w:val="auto"/>
                <w:kern w:val="2"/>
                <w:sz w:val="18"/>
                <w:szCs w:val="18"/>
                <w:highlight w:val="none"/>
                <w:lang w:val="en-US" w:eastAsia="zh-CN" w:bidi="ar-SA"/>
              </w:rPr>
            </w:pPr>
            <w:r>
              <w:rPr>
                <w:rFonts w:hint="eastAsia" w:ascii="仿宋" w:hAnsi="仿宋" w:eastAsia="仿宋" w:cs="仿宋"/>
                <w:bCs/>
                <w:color w:val="auto"/>
                <w:sz w:val="18"/>
                <w:szCs w:val="18"/>
                <w:highlight w:val="none"/>
                <w:lang w:val="en-US" w:eastAsia="zh-CN"/>
              </w:rPr>
              <w:t>大写：</w:t>
            </w:r>
          </w:p>
        </w:tc>
        <w:tc>
          <w:tcPr>
            <w:tcW w:w="305" w:type="pct"/>
            <w:noWrap w:val="0"/>
            <w:vAlign w:val="center"/>
          </w:tcPr>
          <w:p w14:paraId="46D89120">
            <w:pPr>
              <w:pStyle w:val="2"/>
              <w:ind w:firstLine="0" w:firstLineChars="0"/>
              <w:jc w:val="center"/>
              <w:rPr>
                <w:rFonts w:hint="eastAsia" w:ascii="仿宋" w:hAnsi="仿宋" w:eastAsia="仿宋" w:cs="仿宋"/>
                <w:bCs/>
                <w:color w:val="auto"/>
                <w:kern w:val="2"/>
                <w:sz w:val="18"/>
                <w:szCs w:val="18"/>
                <w:highlight w:val="none"/>
                <w:lang w:val="en-US" w:eastAsia="zh-CN" w:bidi="ar-SA"/>
              </w:rPr>
            </w:pPr>
            <w:r>
              <w:rPr>
                <w:rFonts w:hint="eastAsia" w:ascii="仿宋" w:hAnsi="仿宋" w:eastAsia="仿宋" w:cs="仿宋"/>
                <w:bCs/>
                <w:color w:val="auto"/>
                <w:kern w:val="2"/>
                <w:sz w:val="18"/>
                <w:szCs w:val="18"/>
                <w:highlight w:val="none"/>
                <w:lang w:val="en-US" w:eastAsia="zh-CN" w:bidi="ar-SA"/>
              </w:rPr>
              <w:t>/</w:t>
            </w:r>
          </w:p>
        </w:tc>
        <w:tc>
          <w:tcPr>
            <w:tcW w:w="580" w:type="pct"/>
            <w:noWrap w:val="0"/>
            <w:vAlign w:val="center"/>
          </w:tcPr>
          <w:p w14:paraId="477BB72B">
            <w:pPr>
              <w:pStyle w:val="2"/>
              <w:ind w:firstLine="0" w:firstLineChars="0"/>
              <w:jc w:val="center"/>
              <w:rPr>
                <w:rFonts w:hint="eastAsia" w:ascii="仿宋" w:hAnsi="仿宋" w:eastAsia="仿宋" w:cs="仿宋"/>
                <w:bCs/>
                <w:color w:val="auto"/>
                <w:kern w:val="2"/>
                <w:sz w:val="18"/>
                <w:szCs w:val="18"/>
                <w:highlight w:val="none"/>
                <w:lang w:val="en-US" w:eastAsia="zh-CN" w:bidi="ar-SA"/>
              </w:rPr>
            </w:pPr>
            <w:r>
              <w:rPr>
                <w:rFonts w:hint="eastAsia" w:ascii="仿宋" w:hAnsi="仿宋" w:eastAsia="仿宋" w:cs="仿宋"/>
                <w:bCs/>
                <w:color w:val="auto"/>
                <w:kern w:val="2"/>
                <w:sz w:val="18"/>
                <w:szCs w:val="18"/>
                <w:highlight w:val="none"/>
                <w:lang w:val="en-US" w:eastAsia="zh-CN" w:bidi="ar-SA"/>
              </w:rPr>
              <w:t>/</w:t>
            </w:r>
          </w:p>
        </w:tc>
        <w:tc>
          <w:tcPr>
            <w:tcW w:w="355" w:type="pct"/>
            <w:noWrap w:val="0"/>
            <w:vAlign w:val="center"/>
          </w:tcPr>
          <w:p w14:paraId="1D62BEAF">
            <w:pPr>
              <w:pStyle w:val="2"/>
              <w:ind w:firstLine="0" w:firstLineChars="0"/>
              <w:jc w:val="center"/>
              <w:rPr>
                <w:rFonts w:hint="eastAsia" w:ascii="仿宋" w:hAnsi="仿宋" w:eastAsia="仿宋" w:cs="仿宋"/>
                <w:bCs/>
                <w:color w:val="auto"/>
                <w:kern w:val="2"/>
                <w:sz w:val="18"/>
                <w:szCs w:val="18"/>
                <w:highlight w:val="none"/>
                <w:lang w:val="en-US" w:eastAsia="zh-CN" w:bidi="ar-SA"/>
              </w:rPr>
            </w:pPr>
            <w:r>
              <w:rPr>
                <w:rFonts w:hint="eastAsia" w:ascii="仿宋" w:hAnsi="仿宋" w:eastAsia="仿宋" w:cs="仿宋"/>
                <w:bCs/>
                <w:color w:val="auto"/>
                <w:kern w:val="2"/>
                <w:sz w:val="18"/>
                <w:szCs w:val="18"/>
                <w:highlight w:val="none"/>
                <w:lang w:val="en-US" w:eastAsia="zh-CN" w:bidi="ar-SA"/>
              </w:rPr>
              <w:t>/</w:t>
            </w:r>
          </w:p>
        </w:tc>
        <w:tc>
          <w:tcPr>
            <w:tcW w:w="345" w:type="pct"/>
            <w:noWrap w:val="0"/>
            <w:vAlign w:val="center"/>
          </w:tcPr>
          <w:p w14:paraId="5AC5C0D9">
            <w:pPr>
              <w:ind w:firstLine="0" w:firstLineChars="0"/>
              <w:jc w:val="center"/>
              <w:rPr>
                <w:rFonts w:hint="eastAsia" w:ascii="仿宋" w:hAnsi="仿宋" w:eastAsia="仿宋" w:cs="仿宋"/>
                <w:bCs/>
                <w:color w:val="auto"/>
                <w:kern w:val="2"/>
                <w:sz w:val="18"/>
                <w:szCs w:val="18"/>
                <w:highlight w:val="none"/>
                <w:lang w:val="en-US" w:eastAsia="zh-CN" w:bidi="ar-SA"/>
              </w:rPr>
            </w:pPr>
            <w:r>
              <w:rPr>
                <w:rFonts w:hint="eastAsia" w:ascii="仿宋" w:hAnsi="仿宋" w:eastAsia="仿宋" w:cs="仿宋"/>
                <w:bCs/>
                <w:color w:val="auto"/>
                <w:kern w:val="2"/>
                <w:sz w:val="18"/>
                <w:szCs w:val="18"/>
                <w:highlight w:val="none"/>
                <w:lang w:val="en-US" w:eastAsia="zh-CN" w:bidi="ar-SA"/>
              </w:rPr>
              <w:t>/</w:t>
            </w:r>
          </w:p>
        </w:tc>
      </w:tr>
      <w:tr w14:paraId="731A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5" w:type="pct"/>
            <w:noWrap w:val="0"/>
            <w:vAlign w:val="center"/>
          </w:tcPr>
          <w:p w14:paraId="694F5F7E">
            <w:pPr>
              <w:widowControl/>
              <w:jc w:val="center"/>
              <w:textAlignment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03标</w:t>
            </w:r>
          </w:p>
        </w:tc>
        <w:tc>
          <w:tcPr>
            <w:tcW w:w="365" w:type="pct"/>
            <w:noWrap w:val="0"/>
            <w:vAlign w:val="center"/>
          </w:tcPr>
          <w:p w14:paraId="653B78C5">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江西望仙谷三清山景德镇</w:t>
            </w:r>
          </w:p>
        </w:tc>
        <w:tc>
          <w:tcPr>
            <w:tcW w:w="580" w:type="pct"/>
            <w:noWrap w:val="0"/>
            <w:vAlign w:val="center"/>
          </w:tcPr>
          <w:p w14:paraId="3B321BFB">
            <w:pPr>
              <w:keepNext w:val="0"/>
              <w:keepLines w:val="0"/>
              <w:widowControl/>
              <w:suppressLineNumbers w:val="0"/>
              <w:jc w:val="center"/>
              <w:textAlignment w:val="center"/>
              <w:rPr>
                <w:rFonts w:hint="eastAsia" w:ascii="仿宋" w:hAnsi="仿宋" w:eastAsia="仿宋" w:cs="仿宋"/>
                <w:bCs/>
                <w:color w:val="auto"/>
                <w:sz w:val="18"/>
                <w:szCs w:val="18"/>
                <w:highlight w:val="none"/>
              </w:rPr>
            </w:pPr>
            <w:r>
              <w:rPr>
                <w:rFonts w:hint="eastAsia" w:ascii="仿宋" w:hAnsi="仿宋" w:eastAsia="仿宋" w:cs="仿宋"/>
                <w:i w:val="0"/>
                <w:iCs w:val="0"/>
                <w:color w:val="auto"/>
                <w:kern w:val="0"/>
                <w:sz w:val="18"/>
                <w:szCs w:val="18"/>
                <w:highlight w:val="none"/>
                <w:u w:val="none"/>
                <w:lang w:val="en-US" w:eastAsia="zh-CN" w:bidi="ar"/>
              </w:rPr>
              <w:t>望仙谷景区日景+夜景、三清山、中国陶瓷博物馆、景德镇古窑民俗博览区</w:t>
            </w:r>
          </w:p>
        </w:tc>
        <w:tc>
          <w:tcPr>
            <w:tcW w:w="355" w:type="pct"/>
            <w:noWrap w:val="0"/>
            <w:vAlign w:val="center"/>
          </w:tcPr>
          <w:p w14:paraId="19321834">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3000</w:t>
            </w:r>
          </w:p>
        </w:tc>
        <w:tc>
          <w:tcPr>
            <w:tcW w:w="320" w:type="pct"/>
            <w:noWrap w:val="0"/>
            <w:vAlign w:val="center"/>
          </w:tcPr>
          <w:p w14:paraId="13F5617F">
            <w:pPr>
              <w:keepNext w:val="0"/>
              <w:keepLines w:val="0"/>
              <w:widowControl/>
              <w:suppressLineNumbers w:val="0"/>
              <w:jc w:val="both"/>
              <w:textAlignment w:val="center"/>
              <w:rPr>
                <w:rFonts w:hint="eastAsia" w:ascii="仿宋" w:hAnsi="仿宋" w:eastAsia="仿宋" w:cs="仿宋"/>
                <w:bCs/>
                <w:color w:val="auto"/>
                <w:sz w:val="18"/>
                <w:szCs w:val="18"/>
                <w:highlight w:val="none"/>
                <w:lang w:val="en-US" w:eastAsia="zh-CN"/>
              </w:rPr>
            </w:pPr>
            <w:r>
              <w:rPr>
                <w:rFonts w:hint="eastAsia" w:ascii="仿宋" w:hAnsi="仿宋" w:eastAsia="仿宋" w:cs="仿宋"/>
                <w:bCs/>
                <w:color w:val="auto"/>
                <w:sz w:val="18"/>
                <w:szCs w:val="18"/>
                <w:highlight w:val="none"/>
                <w:lang w:val="en-US" w:eastAsia="zh-CN"/>
              </w:rPr>
              <w:t>小写：</w:t>
            </w:r>
          </w:p>
          <w:p w14:paraId="12B3EB2F">
            <w:pPr>
              <w:keepNext w:val="0"/>
              <w:keepLines w:val="0"/>
              <w:widowControl/>
              <w:suppressLineNumbers w:val="0"/>
              <w:jc w:val="both"/>
              <w:textAlignment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lang w:val="en-US" w:eastAsia="zh-CN"/>
              </w:rPr>
              <w:t>大写：</w:t>
            </w:r>
          </w:p>
        </w:tc>
        <w:tc>
          <w:tcPr>
            <w:tcW w:w="255" w:type="pct"/>
            <w:noWrap w:val="0"/>
            <w:vAlign w:val="center"/>
          </w:tcPr>
          <w:p w14:paraId="109B80F4">
            <w:pPr>
              <w:keepNext w:val="0"/>
              <w:keepLines w:val="0"/>
              <w:widowControl/>
              <w:suppressLineNumbers w:val="0"/>
              <w:jc w:val="center"/>
              <w:textAlignment w:val="center"/>
              <w:rPr>
                <w:rFonts w:hint="eastAsia" w:ascii="仿宋" w:hAnsi="仿宋" w:eastAsia="仿宋" w:cs="仿宋"/>
                <w:bCs/>
                <w:color w:val="auto"/>
                <w:sz w:val="18"/>
                <w:szCs w:val="18"/>
                <w:highlight w:val="none"/>
                <w:lang w:val="en-US" w:eastAsia="zh-CN"/>
              </w:rPr>
            </w:pPr>
            <w:r>
              <w:rPr>
                <w:rFonts w:hint="eastAsia" w:ascii="仿宋" w:hAnsi="仿宋" w:eastAsia="仿宋" w:cs="仿宋"/>
                <w:i w:val="0"/>
                <w:iCs w:val="0"/>
                <w:color w:val="auto"/>
                <w:kern w:val="0"/>
                <w:sz w:val="18"/>
                <w:szCs w:val="18"/>
                <w:highlight w:val="none"/>
                <w:u w:val="none"/>
                <w:lang w:val="en-US" w:eastAsia="zh-CN" w:bidi="ar"/>
              </w:rPr>
              <w:t>景宁丽水</w:t>
            </w:r>
          </w:p>
        </w:tc>
        <w:tc>
          <w:tcPr>
            <w:tcW w:w="661" w:type="pct"/>
            <w:noWrap w:val="0"/>
            <w:vAlign w:val="center"/>
          </w:tcPr>
          <w:p w14:paraId="6344B72C">
            <w:pPr>
              <w:keepNext w:val="0"/>
              <w:keepLines w:val="0"/>
              <w:widowControl/>
              <w:suppressLineNumbers w:val="0"/>
              <w:jc w:val="left"/>
              <w:textAlignment w:val="center"/>
              <w:rPr>
                <w:rFonts w:hint="eastAsia" w:ascii="仿宋" w:hAnsi="仿宋" w:eastAsia="仿宋" w:cs="仿宋"/>
                <w:bCs/>
                <w:color w:val="auto"/>
                <w:kern w:val="2"/>
                <w:sz w:val="18"/>
                <w:szCs w:val="18"/>
                <w:highlight w:val="none"/>
                <w:lang w:val="en-US" w:eastAsia="zh-CN" w:bidi="ar-SA"/>
              </w:rPr>
            </w:pPr>
            <w:r>
              <w:rPr>
                <w:rFonts w:hint="eastAsia" w:ascii="仿宋" w:hAnsi="仿宋" w:eastAsia="仿宋" w:cs="仿宋"/>
                <w:i w:val="0"/>
                <w:iCs w:val="0"/>
                <w:color w:val="auto"/>
                <w:kern w:val="0"/>
                <w:sz w:val="18"/>
                <w:szCs w:val="18"/>
                <w:highlight w:val="none"/>
                <w:u w:val="none"/>
                <w:lang w:val="en-US" w:eastAsia="zh-CN" w:bidi="ar"/>
              </w:rPr>
              <w:t>畲乡之窗、大均婚假、那云天空之城、古堰画乡、云和梯田、顶峰湖</w:t>
            </w:r>
          </w:p>
        </w:tc>
        <w:tc>
          <w:tcPr>
            <w:tcW w:w="305" w:type="pct"/>
            <w:noWrap w:val="0"/>
            <w:vAlign w:val="center"/>
          </w:tcPr>
          <w:p w14:paraId="52207F1B">
            <w:pPr>
              <w:keepNext w:val="0"/>
              <w:keepLines w:val="0"/>
              <w:widowControl/>
              <w:suppressLineNumbers w:val="0"/>
              <w:jc w:val="center"/>
              <w:textAlignment w:val="center"/>
              <w:rPr>
                <w:rFonts w:hint="eastAsia" w:ascii="仿宋" w:hAnsi="仿宋" w:eastAsia="仿宋" w:cs="仿宋"/>
                <w:bCs/>
                <w:color w:val="auto"/>
                <w:kern w:val="2"/>
                <w:sz w:val="18"/>
                <w:szCs w:val="18"/>
                <w:highlight w:val="none"/>
                <w:lang w:val="en-US" w:eastAsia="zh-CN" w:bidi="ar-SA"/>
              </w:rPr>
            </w:pPr>
            <w:r>
              <w:rPr>
                <w:rFonts w:hint="eastAsia" w:ascii="仿宋" w:hAnsi="仿宋" w:eastAsia="仿宋" w:cs="仿宋"/>
                <w:i w:val="0"/>
                <w:iCs w:val="0"/>
                <w:color w:val="auto"/>
                <w:kern w:val="0"/>
                <w:sz w:val="18"/>
                <w:szCs w:val="18"/>
                <w:highlight w:val="none"/>
                <w:u w:val="none"/>
                <w:lang w:val="en-US" w:eastAsia="zh-CN" w:bidi="ar"/>
              </w:rPr>
              <w:t>2000</w:t>
            </w:r>
          </w:p>
        </w:tc>
        <w:tc>
          <w:tcPr>
            <w:tcW w:w="350" w:type="pct"/>
            <w:noWrap w:val="0"/>
            <w:vAlign w:val="center"/>
          </w:tcPr>
          <w:p w14:paraId="773B9E7B">
            <w:pPr>
              <w:keepNext w:val="0"/>
              <w:keepLines w:val="0"/>
              <w:widowControl/>
              <w:suppressLineNumbers w:val="0"/>
              <w:jc w:val="both"/>
              <w:textAlignment w:val="center"/>
              <w:rPr>
                <w:rFonts w:hint="eastAsia" w:ascii="仿宋" w:hAnsi="仿宋" w:eastAsia="仿宋" w:cs="仿宋"/>
                <w:bCs/>
                <w:color w:val="auto"/>
                <w:sz w:val="18"/>
                <w:szCs w:val="18"/>
                <w:highlight w:val="none"/>
                <w:lang w:val="en-US" w:eastAsia="zh-CN"/>
              </w:rPr>
            </w:pPr>
            <w:r>
              <w:rPr>
                <w:rFonts w:hint="eastAsia" w:ascii="仿宋" w:hAnsi="仿宋" w:eastAsia="仿宋" w:cs="仿宋"/>
                <w:bCs/>
                <w:color w:val="auto"/>
                <w:sz w:val="18"/>
                <w:szCs w:val="18"/>
                <w:highlight w:val="none"/>
                <w:lang w:val="en-US" w:eastAsia="zh-CN"/>
              </w:rPr>
              <w:t>小写：</w:t>
            </w:r>
          </w:p>
          <w:p w14:paraId="221567D1">
            <w:pPr>
              <w:pStyle w:val="2"/>
              <w:ind w:firstLine="0" w:firstLineChars="0"/>
              <w:jc w:val="both"/>
              <w:rPr>
                <w:rFonts w:hint="eastAsia" w:ascii="仿宋" w:hAnsi="仿宋" w:eastAsia="仿宋" w:cs="仿宋"/>
                <w:bCs/>
                <w:color w:val="auto"/>
                <w:kern w:val="2"/>
                <w:sz w:val="18"/>
                <w:szCs w:val="18"/>
                <w:highlight w:val="none"/>
                <w:lang w:val="en-US" w:eastAsia="zh-CN" w:bidi="ar-SA"/>
              </w:rPr>
            </w:pPr>
            <w:r>
              <w:rPr>
                <w:rFonts w:hint="eastAsia" w:ascii="仿宋" w:hAnsi="仿宋" w:eastAsia="仿宋" w:cs="仿宋"/>
                <w:bCs/>
                <w:color w:val="auto"/>
                <w:sz w:val="18"/>
                <w:szCs w:val="18"/>
                <w:highlight w:val="none"/>
                <w:lang w:val="en-US" w:eastAsia="zh-CN"/>
              </w:rPr>
              <w:t>大写：</w:t>
            </w:r>
          </w:p>
        </w:tc>
        <w:tc>
          <w:tcPr>
            <w:tcW w:w="305" w:type="pct"/>
            <w:noWrap w:val="0"/>
            <w:vAlign w:val="center"/>
          </w:tcPr>
          <w:p w14:paraId="4A25152C">
            <w:pPr>
              <w:pStyle w:val="2"/>
              <w:ind w:firstLine="0" w:firstLineChars="0"/>
              <w:jc w:val="center"/>
              <w:rPr>
                <w:rFonts w:hint="eastAsia" w:ascii="仿宋" w:hAnsi="仿宋" w:eastAsia="仿宋" w:cs="仿宋"/>
                <w:bCs/>
                <w:color w:val="auto"/>
                <w:kern w:val="2"/>
                <w:sz w:val="18"/>
                <w:szCs w:val="18"/>
                <w:highlight w:val="none"/>
                <w:lang w:val="en-US" w:eastAsia="zh-CN" w:bidi="ar-SA"/>
              </w:rPr>
            </w:pPr>
            <w:r>
              <w:rPr>
                <w:rFonts w:hint="eastAsia" w:ascii="仿宋" w:hAnsi="仿宋" w:eastAsia="仿宋" w:cs="仿宋"/>
                <w:bCs/>
                <w:color w:val="auto"/>
                <w:kern w:val="2"/>
                <w:sz w:val="18"/>
                <w:szCs w:val="18"/>
                <w:highlight w:val="none"/>
                <w:lang w:val="en-US" w:eastAsia="zh-CN" w:bidi="ar-SA"/>
              </w:rPr>
              <w:t>/</w:t>
            </w:r>
          </w:p>
        </w:tc>
        <w:tc>
          <w:tcPr>
            <w:tcW w:w="580" w:type="pct"/>
            <w:noWrap w:val="0"/>
            <w:vAlign w:val="center"/>
          </w:tcPr>
          <w:p w14:paraId="31A0B123">
            <w:pPr>
              <w:pStyle w:val="2"/>
              <w:ind w:firstLine="0" w:firstLineChars="0"/>
              <w:jc w:val="center"/>
              <w:rPr>
                <w:rFonts w:hint="eastAsia" w:ascii="仿宋" w:hAnsi="仿宋" w:eastAsia="仿宋" w:cs="仿宋"/>
                <w:bCs/>
                <w:color w:val="auto"/>
                <w:kern w:val="2"/>
                <w:sz w:val="18"/>
                <w:szCs w:val="18"/>
                <w:highlight w:val="none"/>
                <w:lang w:val="en-US" w:eastAsia="zh-CN" w:bidi="ar-SA"/>
              </w:rPr>
            </w:pPr>
            <w:r>
              <w:rPr>
                <w:rFonts w:hint="eastAsia" w:ascii="仿宋" w:hAnsi="仿宋" w:eastAsia="仿宋" w:cs="仿宋"/>
                <w:bCs/>
                <w:color w:val="auto"/>
                <w:kern w:val="2"/>
                <w:sz w:val="18"/>
                <w:szCs w:val="18"/>
                <w:highlight w:val="none"/>
                <w:lang w:val="en-US" w:eastAsia="zh-CN" w:bidi="ar-SA"/>
              </w:rPr>
              <w:t>/</w:t>
            </w:r>
          </w:p>
        </w:tc>
        <w:tc>
          <w:tcPr>
            <w:tcW w:w="355" w:type="pct"/>
            <w:noWrap w:val="0"/>
            <w:vAlign w:val="center"/>
          </w:tcPr>
          <w:p w14:paraId="0801E521">
            <w:pPr>
              <w:pStyle w:val="2"/>
              <w:ind w:firstLine="0" w:firstLineChars="0"/>
              <w:jc w:val="center"/>
              <w:rPr>
                <w:rFonts w:hint="eastAsia" w:ascii="仿宋" w:hAnsi="仿宋" w:eastAsia="仿宋" w:cs="仿宋"/>
                <w:bCs/>
                <w:color w:val="auto"/>
                <w:kern w:val="2"/>
                <w:sz w:val="18"/>
                <w:szCs w:val="18"/>
                <w:highlight w:val="none"/>
                <w:lang w:val="en-US" w:eastAsia="zh-CN" w:bidi="ar-SA"/>
              </w:rPr>
            </w:pPr>
            <w:r>
              <w:rPr>
                <w:rFonts w:hint="eastAsia" w:ascii="仿宋" w:hAnsi="仿宋" w:eastAsia="仿宋" w:cs="仿宋"/>
                <w:bCs/>
                <w:color w:val="auto"/>
                <w:kern w:val="2"/>
                <w:sz w:val="18"/>
                <w:szCs w:val="18"/>
                <w:highlight w:val="none"/>
                <w:lang w:val="en-US" w:eastAsia="zh-CN" w:bidi="ar-SA"/>
              </w:rPr>
              <w:t>/</w:t>
            </w:r>
          </w:p>
        </w:tc>
        <w:tc>
          <w:tcPr>
            <w:tcW w:w="345" w:type="pct"/>
            <w:noWrap w:val="0"/>
            <w:vAlign w:val="center"/>
          </w:tcPr>
          <w:p w14:paraId="3E5D1EEB">
            <w:pPr>
              <w:ind w:firstLine="0" w:firstLineChars="0"/>
              <w:jc w:val="center"/>
              <w:rPr>
                <w:rFonts w:hint="eastAsia" w:ascii="仿宋" w:hAnsi="仿宋" w:eastAsia="仿宋" w:cs="仿宋"/>
                <w:bCs/>
                <w:color w:val="auto"/>
                <w:kern w:val="2"/>
                <w:sz w:val="18"/>
                <w:szCs w:val="18"/>
                <w:highlight w:val="none"/>
                <w:lang w:val="en-US" w:eastAsia="zh-CN" w:bidi="ar-SA"/>
              </w:rPr>
            </w:pPr>
            <w:r>
              <w:rPr>
                <w:rFonts w:hint="eastAsia" w:ascii="仿宋" w:hAnsi="仿宋" w:eastAsia="仿宋" w:cs="仿宋"/>
                <w:bCs/>
                <w:color w:val="auto"/>
                <w:kern w:val="2"/>
                <w:sz w:val="18"/>
                <w:szCs w:val="18"/>
                <w:highlight w:val="none"/>
                <w:lang w:val="en-US" w:eastAsia="zh-CN" w:bidi="ar-SA"/>
              </w:rPr>
              <w:t>/</w:t>
            </w:r>
          </w:p>
        </w:tc>
      </w:tr>
      <w:tr w14:paraId="62A3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5" w:type="pct"/>
            <w:noWrap w:val="0"/>
            <w:vAlign w:val="center"/>
          </w:tcPr>
          <w:p w14:paraId="74AB7E33">
            <w:pPr>
              <w:widowControl/>
              <w:jc w:val="center"/>
              <w:textAlignment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04标</w:t>
            </w:r>
          </w:p>
        </w:tc>
        <w:tc>
          <w:tcPr>
            <w:tcW w:w="365" w:type="pct"/>
            <w:noWrap w:val="0"/>
            <w:vAlign w:val="center"/>
          </w:tcPr>
          <w:p w14:paraId="6CB1A867">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武夷山</w:t>
            </w:r>
          </w:p>
        </w:tc>
        <w:tc>
          <w:tcPr>
            <w:tcW w:w="580" w:type="pct"/>
            <w:noWrap w:val="0"/>
            <w:vAlign w:val="center"/>
          </w:tcPr>
          <w:p w14:paraId="0039CA74">
            <w:pPr>
              <w:keepNext w:val="0"/>
              <w:keepLines w:val="0"/>
              <w:widowControl/>
              <w:suppressLineNumbers w:val="0"/>
              <w:jc w:val="center"/>
              <w:textAlignment w:val="center"/>
              <w:rPr>
                <w:rFonts w:hint="eastAsia" w:ascii="仿宋" w:hAnsi="仿宋" w:eastAsia="仿宋" w:cs="仿宋"/>
                <w:bCs/>
                <w:color w:val="auto"/>
                <w:sz w:val="18"/>
                <w:szCs w:val="18"/>
                <w:highlight w:val="none"/>
              </w:rPr>
            </w:pPr>
            <w:r>
              <w:rPr>
                <w:rFonts w:hint="eastAsia" w:ascii="仿宋" w:hAnsi="仿宋" w:eastAsia="仿宋" w:cs="仿宋"/>
                <w:i w:val="0"/>
                <w:iCs w:val="0"/>
                <w:color w:val="auto"/>
                <w:kern w:val="0"/>
                <w:sz w:val="18"/>
                <w:szCs w:val="18"/>
                <w:highlight w:val="none"/>
                <w:u w:val="none"/>
                <w:lang w:val="en-US" w:eastAsia="zh-CN" w:bidi="ar"/>
              </w:rPr>
              <w:t>天游峰、九曲溪漂流、虎啸岩、大红袍、上饶集中营</w:t>
            </w:r>
          </w:p>
        </w:tc>
        <w:tc>
          <w:tcPr>
            <w:tcW w:w="355" w:type="pct"/>
            <w:noWrap w:val="0"/>
            <w:vAlign w:val="center"/>
          </w:tcPr>
          <w:p w14:paraId="5FBF1838">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2500</w:t>
            </w:r>
          </w:p>
        </w:tc>
        <w:tc>
          <w:tcPr>
            <w:tcW w:w="320" w:type="pct"/>
            <w:noWrap w:val="0"/>
            <w:vAlign w:val="center"/>
          </w:tcPr>
          <w:p w14:paraId="0F36BCA3">
            <w:pPr>
              <w:keepNext w:val="0"/>
              <w:keepLines w:val="0"/>
              <w:widowControl/>
              <w:suppressLineNumbers w:val="0"/>
              <w:jc w:val="both"/>
              <w:textAlignment w:val="center"/>
              <w:rPr>
                <w:rFonts w:hint="eastAsia" w:ascii="仿宋" w:hAnsi="仿宋" w:eastAsia="仿宋" w:cs="仿宋"/>
                <w:bCs/>
                <w:color w:val="auto"/>
                <w:sz w:val="18"/>
                <w:szCs w:val="18"/>
                <w:highlight w:val="none"/>
                <w:lang w:val="en-US" w:eastAsia="zh-CN"/>
              </w:rPr>
            </w:pPr>
            <w:r>
              <w:rPr>
                <w:rFonts w:hint="eastAsia" w:ascii="仿宋" w:hAnsi="仿宋" w:eastAsia="仿宋" w:cs="仿宋"/>
                <w:bCs/>
                <w:color w:val="auto"/>
                <w:sz w:val="18"/>
                <w:szCs w:val="18"/>
                <w:highlight w:val="none"/>
                <w:lang w:val="en-US" w:eastAsia="zh-CN"/>
              </w:rPr>
              <w:t>小写：</w:t>
            </w:r>
          </w:p>
          <w:p w14:paraId="56C784BB">
            <w:pPr>
              <w:keepNext w:val="0"/>
              <w:keepLines w:val="0"/>
              <w:widowControl/>
              <w:suppressLineNumbers w:val="0"/>
              <w:jc w:val="both"/>
              <w:textAlignment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lang w:val="en-US" w:eastAsia="zh-CN"/>
              </w:rPr>
              <w:t>大写：</w:t>
            </w:r>
          </w:p>
        </w:tc>
        <w:tc>
          <w:tcPr>
            <w:tcW w:w="255" w:type="pct"/>
            <w:noWrap w:val="0"/>
            <w:vAlign w:val="center"/>
          </w:tcPr>
          <w:p w14:paraId="30DD22C8">
            <w:pPr>
              <w:keepNext w:val="0"/>
              <w:keepLines w:val="0"/>
              <w:widowControl/>
              <w:suppressLineNumbers w:val="0"/>
              <w:jc w:val="center"/>
              <w:textAlignment w:val="center"/>
              <w:rPr>
                <w:rFonts w:hint="eastAsia" w:ascii="仿宋" w:hAnsi="仿宋" w:eastAsia="仿宋" w:cs="仿宋"/>
                <w:bCs/>
                <w:color w:val="auto"/>
                <w:sz w:val="18"/>
                <w:szCs w:val="18"/>
                <w:highlight w:val="none"/>
                <w:lang w:val="en-US" w:eastAsia="zh-CN"/>
              </w:rPr>
            </w:pPr>
            <w:r>
              <w:rPr>
                <w:rFonts w:hint="eastAsia" w:ascii="仿宋" w:hAnsi="仿宋" w:eastAsia="仿宋" w:cs="仿宋"/>
                <w:i w:val="0"/>
                <w:iCs w:val="0"/>
                <w:color w:val="auto"/>
                <w:kern w:val="0"/>
                <w:sz w:val="18"/>
                <w:szCs w:val="18"/>
                <w:highlight w:val="none"/>
                <w:u w:val="none"/>
                <w:lang w:val="en-US" w:eastAsia="zh-CN" w:bidi="ar"/>
              </w:rPr>
              <w:t>朱家尖海滨</w:t>
            </w:r>
          </w:p>
        </w:tc>
        <w:tc>
          <w:tcPr>
            <w:tcW w:w="661" w:type="pct"/>
            <w:noWrap w:val="0"/>
            <w:vAlign w:val="center"/>
          </w:tcPr>
          <w:p w14:paraId="3BE9A31F">
            <w:pPr>
              <w:keepNext w:val="0"/>
              <w:keepLines w:val="0"/>
              <w:widowControl/>
              <w:suppressLineNumbers w:val="0"/>
              <w:jc w:val="center"/>
              <w:textAlignment w:val="center"/>
              <w:rPr>
                <w:rFonts w:hint="eastAsia" w:ascii="仿宋" w:hAnsi="仿宋" w:eastAsia="仿宋" w:cs="仿宋"/>
                <w:bCs/>
                <w:color w:val="auto"/>
                <w:kern w:val="2"/>
                <w:sz w:val="18"/>
                <w:szCs w:val="18"/>
                <w:highlight w:val="none"/>
                <w:lang w:val="en-US" w:eastAsia="zh-CN" w:bidi="ar-SA"/>
              </w:rPr>
            </w:pPr>
            <w:r>
              <w:rPr>
                <w:rFonts w:hint="eastAsia" w:ascii="仿宋" w:hAnsi="仿宋" w:eastAsia="仿宋" w:cs="仿宋"/>
                <w:i w:val="0"/>
                <w:iCs w:val="0"/>
                <w:color w:val="auto"/>
                <w:kern w:val="0"/>
                <w:sz w:val="18"/>
                <w:szCs w:val="18"/>
                <w:highlight w:val="none"/>
                <w:u w:val="none"/>
                <w:lang w:val="en-US" w:eastAsia="zh-CN" w:bidi="ar"/>
              </w:rPr>
              <w:t>南沙景区 乌石塘 大青山 沈院</w:t>
            </w:r>
          </w:p>
        </w:tc>
        <w:tc>
          <w:tcPr>
            <w:tcW w:w="305" w:type="pct"/>
            <w:noWrap w:val="0"/>
            <w:vAlign w:val="center"/>
          </w:tcPr>
          <w:p w14:paraId="11FECBDB">
            <w:pPr>
              <w:keepNext w:val="0"/>
              <w:keepLines w:val="0"/>
              <w:widowControl/>
              <w:suppressLineNumbers w:val="0"/>
              <w:jc w:val="center"/>
              <w:textAlignment w:val="center"/>
              <w:rPr>
                <w:rFonts w:hint="eastAsia" w:ascii="仿宋" w:hAnsi="仿宋" w:eastAsia="仿宋" w:cs="仿宋"/>
                <w:bCs/>
                <w:color w:val="auto"/>
                <w:kern w:val="2"/>
                <w:sz w:val="18"/>
                <w:szCs w:val="18"/>
                <w:highlight w:val="none"/>
                <w:lang w:val="en-US" w:eastAsia="zh-CN" w:bidi="ar-SA"/>
              </w:rPr>
            </w:pPr>
            <w:r>
              <w:rPr>
                <w:rFonts w:hint="eastAsia" w:ascii="仿宋" w:hAnsi="仿宋" w:eastAsia="仿宋" w:cs="仿宋"/>
                <w:i w:val="0"/>
                <w:iCs w:val="0"/>
                <w:color w:val="auto"/>
                <w:kern w:val="0"/>
                <w:sz w:val="18"/>
                <w:szCs w:val="18"/>
                <w:highlight w:val="none"/>
                <w:u w:val="none"/>
                <w:lang w:val="en-US" w:eastAsia="zh-CN" w:bidi="ar"/>
              </w:rPr>
              <w:t>2000</w:t>
            </w:r>
          </w:p>
        </w:tc>
        <w:tc>
          <w:tcPr>
            <w:tcW w:w="350" w:type="pct"/>
            <w:noWrap w:val="0"/>
            <w:vAlign w:val="center"/>
          </w:tcPr>
          <w:p w14:paraId="0A1C4A3F">
            <w:pPr>
              <w:keepNext w:val="0"/>
              <w:keepLines w:val="0"/>
              <w:widowControl/>
              <w:suppressLineNumbers w:val="0"/>
              <w:jc w:val="both"/>
              <w:textAlignment w:val="center"/>
              <w:rPr>
                <w:rFonts w:hint="eastAsia" w:ascii="仿宋" w:hAnsi="仿宋" w:eastAsia="仿宋" w:cs="仿宋"/>
                <w:bCs/>
                <w:color w:val="auto"/>
                <w:sz w:val="18"/>
                <w:szCs w:val="18"/>
                <w:highlight w:val="none"/>
                <w:lang w:val="en-US" w:eastAsia="zh-CN"/>
              </w:rPr>
            </w:pPr>
            <w:r>
              <w:rPr>
                <w:rFonts w:hint="eastAsia" w:ascii="仿宋" w:hAnsi="仿宋" w:eastAsia="仿宋" w:cs="仿宋"/>
                <w:bCs/>
                <w:color w:val="auto"/>
                <w:sz w:val="18"/>
                <w:szCs w:val="18"/>
                <w:highlight w:val="none"/>
                <w:lang w:val="en-US" w:eastAsia="zh-CN"/>
              </w:rPr>
              <w:t>小写：</w:t>
            </w:r>
          </w:p>
          <w:p w14:paraId="52302B4B">
            <w:pPr>
              <w:pStyle w:val="2"/>
              <w:ind w:firstLine="0" w:firstLineChars="0"/>
              <w:jc w:val="both"/>
              <w:rPr>
                <w:rFonts w:hint="eastAsia" w:ascii="仿宋" w:hAnsi="仿宋" w:eastAsia="仿宋" w:cs="仿宋"/>
                <w:bCs/>
                <w:color w:val="auto"/>
                <w:kern w:val="2"/>
                <w:sz w:val="18"/>
                <w:szCs w:val="18"/>
                <w:highlight w:val="none"/>
                <w:lang w:val="en-US" w:eastAsia="zh-CN" w:bidi="ar-SA"/>
              </w:rPr>
            </w:pPr>
            <w:r>
              <w:rPr>
                <w:rFonts w:hint="eastAsia" w:ascii="仿宋" w:hAnsi="仿宋" w:eastAsia="仿宋" w:cs="仿宋"/>
                <w:bCs/>
                <w:color w:val="auto"/>
                <w:sz w:val="18"/>
                <w:szCs w:val="18"/>
                <w:highlight w:val="none"/>
                <w:lang w:val="en-US" w:eastAsia="zh-CN"/>
              </w:rPr>
              <w:t>大写：</w:t>
            </w:r>
          </w:p>
        </w:tc>
        <w:tc>
          <w:tcPr>
            <w:tcW w:w="305" w:type="pct"/>
            <w:noWrap w:val="0"/>
            <w:vAlign w:val="center"/>
          </w:tcPr>
          <w:p w14:paraId="7BC56CCA">
            <w:pPr>
              <w:pStyle w:val="2"/>
              <w:ind w:firstLine="0" w:firstLineChars="0"/>
              <w:jc w:val="center"/>
              <w:rPr>
                <w:rFonts w:hint="eastAsia" w:ascii="仿宋" w:hAnsi="仿宋" w:eastAsia="仿宋" w:cs="仿宋"/>
                <w:bCs/>
                <w:color w:val="auto"/>
                <w:kern w:val="2"/>
                <w:sz w:val="18"/>
                <w:szCs w:val="18"/>
                <w:highlight w:val="none"/>
                <w:lang w:val="en-US" w:eastAsia="zh-CN" w:bidi="ar-SA"/>
              </w:rPr>
            </w:pPr>
            <w:r>
              <w:rPr>
                <w:rFonts w:hint="eastAsia" w:ascii="仿宋" w:hAnsi="仿宋" w:eastAsia="仿宋" w:cs="仿宋"/>
                <w:bCs/>
                <w:color w:val="auto"/>
                <w:kern w:val="2"/>
                <w:sz w:val="18"/>
                <w:szCs w:val="18"/>
                <w:highlight w:val="none"/>
                <w:lang w:val="en-US" w:eastAsia="zh-CN" w:bidi="ar-SA"/>
              </w:rPr>
              <w:t>/</w:t>
            </w:r>
          </w:p>
        </w:tc>
        <w:tc>
          <w:tcPr>
            <w:tcW w:w="580" w:type="pct"/>
            <w:noWrap w:val="0"/>
            <w:vAlign w:val="center"/>
          </w:tcPr>
          <w:p w14:paraId="7932E1D8">
            <w:pPr>
              <w:pStyle w:val="2"/>
              <w:ind w:firstLine="0" w:firstLineChars="0"/>
              <w:jc w:val="center"/>
              <w:rPr>
                <w:rFonts w:hint="eastAsia" w:ascii="仿宋" w:hAnsi="仿宋" w:eastAsia="仿宋" w:cs="仿宋"/>
                <w:bCs/>
                <w:color w:val="auto"/>
                <w:kern w:val="2"/>
                <w:sz w:val="18"/>
                <w:szCs w:val="18"/>
                <w:highlight w:val="none"/>
                <w:lang w:val="en-US" w:eastAsia="zh-CN" w:bidi="ar-SA"/>
              </w:rPr>
            </w:pPr>
            <w:r>
              <w:rPr>
                <w:rFonts w:hint="eastAsia" w:ascii="仿宋" w:hAnsi="仿宋" w:eastAsia="仿宋" w:cs="仿宋"/>
                <w:bCs/>
                <w:color w:val="auto"/>
                <w:kern w:val="2"/>
                <w:sz w:val="18"/>
                <w:szCs w:val="18"/>
                <w:highlight w:val="none"/>
                <w:lang w:val="en-US" w:eastAsia="zh-CN" w:bidi="ar-SA"/>
              </w:rPr>
              <w:t>/</w:t>
            </w:r>
          </w:p>
        </w:tc>
        <w:tc>
          <w:tcPr>
            <w:tcW w:w="355" w:type="pct"/>
            <w:noWrap w:val="0"/>
            <w:vAlign w:val="center"/>
          </w:tcPr>
          <w:p w14:paraId="294585A5">
            <w:pPr>
              <w:pStyle w:val="2"/>
              <w:ind w:firstLine="0" w:firstLineChars="0"/>
              <w:jc w:val="center"/>
              <w:rPr>
                <w:rFonts w:hint="eastAsia" w:ascii="仿宋" w:hAnsi="仿宋" w:eastAsia="仿宋" w:cs="仿宋"/>
                <w:bCs/>
                <w:color w:val="auto"/>
                <w:kern w:val="2"/>
                <w:sz w:val="18"/>
                <w:szCs w:val="18"/>
                <w:highlight w:val="none"/>
                <w:lang w:val="en-US" w:eastAsia="zh-CN" w:bidi="ar-SA"/>
              </w:rPr>
            </w:pPr>
            <w:r>
              <w:rPr>
                <w:rFonts w:hint="eastAsia" w:ascii="仿宋" w:hAnsi="仿宋" w:eastAsia="仿宋" w:cs="仿宋"/>
                <w:bCs/>
                <w:color w:val="auto"/>
                <w:kern w:val="2"/>
                <w:sz w:val="18"/>
                <w:szCs w:val="18"/>
                <w:highlight w:val="none"/>
                <w:lang w:val="en-US" w:eastAsia="zh-CN" w:bidi="ar-SA"/>
              </w:rPr>
              <w:t>/</w:t>
            </w:r>
          </w:p>
        </w:tc>
        <w:tc>
          <w:tcPr>
            <w:tcW w:w="345" w:type="pct"/>
            <w:noWrap w:val="0"/>
            <w:vAlign w:val="center"/>
          </w:tcPr>
          <w:p w14:paraId="06921551">
            <w:pPr>
              <w:ind w:firstLine="0" w:firstLineChars="0"/>
              <w:jc w:val="center"/>
              <w:rPr>
                <w:rFonts w:hint="eastAsia" w:ascii="仿宋" w:hAnsi="仿宋" w:eastAsia="仿宋" w:cs="仿宋"/>
                <w:bCs/>
                <w:color w:val="auto"/>
                <w:kern w:val="2"/>
                <w:sz w:val="18"/>
                <w:szCs w:val="18"/>
                <w:highlight w:val="none"/>
                <w:lang w:val="en-US" w:eastAsia="zh-CN" w:bidi="ar-SA"/>
              </w:rPr>
            </w:pPr>
            <w:r>
              <w:rPr>
                <w:rFonts w:hint="eastAsia" w:ascii="仿宋" w:hAnsi="仿宋" w:eastAsia="仿宋" w:cs="仿宋"/>
                <w:bCs/>
                <w:color w:val="auto"/>
                <w:kern w:val="2"/>
                <w:sz w:val="18"/>
                <w:szCs w:val="18"/>
                <w:highlight w:val="none"/>
                <w:lang w:val="en-US" w:eastAsia="zh-CN" w:bidi="ar-SA"/>
              </w:rPr>
              <w:t>/</w:t>
            </w:r>
          </w:p>
        </w:tc>
      </w:tr>
      <w:tr w14:paraId="330E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5" w:type="pct"/>
            <w:noWrap w:val="0"/>
            <w:vAlign w:val="center"/>
          </w:tcPr>
          <w:p w14:paraId="384D5C8C">
            <w:pPr>
              <w:widowControl/>
              <w:jc w:val="center"/>
              <w:textAlignment w:val="center"/>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05标</w:t>
            </w:r>
          </w:p>
        </w:tc>
        <w:tc>
          <w:tcPr>
            <w:tcW w:w="365" w:type="pct"/>
            <w:noWrap w:val="0"/>
            <w:vAlign w:val="center"/>
          </w:tcPr>
          <w:p w14:paraId="7A5145B0">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安徽</w:t>
            </w:r>
          </w:p>
        </w:tc>
        <w:tc>
          <w:tcPr>
            <w:tcW w:w="580" w:type="pct"/>
            <w:noWrap w:val="0"/>
            <w:vAlign w:val="center"/>
          </w:tcPr>
          <w:p w14:paraId="497C33EF">
            <w:pPr>
              <w:keepNext w:val="0"/>
              <w:keepLines w:val="0"/>
              <w:widowControl/>
              <w:suppressLineNumbers w:val="0"/>
              <w:jc w:val="center"/>
              <w:textAlignment w:val="center"/>
              <w:rPr>
                <w:rFonts w:hint="eastAsia" w:ascii="仿宋" w:hAnsi="仿宋" w:eastAsia="仿宋" w:cs="仿宋"/>
                <w:bCs/>
                <w:color w:val="auto"/>
                <w:sz w:val="18"/>
                <w:szCs w:val="18"/>
                <w:highlight w:val="none"/>
              </w:rPr>
            </w:pPr>
            <w:r>
              <w:rPr>
                <w:rFonts w:hint="eastAsia" w:ascii="仿宋" w:hAnsi="仿宋" w:eastAsia="仿宋" w:cs="仿宋"/>
                <w:i w:val="0"/>
                <w:iCs w:val="0"/>
                <w:color w:val="auto"/>
                <w:kern w:val="0"/>
                <w:sz w:val="18"/>
                <w:szCs w:val="18"/>
                <w:highlight w:val="none"/>
                <w:u w:val="none"/>
                <w:lang w:val="en-US" w:eastAsia="zh-CN" w:bidi="ar"/>
              </w:rPr>
              <w:t>黄山、宏村、西递、屯溪老街、棠樾牌坊群</w:t>
            </w:r>
          </w:p>
        </w:tc>
        <w:tc>
          <w:tcPr>
            <w:tcW w:w="355" w:type="pct"/>
            <w:noWrap w:val="0"/>
            <w:vAlign w:val="center"/>
          </w:tcPr>
          <w:p w14:paraId="53511FBA">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2500</w:t>
            </w:r>
          </w:p>
        </w:tc>
        <w:tc>
          <w:tcPr>
            <w:tcW w:w="320" w:type="pct"/>
            <w:noWrap w:val="0"/>
            <w:vAlign w:val="center"/>
          </w:tcPr>
          <w:p w14:paraId="4EC8716A">
            <w:pPr>
              <w:keepNext w:val="0"/>
              <w:keepLines w:val="0"/>
              <w:widowControl/>
              <w:suppressLineNumbers w:val="0"/>
              <w:jc w:val="both"/>
              <w:textAlignment w:val="center"/>
              <w:rPr>
                <w:rFonts w:hint="eastAsia" w:ascii="仿宋" w:hAnsi="仿宋" w:eastAsia="仿宋" w:cs="仿宋"/>
                <w:bCs/>
                <w:color w:val="auto"/>
                <w:sz w:val="18"/>
                <w:szCs w:val="18"/>
                <w:highlight w:val="none"/>
                <w:lang w:val="en-US" w:eastAsia="zh-CN"/>
              </w:rPr>
            </w:pPr>
            <w:r>
              <w:rPr>
                <w:rFonts w:hint="eastAsia" w:ascii="仿宋" w:hAnsi="仿宋" w:eastAsia="仿宋" w:cs="仿宋"/>
                <w:bCs/>
                <w:color w:val="auto"/>
                <w:sz w:val="18"/>
                <w:szCs w:val="18"/>
                <w:highlight w:val="none"/>
                <w:lang w:val="en-US" w:eastAsia="zh-CN"/>
              </w:rPr>
              <w:t>小写：</w:t>
            </w:r>
          </w:p>
          <w:p w14:paraId="0539F47A">
            <w:pPr>
              <w:keepNext w:val="0"/>
              <w:keepLines w:val="0"/>
              <w:widowControl/>
              <w:suppressLineNumbers w:val="0"/>
              <w:jc w:val="both"/>
              <w:textAlignment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lang w:val="en-US" w:eastAsia="zh-CN"/>
              </w:rPr>
              <w:t>大写：</w:t>
            </w:r>
          </w:p>
        </w:tc>
        <w:tc>
          <w:tcPr>
            <w:tcW w:w="255" w:type="pct"/>
            <w:noWrap w:val="0"/>
            <w:vAlign w:val="center"/>
          </w:tcPr>
          <w:p w14:paraId="7054CE90">
            <w:pPr>
              <w:pStyle w:val="2"/>
              <w:ind w:firstLine="0" w:firstLineChars="0"/>
              <w:jc w:val="center"/>
              <w:rPr>
                <w:rFonts w:hint="eastAsia" w:ascii="仿宋" w:hAnsi="仿宋" w:eastAsia="仿宋" w:cs="仿宋"/>
                <w:bCs/>
                <w:color w:val="auto"/>
                <w:sz w:val="18"/>
                <w:szCs w:val="18"/>
                <w:highlight w:val="none"/>
                <w:lang w:val="en-US" w:eastAsia="zh-CN"/>
              </w:rPr>
            </w:pPr>
            <w:r>
              <w:rPr>
                <w:rFonts w:hint="eastAsia" w:ascii="仿宋" w:hAnsi="仿宋" w:eastAsia="仿宋" w:cs="仿宋"/>
                <w:bCs/>
                <w:color w:val="auto"/>
                <w:kern w:val="2"/>
                <w:sz w:val="18"/>
                <w:szCs w:val="18"/>
                <w:highlight w:val="none"/>
                <w:lang w:val="en-US" w:eastAsia="zh-CN" w:bidi="ar-SA"/>
              </w:rPr>
              <w:t>/</w:t>
            </w:r>
          </w:p>
        </w:tc>
        <w:tc>
          <w:tcPr>
            <w:tcW w:w="661" w:type="pct"/>
            <w:noWrap w:val="0"/>
            <w:vAlign w:val="center"/>
          </w:tcPr>
          <w:p w14:paraId="0DFF6CA5">
            <w:pPr>
              <w:pStyle w:val="2"/>
              <w:ind w:firstLine="0" w:firstLineChars="0"/>
              <w:jc w:val="center"/>
              <w:rPr>
                <w:rFonts w:hint="eastAsia" w:ascii="仿宋" w:hAnsi="仿宋" w:eastAsia="仿宋" w:cs="仿宋"/>
                <w:bCs/>
                <w:color w:val="auto"/>
                <w:kern w:val="2"/>
                <w:sz w:val="18"/>
                <w:szCs w:val="18"/>
                <w:highlight w:val="none"/>
                <w:lang w:val="en-US" w:eastAsia="zh-CN" w:bidi="ar-SA"/>
              </w:rPr>
            </w:pPr>
            <w:r>
              <w:rPr>
                <w:rFonts w:hint="eastAsia" w:ascii="仿宋" w:hAnsi="仿宋" w:eastAsia="仿宋" w:cs="仿宋"/>
                <w:bCs/>
                <w:color w:val="auto"/>
                <w:kern w:val="2"/>
                <w:sz w:val="18"/>
                <w:szCs w:val="18"/>
                <w:highlight w:val="none"/>
                <w:lang w:val="en-US" w:eastAsia="zh-CN" w:bidi="ar-SA"/>
              </w:rPr>
              <w:t>/</w:t>
            </w:r>
          </w:p>
        </w:tc>
        <w:tc>
          <w:tcPr>
            <w:tcW w:w="305" w:type="pct"/>
            <w:noWrap w:val="0"/>
            <w:vAlign w:val="center"/>
          </w:tcPr>
          <w:p w14:paraId="3DC8A2B4">
            <w:pPr>
              <w:pStyle w:val="2"/>
              <w:ind w:firstLine="0" w:firstLineChars="0"/>
              <w:jc w:val="center"/>
              <w:rPr>
                <w:rFonts w:hint="eastAsia" w:ascii="仿宋" w:hAnsi="仿宋" w:eastAsia="仿宋" w:cs="仿宋"/>
                <w:bCs/>
                <w:color w:val="auto"/>
                <w:kern w:val="2"/>
                <w:sz w:val="18"/>
                <w:szCs w:val="18"/>
                <w:highlight w:val="none"/>
                <w:lang w:val="en-US" w:eastAsia="zh-CN" w:bidi="ar-SA"/>
              </w:rPr>
            </w:pPr>
            <w:r>
              <w:rPr>
                <w:rFonts w:hint="eastAsia" w:ascii="仿宋" w:hAnsi="仿宋" w:eastAsia="仿宋" w:cs="仿宋"/>
                <w:bCs/>
                <w:color w:val="auto"/>
                <w:kern w:val="2"/>
                <w:sz w:val="18"/>
                <w:szCs w:val="18"/>
                <w:highlight w:val="none"/>
                <w:lang w:val="en-US" w:eastAsia="zh-CN" w:bidi="ar-SA"/>
              </w:rPr>
              <w:t>/</w:t>
            </w:r>
          </w:p>
        </w:tc>
        <w:tc>
          <w:tcPr>
            <w:tcW w:w="350" w:type="pct"/>
            <w:noWrap w:val="0"/>
            <w:vAlign w:val="center"/>
          </w:tcPr>
          <w:p w14:paraId="469670D8">
            <w:pPr>
              <w:pStyle w:val="2"/>
              <w:ind w:firstLine="0" w:firstLineChars="0"/>
              <w:jc w:val="center"/>
              <w:rPr>
                <w:rFonts w:hint="eastAsia" w:ascii="仿宋" w:hAnsi="仿宋" w:eastAsia="仿宋" w:cs="仿宋"/>
                <w:bCs/>
                <w:color w:val="auto"/>
                <w:kern w:val="2"/>
                <w:sz w:val="18"/>
                <w:szCs w:val="18"/>
                <w:highlight w:val="none"/>
                <w:lang w:val="en-US" w:eastAsia="zh-CN" w:bidi="ar-SA"/>
              </w:rPr>
            </w:pPr>
            <w:r>
              <w:rPr>
                <w:rFonts w:hint="eastAsia" w:ascii="仿宋" w:hAnsi="仿宋" w:eastAsia="仿宋" w:cs="仿宋"/>
                <w:bCs/>
                <w:color w:val="auto"/>
                <w:kern w:val="2"/>
                <w:sz w:val="18"/>
                <w:szCs w:val="18"/>
                <w:highlight w:val="none"/>
                <w:lang w:val="en-US" w:eastAsia="zh-CN" w:bidi="ar-SA"/>
              </w:rPr>
              <w:t>/</w:t>
            </w:r>
          </w:p>
        </w:tc>
        <w:tc>
          <w:tcPr>
            <w:tcW w:w="305" w:type="pct"/>
            <w:noWrap w:val="0"/>
            <w:vAlign w:val="center"/>
          </w:tcPr>
          <w:p w14:paraId="7089E1BD">
            <w:pPr>
              <w:keepNext w:val="0"/>
              <w:keepLines w:val="0"/>
              <w:widowControl/>
              <w:suppressLineNumbers w:val="0"/>
              <w:jc w:val="center"/>
              <w:textAlignment w:val="center"/>
              <w:rPr>
                <w:rFonts w:hint="eastAsia" w:ascii="仿宋" w:hAnsi="仿宋" w:eastAsia="仿宋" w:cs="仿宋"/>
                <w:bCs/>
                <w:color w:val="auto"/>
                <w:kern w:val="2"/>
                <w:sz w:val="18"/>
                <w:szCs w:val="18"/>
                <w:highlight w:val="none"/>
                <w:lang w:val="en-US" w:eastAsia="zh-CN" w:bidi="ar-SA"/>
              </w:rPr>
            </w:pPr>
            <w:r>
              <w:rPr>
                <w:rFonts w:hint="eastAsia" w:ascii="仿宋" w:hAnsi="仿宋" w:eastAsia="仿宋" w:cs="仿宋"/>
                <w:i w:val="0"/>
                <w:iCs w:val="0"/>
                <w:color w:val="auto"/>
                <w:kern w:val="0"/>
                <w:sz w:val="18"/>
                <w:szCs w:val="18"/>
                <w:highlight w:val="none"/>
                <w:u w:val="none"/>
                <w:lang w:val="en-US" w:eastAsia="zh-CN" w:bidi="ar"/>
              </w:rPr>
              <w:t>嵊州.新昌.上虞</w:t>
            </w:r>
          </w:p>
        </w:tc>
        <w:tc>
          <w:tcPr>
            <w:tcW w:w="580" w:type="pct"/>
            <w:noWrap w:val="0"/>
            <w:vAlign w:val="center"/>
          </w:tcPr>
          <w:p w14:paraId="496AE6BC">
            <w:pPr>
              <w:keepNext w:val="0"/>
              <w:keepLines w:val="0"/>
              <w:widowControl/>
              <w:suppressLineNumbers w:val="0"/>
              <w:jc w:val="center"/>
              <w:textAlignment w:val="center"/>
              <w:rPr>
                <w:rFonts w:hint="eastAsia" w:ascii="仿宋" w:hAnsi="仿宋" w:eastAsia="仿宋" w:cs="仿宋"/>
                <w:bCs/>
                <w:color w:val="auto"/>
                <w:kern w:val="2"/>
                <w:sz w:val="18"/>
                <w:szCs w:val="18"/>
                <w:highlight w:val="none"/>
                <w:lang w:val="en-US" w:eastAsia="zh-CN" w:bidi="ar-SA"/>
              </w:rPr>
            </w:pPr>
            <w:r>
              <w:rPr>
                <w:rFonts w:hint="eastAsia" w:ascii="仿宋" w:hAnsi="仿宋" w:eastAsia="仿宋" w:cs="仿宋"/>
                <w:i w:val="0"/>
                <w:iCs w:val="0"/>
                <w:color w:val="auto"/>
                <w:kern w:val="0"/>
                <w:sz w:val="18"/>
                <w:szCs w:val="18"/>
                <w:highlight w:val="none"/>
                <w:u w:val="none"/>
                <w:lang w:val="en-US" w:eastAsia="zh-CN" w:bidi="ar"/>
              </w:rPr>
              <w:t>崇仁古镇、嵊州东前街、嵊州小笼包制作、新昌下岩贝品咖、上虞覆卮山赏秋、大通农场采摘</w:t>
            </w:r>
          </w:p>
        </w:tc>
        <w:tc>
          <w:tcPr>
            <w:tcW w:w="355" w:type="pct"/>
            <w:noWrap w:val="0"/>
            <w:vAlign w:val="center"/>
          </w:tcPr>
          <w:p w14:paraId="417E9A79">
            <w:pPr>
              <w:keepNext w:val="0"/>
              <w:keepLines w:val="0"/>
              <w:widowControl/>
              <w:suppressLineNumbers w:val="0"/>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 w:hAnsi="仿宋" w:eastAsia="仿宋" w:cs="仿宋"/>
                <w:i w:val="0"/>
                <w:iCs w:val="0"/>
                <w:color w:val="auto"/>
                <w:kern w:val="0"/>
                <w:sz w:val="18"/>
                <w:szCs w:val="18"/>
                <w:highlight w:val="none"/>
                <w:u w:val="none"/>
                <w:lang w:val="en-US" w:eastAsia="zh-CN" w:bidi="ar"/>
              </w:rPr>
              <w:t>2000</w:t>
            </w:r>
          </w:p>
        </w:tc>
        <w:tc>
          <w:tcPr>
            <w:tcW w:w="345" w:type="pct"/>
            <w:noWrap w:val="0"/>
            <w:vAlign w:val="center"/>
          </w:tcPr>
          <w:p w14:paraId="06E049F5">
            <w:pPr>
              <w:keepNext w:val="0"/>
              <w:keepLines w:val="0"/>
              <w:widowControl/>
              <w:suppressLineNumbers w:val="0"/>
              <w:jc w:val="both"/>
              <w:textAlignment w:val="center"/>
              <w:rPr>
                <w:rFonts w:hint="eastAsia" w:ascii="仿宋" w:hAnsi="仿宋" w:eastAsia="仿宋" w:cs="仿宋"/>
                <w:bCs/>
                <w:color w:val="auto"/>
                <w:sz w:val="18"/>
                <w:szCs w:val="18"/>
                <w:highlight w:val="none"/>
                <w:lang w:val="en-US" w:eastAsia="zh-CN"/>
              </w:rPr>
            </w:pPr>
            <w:r>
              <w:rPr>
                <w:rFonts w:hint="eastAsia" w:ascii="仿宋" w:hAnsi="仿宋" w:eastAsia="仿宋" w:cs="仿宋"/>
                <w:bCs/>
                <w:color w:val="auto"/>
                <w:sz w:val="18"/>
                <w:szCs w:val="18"/>
                <w:highlight w:val="none"/>
                <w:lang w:val="en-US" w:eastAsia="zh-CN"/>
              </w:rPr>
              <w:t>小写：</w:t>
            </w:r>
          </w:p>
          <w:p w14:paraId="02F7B509">
            <w:pPr>
              <w:ind w:firstLine="0" w:firstLineChars="0"/>
              <w:jc w:val="both"/>
              <w:rPr>
                <w:rFonts w:hint="eastAsia" w:ascii="仿宋" w:hAnsi="仿宋" w:eastAsia="仿宋" w:cs="仿宋"/>
                <w:bCs/>
                <w:color w:val="auto"/>
                <w:kern w:val="2"/>
                <w:sz w:val="18"/>
                <w:szCs w:val="18"/>
                <w:highlight w:val="none"/>
                <w:lang w:val="en-US" w:eastAsia="zh-CN" w:bidi="ar-SA"/>
              </w:rPr>
            </w:pPr>
            <w:r>
              <w:rPr>
                <w:rFonts w:hint="eastAsia" w:ascii="仿宋" w:hAnsi="仿宋" w:eastAsia="仿宋" w:cs="仿宋"/>
                <w:bCs/>
                <w:color w:val="auto"/>
                <w:sz w:val="18"/>
                <w:szCs w:val="18"/>
                <w:highlight w:val="none"/>
                <w:lang w:val="en-US" w:eastAsia="zh-CN"/>
              </w:rPr>
              <w:t>大写：</w:t>
            </w:r>
          </w:p>
        </w:tc>
      </w:tr>
    </w:tbl>
    <w:p w14:paraId="0020D478">
      <w:pPr>
        <w:adjustRightInd w:val="0"/>
        <w:snapToGrid w:val="0"/>
        <w:spacing w:line="420" w:lineRule="exact"/>
        <w:ind w:firstLine="211" w:firstLineChars="100"/>
        <w:rPr>
          <w:rFonts w:hint="eastAsia" w:ascii="仿宋" w:hAnsi="仿宋" w:eastAsia="仿宋" w:cs="仿宋"/>
          <w:b/>
          <w:bCs w:val="0"/>
          <w:color w:val="auto"/>
          <w:sz w:val="21"/>
          <w:szCs w:val="21"/>
          <w:highlight w:val="none"/>
          <w:shd w:val="clear" w:color="auto" w:fill="FBFDFE"/>
        </w:rPr>
      </w:pPr>
      <w:r>
        <w:rPr>
          <w:rFonts w:hint="eastAsia" w:ascii="仿宋" w:hAnsi="仿宋" w:eastAsia="仿宋" w:cs="仿宋"/>
          <w:b/>
          <w:bCs w:val="0"/>
          <w:color w:val="auto"/>
          <w:sz w:val="21"/>
          <w:szCs w:val="21"/>
          <w:highlight w:val="none"/>
          <w:shd w:val="clear" w:color="auto" w:fill="FBFDFE"/>
        </w:rPr>
        <w:t>注：</w:t>
      </w:r>
    </w:p>
    <w:p w14:paraId="14AD7E6B">
      <w:pPr>
        <w:numPr>
          <w:ilvl w:val="0"/>
          <w:numId w:val="0"/>
        </w:numPr>
        <w:adjustRightInd w:val="0"/>
        <w:snapToGrid w:val="0"/>
        <w:spacing w:line="360" w:lineRule="auto"/>
        <w:ind w:firstLine="422" w:firstLineChars="200"/>
        <w:rPr>
          <w:rFonts w:hint="eastAsia" w:ascii="仿宋" w:hAnsi="仿宋" w:eastAsia="仿宋" w:cs="仿宋"/>
          <w:b/>
          <w:bCs w:val="0"/>
          <w:color w:val="auto"/>
          <w:sz w:val="21"/>
          <w:szCs w:val="21"/>
          <w:highlight w:val="none"/>
        </w:rPr>
      </w:pPr>
      <w:r>
        <w:rPr>
          <w:rFonts w:hint="eastAsia" w:ascii="仿宋" w:hAnsi="仿宋" w:eastAsia="仿宋" w:cs="仿宋"/>
          <w:b/>
          <w:bCs w:val="0"/>
          <w:color w:val="auto"/>
          <w:sz w:val="21"/>
          <w:szCs w:val="21"/>
          <w:highlight w:val="none"/>
          <w:lang w:val="en-US" w:eastAsia="zh-CN"/>
        </w:rPr>
        <w:t>1.</w:t>
      </w:r>
      <w:r>
        <w:rPr>
          <w:rFonts w:hint="eastAsia" w:ascii="仿宋" w:hAnsi="仿宋" w:eastAsia="仿宋" w:cs="仿宋"/>
          <w:b/>
          <w:bCs w:val="0"/>
          <w:color w:val="auto"/>
          <w:sz w:val="21"/>
          <w:szCs w:val="21"/>
          <w:highlight w:val="none"/>
          <w:lang w:eastAsia="zh-CN"/>
        </w:rPr>
        <w:t>投标</w:t>
      </w:r>
      <w:r>
        <w:rPr>
          <w:rFonts w:hint="eastAsia" w:ascii="仿宋" w:hAnsi="仿宋" w:eastAsia="仿宋" w:cs="仿宋"/>
          <w:b/>
          <w:bCs w:val="0"/>
          <w:color w:val="auto"/>
          <w:sz w:val="21"/>
          <w:szCs w:val="21"/>
          <w:highlight w:val="none"/>
          <w:lang w:val="en-US" w:eastAsia="zh-CN"/>
        </w:rPr>
        <w:t>报价</w:t>
      </w:r>
      <w:r>
        <w:rPr>
          <w:rFonts w:hint="eastAsia" w:ascii="仿宋" w:hAnsi="仿宋" w:eastAsia="仿宋" w:cs="仿宋"/>
          <w:b/>
          <w:bCs w:val="0"/>
          <w:color w:val="auto"/>
          <w:sz w:val="21"/>
          <w:szCs w:val="21"/>
          <w:highlight w:val="none"/>
          <w:lang w:eastAsia="zh-CN"/>
        </w:rPr>
        <w:t>不能高于</w:t>
      </w:r>
      <w:r>
        <w:rPr>
          <w:rFonts w:hint="eastAsia" w:ascii="仿宋" w:hAnsi="仿宋" w:eastAsia="仿宋" w:cs="仿宋"/>
          <w:b/>
          <w:bCs w:val="0"/>
          <w:color w:val="auto"/>
          <w:sz w:val="21"/>
          <w:szCs w:val="21"/>
          <w:highlight w:val="none"/>
          <w:lang w:val="en-US" w:eastAsia="zh-CN"/>
        </w:rPr>
        <w:t>上限单价</w:t>
      </w:r>
      <w:r>
        <w:rPr>
          <w:rFonts w:hint="eastAsia" w:ascii="仿宋" w:hAnsi="仿宋" w:eastAsia="仿宋" w:cs="仿宋"/>
          <w:b/>
          <w:bCs w:val="0"/>
          <w:color w:val="auto"/>
          <w:sz w:val="21"/>
          <w:szCs w:val="21"/>
          <w:highlight w:val="none"/>
          <w:lang w:eastAsia="zh-CN"/>
        </w:rPr>
        <w:t>；</w:t>
      </w:r>
    </w:p>
    <w:p w14:paraId="3BA012C4">
      <w:pPr>
        <w:adjustRightInd w:val="0"/>
        <w:snapToGrid w:val="0"/>
        <w:spacing w:line="360" w:lineRule="auto"/>
        <w:ind w:firstLine="422" w:firstLineChars="200"/>
        <w:rPr>
          <w:rFonts w:hint="eastAsia" w:ascii="仿宋" w:hAnsi="仿宋" w:eastAsia="仿宋" w:cs="仿宋"/>
          <w:b/>
          <w:bCs w:val="0"/>
          <w:color w:val="auto"/>
          <w:kern w:val="0"/>
          <w:sz w:val="21"/>
          <w:szCs w:val="21"/>
          <w:highlight w:val="none"/>
        </w:rPr>
      </w:pPr>
      <w:r>
        <w:rPr>
          <w:rFonts w:hint="eastAsia" w:ascii="仿宋" w:hAnsi="仿宋" w:eastAsia="仿宋" w:cs="仿宋"/>
          <w:b/>
          <w:bCs w:val="0"/>
          <w:color w:val="auto"/>
          <w:kern w:val="0"/>
          <w:sz w:val="21"/>
          <w:szCs w:val="21"/>
          <w:highlight w:val="none"/>
        </w:rPr>
        <w:t>2.</w:t>
      </w:r>
      <w:r>
        <w:rPr>
          <w:rFonts w:hint="eastAsia" w:ascii="仿宋" w:hAnsi="仿宋" w:eastAsia="仿宋" w:cs="仿宋"/>
          <w:b/>
          <w:bCs w:val="0"/>
          <w:color w:val="auto"/>
          <w:sz w:val="21"/>
          <w:szCs w:val="21"/>
          <w:highlight w:val="none"/>
        </w:rPr>
        <w:t>根据职工个人意愿，分批出行；</w:t>
      </w:r>
      <w:r>
        <w:rPr>
          <w:rFonts w:hint="eastAsia" w:ascii="仿宋" w:hAnsi="仿宋" w:eastAsia="仿宋" w:cs="仿宋"/>
          <w:b/>
          <w:bCs w:val="0"/>
          <w:color w:val="auto"/>
          <w:kern w:val="0"/>
          <w:sz w:val="21"/>
          <w:szCs w:val="21"/>
          <w:highlight w:val="none"/>
          <w:lang w:eastAsia="zh-CN"/>
        </w:rPr>
        <w:t>出行时间：</w:t>
      </w:r>
      <w:r>
        <w:rPr>
          <w:rFonts w:hint="eastAsia" w:ascii="仿宋" w:hAnsi="仿宋" w:eastAsia="仿宋" w:cs="仿宋"/>
          <w:b/>
          <w:bCs w:val="0"/>
          <w:color w:val="auto"/>
          <w:sz w:val="21"/>
          <w:szCs w:val="21"/>
          <w:highlight w:val="none"/>
          <w:lang w:val="en-US" w:eastAsia="zh-CN"/>
        </w:rPr>
        <w:t>5月</w:t>
      </w:r>
      <w:r>
        <w:rPr>
          <w:rFonts w:hint="eastAsia" w:ascii="仿宋" w:hAnsi="仿宋" w:eastAsia="仿宋" w:cs="仿宋"/>
          <w:b/>
          <w:bCs w:val="0"/>
          <w:color w:val="auto"/>
          <w:sz w:val="21"/>
          <w:szCs w:val="21"/>
          <w:highlight w:val="none"/>
        </w:rPr>
        <w:t>-11月</w:t>
      </w:r>
      <w:r>
        <w:rPr>
          <w:rFonts w:hint="eastAsia" w:ascii="仿宋" w:hAnsi="仿宋" w:eastAsia="仿宋" w:cs="仿宋"/>
          <w:b/>
          <w:bCs w:val="0"/>
          <w:color w:val="auto"/>
          <w:sz w:val="21"/>
          <w:szCs w:val="21"/>
          <w:highlight w:val="none"/>
          <w:lang w:eastAsia="zh-CN"/>
        </w:rPr>
        <w:t>，其中：</w:t>
      </w:r>
      <w:r>
        <w:rPr>
          <w:rFonts w:hint="eastAsia" w:ascii="仿宋" w:hAnsi="仿宋" w:eastAsia="仿宋" w:cs="仿宋"/>
          <w:b/>
          <w:bCs w:val="0"/>
          <w:color w:val="auto"/>
          <w:kern w:val="0"/>
          <w:sz w:val="21"/>
          <w:szCs w:val="21"/>
          <w:highlight w:val="none"/>
          <w:lang w:eastAsia="zh-CN"/>
        </w:rPr>
        <w:t>市内、市外</w:t>
      </w:r>
      <w:r>
        <w:rPr>
          <w:rFonts w:hint="eastAsia" w:ascii="仿宋" w:hAnsi="仿宋" w:eastAsia="仿宋" w:cs="仿宋"/>
          <w:b/>
          <w:bCs w:val="0"/>
          <w:color w:val="auto"/>
          <w:sz w:val="21"/>
          <w:szCs w:val="21"/>
          <w:highlight w:val="none"/>
        </w:rPr>
        <w:t>省内疗休养4天（</w:t>
      </w:r>
      <w:r>
        <w:rPr>
          <w:rFonts w:hint="eastAsia" w:ascii="仿宋" w:hAnsi="仿宋" w:eastAsia="仿宋" w:cs="仿宋"/>
          <w:b/>
          <w:bCs w:val="0"/>
          <w:color w:val="auto"/>
          <w:sz w:val="21"/>
          <w:szCs w:val="21"/>
          <w:highlight w:val="none"/>
          <w:lang w:eastAsia="zh-CN"/>
        </w:rPr>
        <w:t>其中双休</w:t>
      </w:r>
      <w:r>
        <w:rPr>
          <w:rFonts w:hint="eastAsia" w:ascii="仿宋" w:hAnsi="仿宋" w:eastAsia="仿宋" w:cs="仿宋"/>
          <w:b/>
          <w:bCs w:val="0"/>
          <w:color w:val="auto"/>
          <w:sz w:val="21"/>
          <w:szCs w:val="21"/>
          <w:highlight w:val="none"/>
          <w:lang w:val="en-US" w:eastAsia="zh-CN"/>
        </w:rPr>
        <w:t>2天</w:t>
      </w:r>
      <w:r>
        <w:rPr>
          <w:rFonts w:hint="eastAsia" w:ascii="仿宋" w:hAnsi="仿宋" w:eastAsia="仿宋" w:cs="仿宋"/>
          <w:b/>
          <w:bCs w:val="0"/>
          <w:color w:val="auto"/>
          <w:sz w:val="21"/>
          <w:szCs w:val="21"/>
          <w:highlight w:val="none"/>
        </w:rPr>
        <w:t>）</w:t>
      </w:r>
      <w:r>
        <w:rPr>
          <w:rFonts w:hint="eastAsia" w:ascii="仿宋" w:hAnsi="仿宋" w:eastAsia="仿宋" w:cs="仿宋"/>
          <w:b/>
          <w:bCs w:val="0"/>
          <w:color w:val="auto"/>
          <w:sz w:val="21"/>
          <w:szCs w:val="21"/>
          <w:highlight w:val="none"/>
          <w:lang w:val="en-US" w:eastAsia="zh-CN"/>
        </w:rPr>
        <w:t>；</w:t>
      </w:r>
      <w:r>
        <w:rPr>
          <w:rFonts w:hint="eastAsia" w:ascii="仿宋" w:hAnsi="仿宋" w:eastAsia="仿宋" w:cs="仿宋"/>
          <w:b/>
          <w:bCs w:val="0"/>
          <w:color w:val="auto"/>
          <w:sz w:val="21"/>
          <w:szCs w:val="21"/>
          <w:highlight w:val="none"/>
          <w:lang w:eastAsia="zh-CN"/>
        </w:rPr>
        <w:t>省</w:t>
      </w:r>
      <w:r>
        <w:rPr>
          <w:rFonts w:hint="eastAsia" w:ascii="仿宋" w:hAnsi="仿宋" w:eastAsia="仿宋" w:cs="仿宋"/>
          <w:b/>
          <w:bCs w:val="0"/>
          <w:color w:val="auto"/>
          <w:kern w:val="0"/>
          <w:sz w:val="21"/>
          <w:szCs w:val="21"/>
          <w:highlight w:val="none"/>
        </w:rPr>
        <w:t>外疗休养5天（</w:t>
      </w:r>
      <w:r>
        <w:rPr>
          <w:rFonts w:hint="eastAsia" w:ascii="仿宋" w:hAnsi="仿宋" w:eastAsia="仿宋" w:cs="仿宋"/>
          <w:b/>
          <w:bCs w:val="0"/>
          <w:color w:val="auto"/>
          <w:sz w:val="21"/>
          <w:szCs w:val="21"/>
          <w:highlight w:val="none"/>
          <w:lang w:eastAsia="zh-CN"/>
        </w:rPr>
        <w:t>其中双休</w:t>
      </w:r>
      <w:r>
        <w:rPr>
          <w:rFonts w:hint="eastAsia" w:ascii="仿宋" w:hAnsi="仿宋" w:eastAsia="仿宋" w:cs="仿宋"/>
          <w:b/>
          <w:bCs w:val="0"/>
          <w:color w:val="auto"/>
          <w:sz w:val="21"/>
          <w:szCs w:val="21"/>
          <w:highlight w:val="none"/>
          <w:lang w:val="en-US" w:eastAsia="zh-CN"/>
        </w:rPr>
        <w:t>2天</w:t>
      </w:r>
      <w:r>
        <w:rPr>
          <w:rFonts w:hint="eastAsia" w:ascii="仿宋" w:hAnsi="仿宋" w:eastAsia="仿宋" w:cs="仿宋"/>
          <w:b/>
          <w:bCs w:val="0"/>
          <w:color w:val="auto"/>
          <w:kern w:val="0"/>
          <w:sz w:val="21"/>
          <w:szCs w:val="21"/>
          <w:highlight w:val="none"/>
        </w:rPr>
        <w:t>）。</w:t>
      </w:r>
      <w:r>
        <w:rPr>
          <w:rFonts w:hint="eastAsia" w:ascii="仿宋" w:hAnsi="仿宋" w:eastAsia="仿宋" w:cs="仿宋"/>
          <w:b/>
          <w:bCs w:val="0"/>
          <w:color w:val="auto"/>
          <w:sz w:val="21"/>
          <w:szCs w:val="21"/>
          <w:highlight w:val="none"/>
        </w:rPr>
        <w:t>出行具体时间、批次、总人数根据医院实际需求。</w:t>
      </w:r>
    </w:p>
    <w:p w14:paraId="6D99AA74">
      <w:pPr>
        <w:numPr>
          <w:ilvl w:val="0"/>
          <w:numId w:val="0"/>
        </w:numPr>
        <w:adjustRightInd w:val="0"/>
        <w:snapToGrid w:val="0"/>
        <w:spacing w:line="360" w:lineRule="auto"/>
        <w:ind w:firstLine="422" w:firstLineChars="200"/>
        <w:rPr>
          <w:rFonts w:hint="eastAsia" w:ascii="仿宋" w:hAnsi="仿宋" w:eastAsia="仿宋" w:cs="仿宋"/>
          <w:b/>
          <w:bCs w:val="0"/>
          <w:color w:val="auto"/>
          <w:sz w:val="21"/>
          <w:szCs w:val="21"/>
          <w:highlight w:val="none"/>
        </w:rPr>
      </w:pPr>
      <w:r>
        <w:rPr>
          <w:rFonts w:hint="eastAsia" w:ascii="仿宋" w:hAnsi="仿宋" w:eastAsia="仿宋" w:cs="仿宋"/>
          <w:b/>
          <w:bCs w:val="0"/>
          <w:color w:val="auto"/>
          <w:sz w:val="21"/>
          <w:szCs w:val="21"/>
          <w:highlight w:val="none"/>
          <w:lang w:val="en-US" w:eastAsia="zh-CN"/>
        </w:rPr>
        <w:t>3.价格</w:t>
      </w:r>
      <w:r>
        <w:rPr>
          <w:rFonts w:hint="eastAsia" w:ascii="仿宋" w:hAnsi="仿宋" w:eastAsia="仿宋" w:cs="仿宋"/>
          <w:b/>
          <w:bCs w:val="0"/>
          <w:color w:val="auto"/>
          <w:sz w:val="21"/>
          <w:szCs w:val="21"/>
          <w:highlight w:val="none"/>
          <w:lang w:eastAsia="zh-CN"/>
        </w:rPr>
        <w:t>得分按全部线路投标</w:t>
      </w:r>
      <w:r>
        <w:rPr>
          <w:rFonts w:hint="eastAsia" w:ascii="仿宋" w:hAnsi="仿宋" w:eastAsia="仿宋" w:cs="仿宋"/>
          <w:b/>
          <w:bCs w:val="0"/>
          <w:color w:val="auto"/>
          <w:sz w:val="21"/>
          <w:szCs w:val="21"/>
          <w:highlight w:val="none"/>
          <w:lang w:val="en-US" w:eastAsia="zh-CN"/>
        </w:rPr>
        <w:t>单价</w:t>
      </w:r>
      <w:r>
        <w:rPr>
          <w:rFonts w:hint="eastAsia" w:ascii="仿宋" w:hAnsi="仿宋" w:eastAsia="仿宋" w:cs="仿宋"/>
          <w:b/>
          <w:bCs w:val="0"/>
          <w:color w:val="auto"/>
          <w:sz w:val="21"/>
          <w:szCs w:val="21"/>
          <w:highlight w:val="none"/>
          <w:lang w:eastAsia="zh-CN"/>
        </w:rPr>
        <w:t>报价合计金额</w:t>
      </w:r>
      <w:r>
        <w:rPr>
          <w:rFonts w:hint="eastAsia" w:ascii="仿宋" w:hAnsi="仿宋" w:eastAsia="仿宋" w:cs="仿宋"/>
          <w:b/>
          <w:bCs w:val="0"/>
          <w:color w:val="auto"/>
          <w:sz w:val="21"/>
          <w:szCs w:val="21"/>
          <w:highlight w:val="none"/>
          <w:lang w:val="en-US" w:eastAsia="zh-CN"/>
        </w:rPr>
        <w:t>进行</w:t>
      </w:r>
      <w:r>
        <w:rPr>
          <w:rFonts w:hint="eastAsia" w:ascii="仿宋" w:hAnsi="仿宋" w:eastAsia="仿宋" w:cs="仿宋"/>
          <w:b/>
          <w:bCs w:val="0"/>
          <w:color w:val="auto"/>
          <w:sz w:val="21"/>
          <w:szCs w:val="21"/>
          <w:highlight w:val="none"/>
          <w:lang w:eastAsia="zh-CN"/>
        </w:rPr>
        <w:t>计算</w:t>
      </w:r>
      <w:r>
        <w:rPr>
          <w:rFonts w:hint="eastAsia" w:ascii="仿宋" w:hAnsi="仿宋" w:eastAsia="仿宋" w:cs="仿宋"/>
          <w:b/>
          <w:bCs w:val="0"/>
          <w:color w:val="auto"/>
          <w:sz w:val="21"/>
          <w:szCs w:val="21"/>
          <w:highlight w:val="none"/>
        </w:rPr>
        <w:t>。</w:t>
      </w:r>
    </w:p>
    <w:p w14:paraId="6C0E60BA">
      <w:pPr>
        <w:adjustRightInd w:val="0"/>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4.</w:t>
      </w:r>
      <w:r>
        <w:rPr>
          <w:rFonts w:hint="eastAsia" w:ascii="仿宋" w:hAnsi="仿宋" w:eastAsia="仿宋" w:cs="仿宋"/>
          <w:color w:val="auto"/>
          <w:kern w:val="0"/>
          <w:sz w:val="21"/>
          <w:szCs w:val="21"/>
          <w:highlight w:val="none"/>
        </w:rPr>
        <w:t>报价一经涂改，应在涂改处加盖单位公章或者由法定代表人或授权委托人签字或盖章，否则其投标作无效标处理。</w:t>
      </w:r>
    </w:p>
    <w:p w14:paraId="0D5EF3E5">
      <w:pPr>
        <w:spacing w:line="360" w:lineRule="auto"/>
        <w:ind w:right="-817" w:rightChars="-389"/>
        <w:rPr>
          <w:rFonts w:hint="eastAsia" w:ascii="仿宋" w:hAnsi="仿宋" w:eastAsia="仿宋" w:cs="仿宋"/>
          <w:color w:val="auto"/>
          <w:sz w:val="24"/>
          <w:highlight w:val="none"/>
        </w:rPr>
      </w:pPr>
    </w:p>
    <w:p w14:paraId="4490D7C5">
      <w:pPr>
        <w:spacing w:line="360" w:lineRule="auto"/>
        <w:ind w:left="-4" w:leftChars="-2" w:right="-817" w:rightChars="-389" w:firstLine="2"/>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投标人（盖章）：</w:t>
      </w:r>
    </w:p>
    <w:p w14:paraId="19AEA954">
      <w:pPr>
        <w:spacing w:line="360" w:lineRule="auto"/>
        <w:ind w:left="-4" w:leftChars="-2" w:right="-817" w:rightChars="-389" w:firstLine="2"/>
        <w:rPr>
          <w:rFonts w:hint="eastAsia" w:ascii="仿宋" w:hAnsi="仿宋" w:eastAsia="仿宋" w:cs="仿宋"/>
          <w:color w:val="auto"/>
          <w:sz w:val="24"/>
          <w:highlight w:val="none"/>
        </w:rPr>
        <w:sectPr>
          <w:pgSz w:w="16838" w:h="11906" w:orient="landscape"/>
          <w:pgMar w:top="1758" w:right="1440" w:bottom="1558" w:left="1246" w:header="1021" w:footer="902" w:gutter="0"/>
          <w:cols w:space="425" w:num="1"/>
          <w:titlePg/>
          <w:docGrid w:type="lines" w:linePitch="312" w:charSpace="0"/>
        </w:sectPr>
      </w:pPr>
      <w:r>
        <w:rPr>
          <w:rFonts w:hint="eastAsia" w:ascii="仿宋" w:hAnsi="仿宋" w:eastAsia="仿宋" w:cs="仿宋"/>
          <w:color w:val="auto"/>
          <w:sz w:val="24"/>
          <w:highlight w:val="none"/>
        </w:rPr>
        <w:t xml:space="preserve">法定代表人或其授权代表（签字或盖章）：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日期：    年   月   日</w:t>
      </w:r>
    </w:p>
    <w:p w14:paraId="46C4636E">
      <w:pPr>
        <w:spacing w:line="360" w:lineRule="auto"/>
        <w:ind w:left="-4" w:leftChars="-2" w:right="-817" w:rightChars="-389" w:firstLine="2"/>
        <w:rPr>
          <w:rFonts w:hint="eastAsia" w:ascii="仿宋" w:hAnsi="仿宋" w:eastAsia="仿宋" w:cs="仿宋"/>
          <w:color w:val="auto"/>
          <w:sz w:val="24"/>
          <w:highlight w:val="none"/>
        </w:rPr>
      </w:pPr>
    </w:p>
    <w:p w14:paraId="2927F8A9">
      <w:pPr>
        <w:jc w:val="center"/>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商务技术（资信）文件部分</w:t>
      </w:r>
    </w:p>
    <w:p w14:paraId="7E8C5A14">
      <w:pPr>
        <w:spacing w:line="360" w:lineRule="auto"/>
        <w:jc w:val="center"/>
        <w:outlineLvl w:val="0"/>
        <w:rPr>
          <w:rFonts w:hint="eastAsia" w:ascii="仿宋" w:hAnsi="仿宋" w:eastAsia="仿宋" w:cs="仿宋"/>
          <w:b/>
          <w:color w:val="auto"/>
          <w:kern w:val="0"/>
          <w:sz w:val="24"/>
          <w:highlight w:val="none"/>
        </w:rPr>
      </w:pPr>
    </w:p>
    <w:p w14:paraId="0C6E4762">
      <w:pPr>
        <w:spacing w:line="360" w:lineRule="auto"/>
        <w:jc w:val="center"/>
        <w:outlineLvl w:val="0"/>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目录</w:t>
      </w:r>
    </w:p>
    <w:p w14:paraId="3D268892">
      <w:pPr>
        <w:pStyle w:val="195"/>
        <w:spacing w:line="360" w:lineRule="auto"/>
        <w:ind w:left="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（1）法定代表人授权书 …………………………………………………………（页码）</w:t>
      </w:r>
    </w:p>
    <w:p w14:paraId="16A78B9E">
      <w:pPr>
        <w:pStyle w:val="195"/>
        <w:spacing w:line="360" w:lineRule="auto"/>
        <w:ind w:left="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（2）授权代表社保证明（复印件）………………………………………………（页码）</w:t>
      </w:r>
    </w:p>
    <w:p w14:paraId="14F3FE1D">
      <w:pPr>
        <w:pStyle w:val="195"/>
        <w:spacing w:line="360" w:lineRule="auto"/>
        <w:ind w:left="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（3）法定代表人及其授权代表的身份证（复印件）……………………………（页码）</w:t>
      </w:r>
    </w:p>
    <w:p w14:paraId="1620CCC4">
      <w:pPr>
        <w:pStyle w:val="195"/>
        <w:spacing w:line="360" w:lineRule="auto"/>
        <w:ind w:left="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（4）法定代表人身份证明书………………………………………………………（页码）</w:t>
      </w:r>
    </w:p>
    <w:p w14:paraId="46B19370">
      <w:pPr>
        <w:spacing w:line="360" w:lineRule="auto"/>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（5）资格审查有关的书面承诺函</w:t>
      </w:r>
      <w:r>
        <w:rPr>
          <w:rFonts w:hint="eastAsia" w:ascii="仿宋" w:hAnsi="仿宋" w:eastAsia="仿宋" w:cs="仿宋"/>
          <w:color w:val="auto"/>
          <w:highlight w:val="none"/>
          <w:lang w:val="zh-CN"/>
        </w:rPr>
        <w:t>………………………………………………</w:t>
      </w:r>
      <w:r>
        <w:rPr>
          <w:rFonts w:hint="eastAsia" w:ascii="仿宋" w:hAnsi="仿宋" w:eastAsia="仿宋" w:cs="仿宋"/>
          <w:color w:val="auto"/>
          <w:highlight w:val="none"/>
        </w:rPr>
        <w:t>…………</w:t>
      </w:r>
      <w:r>
        <w:rPr>
          <w:rFonts w:hint="eastAsia" w:ascii="仿宋" w:hAnsi="仿宋" w:eastAsia="仿宋" w:cs="仿宋"/>
          <w:color w:val="auto"/>
          <w:kern w:val="0"/>
          <w:sz w:val="24"/>
          <w:highlight w:val="none"/>
        </w:rPr>
        <w:t>（页码）</w:t>
      </w:r>
    </w:p>
    <w:p w14:paraId="577BE36B">
      <w:pPr>
        <w:pStyle w:val="195"/>
        <w:spacing w:line="360" w:lineRule="auto"/>
        <w:ind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（6）符合特定资格条件（如果项目要求）的有关证明材料（复印件）………（页码）</w:t>
      </w:r>
    </w:p>
    <w:p w14:paraId="4854AD03">
      <w:pPr>
        <w:pStyle w:val="195"/>
        <w:spacing w:line="360" w:lineRule="auto"/>
        <w:ind w:left="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（7）</w:t>
      </w:r>
      <w:r>
        <w:rPr>
          <w:rFonts w:hint="eastAsia" w:ascii="仿宋" w:hAnsi="仿宋" w:eastAsia="仿宋" w:cs="仿宋"/>
          <w:snapToGrid w:val="0"/>
          <w:color w:val="auto"/>
          <w:highlight w:val="none"/>
        </w:rPr>
        <w:t>投标人售后服务证明材料</w:t>
      </w:r>
      <w:r>
        <w:rPr>
          <w:rFonts w:hint="eastAsia" w:ascii="仿宋" w:hAnsi="仿宋" w:eastAsia="仿宋" w:cs="仿宋"/>
          <w:color w:val="auto"/>
          <w:highlight w:val="none"/>
        </w:rPr>
        <w:t>……………………………………………………（页码）</w:t>
      </w:r>
    </w:p>
    <w:p w14:paraId="08C64A17">
      <w:pPr>
        <w:pStyle w:val="195"/>
        <w:spacing w:line="360" w:lineRule="auto"/>
        <w:ind w:left="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（8）</w:t>
      </w:r>
      <w:r>
        <w:rPr>
          <w:rFonts w:hint="eastAsia" w:ascii="仿宋" w:hAnsi="仿宋" w:eastAsia="仿宋" w:cs="仿宋"/>
          <w:color w:val="auto"/>
          <w:highlight w:val="none"/>
          <w:lang w:val="zh-CN"/>
        </w:rPr>
        <w:t>主要业绩证明…………………………………………………</w:t>
      </w:r>
      <w:r>
        <w:rPr>
          <w:rFonts w:hint="eastAsia" w:ascii="仿宋" w:hAnsi="仿宋" w:eastAsia="仿宋" w:cs="仿宋"/>
          <w:color w:val="auto"/>
          <w:highlight w:val="none"/>
        </w:rPr>
        <w:t>…………</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738A5CC1">
      <w:pPr>
        <w:pStyle w:val="195"/>
        <w:spacing w:line="360" w:lineRule="auto"/>
        <w:ind w:left="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（9）廉政承诺书 …………………………………………………………………（页码）</w:t>
      </w:r>
    </w:p>
    <w:p w14:paraId="7A43A69E">
      <w:pPr>
        <w:spacing w:line="360" w:lineRule="auto"/>
        <w:outlineLvl w:val="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（10）技术解决方案…………………………………………………</w:t>
      </w:r>
      <w:r>
        <w:rPr>
          <w:rFonts w:hint="eastAsia" w:ascii="仿宋" w:hAnsi="仿宋" w:eastAsia="仿宋" w:cs="仿宋"/>
          <w:color w:val="auto"/>
          <w:highlight w:val="none"/>
        </w:rPr>
        <w:t>…………</w:t>
      </w:r>
      <w:r>
        <w:rPr>
          <w:rFonts w:hint="eastAsia" w:ascii="仿宋" w:hAnsi="仿宋" w:eastAsia="仿宋" w:cs="仿宋"/>
          <w:color w:val="auto"/>
          <w:kern w:val="0"/>
          <w:sz w:val="24"/>
          <w:highlight w:val="none"/>
        </w:rPr>
        <w:t>…（页码）</w:t>
      </w:r>
    </w:p>
    <w:p w14:paraId="7E734F8D">
      <w:pPr>
        <w:spacing w:line="360" w:lineRule="auto"/>
        <w:outlineLvl w:val="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（11）技术偏离说明表………………………………………………</w:t>
      </w:r>
      <w:r>
        <w:rPr>
          <w:rFonts w:hint="eastAsia" w:ascii="仿宋" w:hAnsi="仿宋" w:eastAsia="仿宋" w:cs="仿宋"/>
          <w:color w:val="auto"/>
          <w:highlight w:val="none"/>
        </w:rPr>
        <w:t>…………</w:t>
      </w:r>
      <w:r>
        <w:rPr>
          <w:rFonts w:hint="eastAsia" w:ascii="仿宋" w:hAnsi="仿宋" w:eastAsia="仿宋" w:cs="仿宋"/>
          <w:color w:val="auto"/>
          <w:kern w:val="0"/>
          <w:sz w:val="24"/>
          <w:highlight w:val="none"/>
        </w:rPr>
        <w:t>…（页码）</w:t>
      </w:r>
    </w:p>
    <w:p w14:paraId="684C84FE">
      <w:pPr>
        <w:spacing w:line="360" w:lineRule="auto"/>
        <w:outlineLvl w:val="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（12）组织实施方案……………………………………………</w:t>
      </w:r>
      <w:r>
        <w:rPr>
          <w:rFonts w:hint="eastAsia" w:ascii="仿宋" w:hAnsi="仿宋" w:eastAsia="仿宋" w:cs="仿宋"/>
          <w:color w:val="auto"/>
          <w:highlight w:val="none"/>
        </w:rPr>
        <w:t>…………</w:t>
      </w:r>
      <w:r>
        <w:rPr>
          <w:rFonts w:hint="eastAsia" w:ascii="仿宋" w:hAnsi="仿宋" w:eastAsia="仿宋" w:cs="仿宋"/>
          <w:color w:val="auto"/>
          <w:kern w:val="0"/>
          <w:sz w:val="24"/>
          <w:highlight w:val="none"/>
        </w:rPr>
        <w:t>………（页码）</w:t>
      </w:r>
    </w:p>
    <w:p w14:paraId="5E706C00">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（13）售后服务方案……………………………………………</w:t>
      </w:r>
      <w:r>
        <w:rPr>
          <w:rFonts w:hint="eastAsia" w:ascii="仿宋" w:hAnsi="仿宋" w:eastAsia="仿宋" w:cs="仿宋"/>
          <w:color w:val="auto"/>
          <w:highlight w:val="none"/>
        </w:rPr>
        <w:t>…………</w:t>
      </w:r>
      <w:r>
        <w:rPr>
          <w:rFonts w:hint="eastAsia" w:ascii="仿宋" w:hAnsi="仿宋" w:eastAsia="仿宋" w:cs="仿宋"/>
          <w:color w:val="auto"/>
          <w:kern w:val="0"/>
          <w:sz w:val="24"/>
          <w:highlight w:val="none"/>
        </w:rPr>
        <w:t>………（页码）</w:t>
      </w:r>
    </w:p>
    <w:p w14:paraId="791E4221">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（14）项目小组人员名单………………………………………</w:t>
      </w:r>
      <w:r>
        <w:rPr>
          <w:rFonts w:hint="eastAsia" w:ascii="仿宋" w:hAnsi="仿宋" w:eastAsia="仿宋" w:cs="仿宋"/>
          <w:color w:val="auto"/>
          <w:highlight w:val="none"/>
        </w:rPr>
        <w:t>…………</w:t>
      </w:r>
      <w:r>
        <w:rPr>
          <w:rFonts w:hint="eastAsia" w:ascii="仿宋" w:hAnsi="仿宋" w:eastAsia="仿宋" w:cs="仿宋"/>
          <w:color w:val="auto"/>
          <w:kern w:val="0"/>
          <w:sz w:val="24"/>
          <w:highlight w:val="none"/>
        </w:rPr>
        <w:t>………（页码）</w:t>
      </w:r>
    </w:p>
    <w:p w14:paraId="40B2DBBE">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（15）</w:t>
      </w:r>
      <w:r>
        <w:rPr>
          <w:rFonts w:hint="eastAsia" w:ascii="仿宋" w:hAnsi="仿宋" w:eastAsia="仿宋" w:cs="仿宋"/>
          <w:color w:val="auto"/>
          <w:kern w:val="0"/>
          <w:sz w:val="24"/>
          <w:highlight w:val="none"/>
          <w:lang w:val="zh-CN"/>
        </w:rPr>
        <w:t>优惠条件及特殊承诺……………………………………</w:t>
      </w:r>
      <w:r>
        <w:rPr>
          <w:rFonts w:hint="eastAsia" w:ascii="仿宋" w:hAnsi="仿宋" w:eastAsia="仿宋" w:cs="仿宋"/>
          <w:color w:val="auto"/>
          <w:highlight w:val="none"/>
        </w:rPr>
        <w:t>…………</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rPr>
        <w:t>（页码）</w:t>
      </w:r>
    </w:p>
    <w:p w14:paraId="1AC4979B">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培训计划………………………………………………………</w:t>
      </w:r>
      <w:r>
        <w:rPr>
          <w:rFonts w:hint="eastAsia" w:ascii="仿宋" w:hAnsi="仿宋" w:eastAsia="仿宋" w:cs="仿宋"/>
          <w:color w:val="auto"/>
          <w:highlight w:val="none"/>
        </w:rPr>
        <w:t>…………</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rPr>
        <w:t>（页码）</w:t>
      </w:r>
    </w:p>
    <w:p w14:paraId="6E1D0CE8">
      <w:pPr>
        <w:spacing w:line="360" w:lineRule="auto"/>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7</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认为需要的其他商务技术（资信）文件或说明………………</w:t>
      </w:r>
      <w:r>
        <w:rPr>
          <w:rFonts w:hint="eastAsia" w:ascii="仿宋" w:hAnsi="仿宋" w:eastAsia="仿宋" w:cs="仿宋"/>
          <w:color w:val="auto"/>
          <w:highlight w:val="none"/>
        </w:rPr>
        <w:t>…………</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rPr>
        <w:t>（页码）</w:t>
      </w:r>
    </w:p>
    <w:p w14:paraId="3E04AA77">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注：以上目录是基本格式要求，各投标人可根据自身情况和评分标准进一步细化。</w:t>
      </w:r>
    </w:p>
    <w:p w14:paraId="5750D199">
      <w:pPr>
        <w:pageBreakBefore/>
        <w:spacing w:line="800" w:lineRule="exac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 xml:space="preserve">1、法定代表人授权委托书（格式） </w:t>
      </w:r>
    </w:p>
    <w:p w14:paraId="0732A408">
      <w:pPr>
        <w:jc w:val="center"/>
        <w:rPr>
          <w:rFonts w:hint="eastAsia" w:ascii="仿宋" w:hAnsi="仿宋" w:eastAsia="仿宋" w:cs="仿宋"/>
          <w:b/>
          <w:color w:val="auto"/>
          <w:sz w:val="24"/>
          <w:highlight w:val="none"/>
        </w:rPr>
      </w:pPr>
    </w:p>
    <w:p w14:paraId="2EEB39C0">
      <w:pPr>
        <w:snapToGrid w:val="0"/>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本授权委托书声明：我</w:t>
      </w:r>
      <w:r>
        <w:rPr>
          <w:rFonts w:hint="eastAsia" w:ascii="仿宋" w:hAnsi="仿宋" w:eastAsia="仿宋" w:cs="仿宋"/>
          <w:color w:val="auto"/>
          <w:sz w:val="24"/>
          <w:highlight w:val="none"/>
          <w:u w:val="single"/>
        </w:rPr>
        <w:t xml:space="preserve">         (填写姓名)</w:t>
      </w: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（填写投标人单位全称）</w:t>
      </w:r>
      <w:r>
        <w:rPr>
          <w:rFonts w:hint="eastAsia" w:ascii="仿宋" w:hAnsi="仿宋" w:eastAsia="仿宋" w:cs="仿宋"/>
          <w:color w:val="auto"/>
          <w:sz w:val="24"/>
          <w:highlight w:val="none"/>
        </w:rPr>
        <w:t>的法定代表人，现授权委托</w:t>
      </w:r>
      <w:r>
        <w:rPr>
          <w:rFonts w:hint="eastAsia" w:ascii="仿宋" w:hAnsi="仿宋" w:eastAsia="仿宋" w:cs="仿宋"/>
          <w:color w:val="auto"/>
          <w:sz w:val="24"/>
          <w:highlight w:val="none"/>
          <w:u w:val="single"/>
        </w:rPr>
        <w:t xml:space="preserve">                  （填写单位全称）</w:t>
      </w:r>
      <w:r>
        <w:rPr>
          <w:rFonts w:hint="eastAsia" w:ascii="仿宋" w:hAnsi="仿宋" w:eastAsia="仿宋" w:cs="仿宋"/>
          <w:color w:val="auto"/>
          <w:sz w:val="24"/>
          <w:highlight w:val="none"/>
        </w:rPr>
        <w:t>的（填写姓名）为我公司授权代表，</w:t>
      </w:r>
      <w:r>
        <w:rPr>
          <w:rFonts w:hint="eastAsia" w:ascii="仿宋" w:hAnsi="仿宋" w:eastAsia="仿宋" w:cs="仿宋"/>
          <w:color w:val="auto"/>
          <w:sz w:val="24"/>
          <w:highlight w:val="none"/>
          <w:u w:val="single"/>
        </w:rPr>
        <w:t>（填写身份证号码：                       ）</w:t>
      </w:r>
      <w:r>
        <w:rPr>
          <w:rFonts w:hint="eastAsia" w:ascii="仿宋" w:hAnsi="仿宋" w:eastAsia="仿宋" w:cs="仿宋"/>
          <w:color w:val="auto"/>
          <w:sz w:val="24"/>
          <w:highlight w:val="none"/>
        </w:rPr>
        <w:t>。以本公司的名义参加</w:t>
      </w:r>
      <w:r>
        <w:rPr>
          <w:rFonts w:hint="eastAsia" w:ascii="仿宋" w:hAnsi="仿宋" w:eastAsia="仿宋" w:cs="仿宋"/>
          <w:color w:val="auto"/>
          <w:sz w:val="24"/>
          <w:highlight w:val="none"/>
          <w:u w:val="single"/>
        </w:rPr>
        <w:t>绍兴市中医院、泰宇建筑工程技术咨询有限公司</w:t>
      </w:r>
      <w:r>
        <w:rPr>
          <w:rFonts w:hint="eastAsia" w:ascii="仿宋" w:hAnsi="仿宋" w:eastAsia="仿宋" w:cs="仿宋"/>
          <w:color w:val="auto"/>
          <w:sz w:val="24"/>
          <w:highlight w:val="none"/>
        </w:rPr>
        <w:t>组织的</w:t>
      </w:r>
      <w:r>
        <w:rPr>
          <w:rFonts w:hint="eastAsia" w:ascii="仿宋" w:hAnsi="仿宋" w:eastAsia="仿宋" w:cs="仿宋"/>
          <w:color w:val="auto"/>
          <w:sz w:val="24"/>
          <w:highlight w:val="none"/>
          <w:u w:val="single"/>
          <w:lang w:eastAsia="zh-CN"/>
        </w:rPr>
        <w:t>2026年职工疗休养项目</w:t>
      </w:r>
      <w:r>
        <w:rPr>
          <w:rFonts w:hint="eastAsia" w:ascii="仿宋" w:hAnsi="仿宋" w:eastAsia="仿宋" w:cs="仿宋"/>
          <w:color w:val="auto"/>
          <w:sz w:val="24"/>
          <w:highlight w:val="none"/>
        </w:rPr>
        <w:t>投标活动。授权代表在开标、评标、合同谈判过程中所签署的一切文件和处理与之有关的一切事务，我均予以承认。</w:t>
      </w:r>
    </w:p>
    <w:p w14:paraId="1365B4F3">
      <w:pPr>
        <w:snapToGrid w:val="0"/>
        <w:spacing w:line="5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在撤销授权的书面通知以前，本授权书一直有效。全权代表在授权书有效期内签署的所有文件不因授权的撤销而失效。</w:t>
      </w:r>
    </w:p>
    <w:p w14:paraId="771E20B3">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授权代表无转委托权。特此委托。</w:t>
      </w:r>
    </w:p>
    <w:p w14:paraId="45600C3C">
      <w:pPr>
        <w:snapToGrid w:val="0"/>
        <w:spacing w:line="600" w:lineRule="exact"/>
        <w:jc w:val="left"/>
        <w:rPr>
          <w:rFonts w:hint="eastAsia" w:ascii="仿宋" w:hAnsi="仿宋" w:eastAsia="仿宋" w:cs="仿宋"/>
          <w:color w:val="auto"/>
          <w:sz w:val="24"/>
          <w:highlight w:val="none"/>
        </w:rPr>
      </w:pPr>
    </w:p>
    <w:p w14:paraId="27F95E4B">
      <w:pP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授权代表姓名：              性别：               年龄：</w:t>
      </w:r>
    </w:p>
    <w:p w14:paraId="60248633">
      <w:pPr>
        <w:spacing w:line="360" w:lineRule="exact"/>
        <w:rPr>
          <w:rFonts w:hint="eastAsia" w:ascii="仿宋" w:hAnsi="仿宋" w:eastAsia="仿宋" w:cs="仿宋"/>
          <w:color w:val="auto"/>
          <w:sz w:val="24"/>
          <w:highlight w:val="none"/>
        </w:rPr>
      </w:pPr>
    </w:p>
    <w:p w14:paraId="505E8CED">
      <w:pP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单位：                      部门：               职务：</w:t>
      </w:r>
    </w:p>
    <w:p w14:paraId="1AB7D940">
      <w:pPr>
        <w:spacing w:line="360" w:lineRule="exact"/>
        <w:rPr>
          <w:rFonts w:hint="eastAsia" w:ascii="仿宋" w:hAnsi="仿宋" w:eastAsia="仿宋" w:cs="仿宋"/>
          <w:color w:val="auto"/>
          <w:sz w:val="24"/>
          <w:highlight w:val="none"/>
        </w:rPr>
      </w:pPr>
    </w:p>
    <w:p w14:paraId="4286E816">
      <w:pPr>
        <w:widowControl/>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办公地址：                  联系电话：           传真：</w:t>
      </w:r>
    </w:p>
    <w:p w14:paraId="4404CC25">
      <w:pPr>
        <w:spacing w:line="360" w:lineRule="exact"/>
        <w:rPr>
          <w:rFonts w:hint="eastAsia" w:ascii="仿宋" w:hAnsi="仿宋" w:eastAsia="仿宋" w:cs="仿宋"/>
          <w:color w:val="auto"/>
          <w:sz w:val="24"/>
          <w:highlight w:val="none"/>
        </w:rPr>
      </w:pPr>
    </w:p>
    <w:p w14:paraId="2E792A73">
      <w:pPr>
        <w:spacing w:line="360" w:lineRule="exact"/>
        <w:rPr>
          <w:rFonts w:hint="eastAsia" w:ascii="仿宋" w:hAnsi="仿宋" w:eastAsia="仿宋" w:cs="仿宋"/>
          <w:color w:val="auto"/>
          <w:sz w:val="24"/>
          <w:highlight w:val="none"/>
        </w:rPr>
      </w:pPr>
    </w:p>
    <w:p w14:paraId="71FF84E1">
      <w:pP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投标人（盖章）：</w:t>
      </w:r>
    </w:p>
    <w:p w14:paraId="3194452E">
      <w:pPr>
        <w:spacing w:line="360" w:lineRule="exact"/>
        <w:rPr>
          <w:rFonts w:hint="eastAsia" w:ascii="仿宋" w:hAnsi="仿宋" w:eastAsia="仿宋" w:cs="仿宋"/>
          <w:color w:val="auto"/>
          <w:sz w:val="24"/>
          <w:highlight w:val="none"/>
        </w:rPr>
      </w:pPr>
    </w:p>
    <w:p w14:paraId="1896BB51">
      <w:pPr>
        <w:spacing w:line="360" w:lineRule="exact"/>
        <w:rPr>
          <w:rFonts w:hint="eastAsia" w:ascii="仿宋" w:hAnsi="仿宋" w:eastAsia="仿宋" w:cs="仿宋"/>
          <w:color w:val="auto"/>
          <w:sz w:val="24"/>
          <w:highlight w:val="none"/>
        </w:rPr>
      </w:pPr>
    </w:p>
    <w:p w14:paraId="0E3B4CAA">
      <w:pPr>
        <w:spacing w:line="3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法定代表人（签字或盖章）：</w:t>
      </w:r>
    </w:p>
    <w:p w14:paraId="67F0697B">
      <w:pPr>
        <w:spacing w:line="360" w:lineRule="exact"/>
        <w:rPr>
          <w:rFonts w:hint="eastAsia" w:ascii="仿宋" w:hAnsi="仿宋" w:eastAsia="仿宋" w:cs="仿宋"/>
          <w:color w:val="auto"/>
          <w:sz w:val="24"/>
          <w:highlight w:val="none"/>
        </w:rPr>
      </w:pPr>
    </w:p>
    <w:p w14:paraId="0A7EC239">
      <w:pPr>
        <w:spacing w:line="360" w:lineRule="exact"/>
        <w:rPr>
          <w:rFonts w:hint="eastAsia" w:ascii="仿宋" w:hAnsi="仿宋" w:eastAsia="仿宋" w:cs="仿宋"/>
          <w:color w:val="auto"/>
          <w:sz w:val="24"/>
          <w:highlight w:val="none"/>
        </w:rPr>
      </w:pPr>
    </w:p>
    <w:p w14:paraId="2B49F6F8">
      <w:pPr>
        <w:ind w:firstLine="5280" w:firstLineChars="2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320022E3">
      <w:pPr>
        <w:ind w:firstLine="4920" w:firstLineChars="2050"/>
        <w:jc w:val="left"/>
        <w:rPr>
          <w:rFonts w:hint="eastAsia" w:ascii="仿宋" w:hAnsi="仿宋" w:eastAsia="仿宋" w:cs="仿宋"/>
          <w:color w:val="auto"/>
          <w:sz w:val="24"/>
          <w:highlight w:val="none"/>
        </w:rPr>
      </w:pPr>
    </w:p>
    <w:p w14:paraId="2A61B6B7">
      <w:pPr>
        <w:spacing w:line="800" w:lineRule="exact"/>
        <w:rPr>
          <w:rFonts w:hint="eastAsia" w:ascii="仿宋" w:hAnsi="仿宋" w:eastAsia="仿宋" w:cs="仿宋"/>
          <w:b/>
          <w:color w:val="auto"/>
          <w:sz w:val="24"/>
          <w:highlight w:val="none"/>
        </w:rPr>
      </w:pPr>
    </w:p>
    <w:p w14:paraId="3A9F454B">
      <w:pPr>
        <w:pageBreakBefore/>
        <w:spacing w:line="800" w:lineRule="exac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2、授权代表社保证明（复印件）</w:t>
      </w:r>
    </w:p>
    <w:p w14:paraId="05825863">
      <w:pPr>
        <w:spacing w:line="800" w:lineRule="exact"/>
        <w:ind w:firstLine="480" w:firstLineChars="200"/>
        <w:rPr>
          <w:rFonts w:hint="eastAsia" w:ascii="仿宋" w:hAnsi="仿宋" w:eastAsia="仿宋" w:cs="仿宋"/>
          <w:color w:val="auto"/>
          <w:sz w:val="24"/>
          <w:highlight w:val="none"/>
          <w:u w:val="wave"/>
        </w:rPr>
      </w:pPr>
      <w:r>
        <w:rPr>
          <w:rFonts w:hint="eastAsia" w:ascii="仿宋" w:hAnsi="仿宋" w:eastAsia="仿宋" w:cs="仿宋"/>
          <w:color w:val="auto"/>
          <w:sz w:val="24"/>
          <w:highlight w:val="none"/>
          <w:u w:val="wave"/>
        </w:rPr>
        <w:t>出具距投标截止时间一个月以内的社保机构盖公章的授权代表社保缴纳证明（如授权代表为离退休返聘人员的，投标响应文件技术部分内需提供退休证明及单位聘用证明；如由第三方代理社保事项的，则需提供委托代理协议复印件），格式自拟。</w:t>
      </w:r>
      <w:r>
        <w:rPr>
          <w:rFonts w:hint="eastAsia" w:ascii="仿宋" w:hAnsi="仿宋" w:eastAsia="仿宋" w:cs="仿宋"/>
          <w:b/>
          <w:color w:val="auto"/>
          <w:sz w:val="24"/>
          <w:highlight w:val="none"/>
        </w:rPr>
        <w:t>未提供上述证明的投标做无效投标处理。</w:t>
      </w:r>
    </w:p>
    <w:p w14:paraId="1C39440C">
      <w:pPr>
        <w:spacing w:line="800" w:lineRule="exact"/>
        <w:ind w:firstLine="4320" w:firstLineChars="1800"/>
        <w:rPr>
          <w:rFonts w:hint="eastAsia" w:ascii="仿宋" w:hAnsi="仿宋" w:eastAsia="仿宋" w:cs="仿宋"/>
          <w:color w:val="auto"/>
          <w:sz w:val="24"/>
          <w:highlight w:val="none"/>
        </w:rPr>
      </w:pPr>
    </w:p>
    <w:p w14:paraId="58B577E1">
      <w:pPr>
        <w:spacing w:line="800" w:lineRule="exact"/>
        <w:ind w:firstLine="4337" w:firstLineChars="1800"/>
        <w:rPr>
          <w:rFonts w:hint="eastAsia" w:ascii="仿宋" w:hAnsi="仿宋" w:eastAsia="仿宋" w:cs="仿宋"/>
          <w:b/>
          <w:color w:val="auto"/>
          <w:sz w:val="24"/>
          <w:highlight w:val="none"/>
        </w:rPr>
      </w:pPr>
    </w:p>
    <w:p w14:paraId="69FD2477">
      <w:pPr>
        <w:spacing w:line="800" w:lineRule="exac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3、法定代表人及其授权代表身份证复印件（正反面）</w:t>
      </w:r>
    </w:p>
    <w:p w14:paraId="2EB81194">
      <w:pPr>
        <w:spacing w:line="800" w:lineRule="exact"/>
        <w:rPr>
          <w:rFonts w:hint="eastAsia" w:ascii="仿宋" w:hAnsi="仿宋" w:eastAsia="仿宋" w:cs="仿宋"/>
          <w:b/>
          <w:color w:val="auto"/>
          <w:sz w:val="24"/>
          <w:highlight w:val="none"/>
        </w:rPr>
      </w:pPr>
    </w:p>
    <w:p w14:paraId="08050BAE">
      <w:pPr>
        <w:spacing w:line="800" w:lineRule="exact"/>
        <w:rPr>
          <w:rFonts w:hint="eastAsia" w:ascii="仿宋" w:hAnsi="仿宋" w:eastAsia="仿宋" w:cs="仿宋"/>
          <w:b/>
          <w:color w:val="auto"/>
          <w:sz w:val="24"/>
          <w:highlight w:val="none"/>
        </w:rPr>
      </w:pPr>
    </w:p>
    <w:p w14:paraId="0893D7B5">
      <w:pPr>
        <w:spacing w:line="800" w:lineRule="exac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4、法定代表人身份证明书(格式)</w:t>
      </w:r>
    </w:p>
    <w:p w14:paraId="62F2E5AC">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 标 人：</w:t>
      </w:r>
      <w:r>
        <w:rPr>
          <w:rFonts w:hint="eastAsia" w:ascii="仿宋" w:hAnsi="仿宋" w:eastAsia="仿宋" w:cs="仿宋"/>
          <w:color w:val="auto"/>
          <w:sz w:val="24"/>
          <w:highlight w:val="none"/>
          <w:u w:val="single"/>
        </w:rPr>
        <w:t xml:space="preserve">                          </w:t>
      </w:r>
    </w:p>
    <w:p w14:paraId="4C4DDEF7">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 xml:space="preserve">                          </w:t>
      </w:r>
    </w:p>
    <w:p w14:paraId="712A1E08">
      <w:pPr>
        <w:spacing w:line="440" w:lineRule="exact"/>
        <w:ind w:right="281" w:rightChars="134"/>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姓    名：</w:t>
      </w:r>
      <w:r>
        <w:rPr>
          <w:rFonts w:hint="eastAsia" w:ascii="仿宋" w:hAnsi="仿宋" w:eastAsia="仿宋" w:cs="仿宋"/>
          <w:color w:val="auto"/>
          <w:sz w:val="24"/>
          <w:highlight w:val="none"/>
          <w:u w:val="single"/>
        </w:rPr>
        <w:t xml:space="preserve">                          </w:t>
      </w:r>
    </w:p>
    <w:p w14:paraId="4C6B44FF">
      <w:pPr>
        <w:spacing w:line="440" w:lineRule="exact"/>
        <w:ind w:right="281" w:rightChars="134"/>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身份证号码：</w:t>
      </w:r>
      <w:r>
        <w:rPr>
          <w:rFonts w:hint="eastAsia" w:ascii="仿宋" w:hAnsi="仿宋" w:eastAsia="仿宋" w:cs="仿宋"/>
          <w:color w:val="auto"/>
          <w:sz w:val="24"/>
          <w:highlight w:val="none"/>
          <w:u w:val="single"/>
        </w:rPr>
        <w:t xml:space="preserve">                        </w:t>
      </w:r>
    </w:p>
    <w:p w14:paraId="6E9B8707">
      <w:pPr>
        <w:spacing w:line="440" w:lineRule="exact"/>
        <w:ind w:right="281" w:rightChars="134"/>
        <w:rPr>
          <w:rFonts w:hint="eastAsia" w:ascii="仿宋" w:hAnsi="仿宋" w:eastAsia="仿宋" w:cs="仿宋"/>
          <w:color w:val="auto"/>
          <w:sz w:val="24"/>
          <w:highlight w:val="none"/>
        </w:rPr>
      </w:pPr>
      <w:r>
        <w:rPr>
          <w:rFonts w:hint="eastAsia" w:ascii="仿宋" w:hAnsi="仿宋" w:eastAsia="仿宋" w:cs="仿宋"/>
          <w:color w:val="auto"/>
          <w:sz w:val="24"/>
          <w:highlight w:val="none"/>
        </w:rPr>
        <w:t>职   务：</w:t>
      </w:r>
      <w:r>
        <w:rPr>
          <w:rFonts w:hint="eastAsia" w:ascii="仿宋" w:hAnsi="仿宋" w:eastAsia="仿宋" w:cs="仿宋"/>
          <w:color w:val="auto"/>
          <w:sz w:val="24"/>
          <w:highlight w:val="none"/>
          <w:u w:val="single"/>
        </w:rPr>
        <w:t xml:space="preserve">                           </w:t>
      </w:r>
    </w:p>
    <w:p w14:paraId="10CC5A87">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（填写投标人名称）</w:t>
      </w:r>
      <w:r>
        <w:rPr>
          <w:rFonts w:hint="eastAsia" w:ascii="仿宋" w:hAnsi="仿宋" w:eastAsia="仿宋" w:cs="仿宋"/>
          <w:color w:val="auto"/>
          <w:sz w:val="24"/>
          <w:highlight w:val="none"/>
        </w:rPr>
        <w:t>的法定代表人。</w:t>
      </w:r>
    </w:p>
    <w:p w14:paraId="57909467">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14:paraId="419A6312">
      <w:pPr>
        <w:spacing w:line="440" w:lineRule="exact"/>
        <w:rPr>
          <w:rFonts w:hint="eastAsia" w:ascii="仿宋" w:hAnsi="仿宋" w:eastAsia="仿宋" w:cs="仿宋"/>
          <w:color w:val="auto"/>
          <w:sz w:val="24"/>
          <w:highlight w:val="none"/>
        </w:rPr>
      </w:pPr>
    </w:p>
    <w:p w14:paraId="7279AB63">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                             （盖章）</w:t>
      </w:r>
    </w:p>
    <w:p w14:paraId="2876742C">
      <w:pPr>
        <w:spacing w:line="440" w:lineRule="exact"/>
        <w:ind w:right="480"/>
        <w:rPr>
          <w:rFonts w:hint="eastAsia" w:ascii="仿宋" w:hAnsi="仿宋" w:eastAsia="仿宋" w:cs="仿宋"/>
          <w:color w:val="auto"/>
          <w:sz w:val="24"/>
          <w:highlight w:val="none"/>
        </w:rPr>
      </w:pPr>
    </w:p>
    <w:p w14:paraId="75A7F28F">
      <w:pPr>
        <w:spacing w:line="440" w:lineRule="exact"/>
        <w:ind w:right="72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14:paraId="5D0AB195">
      <w:pPr>
        <w:pageBreakBefore/>
        <w:spacing w:after="240" w:afterLines="100"/>
        <w:rPr>
          <w:rFonts w:hint="eastAsia" w:ascii="仿宋" w:hAnsi="仿宋" w:eastAsia="仿宋" w:cs="仿宋"/>
          <w:b/>
          <w:color w:val="auto"/>
          <w:kern w:val="0"/>
          <w:sz w:val="32"/>
          <w:szCs w:val="32"/>
          <w:highlight w:val="none"/>
        </w:rPr>
      </w:pPr>
      <w:r>
        <w:rPr>
          <w:rFonts w:hint="eastAsia" w:ascii="仿宋" w:hAnsi="仿宋" w:eastAsia="仿宋" w:cs="仿宋"/>
          <w:b/>
          <w:color w:val="auto"/>
          <w:sz w:val="30"/>
          <w:szCs w:val="30"/>
          <w:highlight w:val="none"/>
        </w:rPr>
        <w:t>5、资格审查有关的书面承诺函</w:t>
      </w:r>
    </w:p>
    <w:p w14:paraId="3354ECF5">
      <w:pPr>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绍兴市中医院、泰宇建筑工程技术咨询有限公司</w:t>
      </w:r>
      <w:r>
        <w:rPr>
          <w:rFonts w:hint="eastAsia" w:ascii="仿宋" w:hAnsi="仿宋" w:eastAsia="仿宋" w:cs="仿宋"/>
          <w:color w:val="auto"/>
          <w:kern w:val="0"/>
          <w:sz w:val="24"/>
          <w:highlight w:val="none"/>
          <w:lang w:val="zh-CN"/>
        </w:rPr>
        <w:t>：</w:t>
      </w:r>
    </w:p>
    <w:p w14:paraId="3855D127">
      <w:pP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我方郑重承诺，已具有绍兴市中医院</w:t>
      </w:r>
      <w:r>
        <w:rPr>
          <w:rFonts w:hint="eastAsia" w:ascii="仿宋" w:hAnsi="仿宋" w:eastAsia="仿宋" w:cs="仿宋"/>
          <w:color w:val="auto"/>
          <w:sz w:val="24"/>
          <w:highlight w:val="none"/>
          <w:lang w:eastAsia="zh-CN"/>
        </w:rPr>
        <w:t>2026年职工疗休养项目</w:t>
      </w:r>
      <w:r>
        <w:rPr>
          <w:rFonts w:hint="eastAsia" w:ascii="仿宋" w:hAnsi="仿宋" w:eastAsia="仿宋" w:cs="仿宋"/>
          <w:color w:val="auto"/>
          <w:sz w:val="24"/>
          <w:highlight w:val="none"/>
        </w:rPr>
        <w:t>（招标编号:</w:t>
      </w:r>
      <w:r>
        <w:rPr>
          <w:rFonts w:hint="eastAsia" w:ascii="仿宋" w:hAnsi="仿宋" w:eastAsia="仿宋" w:cs="仿宋"/>
          <w:color w:val="auto"/>
          <w:sz w:val="24"/>
          <w:highlight w:val="none"/>
          <w:lang w:eastAsia="zh-CN"/>
        </w:rPr>
        <w:t>TYJZ2026</w:t>
      </w:r>
      <w:r>
        <w:rPr>
          <w:rFonts w:hint="eastAsia" w:ascii="仿宋" w:hAnsi="仿宋" w:eastAsia="仿宋" w:cs="仿宋"/>
          <w:color w:val="auto"/>
          <w:sz w:val="24"/>
          <w:highlight w:val="none"/>
        </w:rPr>
        <w:t>）招标文件中关于申请人资格要求的下列条件：</w:t>
      </w:r>
    </w:p>
    <w:p w14:paraId="02A2EA04">
      <w:pPr>
        <w:pStyle w:val="72"/>
        <w:widowControl w:val="0"/>
        <w:spacing w:afterLines="0" w:line="440" w:lineRule="exact"/>
        <w:ind w:firstLine="480"/>
        <w:jc w:val="left"/>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szCs w:val="24"/>
          <w:highlight w:val="none"/>
        </w:rPr>
        <w:t>符合《中华人民共和国政府采购法》第二十二条的规定：</w:t>
      </w:r>
      <w:r>
        <w:rPr>
          <w:rFonts w:hint="eastAsia" w:ascii="仿宋" w:hAnsi="仿宋" w:eastAsia="仿宋" w:cs="仿宋"/>
          <w:color w:val="auto"/>
          <w:highlight w:val="none"/>
        </w:rPr>
        <w:t xml:space="preserve"> </w:t>
      </w:r>
    </w:p>
    <w:p w14:paraId="7CD7BA7E">
      <w:pPr>
        <w:pStyle w:val="24"/>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具有独立承担民事责任的能力（如投标人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w:t>
      </w:r>
    </w:p>
    <w:p w14:paraId="79FD466E">
      <w:pP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(二）具有良好的商业信誉和健全的财务会计制度；</w:t>
      </w:r>
    </w:p>
    <w:p w14:paraId="6AF3CD18">
      <w:pP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(三）具有履行合同所必需的设备和专业技术能力；</w:t>
      </w:r>
    </w:p>
    <w:p w14:paraId="1B24D3E4">
      <w:pP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(四）有依法缴纳税收和社会保障资金的良好记录；</w:t>
      </w:r>
    </w:p>
    <w:p w14:paraId="77127342">
      <w:pPr>
        <w:snapToGrid w:val="0"/>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(五）参加政府采购活动前三年内，在经营活动中没有重大违法记录。</w:t>
      </w:r>
    </w:p>
    <w:p w14:paraId="3D5F1E01">
      <w:pPr>
        <w:spacing w:line="440" w:lineRule="exact"/>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val="zh-CN"/>
        </w:rPr>
        <w:t>我公司</w:t>
      </w:r>
      <w:r>
        <w:rPr>
          <w:rFonts w:hint="eastAsia" w:ascii="仿宋" w:hAnsi="仿宋" w:eastAsia="仿宋" w:cs="仿宋"/>
          <w:color w:val="auto"/>
          <w:sz w:val="24"/>
          <w:highlight w:val="none"/>
        </w:rPr>
        <w:t>声明参加本次政府采购活动前三年内未</w:t>
      </w:r>
      <w:r>
        <w:rPr>
          <w:rFonts w:hint="eastAsia" w:ascii="仿宋" w:hAnsi="仿宋" w:eastAsia="仿宋" w:cs="仿宋"/>
          <w:color w:val="auto"/>
          <w:sz w:val="24"/>
          <w:szCs w:val="20"/>
          <w:highlight w:val="none"/>
        </w:rPr>
        <w:t>被列入“黑名单”</w:t>
      </w:r>
      <w:r>
        <w:rPr>
          <w:rFonts w:hint="eastAsia" w:ascii="仿宋" w:hAnsi="仿宋" w:eastAsia="仿宋" w:cs="仿宋"/>
          <w:color w:val="auto"/>
          <w:sz w:val="24"/>
          <w:highlight w:val="none"/>
        </w:rPr>
        <w:t>，</w:t>
      </w:r>
      <w:r>
        <w:rPr>
          <w:rFonts w:hint="eastAsia" w:ascii="仿宋" w:hAnsi="仿宋" w:eastAsia="仿宋" w:cs="仿宋"/>
          <w:color w:val="auto"/>
          <w:sz w:val="24"/>
          <w:szCs w:val="20"/>
          <w:highlight w:val="none"/>
        </w:rPr>
        <w:t>我方通过“信用中国”网站（www.creditchina.gov.cn）、中国政府采购网（www.ccgp.gov.cn）查询，未被列入失信被执行人、重大税收违法案件当事人名单、政府采购严重违法失信行为记录名单。</w:t>
      </w:r>
    </w:p>
    <w:p w14:paraId="4B908666">
      <w:pPr>
        <w:spacing w:line="360" w:lineRule="auto"/>
        <w:ind w:firstLine="480" w:firstLineChars="200"/>
        <w:rPr>
          <w:rFonts w:hint="eastAsia" w:ascii="仿宋" w:hAnsi="仿宋" w:eastAsia="仿宋" w:cs="仿宋"/>
          <w:color w:val="auto"/>
          <w:sz w:val="24"/>
          <w:szCs w:val="20"/>
          <w:highlight w:val="none"/>
        </w:rPr>
      </w:pPr>
    </w:p>
    <w:p w14:paraId="6DA68140">
      <w:pPr>
        <w:spacing w:line="360" w:lineRule="auto"/>
        <w:ind w:firstLine="480" w:firstLineChars="200"/>
        <w:rPr>
          <w:rFonts w:hint="eastAsia" w:ascii="仿宋" w:hAnsi="仿宋" w:eastAsia="仿宋" w:cs="仿宋"/>
          <w:color w:val="auto"/>
          <w:sz w:val="24"/>
          <w:szCs w:val="20"/>
          <w:highlight w:val="none"/>
        </w:rPr>
      </w:pPr>
    </w:p>
    <w:p w14:paraId="4488529C">
      <w:pPr>
        <w:spacing w:line="360" w:lineRule="auto"/>
        <w:ind w:firstLine="480" w:firstLineChars="200"/>
        <w:rPr>
          <w:rFonts w:hint="eastAsia" w:ascii="仿宋" w:hAnsi="仿宋" w:eastAsia="仿宋" w:cs="仿宋"/>
          <w:color w:val="auto"/>
          <w:sz w:val="24"/>
          <w:szCs w:val="20"/>
          <w:highlight w:val="none"/>
        </w:rPr>
      </w:pPr>
    </w:p>
    <w:p w14:paraId="76661001">
      <w:pPr>
        <w:spacing w:line="360" w:lineRule="auto"/>
        <w:ind w:firstLine="480" w:firstLineChars="200"/>
        <w:rPr>
          <w:rFonts w:hint="eastAsia" w:ascii="仿宋" w:hAnsi="仿宋" w:eastAsia="仿宋" w:cs="仿宋"/>
          <w:color w:val="auto"/>
          <w:sz w:val="24"/>
          <w:szCs w:val="20"/>
          <w:highlight w:val="none"/>
        </w:rPr>
      </w:pPr>
    </w:p>
    <w:p w14:paraId="7E224090">
      <w:pPr>
        <w:spacing w:line="360" w:lineRule="auto"/>
        <w:ind w:firstLine="480" w:firstLineChars="200"/>
        <w:rPr>
          <w:rFonts w:hint="eastAsia" w:ascii="仿宋" w:hAnsi="仿宋" w:eastAsia="仿宋" w:cs="仿宋"/>
          <w:color w:val="auto"/>
          <w:sz w:val="24"/>
          <w:szCs w:val="20"/>
          <w:highlight w:val="none"/>
        </w:rPr>
      </w:pPr>
    </w:p>
    <w:p w14:paraId="2CCCE368">
      <w:pPr>
        <w:spacing w:line="360" w:lineRule="auto"/>
        <w:ind w:firstLine="480" w:firstLineChars="200"/>
        <w:rPr>
          <w:rFonts w:hint="eastAsia" w:ascii="仿宋" w:hAnsi="仿宋" w:eastAsia="仿宋" w:cs="仿宋"/>
          <w:color w:val="auto"/>
          <w:sz w:val="24"/>
          <w:szCs w:val="20"/>
          <w:highlight w:val="none"/>
        </w:rPr>
      </w:pPr>
    </w:p>
    <w:p w14:paraId="3894351F">
      <w:pPr>
        <w:spacing w:line="360" w:lineRule="auto"/>
        <w:ind w:firstLine="480" w:firstLineChars="200"/>
        <w:rPr>
          <w:rFonts w:hint="eastAsia" w:ascii="仿宋" w:hAnsi="仿宋" w:eastAsia="仿宋" w:cs="仿宋"/>
          <w:color w:val="auto"/>
          <w:sz w:val="24"/>
          <w:szCs w:val="20"/>
          <w:highlight w:val="none"/>
        </w:rPr>
      </w:pPr>
    </w:p>
    <w:p w14:paraId="51156D78">
      <w:pPr>
        <w:snapToGrid w:val="0"/>
        <w:spacing w:line="360" w:lineRule="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投标人 (盖章)：</w:t>
      </w:r>
    </w:p>
    <w:p w14:paraId="04B34676">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 xml:space="preserve">                                  法定代表人或其授权代表(签字或盖章)：</w:t>
      </w:r>
    </w:p>
    <w:p w14:paraId="6F092FB2">
      <w:pPr>
        <w:snapToGrid w:val="0"/>
        <w:spacing w:line="360" w:lineRule="auto"/>
        <w:ind w:firstLine="5160" w:firstLineChars="215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月日</w:t>
      </w:r>
    </w:p>
    <w:p w14:paraId="4FB5B360">
      <w:pPr>
        <w:snapToGrid w:val="0"/>
        <w:spacing w:line="360" w:lineRule="auto"/>
        <w:rPr>
          <w:rFonts w:hint="eastAsia" w:ascii="仿宋" w:hAnsi="仿宋" w:eastAsia="仿宋" w:cs="仿宋"/>
          <w:b/>
          <w:color w:val="auto"/>
          <w:sz w:val="30"/>
          <w:szCs w:val="30"/>
          <w:highlight w:val="none"/>
        </w:rPr>
      </w:pPr>
    </w:p>
    <w:p w14:paraId="58BDDB30">
      <w:pPr>
        <w:pageBreakBefore/>
        <w:spacing w:line="360" w:lineRule="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6、特定资格条件要求的资质文件（复印件）</w:t>
      </w:r>
    </w:p>
    <w:p w14:paraId="7AEDDE2B">
      <w:pPr>
        <w:widowControl/>
        <w:spacing w:line="360" w:lineRule="auto"/>
        <w:ind w:firstLine="480" w:firstLineChars="200"/>
        <w:jc w:val="left"/>
        <w:rPr>
          <w:rFonts w:hint="eastAsia" w:ascii="仿宋" w:hAnsi="仿宋" w:eastAsia="仿宋" w:cs="仿宋"/>
          <w:b/>
          <w:bCs/>
          <w:color w:val="auto"/>
          <w:sz w:val="32"/>
          <w:szCs w:val="32"/>
          <w:highlight w:val="none"/>
        </w:rPr>
      </w:pPr>
      <w:r>
        <w:rPr>
          <w:rFonts w:hint="eastAsia" w:ascii="仿宋" w:hAnsi="仿宋" w:eastAsia="仿宋" w:cs="仿宋"/>
          <w:color w:val="auto"/>
          <w:sz w:val="24"/>
          <w:highlight w:val="none"/>
        </w:rPr>
        <w:t>（由投标人根据招标公告合格的投标人应具备的特定资格条件要求编制）</w:t>
      </w:r>
    </w:p>
    <w:p w14:paraId="373B7F5B">
      <w:pPr>
        <w:spacing w:line="360" w:lineRule="auto"/>
        <w:rPr>
          <w:rFonts w:hint="eastAsia" w:ascii="仿宋" w:hAnsi="仿宋" w:eastAsia="仿宋" w:cs="仿宋"/>
          <w:b/>
          <w:color w:val="auto"/>
          <w:sz w:val="30"/>
          <w:szCs w:val="30"/>
          <w:highlight w:val="none"/>
        </w:rPr>
      </w:pPr>
    </w:p>
    <w:p w14:paraId="3CD0B33E">
      <w:pPr>
        <w:spacing w:line="360" w:lineRule="auto"/>
        <w:rPr>
          <w:rFonts w:hint="eastAsia" w:ascii="仿宋" w:hAnsi="仿宋" w:eastAsia="仿宋" w:cs="仿宋"/>
          <w:b/>
          <w:color w:val="auto"/>
          <w:sz w:val="30"/>
          <w:szCs w:val="30"/>
          <w:highlight w:val="none"/>
        </w:rPr>
      </w:pPr>
    </w:p>
    <w:p w14:paraId="3E2AE9B5">
      <w:pPr>
        <w:spacing w:line="360" w:lineRule="auto"/>
        <w:rPr>
          <w:rFonts w:hint="eastAsia" w:ascii="仿宋" w:hAnsi="仿宋" w:eastAsia="仿宋" w:cs="仿宋"/>
          <w:b/>
          <w:color w:val="auto"/>
          <w:sz w:val="30"/>
          <w:szCs w:val="30"/>
          <w:highlight w:val="none"/>
        </w:rPr>
      </w:pPr>
    </w:p>
    <w:p w14:paraId="6F322DD4">
      <w:pPr>
        <w:spacing w:line="360" w:lineRule="auto"/>
        <w:rPr>
          <w:rFonts w:hint="eastAsia" w:ascii="仿宋" w:hAnsi="仿宋" w:eastAsia="仿宋" w:cs="仿宋"/>
          <w:b/>
          <w:color w:val="auto"/>
          <w:sz w:val="30"/>
          <w:szCs w:val="30"/>
          <w:highlight w:val="none"/>
        </w:rPr>
      </w:pPr>
    </w:p>
    <w:p w14:paraId="51CBBA9D">
      <w:pPr>
        <w:spacing w:line="360" w:lineRule="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7、投标人售后服务能力证明材料</w:t>
      </w:r>
    </w:p>
    <w:p w14:paraId="5068214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（由投标人根据采购需求及招标文件要求编制）</w:t>
      </w:r>
    </w:p>
    <w:p w14:paraId="028B4290">
      <w:pPr>
        <w:spacing w:line="360" w:lineRule="auto"/>
        <w:jc w:val="center"/>
        <w:rPr>
          <w:rFonts w:hint="eastAsia" w:ascii="仿宋" w:hAnsi="仿宋" w:eastAsia="仿宋" w:cs="仿宋"/>
          <w:b/>
          <w:color w:val="auto"/>
          <w:sz w:val="32"/>
          <w:szCs w:val="32"/>
          <w:highlight w:val="none"/>
        </w:rPr>
      </w:pPr>
    </w:p>
    <w:p w14:paraId="23715755">
      <w:pPr>
        <w:spacing w:line="360" w:lineRule="auto"/>
        <w:jc w:val="center"/>
        <w:rPr>
          <w:rFonts w:hint="eastAsia" w:ascii="仿宋" w:hAnsi="仿宋" w:eastAsia="仿宋" w:cs="仿宋"/>
          <w:b/>
          <w:color w:val="auto"/>
          <w:sz w:val="32"/>
          <w:szCs w:val="32"/>
          <w:highlight w:val="none"/>
        </w:rPr>
      </w:pPr>
    </w:p>
    <w:p w14:paraId="0F336E2F">
      <w:pPr>
        <w:spacing w:line="360" w:lineRule="auto"/>
        <w:jc w:val="center"/>
        <w:rPr>
          <w:rFonts w:hint="eastAsia" w:ascii="仿宋" w:hAnsi="仿宋" w:eastAsia="仿宋" w:cs="仿宋"/>
          <w:b/>
          <w:color w:val="auto"/>
          <w:sz w:val="32"/>
          <w:szCs w:val="32"/>
          <w:highlight w:val="none"/>
        </w:rPr>
      </w:pPr>
    </w:p>
    <w:p w14:paraId="7639B34B">
      <w:pPr>
        <w:spacing w:line="360" w:lineRule="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8、</w:t>
      </w:r>
      <w:r>
        <w:rPr>
          <w:rFonts w:hint="eastAsia" w:ascii="仿宋" w:hAnsi="仿宋" w:eastAsia="仿宋" w:cs="仿宋"/>
          <w:b/>
          <w:color w:val="auto"/>
          <w:kern w:val="0"/>
          <w:sz w:val="32"/>
          <w:szCs w:val="32"/>
          <w:highlight w:val="none"/>
          <w:lang w:val="zh-CN"/>
        </w:rPr>
        <w:t>主要业绩证明</w:t>
      </w:r>
    </w:p>
    <w:p w14:paraId="5DDD8490">
      <w:pPr>
        <w:autoSpaceDE w:val="0"/>
        <w:autoSpaceDN w:val="0"/>
        <w:spacing w:line="360" w:lineRule="auto"/>
        <w:ind w:firstLine="12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附表 :相关项目建设业绩一览表</w:t>
      </w:r>
    </w:p>
    <w:tbl>
      <w:tblPr>
        <w:tblStyle w:val="44"/>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14:paraId="08E9C1BD">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4073D061">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14:paraId="211A3DA2">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w:t>
            </w:r>
          </w:p>
          <w:p w14:paraId="555B304F">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类型</w:t>
            </w:r>
          </w:p>
        </w:tc>
        <w:tc>
          <w:tcPr>
            <w:tcW w:w="1356" w:type="dxa"/>
            <w:tcBorders>
              <w:top w:val="single" w:color="auto" w:sz="6" w:space="0"/>
              <w:left w:val="single" w:color="auto" w:sz="6" w:space="0"/>
              <w:bottom w:val="single" w:color="auto" w:sz="6" w:space="0"/>
              <w:right w:val="single" w:color="auto" w:sz="6" w:space="0"/>
            </w:tcBorders>
            <w:vAlign w:val="center"/>
          </w:tcPr>
          <w:p w14:paraId="4452F0E4">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14:paraId="333B84DC">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合同</w:t>
            </w:r>
          </w:p>
          <w:p w14:paraId="19EC5424">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金额</w:t>
            </w:r>
          </w:p>
          <w:p w14:paraId="432A53E5">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（万元）</w:t>
            </w:r>
          </w:p>
        </w:tc>
        <w:tc>
          <w:tcPr>
            <w:tcW w:w="1155" w:type="dxa"/>
            <w:tcBorders>
              <w:top w:val="single" w:color="auto" w:sz="6" w:space="0"/>
              <w:left w:val="single" w:color="auto" w:sz="6" w:space="0"/>
              <w:bottom w:val="single" w:color="auto" w:sz="6" w:space="0"/>
              <w:right w:val="single" w:color="auto" w:sz="6" w:space="0"/>
            </w:tcBorders>
            <w:vAlign w:val="center"/>
          </w:tcPr>
          <w:p w14:paraId="21659C50">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14:paraId="590F66FC">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项目地址与采购单位联系电话</w:t>
            </w:r>
          </w:p>
        </w:tc>
        <w:tc>
          <w:tcPr>
            <w:tcW w:w="1215" w:type="dxa"/>
            <w:tcBorders>
              <w:top w:val="single" w:color="auto" w:sz="6" w:space="0"/>
              <w:left w:val="single" w:color="auto" w:sz="6" w:space="0"/>
              <w:bottom w:val="single" w:color="auto" w:sz="6" w:space="0"/>
              <w:right w:val="single" w:color="auto" w:sz="6" w:space="0"/>
            </w:tcBorders>
            <w:vAlign w:val="center"/>
          </w:tcPr>
          <w:p w14:paraId="292A7F8B">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所在页码</w:t>
            </w:r>
          </w:p>
        </w:tc>
      </w:tr>
      <w:tr w14:paraId="0C88DF79">
        <w:tblPrEx>
          <w:tblCellMar>
            <w:top w:w="0" w:type="dxa"/>
            <w:left w:w="108" w:type="dxa"/>
            <w:bottom w:w="0" w:type="dxa"/>
            <w:right w:w="108" w:type="dxa"/>
          </w:tblCellMar>
        </w:tblPrEx>
        <w:trPr>
          <w:trHeight w:val="659" w:hRule="atLeast"/>
        </w:trPr>
        <w:tc>
          <w:tcPr>
            <w:tcW w:w="1800" w:type="dxa"/>
            <w:tcBorders>
              <w:top w:val="single" w:color="auto" w:sz="6" w:space="0"/>
              <w:left w:val="single" w:color="auto" w:sz="6" w:space="0"/>
              <w:bottom w:val="single" w:color="auto" w:sz="6" w:space="0"/>
              <w:right w:val="single" w:color="auto" w:sz="6" w:space="0"/>
            </w:tcBorders>
          </w:tcPr>
          <w:p w14:paraId="418A25B2">
            <w:pPr>
              <w:autoSpaceDE w:val="0"/>
              <w:autoSpaceDN w:val="0"/>
              <w:spacing w:line="360" w:lineRule="auto"/>
              <w:rPr>
                <w:rFonts w:hint="eastAsia" w:ascii="仿宋" w:hAnsi="仿宋" w:eastAsia="仿宋" w:cs="仿宋"/>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7DF2AFB9">
            <w:pPr>
              <w:autoSpaceDE w:val="0"/>
              <w:autoSpaceDN w:val="0"/>
              <w:spacing w:line="360" w:lineRule="auto"/>
              <w:rPr>
                <w:rFonts w:hint="eastAsia" w:ascii="仿宋" w:hAnsi="仿宋" w:eastAsia="仿宋" w:cs="仿宋"/>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42FB7ADE">
            <w:pPr>
              <w:autoSpaceDE w:val="0"/>
              <w:autoSpaceDN w:val="0"/>
              <w:spacing w:line="360" w:lineRule="auto"/>
              <w:rPr>
                <w:rFonts w:hint="eastAsia" w:ascii="仿宋" w:hAnsi="仿宋" w:eastAsia="仿宋" w:cs="仿宋"/>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21D9C5EA">
            <w:pPr>
              <w:autoSpaceDE w:val="0"/>
              <w:autoSpaceDN w:val="0"/>
              <w:spacing w:line="360" w:lineRule="auto"/>
              <w:rPr>
                <w:rFonts w:hint="eastAsia" w:ascii="仿宋" w:hAnsi="仿宋" w:eastAsia="仿宋" w:cs="仿宋"/>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6CE01A40">
            <w:pPr>
              <w:autoSpaceDE w:val="0"/>
              <w:autoSpaceDN w:val="0"/>
              <w:spacing w:line="360" w:lineRule="auto"/>
              <w:rPr>
                <w:rFonts w:hint="eastAsia" w:ascii="仿宋" w:hAnsi="仿宋" w:eastAsia="仿宋" w:cs="仿宋"/>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13EBBEF9">
            <w:pPr>
              <w:autoSpaceDE w:val="0"/>
              <w:autoSpaceDN w:val="0"/>
              <w:spacing w:line="360" w:lineRule="auto"/>
              <w:rPr>
                <w:rFonts w:hint="eastAsia" w:ascii="仿宋" w:hAnsi="仿宋" w:eastAsia="仿宋" w:cs="仿宋"/>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2CF5546E">
            <w:pPr>
              <w:autoSpaceDE w:val="0"/>
              <w:autoSpaceDN w:val="0"/>
              <w:spacing w:line="360" w:lineRule="auto"/>
              <w:rPr>
                <w:rFonts w:hint="eastAsia" w:ascii="仿宋" w:hAnsi="仿宋" w:eastAsia="仿宋" w:cs="仿宋"/>
                <w:color w:val="auto"/>
                <w:sz w:val="24"/>
                <w:highlight w:val="none"/>
              </w:rPr>
            </w:pPr>
          </w:p>
        </w:tc>
      </w:tr>
      <w:tr w14:paraId="195E4792">
        <w:tblPrEx>
          <w:tblCellMar>
            <w:top w:w="0" w:type="dxa"/>
            <w:left w:w="108" w:type="dxa"/>
            <w:bottom w:w="0" w:type="dxa"/>
            <w:right w:w="108" w:type="dxa"/>
          </w:tblCellMar>
        </w:tblPrEx>
        <w:trPr>
          <w:trHeight w:val="697" w:hRule="atLeast"/>
        </w:trPr>
        <w:tc>
          <w:tcPr>
            <w:tcW w:w="1800" w:type="dxa"/>
            <w:tcBorders>
              <w:top w:val="single" w:color="auto" w:sz="6" w:space="0"/>
              <w:left w:val="single" w:color="auto" w:sz="6" w:space="0"/>
              <w:bottom w:val="single" w:color="auto" w:sz="6" w:space="0"/>
              <w:right w:val="single" w:color="auto" w:sz="6" w:space="0"/>
            </w:tcBorders>
          </w:tcPr>
          <w:p w14:paraId="34FD499B">
            <w:pPr>
              <w:autoSpaceDE w:val="0"/>
              <w:autoSpaceDN w:val="0"/>
              <w:spacing w:line="360" w:lineRule="auto"/>
              <w:rPr>
                <w:rFonts w:hint="eastAsia" w:ascii="仿宋" w:hAnsi="仿宋" w:eastAsia="仿宋" w:cs="仿宋"/>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496D061F">
            <w:pPr>
              <w:autoSpaceDE w:val="0"/>
              <w:autoSpaceDN w:val="0"/>
              <w:spacing w:line="360" w:lineRule="auto"/>
              <w:rPr>
                <w:rFonts w:hint="eastAsia" w:ascii="仿宋" w:hAnsi="仿宋" w:eastAsia="仿宋" w:cs="仿宋"/>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7CE13DF3">
            <w:pPr>
              <w:autoSpaceDE w:val="0"/>
              <w:autoSpaceDN w:val="0"/>
              <w:spacing w:line="360" w:lineRule="auto"/>
              <w:rPr>
                <w:rFonts w:hint="eastAsia" w:ascii="仿宋" w:hAnsi="仿宋" w:eastAsia="仿宋" w:cs="仿宋"/>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0E49DCE3">
            <w:pPr>
              <w:autoSpaceDE w:val="0"/>
              <w:autoSpaceDN w:val="0"/>
              <w:spacing w:line="360" w:lineRule="auto"/>
              <w:rPr>
                <w:rFonts w:hint="eastAsia" w:ascii="仿宋" w:hAnsi="仿宋" w:eastAsia="仿宋" w:cs="仿宋"/>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58121221">
            <w:pPr>
              <w:autoSpaceDE w:val="0"/>
              <w:autoSpaceDN w:val="0"/>
              <w:spacing w:line="360" w:lineRule="auto"/>
              <w:rPr>
                <w:rFonts w:hint="eastAsia" w:ascii="仿宋" w:hAnsi="仿宋" w:eastAsia="仿宋" w:cs="仿宋"/>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4DDB3D41">
            <w:pPr>
              <w:autoSpaceDE w:val="0"/>
              <w:autoSpaceDN w:val="0"/>
              <w:spacing w:line="360" w:lineRule="auto"/>
              <w:rPr>
                <w:rFonts w:hint="eastAsia" w:ascii="仿宋" w:hAnsi="仿宋" w:eastAsia="仿宋" w:cs="仿宋"/>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726C59A4">
            <w:pPr>
              <w:autoSpaceDE w:val="0"/>
              <w:autoSpaceDN w:val="0"/>
              <w:spacing w:line="360" w:lineRule="auto"/>
              <w:rPr>
                <w:rFonts w:hint="eastAsia" w:ascii="仿宋" w:hAnsi="仿宋" w:eastAsia="仿宋" w:cs="仿宋"/>
                <w:color w:val="auto"/>
                <w:sz w:val="24"/>
                <w:highlight w:val="none"/>
              </w:rPr>
            </w:pPr>
          </w:p>
        </w:tc>
      </w:tr>
      <w:tr w14:paraId="21CF2B18">
        <w:tblPrEx>
          <w:tblCellMar>
            <w:top w:w="0" w:type="dxa"/>
            <w:left w:w="108" w:type="dxa"/>
            <w:bottom w:w="0" w:type="dxa"/>
            <w:right w:w="108" w:type="dxa"/>
          </w:tblCellMar>
        </w:tblPrEx>
        <w:trPr>
          <w:trHeight w:val="693" w:hRule="atLeast"/>
        </w:trPr>
        <w:tc>
          <w:tcPr>
            <w:tcW w:w="1800" w:type="dxa"/>
            <w:tcBorders>
              <w:top w:val="single" w:color="auto" w:sz="6" w:space="0"/>
              <w:left w:val="single" w:color="auto" w:sz="6" w:space="0"/>
              <w:bottom w:val="single" w:color="auto" w:sz="6" w:space="0"/>
              <w:right w:val="single" w:color="auto" w:sz="6" w:space="0"/>
            </w:tcBorders>
          </w:tcPr>
          <w:p w14:paraId="4D85F22E">
            <w:pPr>
              <w:autoSpaceDE w:val="0"/>
              <w:autoSpaceDN w:val="0"/>
              <w:spacing w:line="360" w:lineRule="auto"/>
              <w:rPr>
                <w:rFonts w:hint="eastAsia" w:ascii="仿宋" w:hAnsi="仿宋" w:eastAsia="仿宋" w:cs="仿宋"/>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0A3C6B04">
            <w:pPr>
              <w:autoSpaceDE w:val="0"/>
              <w:autoSpaceDN w:val="0"/>
              <w:spacing w:line="360" w:lineRule="auto"/>
              <w:rPr>
                <w:rFonts w:hint="eastAsia" w:ascii="仿宋" w:hAnsi="仿宋" w:eastAsia="仿宋" w:cs="仿宋"/>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7E2BE72B">
            <w:pPr>
              <w:autoSpaceDE w:val="0"/>
              <w:autoSpaceDN w:val="0"/>
              <w:spacing w:line="360" w:lineRule="auto"/>
              <w:rPr>
                <w:rFonts w:hint="eastAsia" w:ascii="仿宋" w:hAnsi="仿宋" w:eastAsia="仿宋" w:cs="仿宋"/>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7DEB2B15">
            <w:pPr>
              <w:autoSpaceDE w:val="0"/>
              <w:autoSpaceDN w:val="0"/>
              <w:spacing w:line="360" w:lineRule="auto"/>
              <w:rPr>
                <w:rFonts w:hint="eastAsia" w:ascii="仿宋" w:hAnsi="仿宋" w:eastAsia="仿宋" w:cs="仿宋"/>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4D9D9FD4">
            <w:pPr>
              <w:autoSpaceDE w:val="0"/>
              <w:autoSpaceDN w:val="0"/>
              <w:spacing w:line="360" w:lineRule="auto"/>
              <w:rPr>
                <w:rFonts w:hint="eastAsia" w:ascii="仿宋" w:hAnsi="仿宋" w:eastAsia="仿宋" w:cs="仿宋"/>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114E5A1B">
            <w:pPr>
              <w:autoSpaceDE w:val="0"/>
              <w:autoSpaceDN w:val="0"/>
              <w:spacing w:line="360" w:lineRule="auto"/>
              <w:rPr>
                <w:rFonts w:hint="eastAsia" w:ascii="仿宋" w:hAnsi="仿宋" w:eastAsia="仿宋" w:cs="仿宋"/>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67D9A6BA">
            <w:pPr>
              <w:autoSpaceDE w:val="0"/>
              <w:autoSpaceDN w:val="0"/>
              <w:spacing w:line="360" w:lineRule="auto"/>
              <w:rPr>
                <w:rFonts w:hint="eastAsia" w:ascii="仿宋" w:hAnsi="仿宋" w:eastAsia="仿宋" w:cs="仿宋"/>
                <w:color w:val="auto"/>
                <w:sz w:val="24"/>
                <w:highlight w:val="none"/>
              </w:rPr>
            </w:pPr>
          </w:p>
        </w:tc>
      </w:tr>
    </w:tbl>
    <w:p w14:paraId="7AF8A365">
      <w:pPr>
        <w:autoSpaceDE w:val="0"/>
        <w:autoSpaceDN w:val="0"/>
        <w:spacing w:line="360" w:lineRule="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注：投标人可按上述的格式自行编制，须随表提交相应的合同复印件和用户单位验收证明并注明页码。</w:t>
      </w:r>
    </w:p>
    <w:p w14:paraId="05F9969B">
      <w:pPr>
        <w:spacing w:line="360" w:lineRule="auto"/>
        <w:ind w:firstLine="480" w:firstLineChars="200"/>
        <w:rPr>
          <w:rFonts w:hint="eastAsia" w:ascii="仿宋" w:hAnsi="仿宋" w:eastAsia="仿宋" w:cs="仿宋"/>
          <w:color w:val="auto"/>
          <w:sz w:val="24"/>
          <w:szCs w:val="20"/>
          <w:highlight w:val="none"/>
        </w:rPr>
      </w:pPr>
    </w:p>
    <w:p w14:paraId="656689D9">
      <w:pPr>
        <w:snapToGrid w:val="0"/>
        <w:spacing w:line="360" w:lineRule="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投标人 (盖章)：</w:t>
      </w:r>
    </w:p>
    <w:p w14:paraId="6DEBF40F">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 xml:space="preserve">                                  法定代表人或其授权代表(签字或盖章)：</w:t>
      </w:r>
    </w:p>
    <w:p w14:paraId="2CC5FC0E">
      <w:pPr>
        <w:snapToGrid w:val="0"/>
        <w:spacing w:line="360" w:lineRule="auto"/>
        <w:ind w:firstLine="5160" w:firstLineChars="215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月日</w:t>
      </w:r>
    </w:p>
    <w:p w14:paraId="5E0096E7">
      <w:pPr>
        <w:pStyle w:val="196"/>
        <w:pageBreakBefore/>
        <w:ind w:firstLine="0"/>
        <w:jc w:val="both"/>
        <w:rPr>
          <w:rFonts w:hint="eastAsia" w:ascii="仿宋" w:hAnsi="仿宋" w:eastAsia="仿宋" w:cs="仿宋"/>
          <w:color w:val="auto"/>
          <w:highlight w:val="none"/>
        </w:rPr>
      </w:pPr>
      <w:r>
        <w:rPr>
          <w:rFonts w:hint="eastAsia" w:ascii="仿宋" w:hAnsi="仿宋" w:eastAsia="仿宋" w:cs="仿宋"/>
          <w:color w:val="auto"/>
          <w:highlight w:val="none"/>
        </w:rPr>
        <w:t>9、廉政承诺书</w:t>
      </w:r>
    </w:p>
    <w:p w14:paraId="7A2B9709">
      <w:pPr>
        <w:autoSpaceDE w:val="0"/>
        <w:autoSpaceDN w:val="0"/>
        <w:spacing w:line="360" w:lineRule="auto"/>
        <w:ind w:left="2"/>
        <w:jc w:val="left"/>
        <w:rPr>
          <w:rFonts w:hint="eastAsia" w:ascii="仿宋" w:hAnsi="仿宋" w:eastAsia="仿宋" w:cs="仿宋"/>
          <w:color w:val="auto"/>
          <w:kern w:val="0"/>
          <w:sz w:val="24"/>
          <w:highlight w:val="none"/>
          <w:lang w:val="zh-CN"/>
        </w:rPr>
      </w:pPr>
      <w:r>
        <w:rPr>
          <w:rFonts w:hint="eastAsia" w:ascii="仿宋" w:hAnsi="仿宋" w:eastAsia="仿宋" w:cs="仿宋"/>
          <w:color w:val="auto"/>
          <w:sz w:val="24"/>
          <w:highlight w:val="none"/>
        </w:rPr>
        <w:t>绍兴市中医院</w:t>
      </w:r>
      <w:r>
        <w:rPr>
          <w:rFonts w:hint="eastAsia" w:ascii="仿宋" w:hAnsi="仿宋" w:eastAsia="仿宋" w:cs="仿宋"/>
          <w:color w:val="auto"/>
          <w:kern w:val="0"/>
          <w:sz w:val="24"/>
          <w:highlight w:val="none"/>
          <w:lang w:val="zh-CN"/>
        </w:rPr>
        <w:t xml:space="preserve">：    </w:t>
      </w:r>
    </w:p>
    <w:p w14:paraId="48B622E9">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我单位响应你</w:t>
      </w:r>
      <w:r>
        <w:rPr>
          <w:rFonts w:hint="eastAsia" w:ascii="仿宋" w:hAnsi="仿宋" w:eastAsia="仿宋" w:cs="仿宋"/>
          <w:color w:val="auto"/>
          <w:sz w:val="24"/>
          <w:highlight w:val="none"/>
        </w:rPr>
        <w:t>单位</w:t>
      </w:r>
      <w:r>
        <w:rPr>
          <w:rFonts w:hint="eastAsia" w:ascii="仿宋" w:hAnsi="仿宋" w:eastAsia="仿宋" w:cs="仿宋"/>
          <w:color w:val="auto"/>
          <w:kern w:val="0"/>
          <w:sz w:val="24"/>
          <w:highlight w:val="none"/>
          <w:lang w:val="zh-CN"/>
        </w:rPr>
        <w:t xml:space="preserve">项目招标要求参加投标。在这次投标过程中和中标后，我们将严格遵守国家法律法规要求，并郑重承诺：    </w:t>
      </w:r>
    </w:p>
    <w:p w14:paraId="78418370">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一、不向项目有关人员及部门赠送礼金礼物、有价证券、回扣以及中介费、介绍费、咨询费等好处费；    </w:t>
      </w:r>
    </w:p>
    <w:p w14:paraId="6737D661">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二、不为项目有关人员及部门报销应由你方单位或个人支付的费用；    </w:t>
      </w:r>
    </w:p>
    <w:p w14:paraId="244994B9">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三、不向项目有关人员及部门提供有可能影响公正的宴请和健身娱乐等活动；    </w:t>
      </w:r>
    </w:p>
    <w:p w14:paraId="050F2859">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四、不为项目有关人员及部门出国（境）、旅游等提供方便；    </w:t>
      </w:r>
    </w:p>
    <w:p w14:paraId="0FDA89A3">
      <w:pPr>
        <w:autoSpaceDE w:val="0"/>
        <w:autoSpaceDN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五、不为项目有关人员个人装修住房、婚丧嫁娶、配偶子女工作安排等提供好处；    </w:t>
      </w:r>
    </w:p>
    <w:p w14:paraId="6138F685">
      <w:pPr>
        <w:autoSpaceDE w:val="0"/>
        <w:autoSpaceDN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六、严格遵守政府采购法等法律法规，诚实守信，合法经营，坚决抵制各种违法违纪行为。    </w:t>
      </w:r>
    </w:p>
    <w:p w14:paraId="0E58702C">
      <w:pPr>
        <w:autoSpaceDE w:val="0"/>
        <w:autoSpaceDN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如违反上述承诺，你</w:t>
      </w:r>
      <w:r>
        <w:rPr>
          <w:rFonts w:hint="eastAsia" w:ascii="仿宋" w:hAnsi="仿宋" w:eastAsia="仿宋" w:cs="仿宋"/>
          <w:color w:val="auto"/>
          <w:sz w:val="24"/>
          <w:highlight w:val="none"/>
        </w:rPr>
        <w:t>单位</w:t>
      </w:r>
      <w:r>
        <w:rPr>
          <w:rFonts w:hint="eastAsia" w:ascii="仿宋" w:hAnsi="仿宋" w:eastAsia="仿宋" w:cs="仿宋"/>
          <w:color w:val="auto"/>
          <w:kern w:val="0"/>
          <w:sz w:val="24"/>
          <w:highlight w:val="none"/>
          <w:lang w:val="zh-CN"/>
        </w:rPr>
        <w:t>有权立即取消我单位投标、中标或在建项目的建设资格，有权拒绝我单位在一定时期内进入你</w:t>
      </w:r>
      <w:r>
        <w:rPr>
          <w:rFonts w:hint="eastAsia" w:ascii="仿宋" w:hAnsi="仿宋" w:eastAsia="仿宋" w:cs="仿宋"/>
          <w:color w:val="auto"/>
          <w:sz w:val="24"/>
          <w:highlight w:val="none"/>
        </w:rPr>
        <w:t>单位</w:t>
      </w:r>
      <w:r>
        <w:rPr>
          <w:rFonts w:hint="eastAsia" w:ascii="仿宋" w:hAnsi="仿宋" w:eastAsia="仿宋" w:cs="仿宋"/>
          <w:color w:val="auto"/>
          <w:kern w:val="0"/>
          <w:sz w:val="24"/>
          <w:highlight w:val="none"/>
          <w:lang w:val="zh-CN"/>
        </w:rPr>
        <w:t>进行项目建设或其他经营活动，并通报市财政局。由此引起的相应损失均由我单位承担。</w:t>
      </w:r>
    </w:p>
    <w:p w14:paraId="1334F43B">
      <w:pPr>
        <w:autoSpaceDE w:val="0"/>
        <w:autoSpaceDN w:val="0"/>
        <w:spacing w:line="360" w:lineRule="auto"/>
        <w:ind w:left="2"/>
        <w:jc w:val="left"/>
        <w:rPr>
          <w:rFonts w:hint="eastAsia" w:ascii="仿宋" w:hAnsi="仿宋" w:eastAsia="仿宋" w:cs="仿宋"/>
          <w:color w:val="auto"/>
          <w:kern w:val="0"/>
          <w:sz w:val="24"/>
          <w:highlight w:val="none"/>
          <w:lang w:val="zh-CN"/>
        </w:rPr>
      </w:pPr>
    </w:p>
    <w:p w14:paraId="0E1B8724">
      <w:pPr>
        <w:autoSpaceDE w:val="0"/>
        <w:autoSpaceDN w:val="0"/>
        <w:spacing w:line="360" w:lineRule="auto"/>
        <w:ind w:left="2"/>
        <w:jc w:val="left"/>
        <w:rPr>
          <w:rFonts w:hint="eastAsia" w:ascii="仿宋" w:hAnsi="仿宋" w:eastAsia="仿宋" w:cs="仿宋"/>
          <w:color w:val="auto"/>
          <w:kern w:val="0"/>
          <w:sz w:val="24"/>
          <w:highlight w:val="none"/>
          <w:lang w:val="zh-CN"/>
        </w:rPr>
      </w:pPr>
    </w:p>
    <w:p w14:paraId="33CAEC7F">
      <w:pPr>
        <w:autoSpaceDE w:val="0"/>
        <w:autoSpaceDN w:val="0"/>
        <w:spacing w:line="360" w:lineRule="auto"/>
        <w:ind w:left="2"/>
        <w:jc w:val="left"/>
        <w:rPr>
          <w:rFonts w:hint="eastAsia" w:ascii="仿宋" w:hAnsi="仿宋" w:eastAsia="仿宋" w:cs="仿宋"/>
          <w:color w:val="auto"/>
          <w:kern w:val="0"/>
          <w:sz w:val="24"/>
          <w:highlight w:val="none"/>
          <w:lang w:val="zh-CN"/>
        </w:rPr>
      </w:pPr>
    </w:p>
    <w:p w14:paraId="527D8181">
      <w:pPr>
        <w:spacing w:line="360" w:lineRule="auto"/>
        <w:ind w:firstLine="480" w:firstLineChars="200"/>
        <w:rPr>
          <w:rFonts w:hint="eastAsia" w:ascii="仿宋" w:hAnsi="仿宋" w:eastAsia="仿宋" w:cs="仿宋"/>
          <w:color w:val="auto"/>
          <w:sz w:val="24"/>
          <w:szCs w:val="20"/>
          <w:highlight w:val="none"/>
        </w:rPr>
      </w:pPr>
    </w:p>
    <w:p w14:paraId="3AD7EF76">
      <w:pPr>
        <w:snapToGrid w:val="0"/>
        <w:spacing w:line="360" w:lineRule="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投标人 (盖章)：</w:t>
      </w:r>
    </w:p>
    <w:p w14:paraId="11781ECD">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 xml:space="preserve">                                  法定代表人或其授权代表(签字或盖章)：</w:t>
      </w:r>
    </w:p>
    <w:p w14:paraId="49175D0E">
      <w:pPr>
        <w:snapToGrid w:val="0"/>
        <w:spacing w:line="360" w:lineRule="auto"/>
        <w:ind w:firstLine="5160" w:firstLineChars="215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月日</w:t>
      </w:r>
    </w:p>
    <w:p w14:paraId="7AB4F858">
      <w:pPr>
        <w:spacing w:line="360" w:lineRule="auto"/>
        <w:jc w:val="center"/>
        <w:rPr>
          <w:rFonts w:hint="eastAsia" w:ascii="仿宋" w:hAnsi="仿宋" w:eastAsia="仿宋" w:cs="仿宋"/>
          <w:b/>
          <w:bCs/>
          <w:color w:val="auto"/>
          <w:sz w:val="32"/>
          <w:szCs w:val="32"/>
          <w:highlight w:val="none"/>
        </w:rPr>
      </w:pPr>
    </w:p>
    <w:p w14:paraId="39DE731E">
      <w:pPr>
        <w:spacing w:line="360" w:lineRule="auto"/>
        <w:jc w:val="center"/>
        <w:rPr>
          <w:rFonts w:hint="eastAsia" w:ascii="仿宋" w:hAnsi="仿宋" w:eastAsia="仿宋" w:cs="仿宋"/>
          <w:b/>
          <w:bCs/>
          <w:color w:val="auto"/>
          <w:sz w:val="32"/>
          <w:szCs w:val="32"/>
          <w:highlight w:val="none"/>
        </w:rPr>
      </w:pPr>
    </w:p>
    <w:p w14:paraId="22549388">
      <w:pPr>
        <w:spacing w:line="360" w:lineRule="auto"/>
        <w:jc w:val="center"/>
        <w:rPr>
          <w:rFonts w:hint="eastAsia" w:ascii="仿宋" w:hAnsi="仿宋" w:eastAsia="仿宋" w:cs="仿宋"/>
          <w:b/>
          <w:bCs/>
          <w:color w:val="auto"/>
          <w:sz w:val="32"/>
          <w:szCs w:val="32"/>
          <w:highlight w:val="none"/>
        </w:rPr>
      </w:pPr>
    </w:p>
    <w:p w14:paraId="326D96E1">
      <w:pPr>
        <w:spacing w:line="360" w:lineRule="auto"/>
        <w:jc w:val="center"/>
        <w:rPr>
          <w:rFonts w:hint="eastAsia" w:ascii="仿宋" w:hAnsi="仿宋" w:eastAsia="仿宋" w:cs="仿宋"/>
          <w:b/>
          <w:bCs/>
          <w:color w:val="auto"/>
          <w:sz w:val="32"/>
          <w:szCs w:val="32"/>
          <w:highlight w:val="none"/>
        </w:rPr>
      </w:pPr>
    </w:p>
    <w:p w14:paraId="78EE578E">
      <w:pPr>
        <w:spacing w:line="360" w:lineRule="auto"/>
        <w:jc w:val="center"/>
        <w:rPr>
          <w:rFonts w:hint="eastAsia" w:ascii="仿宋" w:hAnsi="仿宋" w:eastAsia="仿宋" w:cs="仿宋"/>
          <w:b/>
          <w:bCs/>
          <w:color w:val="auto"/>
          <w:sz w:val="32"/>
          <w:szCs w:val="32"/>
          <w:highlight w:val="none"/>
        </w:rPr>
      </w:pPr>
    </w:p>
    <w:p w14:paraId="7351C114">
      <w:pPr>
        <w:pageBreakBefore/>
        <w:spacing w:line="360" w:lineRule="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10、技术解决方案</w:t>
      </w:r>
    </w:p>
    <w:p w14:paraId="44BDD19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（由投标人根据采购需求及招标文件要求编制）</w:t>
      </w:r>
    </w:p>
    <w:p w14:paraId="3F62CB53">
      <w:pPr>
        <w:spacing w:line="360" w:lineRule="auto"/>
        <w:jc w:val="center"/>
        <w:rPr>
          <w:rFonts w:hint="eastAsia" w:ascii="仿宋" w:hAnsi="仿宋" w:eastAsia="仿宋" w:cs="仿宋"/>
          <w:color w:val="auto"/>
          <w:sz w:val="24"/>
          <w:highlight w:val="none"/>
        </w:rPr>
      </w:pPr>
    </w:p>
    <w:p w14:paraId="5E19A482">
      <w:pPr>
        <w:autoSpaceDE w:val="0"/>
        <w:autoSpaceDN w:val="0"/>
        <w:spacing w:line="360" w:lineRule="auto"/>
        <w:ind w:firstLine="551" w:firstLineChars="196"/>
        <w:jc w:val="left"/>
        <w:rPr>
          <w:rFonts w:hint="eastAsia" w:ascii="仿宋" w:hAnsi="仿宋" w:eastAsia="仿宋" w:cs="仿宋"/>
          <w:b/>
          <w:color w:val="auto"/>
          <w:kern w:val="0"/>
          <w:sz w:val="28"/>
          <w:szCs w:val="28"/>
          <w:highlight w:val="none"/>
        </w:rPr>
      </w:pPr>
    </w:p>
    <w:p w14:paraId="57F7B95D">
      <w:pPr>
        <w:spacing w:line="360" w:lineRule="auto"/>
        <w:ind w:firstLine="480" w:firstLineChars="200"/>
        <w:rPr>
          <w:rFonts w:hint="eastAsia" w:ascii="仿宋" w:hAnsi="仿宋" w:eastAsia="仿宋" w:cs="仿宋"/>
          <w:color w:val="auto"/>
          <w:sz w:val="24"/>
          <w:szCs w:val="20"/>
          <w:highlight w:val="none"/>
        </w:rPr>
      </w:pPr>
    </w:p>
    <w:p w14:paraId="2EF4570C">
      <w:pPr>
        <w:snapToGrid w:val="0"/>
        <w:spacing w:line="360" w:lineRule="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投标人 (盖章)：</w:t>
      </w:r>
    </w:p>
    <w:p w14:paraId="0E97C50A">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 xml:space="preserve">                                  法定代表人或其授权代表(签字或盖章)：</w:t>
      </w:r>
    </w:p>
    <w:p w14:paraId="4FD670EC">
      <w:pPr>
        <w:snapToGrid w:val="0"/>
        <w:spacing w:line="360" w:lineRule="auto"/>
        <w:ind w:firstLine="5160" w:firstLineChars="215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月日</w:t>
      </w:r>
    </w:p>
    <w:p w14:paraId="3ADA68C6">
      <w:pPr>
        <w:tabs>
          <w:tab w:val="left" w:pos="2790"/>
          <w:tab w:val="center" w:pos="3835"/>
          <w:tab w:val="left" w:pos="4230"/>
          <w:tab w:val="left" w:pos="4695"/>
        </w:tabs>
        <w:autoSpaceDE w:val="0"/>
        <w:autoSpaceDN w:val="0"/>
        <w:spacing w:line="360" w:lineRule="auto"/>
        <w:ind w:right="1400"/>
        <w:jc w:val="left"/>
        <w:outlineLvl w:val="1"/>
        <w:rPr>
          <w:rFonts w:hint="eastAsia" w:ascii="仿宋" w:hAnsi="仿宋" w:eastAsia="仿宋" w:cs="仿宋"/>
          <w:b/>
          <w:bCs/>
          <w:color w:val="auto"/>
          <w:kern w:val="0"/>
          <w:sz w:val="24"/>
          <w:highlight w:val="none"/>
          <w:lang w:val="zh-CN"/>
        </w:rPr>
      </w:pPr>
      <w:r>
        <w:rPr>
          <w:rFonts w:hint="eastAsia" w:ascii="仿宋" w:hAnsi="仿宋" w:eastAsia="仿宋" w:cs="仿宋"/>
          <w:b/>
          <w:bCs/>
          <w:color w:val="auto"/>
          <w:kern w:val="0"/>
          <w:sz w:val="24"/>
          <w:highlight w:val="none"/>
          <w:lang w:val="zh-CN"/>
        </w:rPr>
        <w:tab/>
      </w:r>
      <w:r>
        <w:rPr>
          <w:rFonts w:hint="eastAsia" w:ascii="仿宋" w:hAnsi="仿宋" w:eastAsia="仿宋" w:cs="仿宋"/>
          <w:b/>
          <w:bCs/>
          <w:color w:val="auto"/>
          <w:kern w:val="0"/>
          <w:sz w:val="24"/>
          <w:highlight w:val="none"/>
          <w:lang w:val="zh-CN"/>
        </w:rPr>
        <w:tab/>
      </w:r>
    </w:p>
    <w:p w14:paraId="072BE03E">
      <w:pPr>
        <w:tabs>
          <w:tab w:val="left" w:pos="2790"/>
          <w:tab w:val="center" w:pos="3835"/>
          <w:tab w:val="left" w:pos="4230"/>
          <w:tab w:val="left" w:pos="4695"/>
        </w:tabs>
        <w:autoSpaceDE w:val="0"/>
        <w:autoSpaceDN w:val="0"/>
        <w:spacing w:line="360" w:lineRule="auto"/>
        <w:ind w:right="1400"/>
        <w:jc w:val="left"/>
        <w:outlineLvl w:val="1"/>
        <w:rPr>
          <w:rFonts w:hint="eastAsia" w:ascii="仿宋" w:hAnsi="仿宋" w:eastAsia="仿宋" w:cs="仿宋"/>
          <w:b/>
          <w:bCs/>
          <w:color w:val="auto"/>
          <w:kern w:val="0"/>
          <w:sz w:val="24"/>
          <w:highlight w:val="none"/>
          <w:lang w:val="zh-CN"/>
        </w:rPr>
      </w:pPr>
    </w:p>
    <w:p w14:paraId="1A64AE08">
      <w:pPr>
        <w:pageBreakBefore/>
        <w:spacing w:line="360" w:lineRule="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11、技术偏离说明表</w:t>
      </w:r>
    </w:p>
    <w:p w14:paraId="4013C039">
      <w:pPr>
        <w:spacing w:line="360" w:lineRule="auto"/>
        <w:rPr>
          <w:rFonts w:hint="eastAsia" w:ascii="仿宋" w:hAnsi="仿宋" w:eastAsia="仿宋" w:cs="仿宋"/>
          <w:b/>
          <w:bCs/>
          <w:color w:val="auto"/>
          <w:sz w:val="32"/>
          <w:szCs w:val="32"/>
          <w:highlight w:val="none"/>
        </w:rPr>
      </w:pPr>
      <w:r>
        <w:rPr>
          <w:rFonts w:hint="eastAsia" w:ascii="仿宋" w:hAnsi="仿宋" w:eastAsia="仿宋" w:cs="仿宋"/>
          <w:color w:val="auto"/>
          <w:sz w:val="24"/>
          <w:highlight w:val="none"/>
        </w:rPr>
        <w:t>（由投标人根据采购需求及招标文件要求编制）</w:t>
      </w:r>
    </w:p>
    <w:tbl>
      <w:tblPr>
        <w:tblStyle w:val="44"/>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3087"/>
        <w:gridCol w:w="3818"/>
        <w:gridCol w:w="1201"/>
      </w:tblGrid>
      <w:tr w14:paraId="62C2B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13" w:type="dxa"/>
            <w:tcBorders>
              <w:top w:val="single" w:color="auto" w:sz="4" w:space="0"/>
              <w:left w:val="single" w:color="auto" w:sz="4" w:space="0"/>
              <w:bottom w:val="single" w:color="auto" w:sz="4" w:space="0"/>
              <w:right w:val="single" w:color="auto" w:sz="4" w:space="0"/>
            </w:tcBorders>
          </w:tcPr>
          <w:p w14:paraId="4EF952EA">
            <w:pPr>
              <w:tabs>
                <w:tab w:val="left" w:pos="4905"/>
              </w:tabs>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087" w:type="dxa"/>
            <w:tcBorders>
              <w:top w:val="single" w:color="auto" w:sz="4" w:space="0"/>
              <w:left w:val="single" w:color="auto" w:sz="4" w:space="0"/>
              <w:bottom w:val="single" w:color="auto" w:sz="4" w:space="0"/>
              <w:right w:val="single" w:color="auto" w:sz="4" w:space="0"/>
            </w:tcBorders>
          </w:tcPr>
          <w:p w14:paraId="01F6ECAE">
            <w:pPr>
              <w:tabs>
                <w:tab w:val="left" w:pos="4905"/>
              </w:tabs>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招标文件要求</w:t>
            </w:r>
          </w:p>
        </w:tc>
        <w:tc>
          <w:tcPr>
            <w:tcW w:w="3818" w:type="dxa"/>
            <w:tcBorders>
              <w:top w:val="single" w:color="auto" w:sz="4" w:space="0"/>
              <w:left w:val="single" w:color="auto" w:sz="4" w:space="0"/>
              <w:bottom w:val="single" w:color="auto" w:sz="4" w:space="0"/>
              <w:right w:val="single" w:color="auto" w:sz="4" w:space="0"/>
            </w:tcBorders>
          </w:tcPr>
          <w:p w14:paraId="4C2F6492">
            <w:pPr>
              <w:tabs>
                <w:tab w:val="left" w:pos="4905"/>
              </w:tabs>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投标响应</w:t>
            </w:r>
          </w:p>
        </w:tc>
        <w:tc>
          <w:tcPr>
            <w:tcW w:w="1201" w:type="dxa"/>
            <w:tcBorders>
              <w:top w:val="single" w:color="auto" w:sz="4" w:space="0"/>
              <w:left w:val="single" w:color="auto" w:sz="4" w:space="0"/>
              <w:bottom w:val="single" w:color="auto" w:sz="4" w:space="0"/>
              <w:right w:val="single" w:color="auto" w:sz="4" w:space="0"/>
            </w:tcBorders>
          </w:tcPr>
          <w:p w14:paraId="0DE09553">
            <w:pPr>
              <w:tabs>
                <w:tab w:val="left" w:pos="4905"/>
              </w:tabs>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014F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6F3394F4">
            <w:pPr>
              <w:tabs>
                <w:tab w:val="left" w:pos="4905"/>
              </w:tabs>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087" w:type="dxa"/>
            <w:tcBorders>
              <w:top w:val="single" w:color="auto" w:sz="4" w:space="0"/>
              <w:left w:val="single" w:color="auto" w:sz="4" w:space="0"/>
              <w:bottom w:val="single" w:color="auto" w:sz="4" w:space="0"/>
              <w:right w:val="single" w:color="auto" w:sz="4" w:space="0"/>
            </w:tcBorders>
            <w:vAlign w:val="center"/>
          </w:tcPr>
          <w:p w14:paraId="0FCFF8EC">
            <w:pPr>
              <w:tabs>
                <w:tab w:val="left" w:pos="4905"/>
              </w:tabs>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招标文件技术要求</w:t>
            </w:r>
          </w:p>
          <w:p w14:paraId="208CD029">
            <w:pPr>
              <w:tabs>
                <w:tab w:val="left" w:pos="4905"/>
              </w:tabs>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(根据标内要求复制)</w:t>
            </w:r>
          </w:p>
        </w:tc>
        <w:tc>
          <w:tcPr>
            <w:tcW w:w="3818" w:type="dxa"/>
            <w:tcBorders>
              <w:top w:val="single" w:color="auto" w:sz="4" w:space="0"/>
              <w:left w:val="single" w:color="auto" w:sz="4" w:space="0"/>
              <w:bottom w:val="single" w:color="auto" w:sz="4" w:space="0"/>
              <w:right w:val="single" w:color="auto" w:sz="4" w:space="0"/>
            </w:tcBorders>
            <w:vAlign w:val="center"/>
          </w:tcPr>
          <w:p w14:paraId="591E1F2B">
            <w:pPr>
              <w:tabs>
                <w:tab w:val="left" w:pos="4905"/>
              </w:tabs>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请填写投标产品技术指标对应详细描述</w:t>
            </w:r>
          </w:p>
        </w:tc>
        <w:tc>
          <w:tcPr>
            <w:tcW w:w="1201" w:type="dxa"/>
            <w:tcBorders>
              <w:top w:val="single" w:color="auto" w:sz="4" w:space="0"/>
              <w:left w:val="single" w:color="auto" w:sz="4" w:space="0"/>
              <w:bottom w:val="single" w:color="auto" w:sz="4" w:space="0"/>
              <w:right w:val="single" w:color="auto" w:sz="4" w:space="0"/>
            </w:tcBorders>
            <w:vAlign w:val="center"/>
          </w:tcPr>
          <w:p w14:paraId="087FBBBE">
            <w:pPr>
              <w:tabs>
                <w:tab w:val="left" w:pos="4905"/>
              </w:tabs>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无偏离/正偏离/负偏离</w:t>
            </w:r>
          </w:p>
        </w:tc>
      </w:tr>
      <w:tr w14:paraId="6E19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495B4FF1">
            <w:pPr>
              <w:tabs>
                <w:tab w:val="left" w:pos="4905"/>
              </w:tabs>
              <w:spacing w:line="400" w:lineRule="exact"/>
              <w:jc w:val="center"/>
              <w:rPr>
                <w:rFonts w:hint="eastAsia" w:ascii="仿宋" w:hAnsi="仿宋" w:eastAsia="仿宋" w:cs="仿宋"/>
                <w:color w:val="auto"/>
                <w:sz w:val="24"/>
                <w:highlight w:val="none"/>
              </w:rPr>
            </w:pPr>
          </w:p>
        </w:tc>
        <w:tc>
          <w:tcPr>
            <w:tcW w:w="3087" w:type="dxa"/>
            <w:tcBorders>
              <w:top w:val="single" w:color="auto" w:sz="4" w:space="0"/>
              <w:left w:val="single" w:color="auto" w:sz="4" w:space="0"/>
              <w:bottom w:val="single" w:color="auto" w:sz="4" w:space="0"/>
              <w:right w:val="single" w:color="auto" w:sz="4" w:space="0"/>
            </w:tcBorders>
            <w:vAlign w:val="center"/>
          </w:tcPr>
          <w:p w14:paraId="40592529">
            <w:pPr>
              <w:tabs>
                <w:tab w:val="left" w:pos="4905"/>
              </w:tabs>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3818" w:type="dxa"/>
            <w:tcBorders>
              <w:top w:val="single" w:color="auto" w:sz="4" w:space="0"/>
              <w:left w:val="single" w:color="auto" w:sz="4" w:space="0"/>
              <w:bottom w:val="single" w:color="auto" w:sz="4" w:space="0"/>
              <w:right w:val="single" w:color="auto" w:sz="4" w:space="0"/>
            </w:tcBorders>
            <w:vAlign w:val="center"/>
          </w:tcPr>
          <w:p w14:paraId="74D5180E">
            <w:pPr>
              <w:tabs>
                <w:tab w:val="left" w:pos="4905"/>
              </w:tabs>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可自行添加行</w:t>
            </w:r>
          </w:p>
        </w:tc>
        <w:tc>
          <w:tcPr>
            <w:tcW w:w="1201" w:type="dxa"/>
            <w:tcBorders>
              <w:top w:val="single" w:color="auto" w:sz="4" w:space="0"/>
              <w:left w:val="single" w:color="auto" w:sz="4" w:space="0"/>
              <w:bottom w:val="single" w:color="auto" w:sz="4" w:space="0"/>
              <w:right w:val="single" w:color="auto" w:sz="4" w:space="0"/>
            </w:tcBorders>
            <w:vAlign w:val="center"/>
          </w:tcPr>
          <w:p w14:paraId="21ACED57">
            <w:pPr>
              <w:tabs>
                <w:tab w:val="left" w:pos="4905"/>
              </w:tabs>
              <w:spacing w:line="400" w:lineRule="exact"/>
              <w:jc w:val="center"/>
              <w:rPr>
                <w:rFonts w:hint="eastAsia" w:ascii="仿宋" w:hAnsi="仿宋" w:eastAsia="仿宋" w:cs="仿宋"/>
                <w:color w:val="auto"/>
                <w:sz w:val="24"/>
                <w:highlight w:val="none"/>
              </w:rPr>
            </w:pPr>
          </w:p>
        </w:tc>
      </w:tr>
      <w:tr w14:paraId="13670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069208EB">
            <w:pPr>
              <w:tabs>
                <w:tab w:val="left" w:pos="4905"/>
              </w:tabs>
              <w:spacing w:line="400" w:lineRule="exact"/>
              <w:jc w:val="center"/>
              <w:rPr>
                <w:rFonts w:hint="eastAsia" w:ascii="仿宋" w:hAnsi="仿宋" w:eastAsia="仿宋" w:cs="仿宋"/>
                <w:color w:val="auto"/>
                <w:sz w:val="24"/>
                <w:highlight w:val="none"/>
              </w:rPr>
            </w:pPr>
          </w:p>
        </w:tc>
        <w:tc>
          <w:tcPr>
            <w:tcW w:w="3087" w:type="dxa"/>
            <w:tcBorders>
              <w:top w:val="single" w:color="auto" w:sz="4" w:space="0"/>
              <w:left w:val="single" w:color="auto" w:sz="4" w:space="0"/>
              <w:bottom w:val="single" w:color="auto" w:sz="4" w:space="0"/>
              <w:right w:val="single" w:color="auto" w:sz="4" w:space="0"/>
            </w:tcBorders>
            <w:vAlign w:val="center"/>
          </w:tcPr>
          <w:p w14:paraId="6AA4A3E0">
            <w:pPr>
              <w:tabs>
                <w:tab w:val="left" w:pos="4905"/>
              </w:tabs>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详细参数可自行加行</w:t>
            </w:r>
          </w:p>
        </w:tc>
        <w:tc>
          <w:tcPr>
            <w:tcW w:w="3818" w:type="dxa"/>
            <w:tcBorders>
              <w:top w:val="single" w:color="auto" w:sz="4" w:space="0"/>
              <w:left w:val="single" w:color="auto" w:sz="4" w:space="0"/>
              <w:bottom w:val="single" w:color="auto" w:sz="4" w:space="0"/>
              <w:right w:val="single" w:color="auto" w:sz="4" w:space="0"/>
            </w:tcBorders>
            <w:vAlign w:val="center"/>
          </w:tcPr>
          <w:p w14:paraId="046618D7">
            <w:pPr>
              <w:tabs>
                <w:tab w:val="left" w:pos="4905"/>
              </w:tabs>
              <w:spacing w:line="400" w:lineRule="exact"/>
              <w:rPr>
                <w:rFonts w:hint="eastAsia" w:ascii="仿宋" w:hAnsi="仿宋" w:eastAsia="仿宋" w:cs="仿宋"/>
                <w:color w:val="auto"/>
                <w:sz w:val="24"/>
                <w:highlight w:val="none"/>
              </w:rPr>
            </w:pPr>
          </w:p>
        </w:tc>
        <w:tc>
          <w:tcPr>
            <w:tcW w:w="1201" w:type="dxa"/>
            <w:tcBorders>
              <w:top w:val="single" w:color="auto" w:sz="4" w:space="0"/>
              <w:left w:val="single" w:color="auto" w:sz="4" w:space="0"/>
              <w:bottom w:val="single" w:color="auto" w:sz="4" w:space="0"/>
              <w:right w:val="single" w:color="auto" w:sz="4" w:space="0"/>
            </w:tcBorders>
            <w:vAlign w:val="center"/>
          </w:tcPr>
          <w:p w14:paraId="1232E9D2">
            <w:pPr>
              <w:tabs>
                <w:tab w:val="left" w:pos="4905"/>
              </w:tabs>
              <w:spacing w:line="400" w:lineRule="exact"/>
              <w:jc w:val="center"/>
              <w:rPr>
                <w:rFonts w:hint="eastAsia" w:ascii="仿宋" w:hAnsi="仿宋" w:eastAsia="仿宋" w:cs="仿宋"/>
                <w:color w:val="auto"/>
                <w:sz w:val="24"/>
                <w:highlight w:val="none"/>
              </w:rPr>
            </w:pPr>
          </w:p>
        </w:tc>
      </w:tr>
      <w:tr w14:paraId="62110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575BB84A">
            <w:pPr>
              <w:tabs>
                <w:tab w:val="left" w:pos="4905"/>
              </w:tabs>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087" w:type="dxa"/>
            <w:tcBorders>
              <w:top w:val="single" w:color="auto" w:sz="4" w:space="0"/>
              <w:left w:val="single" w:color="auto" w:sz="4" w:space="0"/>
              <w:bottom w:val="single" w:color="auto" w:sz="4" w:space="0"/>
              <w:right w:val="single" w:color="auto" w:sz="4" w:space="0"/>
            </w:tcBorders>
            <w:vAlign w:val="center"/>
          </w:tcPr>
          <w:p w14:paraId="48979709">
            <w:pPr>
              <w:tabs>
                <w:tab w:val="left" w:pos="4905"/>
              </w:tabs>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请填写售后服务要求</w:t>
            </w:r>
          </w:p>
        </w:tc>
        <w:tc>
          <w:tcPr>
            <w:tcW w:w="3818" w:type="dxa"/>
            <w:tcBorders>
              <w:top w:val="single" w:color="auto" w:sz="4" w:space="0"/>
              <w:left w:val="single" w:color="auto" w:sz="4" w:space="0"/>
              <w:bottom w:val="single" w:color="auto" w:sz="4" w:space="0"/>
              <w:right w:val="single" w:color="auto" w:sz="4" w:space="0"/>
            </w:tcBorders>
            <w:vAlign w:val="center"/>
          </w:tcPr>
          <w:p w14:paraId="375A102D">
            <w:pPr>
              <w:tabs>
                <w:tab w:val="left" w:pos="4905"/>
              </w:tabs>
              <w:spacing w:line="400" w:lineRule="exact"/>
              <w:rPr>
                <w:rFonts w:hint="eastAsia" w:ascii="仿宋" w:hAnsi="仿宋" w:eastAsia="仿宋" w:cs="仿宋"/>
                <w:color w:val="auto"/>
                <w:sz w:val="24"/>
                <w:highlight w:val="none"/>
              </w:rPr>
            </w:pPr>
          </w:p>
        </w:tc>
        <w:tc>
          <w:tcPr>
            <w:tcW w:w="1201" w:type="dxa"/>
            <w:tcBorders>
              <w:top w:val="single" w:color="auto" w:sz="4" w:space="0"/>
              <w:left w:val="single" w:color="auto" w:sz="4" w:space="0"/>
              <w:bottom w:val="single" w:color="auto" w:sz="4" w:space="0"/>
              <w:right w:val="single" w:color="auto" w:sz="4" w:space="0"/>
            </w:tcBorders>
            <w:vAlign w:val="center"/>
          </w:tcPr>
          <w:p w14:paraId="767D0DAA">
            <w:pPr>
              <w:tabs>
                <w:tab w:val="left" w:pos="4905"/>
              </w:tabs>
              <w:spacing w:line="400" w:lineRule="exact"/>
              <w:jc w:val="center"/>
              <w:rPr>
                <w:rFonts w:hint="eastAsia" w:ascii="仿宋" w:hAnsi="仿宋" w:eastAsia="仿宋" w:cs="仿宋"/>
                <w:color w:val="auto"/>
                <w:sz w:val="24"/>
                <w:highlight w:val="none"/>
              </w:rPr>
            </w:pPr>
          </w:p>
        </w:tc>
      </w:tr>
      <w:tr w14:paraId="28E7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4C8C2D7A">
            <w:pPr>
              <w:tabs>
                <w:tab w:val="left" w:pos="4905"/>
              </w:tabs>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087" w:type="dxa"/>
            <w:tcBorders>
              <w:top w:val="single" w:color="auto" w:sz="4" w:space="0"/>
              <w:left w:val="single" w:color="auto" w:sz="4" w:space="0"/>
              <w:bottom w:val="single" w:color="auto" w:sz="4" w:space="0"/>
              <w:right w:val="single" w:color="auto" w:sz="4" w:space="0"/>
            </w:tcBorders>
            <w:vAlign w:val="center"/>
          </w:tcPr>
          <w:p w14:paraId="21747EE7">
            <w:pPr>
              <w:tabs>
                <w:tab w:val="left" w:pos="4905"/>
              </w:tabs>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请填写保修期要求</w:t>
            </w:r>
          </w:p>
        </w:tc>
        <w:tc>
          <w:tcPr>
            <w:tcW w:w="3818" w:type="dxa"/>
            <w:tcBorders>
              <w:top w:val="single" w:color="auto" w:sz="4" w:space="0"/>
              <w:left w:val="single" w:color="auto" w:sz="4" w:space="0"/>
              <w:bottom w:val="single" w:color="auto" w:sz="4" w:space="0"/>
              <w:right w:val="single" w:color="auto" w:sz="4" w:space="0"/>
            </w:tcBorders>
            <w:vAlign w:val="center"/>
          </w:tcPr>
          <w:p w14:paraId="2853AA97">
            <w:pPr>
              <w:tabs>
                <w:tab w:val="left" w:pos="4905"/>
              </w:tabs>
              <w:spacing w:line="400" w:lineRule="exact"/>
              <w:rPr>
                <w:rFonts w:hint="eastAsia" w:ascii="仿宋" w:hAnsi="仿宋" w:eastAsia="仿宋" w:cs="仿宋"/>
                <w:color w:val="auto"/>
                <w:sz w:val="24"/>
                <w:highlight w:val="none"/>
              </w:rPr>
            </w:pPr>
          </w:p>
        </w:tc>
        <w:tc>
          <w:tcPr>
            <w:tcW w:w="1201" w:type="dxa"/>
            <w:tcBorders>
              <w:top w:val="single" w:color="auto" w:sz="4" w:space="0"/>
              <w:left w:val="single" w:color="auto" w:sz="4" w:space="0"/>
              <w:bottom w:val="single" w:color="auto" w:sz="4" w:space="0"/>
              <w:right w:val="single" w:color="auto" w:sz="4" w:space="0"/>
            </w:tcBorders>
            <w:vAlign w:val="center"/>
          </w:tcPr>
          <w:p w14:paraId="1B37C663">
            <w:pPr>
              <w:tabs>
                <w:tab w:val="left" w:pos="4905"/>
              </w:tabs>
              <w:spacing w:line="400" w:lineRule="exact"/>
              <w:jc w:val="center"/>
              <w:rPr>
                <w:rFonts w:hint="eastAsia" w:ascii="仿宋" w:hAnsi="仿宋" w:eastAsia="仿宋" w:cs="仿宋"/>
                <w:color w:val="auto"/>
                <w:sz w:val="24"/>
                <w:highlight w:val="none"/>
              </w:rPr>
            </w:pPr>
          </w:p>
        </w:tc>
      </w:tr>
      <w:tr w14:paraId="0571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304B4733">
            <w:pPr>
              <w:tabs>
                <w:tab w:val="left" w:pos="4905"/>
              </w:tabs>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087" w:type="dxa"/>
            <w:tcBorders>
              <w:top w:val="single" w:color="auto" w:sz="4" w:space="0"/>
              <w:left w:val="single" w:color="auto" w:sz="4" w:space="0"/>
              <w:bottom w:val="single" w:color="auto" w:sz="4" w:space="0"/>
              <w:right w:val="single" w:color="auto" w:sz="4" w:space="0"/>
            </w:tcBorders>
            <w:vAlign w:val="center"/>
          </w:tcPr>
          <w:p w14:paraId="274CB09D">
            <w:pPr>
              <w:tabs>
                <w:tab w:val="left" w:pos="4905"/>
              </w:tabs>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请填写安装要求(如有)</w:t>
            </w:r>
          </w:p>
        </w:tc>
        <w:tc>
          <w:tcPr>
            <w:tcW w:w="3818" w:type="dxa"/>
            <w:tcBorders>
              <w:top w:val="single" w:color="auto" w:sz="4" w:space="0"/>
              <w:left w:val="single" w:color="auto" w:sz="4" w:space="0"/>
              <w:bottom w:val="single" w:color="auto" w:sz="4" w:space="0"/>
              <w:right w:val="single" w:color="auto" w:sz="4" w:space="0"/>
            </w:tcBorders>
            <w:vAlign w:val="center"/>
          </w:tcPr>
          <w:p w14:paraId="4CADD3C3">
            <w:pPr>
              <w:tabs>
                <w:tab w:val="left" w:pos="4905"/>
              </w:tabs>
              <w:spacing w:line="400" w:lineRule="exact"/>
              <w:rPr>
                <w:rFonts w:hint="eastAsia" w:ascii="仿宋" w:hAnsi="仿宋" w:eastAsia="仿宋" w:cs="仿宋"/>
                <w:color w:val="auto"/>
                <w:sz w:val="24"/>
                <w:highlight w:val="none"/>
              </w:rPr>
            </w:pPr>
          </w:p>
        </w:tc>
        <w:tc>
          <w:tcPr>
            <w:tcW w:w="1201" w:type="dxa"/>
            <w:tcBorders>
              <w:top w:val="single" w:color="auto" w:sz="4" w:space="0"/>
              <w:left w:val="single" w:color="auto" w:sz="4" w:space="0"/>
              <w:bottom w:val="single" w:color="auto" w:sz="4" w:space="0"/>
              <w:right w:val="single" w:color="auto" w:sz="4" w:space="0"/>
            </w:tcBorders>
            <w:vAlign w:val="center"/>
          </w:tcPr>
          <w:p w14:paraId="43981AC4">
            <w:pPr>
              <w:tabs>
                <w:tab w:val="left" w:pos="4905"/>
              </w:tabs>
              <w:spacing w:line="400" w:lineRule="exact"/>
              <w:jc w:val="center"/>
              <w:rPr>
                <w:rFonts w:hint="eastAsia" w:ascii="仿宋" w:hAnsi="仿宋" w:eastAsia="仿宋" w:cs="仿宋"/>
                <w:color w:val="auto"/>
                <w:sz w:val="24"/>
                <w:highlight w:val="none"/>
              </w:rPr>
            </w:pPr>
          </w:p>
        </w:tc>
      </w:tr>
      <w:tr w14:paraId="5863A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60AB973F">
            <w:pPr>
              <w:tabs>
                <w:tab w:val="left" w:pos="4905"/>
              </w:tabs>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3087" w:type="dxa"/>
            <w:tcBorders>
              <w:top w:val="single" w:color="auto" w:sz="4" w:space="0"/>
              <w:left w:val="single" w:color="auto" w:sz="4" w:space="0"/>
              <w:bottom w:val="single" w:color="auto" w:sz="4" w:space="0"/>
              <w:right w:val="single" w:color="auto" w:sz="4" w:space="0"/>
            </w:tcBorders>
            <w:vAlign w:val="center"/>
          </w:tcPr>
          <w:p w14:paraId="0FACF2AB">
            <w:pPr>
              <w:tabs>
                <w:tab w:val="left" w:pos="4905"/>
              </w:tabs>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请填写验收方式要求(如有)</w:t>
            </w:r>
          </w:p>
        </w:tc>
        <w:tc>
          <w:tcPr>
            <w:tcW w:w="3818" w:type="dxa"/>
            <w:tcBorders>
              <w:top w:val="single" w:color="auto" w:sz="4" w:space="0"/>
              <w:left w:val="single" w:color="auto" w:sz="4" w:space="0"/>
              <w:bottom w:val="single" w:color="auto" w:sz="4" w:space="0"/>
              <w:right w:val="single" w:color="auto" w:sz="4" w:space="0"/>
            </w:tcBorders>
            <w:vAlign w:val="center"/>
          </w:tcPr>
          <w:p w14:paraId="63F78CA9">
            <w:pPr>
              <w:tabs>
                <w:tab w:val="left" w:pos="4905"/>
              </w:tabs>
              <w:spacing w:line="400" w:lineRule="exact"/>
              <w:rPr>
                <w:rFonts w:hint="eastAsia" w:ascii="仿宋" w:hAnsi="仿宋" w:eastAsia="仿宋" w:cs="仿宋"/>
                <w:color w:val="auto"/>
                <w:sz w:val="24"/>
                <w:highlight w:val="none"/>
              </w:rPr>
            </w:pPr>
          </w:p>
        </w:tc>
        <w:tc>
          <w:tcPr>
            <w:tcW w:w="1201" w:type="dxa"/>
            <w:tcBorders>
              <w:top w:val="single" w:color="auto" w:sz="4" w:space="0"/>
              <w:left w:val="single" w:color="auto" w:sz="4" w:space="0"/>
              <w:bottom w:val="single" w:color="auto" w:sz="4" w:space="0"/>
              <w:right w:val="single" w:color="auto" w:sz="4" w:space="0"/>
            </w:tcBorders>
            <w:vAlign w:val="center"/>
          </w:tcPr>
          <w:p w14:paraId="236D1CAD">
            <w:pPr>
              <w:tabs>
                <w:tab w:val="left" w:pos="4905"/>
              </w:tabs>
              <w:spacing w:line="400" w:lineRule="exact"/>
              <w:jc w:val="center"/>
              <w:rPr>
                <w:rFonts w:hint="eastAsia" w:ascii="仿宋" w:hAnsi="仿宋" w:eastAsia="仿宋" w:cs="仿宋"/>
                <w:color w:val="auto"/>
                <w:sz w:val="24"/>
                <w:highlight w:val="none"/>
              </w:rPr>
            </w:pPr>
          </w:p>
        </w:tc>
      </w:tr>
      <w:tr w14:paraId="656E3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2534085C">
            <w:pPr>
              <w:tabs>
                <w:tab w:val="left" w:pos="4905"/>
              </w:tabs>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3087" w:type="dxa"/>
            <w:tcBorders>
              <w:top w:val="single" w:color="auto" w:sz="4" w:space="0"/>
              <w:left w:val="single" w:color="auto" w:sz="4" w:space="0"/>
              <w:bottom w:val="single" w:color="auto" w:sz="4" w:space="0"/>
              <w:right w:val="single" w:color="auto" w:sz="4" w:space="0"/>
            </w:tcBorders>
            <w:vAlign w:val="center"/>
          </w:tcPr>
          <w:p w14:paraId="42E75E8C">
            <w:pPr>
              <w:tabs>
                <w:tab w:val="left" w:pos="4905"/>
              </w:tabs>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请填写付款方式要求</w:t>
            </w:r>
          </w:p>
        </w:tc>
        <w:tc>
          <w:tcPr>
            <w:tcW w:w="3818" w:type="dxa"/>
            <w:tcBorders>
              <w:top w:val="single" w:color="auto" w:sz="4" w:space="0"/>
              <w:left w:val="single" w:color="auto" w:sz="4" w:space="0"/>
              <w:bottom w:val="single" w:color="auto" w:sz="4" w:space="0"/>
              <w:right w:val="single" w:color="auto" w:sz="4" w:space="0"/>
            </w:tcBorders>
            <w:vAlign w:val="center"/>
          </w:tcPr>
          <w:p w14:paraId="2D4A7B97">
            <w:pPr>
              <w:tabs>
                <w:tab w:val="left" w:pos="4905"/>
              </w:tabs>
              <w:spacing w:line="400" w:lineRule="exact"/>
              <w:rPr>
                <w:rFonts w:hint="eastAsia" w:ascii="仿宋" w:hAnsi="仿宋" w:eastAsia="仿宋" w:cs="仿宋"/>
                <w:color w:val="auto"/>
                <w:sz w:val="24"/>
                <w:highlight w:val="none"/>
              </w:rPr>
            </w:pPr>
          </w:p>
        </w:tc>
        <w:tc>
          <w:tcPr>
            <w:tcW w:w="1201" w:type="dxa"/>
            <w:tcBorders>
              <w:top w:val="single" w:color="auto" w:sz="4" w:space="0"/>
              <w:left w:val="single" w:color="auto" w:sz="4" w:space="0"/>
              <w:bottom w:val="single" w:color="auto" w:sz="4" w:space="0"/>
              <w:right w:val="single" w:color="auto" w:sz="4" w:space="0"/>
            </w:tcBorders>
            <w:vAlign w:val="center"/>
          </w:tcPr>
          <w:p w14:paraId="378C5656">
            <w:pPr>
              <w:tabs>
                <w:tab w:val="left" w:pos="4905"/>
              </w:tabs>
              <w:spacing w:line="400" w:lineRule="exact"/>
              <w:jc w:val="center"/>
              <w:rPr>
                <w:rFonts w:hint="eastAsia" w:ascii="仿宋" w:hAnsi="仿宋" w:eastAsia="仿宋" w:cs="仿宋"/>
                <w:color w:val="auto"/>
                <w:sz w:val="24"/>
                <w:highlight w:val="none"/>
              </w:rPr>
            </w:pPr>
          </w:p>
        </w:tc>
      </w:tr>
      <w:tr w14:paraId="1EC2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33ED9D03">
            <w:pPr>
              <w:tabs>
                <w:tab w:val="left" w:pos="4905"/>
              </w:tabs>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3087" w:type="dxa"/>
            <w:tcBorders>
              <w:top w:val="single" w:color="auto" w:sz="4" w:space="0"/>
              <w:left w:val="single" w:color="auto" w:sz="4" w:space="0"/>
              <w:bottom w:val="single" w:color="auto" w:sz="4" w:space="0"/>
              <w:right w:val="single" w:color="auto" w:sz="4" w:space="0"/>
            </w:tcBorders>
            <w:vAlign w:val="center"/>
          </w:tcPr>
          <w:p w14:paraId="0242A2DF">
            <w:pPr>
              <w:tabs>
                <w:tab w:val="left" w:pos="4905"/>
              </w:tabs>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请填写到货期要求</w:t>
            </w:r>
          </w:p>
        </w:tc>
        <w:tc>
          <w:tcPr>
            <w:tcW w:w="3818" w:type="dxa"/>
            <w:tcBorders>
              <w:top w:val="single" w:color="auto" w:sz="4" w:space="0"/>
              <w:left w:val="single" w:color="auto" w:sz="4" w:space="0"/>
              <w:bottom w:val="single" w:color="auto" w:sz="4" w:space="0"/>
              <w:right w:val="single" w:color="auto" w:sz="4" w:space="0"/>
            </w:tcBorders>
            <w:vAlign w:val="center"/>
          </w:tcPr>
          <w:p w14:paraId="4B487B1C">
            <w:pPr>
              <w:tabs>
                <w:tab w:val="left" w:pos="4905"/>
              </w:tabs>
              <w:spacing w:line="400" w:lineRule="exact"/>
              <w:rPr>
                <w:rFonts w:hint="eastAsia" w:ascii="仿宋" w:hAnsi="仿宋" w:eastAsia="仿宋" w:cs="仿宋"/>
                <w:color w:val="auto"/>
                <w:sz w:val="24"/>
                <w:highlight w:val="none"/>
              </w:rPr>
            </w:pPr>
          </w:p>
        </w:tc>
        <w:tc>
          <w:tcPr>
            <w:tcW w:w="1201" w:type="dxa"/>
            <w:tcBorders>
              <w:top w:val="single" w:color="auto" w:sz="4" w:space="0"/>
              <w:left w:val="single" w:color="auto" w:sz="4" w:space="0"/>
              <w:bottom w:val="single" w:color="auto" w:sz="4" w:space="0"/>
              <w:right w:val="single" w:color="auto" w:sz="4" w:space="0"/>
            </w:tcBorders>
            <w:vAlign w:val="center"/>
          </w:tcPr>
          <w:p w14:paraId="22690219">
            <w:pPr>
              <w:tabs>
                <w:tab w:val="left" w:pos="4905"/>
              </w:tabs>
              <w:spacing w:line="400" w:lineRule="exact"/>
              <w:jc w:val="center"/>
              <w:rPr>
                <w:rFonts w:hint="eastAsia" w:ascii="仿宋" w:hAnsi="仿宋" w:eastAsia="仿宋" w:cs="仿宋"/>
                <w:color w:val="auto"/>
                <w:sz w:val="24"/>
                <w:highlight w:val="none"/>
              </w:rPr>
            </w:pPr>
          </w:p>
        </w:tc>
      </w:tr>
      <w:tr w14:paraId="29B9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1C0C6981">
            <w:pPr>
              <w:tabs>
                <w:tab w:val="left" w:pos="4905"/>
              </w:tabs>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3087" w:type="dxa"/>
            <w:tcBorders>
              <w:top w:val="single" w:color="auto" w:sz="4" w:space="0"/>
              <w:left w:val="single" w:color="auto" w:sz="4" w:space="0"/>
              <w:bottom w:val="single" w:color="auto" w:sz="4" w:space="0"/>
              <w:right w:val="single" w:color="auto" w:sz="4" w:space="0"/>
            </w:tcBorders>
            <w:vAlign w:val="center"/>
          </w:tcPr>
          <w:p w14:paraId="63F0D8EA">
            <w:pPr>
              <w:tabs>
                <w:tab w:val="left" w:pos="4905"/>
              </w:tabs>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3818" w:type="dxa"/>
            <w:tcBorders>
              <w:top w:val="single" w:color="auto" w:sz="4" w:space="0"/>
              <w:left w:val="single" w:color="auto" w:sz="4" w:space="0"/>
              <w:bottom w:val="single" w:color="auto" w:sz="4" w:space="0"/>
              <w:right w:val="single" w:color="auto" w:sz="4" w:space="0"/>
            </w:tcBorders>
            <w:vAlign w:val="center"/>
          </w:tcPr>
          <w:p w14:paraId="4DBCDCB1">
            <w:pPr>
              <w:tabs>
                <w:tab w:val="left" w:pos="4905"/>
              </w:tabs>
              <w:spacing w:line="400" w:lineRule="exact"/>
              <w:rPr>
                <w:rFonts w:hint="eastAsia" w:ascii="仿宋" w:hAnsi="仿宋" w:eastAsia="仿宋" w:cs="仿宋"/>
                <w:color w:val="auto"/>
                <w:sz w:val="24"/>
                <w:highlight w:val="none"/>
              </w:rPr>
            </w:pPr>
          </w:p>
        </w:tc>
        <w:tc>
          <w:tcPr>
            <w:tcW w:w="1201" w:type="dxa"/>
            <w:tcBorders>
              <w:top w:val="single" w:color="auto" w:sz="4" w:space="0"/>
              <w:left w:val="single" w:color="auto" w:sz="4" w:space="0"/>
              <w:bottom w:val="single" w:color="auto" w:sz="4" w:space="0"/>
              <w:right w:val="single" w:color="auto" w:sz="4" w:space="0"/>
            </w:tcBorders>
            <w:vAlign w:val="center"/>
          </w:tcPr>
          <w:p w14:paraId="0E3F1DA2">
            <w:pPr>
              <w:tabs>
                <w:tab w:val="left" w:pos="4905"/>
              </w:tabs>
              <w:spacing w:line="400" w:lineRule="exact"/>
              <w:jc w:val="center"/>
              <w:rPr>
                <w:rFonts w:hint="eastAsia" w:ascii="仿宋" w:hAnsi="仿宋" w:eastAsia="仿宋" w:cs="仿宋"/>
                <w:color w:val="auto"/>
                <w:sz w:val="24"/>
                <w:highlight w:val="none"/>
              </w:rPr>
            </w:pPr>
          </w:p>
        </w:tc>
      </w:tr>
      <w:tr w14:paraId="29C03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6B121951">
            <w:pPr>
              <w:tabs>
                <w:tab w:val="left" w:pos="4905"/>
              </w:tabs>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p>
        </w:tc>
        <w:tc>
          <w:tcPr>
            <w:tcW w:w="3087" w:type="dxa"/>
            <w:tcBorders>
              <w:top w:val="single" w:color="auto" w:sz="4" w:space="0"/>
              <w:left w:val="single" w:color="auto" w:sz="4" w:space="0"/>
              <w:bottom w:val="single" w:color="auto" w:sz="4" w:space="0"/>
              <w:right w:val="single" w:color="auto" w:sz="4" w:space="0"/>
            </w:tcBorders>
            <w:vAlign w:val="center"/>
          </w:tcPr>
          <w:p w14:paraId="2E3210DA">
            <w:pPr>
              <w:tabs>
                <w:tab w:val="left" w:pos="4905"/>
              </w:tabs>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3818" w:type="dxa"/>
            <w:tcBorders>
              <w:top w:val="single" w:color="auto" w:sz="4" w:space="0"/>
              <w:left w:val="single" w:color="auto" w:sz="4" w:space="0"/>
              <w:bottom w:val="single" w:color="auto" w:sz="4" w:space="0"/>
              <w:right w:val="single" w:color="auto" w:sz="4" w:space="0"/>
            </w:tcBorders>
            <w:vAlign w:val="center"/>
          </w:tcPr>
          <w:p w14:paraId="1C7E2F4D">
            <w:pPr>
              <w:tabs>
                <w:tab w:val="left" w:pos="4905"/>
              </w:tabs>
              <w:spacing w:line="400" w:lineRule="exact"/>
              <w:rPr>
                <w:rFonts w:hint="eastAsia" w:ascii="仿宋" w:hAnsi="仿宋" w:eastAsia="仿宋" w:cs="仿宋"/>
                <w:color w:val="auto"/>
                <w:sz w:val="24"/>
                <w:highlight w:val="none"/>
              </w:rPr>
            </w:pPr>
          </w:p>
        </w:tc>
        <w:tc>
          <w:tcPr>
            <w:tcW w:w="1201" w:type="dxa"/>
            <w:tcBorders>
              <w:top w:val="single" w:color="auto" w:sz="4" w:space="0"/>
              <w:left w:val="single" w:color="auto" w:sz="4" w:space="0"/>
              <w:bottom w:val="single" w:color="auto" w:sz="4" w:space="0"/>
              <w:right w:val="single" w:color="auto" w:sz="4" w:space="0"/>
            </w:tcBorders>
            <w:vAlign w:val="center"/>
          </w:tcPr>
          <w:p w14:paraId="0A593D8A">
            <w:pPr>
              <w:tabs>
                <w:tab w:val="left" w:pos="4905"/>
              </w:tabs>
              <w:spacing w:line="400" w:lineRule="exact"/>
              <w:jc w:val="center"/>
              <w:rPr>
                <w:rFonts w:hint="eastAsia" w:ascii="仿宋" w:hAnsi="仿宋" w:eastAsia="仿宋" w:cs="仿宋"/>
                <w:color w:val="auto"/>
                <w:sz w:val="24"/>
                <w:highlight w:val="none"/>
              </w:rPr>
            </w:pPr>
          </w:p>
        </w:tc>
      </w:tr>
    </w:tbl>
    <w:p w14:paraId="3436AEB3">
      <w:pPr>
        <w:tabs>
          <w:tab w:val="left" w:pos="570"/>
        </w:tabs>
        <w:spacing w:line="440" w:lineRule="exact"/>
        <w:ind w:firstLine="120" w:firstLineChars="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注：1.此表须与</w:t>
      </w:r>
      <w:r>
        <w:rPr>
          <w:rFonts w:hint="eastAsia" w:ascii="仿宋" w:hAnsi="仿宋" w:eastAsia="仿宋" w:cs="仿宋"/>
          <w:color w:val="auto"/>
          <w:kern w:val="0"/>
          <w:sz w:val="24"/>
          <w:highlight w:val="none"/>
        </w:rPr>
        <w:t>招标文件“</w:t>
      </w:r>
      <w:r>
        <w:rPr>
          <w:rFonts w:hint="eastAsia" w:ascii="仿宋" w:hAnsi="仿宋" w:eastAsia="仿宋" w:cs="仿宋"/>
          <w:color w:val="auto"/>
          <w:sz w:val="24"/>
          <w:highlight w:val="none"/>
        </w:rPr>
        <w:t>招标项目说明及要求</w:t>
      </w:r>
      <w:r>
        <w:rPr>
          <w:rFonts w:hint="eastAsia" w:ascii="仿宋" w:hAnsi="仿宋" w:eastAsia="仿宋" w:cs="仿宋"/>
          <w:color w:val="auto"/>
          <w:kern w:val="0"/>
          <w:sz w:val="24"/>
          <w:highlight w:val="none"/>
        </w:rPr>
        <w:t>”</w:t>
      </w:r>
      <w:r>
        <w:rPr>
          <w:rFonts w:hint="eastAsia" w:ascii="仿宋" w:hAnsi="仿宋" w:eastAsia="仿宋" w:cs="仿宋"/>
          <w:color w:val="auto"/>
          <w:sz w:val="24"/>
          <w:highlight w:val="none"/>
        </w:rPr>
        <w:t>相应标项内的所有技术规格相比较且一一对应真实逐条填列。</w:t>
      </w:r>
    </w:p>
    <w:p w14:paraId="62BB5B59">
      <w:pPr>
        <w:tabs>
          <w:tab w:val="left" w:pos="570"/>
        </w:tabs>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2、投标人递交的技术规格书中必须真实逐条列明，否则由投标人自行承担相关风险。</w:t>
      </w:r>
    </w:p>
    <w:p w14:paraId="6FC7839F">
      <w:pPr>
        <w:autoSpaceDE w:val="0"/>
        <w:autoSpaceDN w:val="0"/>
        <w:spacing w:line="360" w:lineRule="auto"/>
        <w:ind w:firstLine="5040" w:firstLineChars="2100"/>
        <w:rPr>
          <w:rFonts w:hint="eastAsia" w:ascii="仿宋" w:hAnsi="仿宋" w:eastAsia="仿宋" w:cs="仿宋"/>
          <w:color w:val="auto"/>
          <w:kern w:val="0"/>
          <w:sz w:val="24"/>
          <w:highlight w:val="none"/>
          <w:lang w:val="zh-CN"/>
        </w:rPr>
      </w:pPr>
    </w:p>
    <w:p w14:paraId="3189FFD8">
      <w:pPr>
        <w:spacing w:line="360" w:lineRule="auto"/>
        <w:ind w:firstLine="480" w:firstLineChars="200"/>
        <w:rPr>
          <w:rFonts w:hint="eastAsia" w:ascii="仿宋" w:hAnsi="仿宋" w:eastAsia="仿宋" w:cs="仿宋"/>
          <w:color w:val="auto"/>
          <w:sz w:val="24"/>
          <w:szCs w:val="20"/>
          <w:highlight w:val="none"/>
        </w:rPr>
      </w:pPr>
    </w:p>
    <w:p w14:paraId="4E0D77CC">
      <w:pPr>
        <w:snapToGrid w:val="0"/>
        <w:spacing w:line="360" w:lineRule="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投标人 (盖章)：</w:t>
      </w:r>
    </w:p>
    <w:p w14:paraId="01D19798">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 xml:space="preserve">                                  法定代表人或其授权代表(签字或盖章)：</w:t>
      </w:r>
    </w:p>
    <w:p w14:paraId="3075E657">
      <w:pPr>
        <w:snapToGrid w:val="0"/>
        <w:spacing w:line="360" w:lineRule="auto"/>
        <w:ind w:firstLine="5160" w:firstLineChars="215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月日</w:t>
      </w:r>
    </w:p>
    <w:p w14:paraId="2B883CF5">
      <w:pPr>
        <w:tabs>
          <w:tab w:val="left" w:pos="2790"/>
          <w:tab w:val="left" w:pos="4230"/>
        </w:tabs>
        <w:autoSpaceDE w:val="0"/>
        <w:autoSpaceDN w:val="0"/>
        <w:spacing w:line="360" w:lineRule="auto"/>
        <w:ind w:right="1400"/>
        <w:jc w:val="center"/>
        <w:outlineLvl w:val="1"/>
        <w:rPr>
          <w:rFonts w:hint="eastAsia" w:ascii="仿宋" w:hAnsi="仿宋" w:eastAsia="仿宋" w:cs="仿宋"/>
          <w:b/>
          <w:bCs/>
          <w:color w:val="auto"/>
          <w:kern w:val="0"/>
          <w:sz w:val="36"/>
          <w:szCs w:val="36"/>
          <w:highlight w:val="none"/>
          <w:lang w:val="zh-CN"/>
        </w:rPr>
      </w:pPr>
    </w:p>
    <w:p w14:paraId="25AD716B">
      <w:pPr>
        <w:tabs>
          <w:tab w:val="left" w:pos="2790"/>
          <w:tab w:val="left" w:pos="4230"/>
        </w:tabs>
        <w:autoSpaceDE w:val="0"/>
        <w:autoSpaceDN w:val="0"/>
        <w:spacing w:line="360" w:lineRule="auto"/>
        <w:ind w:right="1400"/>
        <w:jc w:val="center"/>
        <w:outlineLvl w:val="1"/>
        <w:rPr>
          <w:rFonts w:hint="eastAsia" w:ascii="仿宋" w:hAnsi="仿宋" w:eastAsia="仿宋" w:cs="仿宋"/>
          <w:b/>
          <w:bCs/>
          <w:color w:val="auto"/>
          <w:kern w:val="0"/>
          <w:sz w:val="36"/>
          <w:szCs w:val="36"/>
          <w:highlight w:val="none"/>
          <w:lang w:val="zh-CN"/>
        </w:rPr>
      </w:pPr>
    </w:p>
    <w:p w14:paraId="75856AFA">
      <w:pPr>
        <w:tabs>
          <w:tab w:val="left" w:pos="2790"/>
          <w:tab w:val="left" w:pos="4230"/>
        </w:tabs>
        <w:autoSpaceDE w:val="0"/>
        <w:autoSpaceDN w:val="0"/>
        <w:spacing w:line="360" w:lineRule="auto"/>
        <w:ind w:right="1400"/>
        <w:jc w:val="center"/>
        <w:outlineLvl w:val="1"/>
        <w:rPr>
          <w:rFonts w:hint="eastAsia" w:ascii="仿宋" w:hAnsi="仿宋" w:eastAsia="仿宋" w:cs="仿宋"/>
          <w:b/>
          <w:bCs/>
          <w:color w:val="auto"/>
          <w:kern w:val="0"/>
          <w:sz w:val="36"/>
          <w:szCs w:val="36"/>
          <w:highlight w:val="none"/>
          <w:lang w:val="zh-CN"/>
        </w:rPr>
      </w:pPr>
    </w:p>
    <w:p w14:paraId="3D4487ED">
      <w:pPr>
        <w:pageBreakBefore/>
        <w:tabs>
          <w:tab w:val="left" w:pos="2790"/>
          <w:tab w:val="left" w:pos="4230"/>
        </w:tabs>
        <w:autoSpaceDE w:val="0"/>
        <w:autoSpaceDN w:val="0"/>
        <w:spacing w:line="360" w:lineRule="auto"/>
        <w:ind w:right="1400"/>
        <w:outlineLvl w:val="1"/>
        <w:rPr>
          <w:rFonts w:hint="eastAsia" w:ascii="仿宋" w:hAnsi="仿宋" w:eastAsia="仿宋" w:cs="仿宋"/>
          <w:b/>
          <w:bCs/>
          <w:color w:val="auto"/>
          <w:kern w:val="0"/>
          <w:sz w:val="32"/>
          <w:szCs w:val="32"/>
          <w:highlight w:val="none"/>
          <w:lang w:val="zh-CN"/>
        </w:rPr>
      </w:pPr>
      <w:r>
        <w:rPr>
          <w:rFonts w:hint="eastAsia" w:ascii="仿宋" w:hAnsi="仿宋" w:eastAsia="仿宋" w:cs="仿宋"/>
          <w:b/>
          <w:bCs/>
          <w:color w:val="auto"/>
          <w:kern w:val="0"/>
          <w:sz w:val="32"/>
          <w:szCs w:val="32"/>
          <w:highlight w:val="none"/>
          <w:lang w:val="zh-CN"/>
        </w:rPr>
        <w:t>12、组织实施方案</w:t>
      </w:r>
    </w:p>
    <w:p w14:paraId="38A05B7A">
      <w:pPr>
        <w:autoSpaceDE w:val="0"/>
        <w:autoSpaceDN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（由投标人根据采购需求及招标文件要求编制）</w:t>
      </w:r>
    </w:p>
    <w:p w14:paraId="4DE5D966">
      <w:pPr>
        <w:tabs>
          <w:tab w:val="left" w:pos="2790"/>
          <w:tab w:val="left" w:pos="4230"/>
        </w:tabs>
        <w:autoSpaceDE w:val="0"/>
        <w:autoSpaceDN w:val="0"/>
        <w:spacing w:line="360" w:lineRule="auto"/>
        <w:ind w:right="1400"/>
        <w:outlineLvl w:val="1"/>
        <w:rPr>
          <w:rFonts w:hint="eastAsia" w:ascii="仿宋" w:hAnsi="仿宋" w:eastAsia="仿宋" w:cs="仿宋"/>
          <w:b/>
          <w:bCs/>
          <w:color w:val="auto"/>
          <w:kern w:val="0"/>
          <w:sz w:val="24"/>
          <w:highlight w:val="none"/>
          <w:lang w:val="zh-CN"/>
        </w:rPr>
      </w:pPr>
      <w:r>
        <w:rPr>
          <w:rFonts w:hint="eastAsia" w:ascii="仿宋" w:hAnsi="仿宋" w:eastAsia="仿宋" w:cs="仿宋"/>
          <w:b/>
          <w:bCs/>
          <w:color w:val="auto"/>
          <w:kern w:val="0"/>
          <w:sz w:val="24"/>
          <w:highlight w:val="none"/>
          <w:lang w:val="zh-CN"/>
        </w:rPr>
        <w:t>附表:项目实施进度计划表</w:t>
      </w:r>
      <w:r>
        <w:rPr>
          <w:rFonts w:hint="eastAsia" w:ascii="仿宋" w:hAnsi="仿宋" w:eastAsia="仿宋" w:cs="仿宋"/>
          <w:b/>
          <w:color w:val="auto"/>
          <w:sz w:val="24"/>
          <w:highlight w:val="none"/>
        </w:rPr>
        <w:t xml:space="preserve">(以生效日算起) </w:t>
      </w:r>
    </w:p>
    <w:tbl>
      <w:tblPr>
        <w:tblStyle w:val="44"/>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37F1B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188" w:type="dxa"/>
            <w:tcBorders>
              <w:tl2br w:val="single" w:color="auto" w:sz="4" w:space="0"/>
            </w:tcBorders>
            <w:vAlign w:val="center"/>
          </w:tcPr>
          <w:p w14:paraId="4A121A19">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工作日</w:t>
            </w:r>
          </w:p>
          <w:p w14:paraId="3D5BAD87">
            <w:pPr>
              <w:rPr>
                <w:rFonts w:hint="eastAsia" w:ascii="仿宋" w:hAnsi="仿宋" w:eastAsia="仿宋" w:cs="仿宋"/>
                <w:color w:val="auto"/>
                <w:sz w:val="24"/>
                <w:highlight w:val="none"/>
              </w:rPr>
            </w:pPr>
            <w:r>
              <w:rPr>
                <w:rFonts w:hint="eastAsia" w:ascii="仿宋" w:hAnsi="仿宋" w:eastAsia="仿宋" w:cs="仿宋"/>
                <w:color w:val="auto"/>
                <w:sz w:val="24"/>
                <w:highlight w:val="none"/>
              </w:rPr>
              <w:t>内容</w:t>
            </w:r>
          </w:p>
        </w:tc>
        <w:tc>
          <w:tcPr>
            <w:tcW w:w="552" w:type="dxa"/>
            <w:vAlign w:val="center"/>
          </w:tcPr>
          <w:p w14:paraId="2FAB2733">
            <w:pP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552" w:type="dxa"/>
            <w:vAlign w:val="center"/>
          </w:tcPr>
          <w:p w14:paraId="48C84AD9">
            <w:pP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552" w:type="dxa"/>
            <w:vAlign w:val="center"/>
          </w:tcPr>
          <w:p w14:paraId="786AC251">
            <w:pP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552" w:type="dxa"/>
            <w:vAlign w:val="center"/>
          </w:tcPr>
          <w:p w14:paraId="181F9A15">
            <w:pP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552" w:type="dxa"/>
            <w:vAlign w:val="center"/>
          </w:tcPr>
          <w:p w14:paraId="0EA69175">
            <w:pP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552" w:type="dxa"/>
            <w:vAlign w:val="center"/>
          </w:tcPr>
          <w:p w14:paraId="0A8FA96A">
            <w:pPr>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553" w:type="dxa"/>
            <w:vAlign w:val="center"/>
          </w:tcPr>
          <w:p w14:paraId="2EC3EEE1">
            <w:pP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553" w:type="dxa"/>
            <w:vAlign w:val="center"/>
          </w:tcPr>
          <w:p w14:paraId="3A4D50C3">
            <w:pPr>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553" w:type="dxa"/>
            <w:vAlign w:val="center"/>
          </w:tcPr>
          <w:p w14:paraId="29BA8CA9">
            <w:pPr>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p>
        </w:tc>
        <w:tc>
          <w:tcPr>
            <w:tcW w:w="553" w:type="dxa"/>
            <w:vAlign w:val="center"/>
          </w:tcPr>
          <w:p w14:paraId="3B5602EC">
            <w:pPr>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p>
        </w:tc>
        <w:tc>
          <w:tcPr>
            <w:tcW w:w="553" w:type="dxa"/>
            <w:vAlign w:val="center"/>
          </w:tcPr>
          <w:p w14:paraId="7B77865A">
            <w:pP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553" w:type="dxa"/>
            <w:vAlign w:val="center"/>
          </w:tcPr>
          <w:p w14:paraId="6B38D407">
            <w:pPr>
              <w:rPr>
                <w:rFonts w:hint="eastAsia" w:ascii="仿宋" w:hAnsi="仿宋" w:eastAsia="仿宋" w:cs="仿宋"/>
                <w:color w:val="auto"/>
                <w:sz w:val="24"/>
                <w:highlight w:val="none"/>
              </w:rPr>
            </w:pPr>
            <w:r>
              <w:rPr>
                <w:rFonts w:hint="eastAsia" w:ascii="仿宋" w:hAnsi="仿宋" w:eastAsia="仿宋" w:cs="仿宋"/>
                <w:color w:val="auto"/>
                <w:sz w:val="24"/>
                <w:highlight w:val="none"/>
              </w:rPr>
              <w:t>12</w:t>
            </w:r>
          </w:p>
        </w:tc>
        <w:tc>
          <w:tcPr>
            <w:tcW w:w="553" w:type="dxa"/>
            <w:vAlign w:val="center"/>
          </w:tcPr>
          <w:p w14:paraId="012D9F7B">
            <w:pPr>
              <w:rPr>
                <w:rFonts w:hint="eastAsia" w:ascii="仿宋" w:hAnsi="仿宋" w:eastAsia="仿宋" w:cs="仿宋"/>
                <w:color w:val="auto"/>
                <w:sz w:val="24"/>
                <w:highlight w:val="none"/>
              </w:rPr>
            </w:pPr>
            <w:r>
              <w:rPr>
                <w:rFonts w:hint="eastAsia" w:ascii="仿宋" w:hAnsi="仿宋" w:eastAsia="仿宋" w:cs="仿宋"/>
                <w:color w:val="auto"/>
                <w:sz w:val="24"/>
                <w:highlight w:val="none"/>
              </w:rPr>
              <w:t>13</w:t>
            </w:r>
          </w:p>
        </w:tc>
        <w:tc>
          <w:tcPr>
            <w:tcW w:w="553" w:type="dxa"/>
            <w:vAlign w:val="center"/>
          </w:tcPr>
          <w:p w14:paraId="55B74703">
            <w:pPr>
              <w:rPr>
                <w:rFonts w:hint="eastAsia" w:ascii="仿宋" w:hAnsi="仿宋" w:eastAsia="仿宋" w:cs="仿宋"/>
                <w:color w:val="auto"/>
                <w:sz w:val="24"/>
                <w:highlight w:val="none"/>
              </w:rPr>
            </w:pPr>
            <w:r>
              <w:rPr>
                <w:rFonts w:hint="eastAsia" w:ascii="仿宋" w:hAnsi="仿宋" w:eastAsia="仿宋" w:cs="仿宋"/>
                <w:color w:val="auto"/>
                <w:sz w:val="24"/>
                <w:highlight w:val="none"/>
              </w:rPr>
              <w:t>14</w:t>
            </w:r>
          </w:p>
        </w:tc>
        <w:tc>
          <w:tcPr>
            <w:tcW w:w="553" w:type="dxa"/>
            <w:vAlign w:val="center"/>
          </w:tcPr>
          <w:p w14:paraId="228B8227">
            <w:pPr>
              <w:rPr>
                <w:rFonts w:hint="eastAsia" w:ascii="仿宋" w:hAnsi="仿宋" w:eastAsia="仿宋" w:cs="仿宋"/>
                <w:color w:val="auto"/>
                <w:sz w:val="24"/>
                <w:highlight w:val="none"/>
              </w:rPr>
            </w:pPr>
            <w:r>
              <w:rPr>
                <w:rFonts w:hint="eastAsia" w:ascii="仿宋" w:hAnsi="仿宋" w:eastAsia="仿宋" w:cs="仿宋"/>
                <w:color w:val="auto"/>
                <w:sz w:val="24"/>
                <w:highlight w:val="none"/>
              </w:rPr>
              <w:t>15</w:t>
            </w:r>
          </w:p>
        </w:tc>
        <w:tc>
          <w:tcPr>
            <w:tcW w:w="553" w:type="dxa"/>
            <w:vAlign w:val="center"/>
          </w:tcPr>
          <w:p w14:paraId="7B24B5C1">
            <w:pP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r>
      <w:tr w14:paraId="79FE5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57B28F2">
            <w:pPr>
              <w:spacing w:line="360" w:lineRule="auto"/>
              <w:rPr>
                <w:rFonts w:hint="eastAsia" w:ascii="仿宋" w:hAnsi="仿宋" w:eastAsia="仿宋" w:cs="仿宋"/>
                <w:color w:val="auto"/>
                <w:sz w:val="24"/>
                <w:highlight w:val="none"/>
              </w:rPr>
            </w:pPr>
          </w:p>
        </w:tc>
        <w:tc>
          <w:tcPr>
            <w:tcW w:w="552" w:type="dxa"/>
          </w:tcPr>
          <w:p w14:paraId="66B05CA3">
            <w:pPr>
              <w:spacing w:line="360" w:lineRule="auto"/>
              <w:rPr>
                <w:rFonts w:hint="eastAsia" w:ascii="仿宋" w:hAnsi="仿宋" w:eastAsia="仿宋" w:cs="仿宋"/>
                <w:color w:val="auto"/>
                <w:sz w:val="24"/>
                <w:highlight w:val="none"/>
              </w:rPr>
            </w:pPr>
          </w:p>
        </w:tc>
        <w:tc>
          <w:tcPr>
            <w:tcW w:w="552" w:type="dxa"/>
          </w:tcPr>
          <w:p w14:paraId="45063F59">
            <w:pPr>
              <w:spacing w:line="360" w:lineRule="auto"/>
              <w:rPr>
                <w:rFonts w:hint="eastAsia" w:ascii="仿宋" w:hAnsi="仿宋" w:eastAsia="仿宋" w:cs="仿宋"/>
                <w:color w:val="auto"/>
                <w:sz w:val="24"/>
                <w:highlight w:val="none"/>
              </w:rPr>
            </w:pPr>
          </w:p>
        </w:tc>
        <w:tc>
          <w:tcPr>
            <w:tcW w:w="552" w:type="dxa"/>
          </w:tcPr>
          <w:p w14:paraId="4BEB4F44">
            <w:pPr>
              <w:spacing w:line="360" w:lineRule="auto"/>
              <w:rPr>
                <w:rFonts w:hint="eastAsia" w:ascii="仿宋" w:hAnsi="仿宋" w:eastAsia="仿宋" w:cs="仿宋"/>
                <w:color w:val="auto"/>
                <w:sz w:val="24"/>
                <w:highlight w:val="none"/>
              </w:rPr>
            </w:pPr>
          </w:p>
        </w:tc>
        <w:tc>
          <w:tcPr>
            <w:tcW w:w="552" w:type="dxa"/>
          </w:tcPr>
          <w:p w14:paraId="0EABC008">
            <w:pPr>
              <w:spacing w:line="360" w:lineRule="auto"/>
              <w:rPr>
                <w:rFonts w:hint="eastAsia" w:ascii="仿宋" w:hAnsi="仿宋" w:eastAsia="仿宋" w:cs="仿宋"/>
                <w:color w:val="auto"/>
                <w:sz w:val="24"/>
                <w:highlight w:val="none"/>
              </w:rPr>
            </w:pPr>
          </w:p>
        </w:tc>
        <w:tc>
          <w:tcPr>
            <w:tcW w:w="552" w:type="dxa"/>
          </w:tcPr>
          <w:p w14:paraId="04BBB162">
            <w:pPr>
              <w:spacing w:line="360" w:lineRule="auto"/>
              <w:rPr>
                <w:rFonts w:hint="eastAsia" w:ascii="仿宋" w:hAnsi="仿宋" w:eastAsia="仿宋" w:cs="仿宋"/>
                <w:color w:val="auto"/>
                <w:sz w:val="24"/>
                <w:highlight w:val="none"/>
              </w:rPr>
            </w:pPr>
          </w:p>
        </w:tc>
        <w:tc>
          <w:tcPr>
            <w:tcW w:w="552" w:type="dxa"/>
          </w:tcPr>
          <w:p w14:paraId="4977FAE9">
            <w:pPr>
              <w:spacing w:line="360" w:lineRule="auto"/>
              <w:rPr>
                <w:rFonts w:hint="eastAsia" w:ascii="仿宋" w:hAnsi="仿宋" w:eastAsia="仿宋" w:cs="仿宋"/>
                <w:color w:val="auto"/>
                <w:sz w:val="24"/>
                <w:highlight w:val="none"/>
              </w:rPr>
            </w:pPr>
          </w:p>
        </w:tc>
        <w:tc>
          <w:tcPr>
            <w:tcW w:w="553" w:type="dxa"/>
          </w:tcPr>
          <w:p w14:paraId="6FFBC4BD">
            <w:pPr>
              <w:spacing w:line="360" w:lineRule="auto"/>
              <w:rPr>
                <w:rFonts w:hint="eastAsia" w:ascii="仿宋" w:hAnsi="仿宋" w:eastAsia="仿宋" w:cs="仿宋"/>
                <w:color w:val="auto"/>
                <w:sz w:val="24"/>
                <w:highlight w:val="none"/>
              </w:rPr>
            </w:pPr>
          </w:p>
        </w:tc>
        <w:tc>
          <w:tcPr>
            <w:tcW w:w="553" w:type="dxa"/>
          </w:tcPr>
          <w:p w14:paraId="43973600">
            <w:pPr>
              <w:spacing w:line="360" w:lineRule="auto"/>
              <w:rPr>
                <w:rFonts w:hint="eastAsia" w:ascii="仿宋" w:hAnsi="仿宋" w:eastAsia="仿宋" w:cs="仿宋"/>
                <w:color w:val="auto"/>
                <w:sz w:val="24"/>
                <w:highlight w:val="none"/>
              </w:rPr>
            </w:pPr>
          </w:p>
        </w:tc>
        <w:tc>
          <w:tcPr>
            <w:tcW w:w="553" w:type="dxa"/>
          </w:tcPr>
          <w:p w14:paraId="333D9E74">
            <w:pPr>
              <w:spacing w:line="360" w:lineRule="auto"/>
              <w:rPr>
                <w:rFonts w:hint="eastAsia" w:ascii="仿宋" w:hAnsi="仿宋" w:eastAsia="仿宋" w:cs="仿宋"/>
                <w:color w:val="auto"/>
                <w:sz w:val="24"/>
                <w:highlight w:val="none"/>
              </w:rPr>
            </w:pPr>
          </w:p>
        </w:tc>
        <w:tc>
          <w:tcPr>
            <w:tcW w:w="553" w:type="dxa"/>
          </w:tcPr>
          <w:p w14:paraId="59DFD15D">
            <w:pPr>
              <w:spacing w:line="360" w:lineRule="auto"/>
              <w:rPr>
                <w:rFonts w:hint="eastAsia" w:ascii="仿宋" w:hAnsi="仿宋" w:eastAsia="仿宋" w:cs="仿宋"/>
                <w:color w:val="auto"/>
                <w:sz w:val="24"/>
                <w:highlight w:val="none"/>
              </w:rPr>
            </w:pPr>
          </w:p>
        </w:tc>
        <w:tc>
          <w:tcPr>
            <w:tcW w:w="553" w:type="dxa"/>
          </w:tcPr>
          <w:p w14:paraId="1FF04F1B">
            <w:pPr>
              <w:spacing w:line="360" w:lineRule="auto"/>
              <w:rPr>
                <w:rFonts w:hint="eastAsia" w:ascii="仿宋" w:hAnsi="仿宋" w:eastAsia="仿宋" w:cs="仿宋"/>
                <w:color w:val="auto"/>
                <w:sz w:val="24"/>
                <w:highlight w:val="none"/>
              </w:rPr>
            </w:pPr>
          </w:p>
        </w:tc>
        <w:tc>
          <w:tcPr>
            <w:tcW w:w="553" w:type="dxa"/>
          </w:tcPr>
          <w:p w14:paraId="2FD60DB8">
            <w:pPr>
              <w:spacing w:line="360" w:lineRule="auto"/>
              <w:rPr>
                <w:rFonts w:hint="eastAsia" w:ascii="仿宋" w:hAnsi="仿宋" w:eastAsia="仿宋" w:cs="仿宋"/>
                <w:color w:val="auto"/>
                <w:sz w:val="24"/>
                <w:highlight w:val="none"/>
              </w:rPr>
            </w:pPr>
          </w:p>
        </w:tc>
        <w:tc>
          <w:tcPr>
            <w:tcW w:w="553" w:type="dxa"/>
          </w:tcPr>
          <w:p w14:paraId="6006865C">
            <w:pPr>
              <w:spacing w:line="360" w:lineRule="auto"/>
              <w:rPr>
                <w:rFonts w:hint="eastAsia" w:ascii="仿宋" w:hAnsi="仿宋" w:eastAsia="仿宋" w:cs="仿宋"/>
                <w:color w:val="auto"/>
                <w:sz w:val="24"/>
                <w:highlight w:val="none"/>
              </w:rPr>
            </w:pPr>
          </w:p>
        </w:tc>
        <w:tc>
          <w:tcPr>
            <w:tcW w:w="553" w:type="dxa"/>
          </w:tcPr>
          <w:p w14:paraId="1D7F2693">
            <w:pPr>
              <w:spacing w:line="360" w:lineRule="auto"/>
              <w:rPr>
                <w:rFonts w:hint="eastAsia" w:ascii="仿宋" w:hAnsi="仿宋" w:eastAsia="仿宋" w:cs="仿宋"/>
                <w:color w:val="auto"/>
                <w:sz w:val="24"/>
                <w:highlight w:val="none"/>
              </w:rPr>
            </w:pPr>
          </w:p>
        </w:tc>
        <w:tc>
          <w:tcPr>
            <w:tcW w:w="553" w:type="dxa"/>
          </w:tcPr>
          <w:p w14:paraId="311DE64E">
            <w:pPr>
              <w:spacing w:line="360" w:lineRule="auto"/>
              <w:rPr>
                <w:rFonts w:hint="eastAsia" w:ascii="仿宋" w:hAnsi="仿宋" w:eastAsia="仿宋" w:cs="仿宋"/>
                <w:color w:val="auto"/>
                <w:sz w:val="24"/>
                <w:highlight w:val="none"/>
              </w:rPr>
            </w:pPr>
          </w:p>
        </w:tc>
        <w:tc>
          <w:tcPr>
            <w:tcW w:w="553" w:type="dxa"/>
          </w:tcPr>
          <w:p w14:paraId="25A4FC09">
            <w:pPr>
              <w:spacing w:line="360" w:lineRule="auto"/>
              <w:rPr>
                <w:rFonts w:hint="eastAsia" w:ascii="仿宋" w:hAnsi="仿宋" w:eastAsia="仿宋" w:cs="仿宋"/>
                <w:color w:val="auto"/>
                <w:sz w:val="24"/>
                <w:highlight w:val="none"/>
              </w:rPr>
            </w:pPr>
          </w:p>
        </w:tc>
      </w:tr>
      <w:tr w14:paraId="3705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FD9CA48">
            <w:pPr>
              <w:spacing w:line="360" w:lineRule="auto"/>
              <w:rPr>
                <w:rFonts w:hint="eastAsia" w:ascii="仿宋" w:hAnsi="仿宋" w:eastAsia="仿宋" w:cs="仿宋"/>
                <w:color w:val="auto"/>
                <w:sz w:val="24"/>
                <w:highlight w:val="none"/>
              </w:rPr>
            </w:pPr>
          </w:p>
        </w:tc>
        <w:tc>
          <w:tcPr>
            <w:tcW w:w="552" w:type="dxa"/>
          </w:tcPr>
          <w:p w14:paraId="4C0FBD59">
            <w:pPr>
              <w:spacing w:line="360" w:lineRule="auto"/>
              <w:rPr>
                <w:rFonts w:hint="eastAsia" w:ascii="仿宋" w:hAnsi="仿宋" w:eastAsia="仿宋" w:cs="仿宋"/>
                <w:color w:val="auto"/>
                <w:sz w:val="24"/>
                <w:highlight w:val="none"/>
              </w:rPr>
            </w:pPr>
          </w:p>
        </w:tc>
        <w:tc>
          <w:tcPr>
            <w:tcW w:w="552" w:type="dxa"/>
          </w:tcPr>
          <w:p w14:paraId="15D0C332">
            <w:pPr>
              <w:spacing w:line="360" w:lineRule="auto"/>
              <w:rPr>
                <w:rFonts w:hint="eastAsia" w:ascii="仿宋" w:hAnsi="仿宋" w:eastAsia="仿宋" w:cs="仿宋"/>
                <w:color w:val="auto"/>
                <w:sz w:val="24"/>
                <w:highlight w:val="none"/>
              </w:rPr>
            </w:pPr>
          </w:p>
        </w:tc>
        <w:tc>
          <w:tcPr>
            <w:tcW w:w="552" w:type="dxa"/>
          </w:tcPr>
          <w:p w14:paraId="1D6D0003">
            <w:pPr>
              <w:spacing w:line="360" w:lineRule="auto"/>
              <w:rPr>
                <w:rFonts w:hint="eastAsia" w:ascii="仿宋" w:hAnsi="仿宋" w:eastAsia="仿宋" w:cs="仿宋"/>
                <w:color w:val="auto"/>
                <w:sz w:val="24"/>
                <w:highlight w:val="none"/>
              </w:rPr>
            </w:pPr>
          </w:p>
        </w:tc>
        <w:tc>
          <w:tcPr>
            <w:tcW w:w="552" w:type="dxa"/>
          </w:tcPr>
          <w:p w14:paraId="4F710387">
            <w:pPr>
              <w:spacing w:line="360" w:lineRule="auto"/>
              <w:rPr>
                <w:rFonts w:hint="eastAsia" w:ascii="仿宋" w:hAnsi="仿宋" w:eastAsia="仿宋" w:cs="仿宋"/>
                <w:color w:val="auto"/>
                <w:sz w:val="24"/>
                <w:highlight w:val="none"/>
              </w:rPr>
            </w:pPr>
          </w:p>
        </w:tc>
        <w:tc>
          <w:tcPr>
            <w:tcW w:w="552" w:type="dxa"/>
          </w:tcPr>
          <w:p w14:paraId="47D51F17">
            <w:pPr>
              <w:spacing w:line="360" w:lineRule="auto"/>
              <w:rPr>
                <w:rFonts w:hint="eastAsia" w:ascii="仿宋" w:hAnsi="仿宋" w:eastAsia="仿宋" w:cs="仿宋"/>
                <w:color w:val="auto"/>
                <w:sz w:val="24"/>
                <w:highlight w:val="none"/>
              </w:rPr>
            </w:pPr>
          </w:p>
        </w:tc>
        <w:tc>
          <w:tcPr>
            <w:tcW w:w="552" w:type="dxa"/>
          </w:tcPr>
          <w:p w14:paraId="4770F103">
            <w:pPr>
              <w:spacing w:line="360" w:lineRule="auto"/>
              <w:rPr>
                <w:rFonts w:hint="eastAsia" w:ascii="仿宋" w:hAnsi="仿宋" w:eastAsia="仿宋" w:cs="仿宋"/>
                <w:color w:val="auto"/>
                <w:sz w:val="24"/>
                <w:highlight w:val="none"/>
              </w:rPr>
            </w:pPr>
          </w:p>
        </w:tc>
        <w:tc>
          <w:tcPr>
            <w:tcW w:w="553" w:type="dxa"/>
          </w:tcPr>
          <w:p w14:paraId="7B80B552">
            <w:pPr>
              <w:spacing w:line="360" w:lineRule="auto"/>
              <w:rPr>
                <w:rFonts w:hint="eastAsia" w:ascii="仿宋" w:hAnsi="仿宋" w:eastAsia="仿宋" w:cs="仿宋"/>
                <w:color w:val="auto"/>
                <w:sz w:val="24"/>
                <w:highlight w:val="none"/>
              </w:rPr>
            </w:pPr>
          </w:p>
        </w:tc>
        <w:tc>
          <w:tcPr>
            <w:tcW w:w="553" w:type="dxa"/>
          </w:tcPr>
          <w:p w14:paraId="45C4B86D">
            <w:pPr>
              <w:spacing w:line="360" w:lineRule="auto"/>
              <w:rPr>
                <w:rFonts w:hint="eastAsia" w:ascii="仿宋" w:hAnsi="仿宋" w:eastAsia="仿宋" w:cs="仿宋"/>
                <w:color w:val="auto"/>
                <w:sz w:val="24"/>
                <w:highlight w:val="none"/>
              </w:rPr>
            </w:pPr>
          </w:p>
        </w:tc>
        <w:tc>
          <w:tcPr>
            <w:tcW w:w="553" w:type="dxa"/>
          </w:tcPr>
          <w:p w14:paraId="6C2D3354">
            <w:pPr>
              <w:spacing w:line="360" w:lineRule="auto"/>
              <w:rPr>
                <w:rFonts w:hint="eastAsia" w:ascii="仿宋" w:hAnsi="仿宋" w:eastAsia="仿宋" w:cs="仿宋"/>
                <w:color w:val="auto"/>
                <w:sz w:val="24"/>
                <w:highlight w:val="none"/>
              </w:rPr>
            </w:pPr>
          </w:p>
        </w:tc>
        <w:tc>
          <w:tcPr>
            <w:tcW w:w="553" w:type="dxa"/>
          </w:tcPr>
          <w:p w14:paraId="0DA1C6B6">
            <w:pPr>
              <w:spacing w:line="360" w:lineRule="auto"/>
              <w:rPr>
                <w:rFonts w:hint="eastAsia" w:ascii="仿宋" w:hAnsi="仿宋" w:eastAsia="仿宋" w:cs="仿宋"/>
                <w:color w:val="auto"/>
                <w:sz w:val="24"/>
                <w:highlight w:val="none"/>
              </w:rPr>
            </w:pPr>
          </w:p>
        </w:tc>
        <w:tc>
          <w:tcPr>
            <w:tcW w:w="553" w:type="dxa"/>
          </w:tcPr>
          <w:p w14:paraId="63025344">
            <w:pPr>
              <w:spacing w:line="360" w:lineRule="auto"/>
              <w:rPr>
                <w:rFonts w:hint="eastAsia" w:ascii="仿宋" w:hAnsi="仿宋" w:eastAsia="仿宋" w:cs="仿宋"/>
                <w:color w:val="auto"/>
                <w:sz w:val="24"/>
                <w:highlight w:val="none"/>
              </w:rPr>
            </w:pPr>
          </w:p>
        </w:tc>
        <w:tc>
          <w:tcPr>
            <w:tcW w:w="553" w:type="dxa"/>
          </w:tcPr>
          <w:p w14:paraId="766B2202">
            <w:pPr>
              <w:spacing w:line="360" w:lineRule="auto"/>
              <w:rPr>
                <w:rFonts w:hint="eastAsia" w:ascii="仿宋" w:hAnsi="仿宋" w:eastAsia="仿宋" w:cs="仿宋"/>
                <w:color w:val="auto"/>
                <w:sz w:val="24"/>
                <w:highlight w:val="none"/>
              </w:rPr>
            </w:pPr>
          </w:p>
        </w:tc>
        <w:tc>
          <w:tcPr>
            <w:tcW w:w="553" w:type="dxa"/>
          </w:tcPr>
          <w:p w14:paraId="1A43AC11">
            <w:pPr>
              <w:spacing w:line="360" w:lineRule="auto"/>
              <w:rPr>
                <w:rFonts w:hint="eastAsia" w:ascii="仿宋" w:hAnsi="仿宋" w:eastAsia="仿宋" w:cs="仿宋"/>
                <w:color w:val="auto"/>
                <w:sz w:val="24"/>
                <w:highlight w:val="none"/>
              </w:rPr>
            </w:pPr>
          </w:p>
        </w:tc>
        <w:tc>
          <w:tcPr>
            <w:tcW w:w="553" w:type="dxa"/>
          </w:tcPr>
          <w:p w14:paraId="2B67F4DD">
            <w:pPr>
              <w:spacing w:line="360" w:lineRule="auto"/>
              <w:rPr>
                <w:rFonts w:hint="eastAsia" w:ascii="仿宋" w:hAnsi="仿宋" w:eastAsia="仿宋" w:cs="仿宋"/>
                <w:color w:val="auto"/>
                <w:sz w:val="24"/>
                <w:highlight w:val="none"/>
              </w:rPr>
            </w:pPr>
          </w:p>
        </w:tc>
        <w:tc>
          <w:tcPr>
            <w:tcW w:w="553" w:type="dxa"/>
          </w:tcPr>
          <w:p w14:paraId="4C714220">
            <w:pPr>
              <w:spacing w:line="360" w:lineRule="auto"/>
              <w:rPr>
                <w:rFonts w:hint="eastAsia" w:ascii="仿宋" w:hAnsi="仿宋" w:eastAsia="仿宋" w:cs="仿宋"/>
                <w:color w:val="auto"/>
                <w:sz w:val="24"/>
                <w:highlight w:val="none"/>
              </w:rPr>
            </w:pPr>
          </w:p>
        </w:tc>
        <w:tc>
          <w:tcPr>
            <w:tcW w:w="553" w:type="dxa"/>
          </w:tcPr>
          <w:p w14:paraId="06311B43">
            <w:pPr>
              <w:spacing w:line="360" w:lineRule="auto"/>
              <w:rPr>
                <w:rFonts w:hint="eastAsia" w:ascii="仿宋" w:hAnsi="仿宋" w:eastAsia="仿宋" w:cs="仿宋"/>
                <w:color w:val="auto"/>
                <w:sz w:val="24"/>
                <w:highlight w:val="none"/>
              </w:rPr>
            </w:pPr>
          </w:p>
        </w:tc>
      </w:tr>
      <w:tr w14:paraId="5A86F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8C36A25">
            <w:pPr>
              <w:spacing w:line="360" w:lineRule="auto"/>
              <w:rPr>
                <w:rFonts w:hint="eastAsia" w:ascii="仿宋" w:hAnsi="仿宋" w:eastAsia="仿宋" w:cs="仿宋"/>
                <w:color w:val="auto"/>
                <w:sz w:val="24"/>
                <w:highlight w:val="none"/>
              </w:rPr>
            </w:pPr>
          </w:p>
        </w:tc>
        <w:tc>
          <w:tcPr>
            <w:tcW w:w="552" w:type="dxa"/>
          </w:tcPr>
          <w:p w14:paraId="148C0E02">
            <w:pPr>
              <w:spacing w:line="360" w:lineRule="auto"/>
              <w:rPr>
                <w:rFonts w:hint="eastAsia" w:ascii="仿宋" w:hAnsi="仿宋" w:eastAsia="仿宋" w:cs="仿宋"/>
                <w:color w:val="auto"/>
                <w:sz w:val="24"/>
                <w:highlight w:val="none"/>
              </w:rPr>
            </w:pPr>
          </w:p>
        </w:tc>
        <w:tc>
          <w:tcPr>
            <w:tcW w:w="552" w:type="dxa"/>
          </w:tcPr>
          <w:p w14:paraId="1CE6AFB2">
            <w:pPr>
              <w:spacing w:line="360" w:lineRule="auto"/>
              <w:rPr>
                <w:rFonts w:hint="eastAsia" w:ascii="仿宋" w:hAnsi="仿宋" w:eastAsia="仿宋" w:cs="仿宋"/>
                <w:color w:val="auto"/>
                <w:sz w:val="24"/>
                <w:highlight w:val="none"/>
              </w:rPr>
            </w:pPr>
          </w:p>
        </w:tc>
        <w:tc>
          <w:tcPr>
            <w:tcW w:w="552" w:type="dxa"/>
          </w:tcPr>
          <w:p w14:paraId="2E1EBEF7">
            <w:pPr>
              <w:spacing w:line="360" w:lineRule="auto"/>
              <w:rPr>
                <w:rFonts w:hint="eastAsia" w:ascii="仿宋" w:hAnsi="仿宋" w:eastAsia="仿宋" w:cs="仿宋"/>
                <w:color w:val="auto"/>
                <w:sz w:val="24"/>
                <w:highlight w:val="none"/>
              </w:rPr>
            </w:pPr>
          </w:p>
        </w:tc>
        <w:tc>
          <w:tcPr>
            <w:tcW w:w="552" w:type="dxa"/>
          </w:tcPr>
          <w:p w14:paraId="7FA8329B">
            <w:pPr>
              <w:spacing w:line="360" w:lineRule="auto"/>
              <w:rPr>
                <w:rFonts w:hint="eastAsia" w:ascii="仿宋" w:hAnsi="仿宋" w:eastAsia="仿宋" w:cs="仿宋"/>
                <w:color w:val="auto"/>
                <w:sz w:val="24"/>
                <w:highlight w:val="none"/>
              </w:rPr>
            </w:pPr>
          </w:p>
        </w:tc>
        <w:tc>
          <w:tcPr>
            <w:tcW w:w="552" w:type="dxa"/>
          </w:tcPr>
          <w:p w14:paraId="5F35FF07">
            <w:pPr>
              <w:spacing w:line="360" w:lineRule="auto"/>
              <w:rPr>
                <w:rFonts w:hint="eastAsia" w:ascii="仿宋" w:hAnsi="仿宋" w:eastAsia="仿宋" w:cs="仿宋"/>
                <w:color w:val="auto"/>
                <w:sz w:val="24"/>
                <w:highlight w:val="none"/>
              </w:rPr>
            </w:pPr>
          </w:p>
        </w:tc>
        <w:tc>
          <w:tcPr>
            <w:tcW w:w="552" w:type="dxa"/>
          </w:tcPr>
          <w:p w14:paraId="07281477">
            <w:pPr>
              <w:spacing w:line="360" w:lineRule="auto"/>
              <w:rPr>
                <w:rFonts w:hint="eastAsia" w:ascii="仿宋" w:hAnsi="仿宋" w:eastAsia="仿宋" w:cs="仿宋"/>
                <w:color w:val="auto"/>
                <w:sz w:val="24"/>
                <w:highlight w:val="none"/>
              </w:rPr>
            </w:pPr>
          </w:p>
        </w:tc>
        <w:tc>
          <w:tcPr>
            <w:tcW w:w="553" w:type="dxa"/>
          </w:tcPr>
          <w:p w14:paraId="08450A23">
            <w:pPr>
              <w:spacing w:line="360" w:lineRule="auto"/>
              <w:rPr>
                <w:rFonts w:hint="eastAsia" w:ascii="仿宋" w:hAnsi="仿宋" w:eastAsia="仿宋" w:cs="仿宋"/>
                <w:color w:val="auto"/>
                <w:sz w:val="24"/>
                <w:highlight w:val="none"/>
              </w:rPr>
            </w:pPr>
          </w:p>
        </w:tc>
        <w:tc>
          <w:tcPr>
            <w:tcW w:w="553" w:type="dxa"/>
          </w:tcPr>
          <w:p w14:paraId="3CABB44C">
            <w:pPr>
              <w:spacing w:line="360" w:lineRule="auto"/>
              <w:rPr>
                <w:rFonts w:hint="eastAsia" w:ascii="仿宋" w:hAnsi="仿宋" w:eastAsia="仿宋" w:cs="仿宋"/>
                <w:color w:val="auto"/>
                <w:sz w:val="24"/>
                <w:highlight w:val="none"/>
              </w:rPr>
            </w:pPr>
          </w:p>
        </w:tc>
        <w:tc>
          <w:tcPr>
            <w:tcW w:w="553" w:type="dxa"/>
          </w:tcPr>
          <w:p w14:paraId="7C6AAE10">
            <w:pPr>
              <w:spacing w:line="360" w:lineRule="auto"/>
              <w:rPr>
                <w:rFonts w:hint="eastAsia" w:ascii="仿宋" w:hAnsi="仿宋" w:eastAsia="仿宋" w:cs="仿宋"/>
                <w:color w:val="auto"/>
                <w:sz w:val="24"/>
                <w:highlight w:val="none"/>
              </w:rPr>
            </w:pPr>
          </w:p>
        </w:tc>
        <w:tc>
          <w:tcPr>
            <w:tcW w:w="553" w:type="dxa"/>
          </w:tcPr>
          <w:p w14:paraId="5F6F3ABC">
            <w:pPr>
              <w:spacing w:line="360" w:lineRule="auto"/>
              <w:rPr>
                <w:rFonts w:hint="eastAsia" w:ascii="仿宋" w:hAnsi="仿宋" w:eastAsia="仿宋" w:cs="仿宋"/>
                <w:color w:val="auto"/>
                <w:sz w:val="24"/>
                <w:highlight w:val="none"/>
              </w:rPr>
            </w:pPr>
          </w:p>
        </w:tc>
        <w:tc>
          <w:tcPr>
            <w:tcW w:w="553" w:type="dxa"/>
          </w:tcPr>
          <w:p w14:paraId="0047C7E2">
            <w:pPr>
              <w:spacing w:line="360" w:lineRule="auto"/>
              <w:rPr>
                <w:rFonts w:hint="eastAsia" w:ascii="仿宋" w:hAnsi="仿宋" w:eastAsia="仿宋" w:cs="仿宋"/>
                <w:color w:val="auto"/>
                <w:sz w:val="24"/>
                <w:highlight w:val="none"/>
              </w:rPr>
            </w:pPr>
          </w:p>
        </w:tc>
        <w:tc>
          <w:tcPr>
            <w:tcW w:w="553" w:type="dxa"/>
          </w:tcPr>
          <w:p w14:paraId="52BEAF53">
            <w:pPr>
              <w:spacing w:line="360" w:lineRule="auto"/>
              <w:rPr>
                <w:rFonts w:hint="eastAsia" w:ascii="仿宋" w:hAnsi="仿宋" w:eastAsia="仿宋" w:cs="仿宋"/>
                <w:color w:val="auto"/>
                <w:sz w:val="24"/>
                <w:highlight w:val="none"/>
              </w:rPr>
            </w:pPr>
          </w:p>
        </w:tc>
        <w:tc>
          <w:tcPr>
            <w:tcW w:w="553" w:type="dxa"/>
          </w:tcPr>
          <w:p w14:paraId="5341AE90">
            <w:pPr>
              <w:spacing w:line="360" w:lineRule="auto"/>
              <w:rPr>
                <w:rFonts w:hint="eastAsia" w:ascii="仿宋" w:hAnsi="仿宋" w:eastAsia="仿宋" w:cs="仿宋"/>
                <w:color w:val="auto"/>
                <w:sz w:val="24"/>
                <w:highlight w:val="none"/>
              </w:rPr>
            </w:pPr>
          </w:p>
        </w:tc>
        <w:tc>
          <w:tcPr>
            <w:tcW w:w="553" w:type="dxa"/>
          </w:tcPr>
          <w:p w14:paraId="542C89E9">
            <w:pPr>
              <w:spacing w:line="360" w:lineRule="auto"/>
              <w:rPr>
                <w:rFonts w:hint="eastAsia" w:ascii="仿宋" w:hAnsi="仿宋" w:eastAsia="仿宋" w:cs="仿宋"/>
                <w:color w:val="auto"/>
                <w:sz w:val="24"/>
                <w:highlight w:val="none"/>
              </w:rPr>
            </w:pPr>
          </w:p>
        </w:tc>
        <w:tc>
          <w:tcPr>
            <w:tcW w:w="553" w:type="dxa"/>
          </w:tcPr>
          <w:p w14:paraId="14A515B8">
            <w:pPr>
              <w:spacing w:line="360" w:lineRule="auto"/>
              <w:rPr>
                <w:rFonts w:hint="eastAsia" w:ascii="仿宋" w:hAnsi="仿宋" w:eastAsia="仿宋" w:cs="仿宋"/>
                <w:color w:val="auto"/>
                <w:sz w:val="24"/>
                <w:highlight w:val="none"/>
              </w:rPr>
            </w:pPr>
          </w:p>
        </w:tc>
        <w:tc>
          <w:tcPr>
            <w:tcW w:w="553" w:type="dxa"/>
          </w:tcPr>
          <w:p w14:paraId="16D54019">
            <w:pPr>
              <w:spacing w:line="360" w:lineRule="auto"/>
              <w:rPr>
                <w:rFonts w:hint="eastAsia" w:ascii="仿宋" w:hAnsi="仿宋" w:eastAsia="仿宋" w:cs="仿宋"/>
                <w:color w:val="auto"/>
                <w:sz w:val="24"/>
                <w:highlight w:val="none"/>
              </w:rPr>
            </w:pPr>
          </w:p>
        </w:tc>
      </w:tr>
    </w:tbl>
    <w:p w14:paraId="67AEF147">
      <w:pPr>
        <w:autoSpaceDE w:val="0"/>
        <w:autoSpaceDN w:val="0"/>
        <w:spacing w:line="360" w:lineRule="auto"/>
        <w:rPr>
          <w:rFonts w:hint="eastAsia" w:ascii="仿宋" w:hAnsi="仿宋" w:eastAsia="仿宋" w:cs="仿宋"/>
          <w:color w:val="auto"/>
          <w:kern w:val="0"/>
          <w:sz w:val="24"/>
          <w:highlight w:val="none"/>
        </w:rPr>
      </w:pPr>
      <w:r>
        <w:rPr>
          <w:rFonts w:hint="eastAsia" w:ascii="仿宋" w:hAnsi="仿宋" w:eastAsia="仿宋" w:cs="仿宋"/>
          <w:b/>
          <w:color w:val="auto"/>
          <w:sz w:val="24"/>
          <w:highlight w:val="none"/>
        </w:rPr>
        <w:t>注：投标人可按上述时间表的格式自行编制切合实际的具体时间表。</w:t>
      </w:r>
    </w:p>
    <w:p w14:paraId="32E4C910">
      <w:pPr>
        <w:snapToGrid w:val="0"/>
        <w:spacing w:line="360" w:lineRule="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投标人 (盖章)：</w:t>
      </w:r>
    </w:p>
    <w:p w14:paraId="2A5A776D">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 xml:space="preserve">                                  法定代表人或其授权代表(签字或盖章)：</w:t>
      </w:r>
    </w:p>
    <w:p w14:paraId="1A20E358">
      <w:pPr>
        <w:snapToGrid w:val="0"/>
        <w:spacing w:line="360" w:lineRule="auto"/>
        <w:ind w:firstLine="5160" w:firstLineChars="215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月日</w:t>
      </w:r>
    </w:p>
    <w:p w14:paraId="57F97C31">
      <w:pPr>
        <w:spacing w:line="360" w:lineRule="auto"/>
        <w:jc w:val="center"/>
        <w:rPr>
          <w:rFonts w:hint="eastAsia" w:ascii="仿宋" w:hAnsi="仿宋" w:eastAsia="仿宋" w:cs="仿宋"/>
          <w:b/>
          <w:bCs/>
          <w:color w:val="auto"/>
          <w:sz w:val="32"/>
          <w:szCs w:val="32"/>
          <w:highlight w:val="none"/>
        </w:rPr>
      </w:pPr>
    </w:p>
    <w:p w14:paraId="1A63D33E">
      <w:pPr>
        <w:spacing w:line="360" w:lineRule="auto"/>
        <w:jc w:val="center"/>
        <w:rPr>
          <w:rFonts w:hint="eastAsia" w:ascii="仿宋" w:hAnsi="仿宋" w:eastAsia="仿宋" w:cs="仿宋"/>
          <w:b/>
          <w:bCs/>
          <w:color w:val="auto"/>
          <w:sz w:val="32"/>
          <w:szCs w:val="32"/>
          <w:highlight w:val="none"/>
        </w:rPr>
      </w:pPr>
    </w:p>
    <w:p w14:paraId="30D36123">
      <w:pPr>
        <w:spacing w:line="360" w:lineRule="auto"/>
        <w:jc w:val="center"/>
        <w:rPr>
          <w:rFonts w:hint="eastAsia" w:ascii="仿宋" w:hAnsi="仿宋" w:eastAsia="仿宋" w:cs="仿宋"/>
          <w:b/>
          <w:bCs/>
          <w:color w:val="auto"/>
          <w:sz w:val="32"/>
          <w:szCs w:val="32"/>
          <w:highlight w:val="none"/>
        </w:rPr>
      </w:pPr>
    </w:p>
    <w:p w14:paraId="61AA326D">
      <w:pPr>
        <w:spacing w:line="360" w:lineRule="auto"/>
        <w:jc w:val="center"/>
        <w:rPr>
          <w:rFonts w:hint="eastAsia" w:ascii="仿宋" w:hAnsi="仿宋" w:eastAsia="仿宋" w:cs="仿宋"/>
          <w:b/>
          <w:bCs/>
          <w:color w:val="auto"/>
          <w:sz w:val="32"/>
          <w:szCs w:val="32"/>
          <w:highlight w:val="none"/>
        </w:rPr>
      </w:pPr>
    </w:p>
    <w:p w14:paraId="303B1E49">
      <w:pPr>
        <w:spacing w:line="360" w:lineRule="auto"/>
        <w:jc w:val="center"/>
        <w:rPr>
          <w:rFonts w:hint="eastAsia" w:ascii="仿宋" w:hAnsi="仿宋" w:eastAsia="仿宋" w:cs="仿宋"/>
          <w:b/>
          <w:bCs/>
          <w:color w:val="auto"/>
          <w:sz w:val="32"/>
          <w:szCs w:val="32"/>
          <w:highlight w:val="none"/>
        </w:rPr>
      </w:pPr>
    </w:p>
    <w:p w14:paraId="074616C2">
      <w:pPr>
        <w:spacing w:line="360" w:lineRule="auto"/>
        <w:jc w:val="center"/>
        <w:rPr>
          <w:rFonts w:hint="eastAsia" w:ascii="仿宋" w:hAnsi="仿宋" w:eastAsia="仿宋" w:cs="仿宋"/>
          <w:b/>
          <w:bCs/>
          <w:color w:val="auto"/>
          <w:sz w:val="32"/>
          <w:szCs w:val="32"/>
          <w:highlight w:val="none"/>
        </w:rPr>
      </w:pPr>
    </w:p>
    <w:p w14:paraId="0076D688">
      <w:pPr>
        <w:spacing w:line="360" w:lineRule="auto"/>
        <w:jc w:val="center"/>
        <w:rPr>
          <w:rFonts w:hint="eastAsia" w:ascii="仿宋" w:hAnsi="仿宋" w:eastAsia="仿宋" w:cs="仿宋"/>
          <w:b/>
          <w:bCs/>
          <w:color w:val="auto"/>
          <w:sz w:val="32"/>
          <w:szCs w:val="32"/>
          <w:highlight w:val="none"/>
        </w:rPr>
      </w:pPr>
    </w:p>
    <w:p w14:paraId="5E05E3E6">
      <w:pPr>
        <w:spacing w:line="360" w:lineRule="auto"/>
        <w:jc w:val="center"/>
        <w:rPr>
          <w:rFonts w:hint="eastAsia" w:ascii="仿宋" w:hAnsi="仿宋" w:eastAsia="仿宋" w:cs="仿宋"/>
          <w:b/>
          <w:bCs/>
          <w:color w:val="auto"/>
          <w:sz w:val="32"/>
          <w:szCs w:val="32"/>
          <w:highlight w:val="none"/>
        </w:rPr>
      </w:pPr>
    </w:p>
    <w:p w14:paraId="0D2443F9">
      <w:pPr>
        <w:spacing w:line="360" w:lineRule="auto"/>
        <w:rPr>
          <w:rFonts w:hint="eastAsia" w:ascii="仿宋" w:hAnsi="仿宋" w:eastAsia="仿宋" w:cs="仿宋"/>
          <w:b/>
          <w:bCs/>
          <w:color w:val="auto"/>
          <w:sz w:val="32"/>
          <w:szCs w:val="32"/>
          <w:highlight w:val="none"/>
        </w:rPr>
      </w:pPr>
    </w:p>
    <w:p w14:paraId="1023EB20">
      <w:pPr>
        <w:spacing w:line="360" w:lineRule="auto"/>
        <w:jc w:val="center"/>
        <w:rPr>
          <w:rFonts w:hint="eastAsia" w:ascii="仿宋" w:hAnsi="仿宋" w:eastAsia="仿宋" w:cs="仿宋"/>
          <w:b/>
          <w:bCs/>
          <w:color w:val="auto"/>
          <w:sz w:val="32"/>
          <w:szCs w:val="32"/>
          <w:highlight w:val="none"/>
        </w:rPr>
      </w:pPr>
    </w:p>
    <w:p w14:paraId="3585578E">
      <w:pPr>
        <w:pageBreakBefore/>
        <w:spacing w:line="360" w:lineRule="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13、售后服务方案</w:t>
      </w:r>
    </w:p>
    <w:p w14:paraId="7E108BFE">
      <w:pPr>
        <w:autoSpaceDE w:val="0"/>
        <w:autoSpaceDN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（由投标人根据采购需求及招标文件要求编制）</w:t>
      </w:r>
    </w:p>
    <w:p w14:paraId="1487E9CC">
      <w:pPr>
        <w:autoSpaceDE w:val="0"/>
        <w:autoSpaceDN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附表A:售后服务机构情况表</w:t>
      </w:r>
      <w:r>
        <w:rPr>
          <w:rFonts w:hint="eastAsia" w:ascii="仿宋" w:hAnsi="仿宋" w:eastAsia="仿宋" w:cs="仿宋"/>
          <w:color w:val="auto"/>
          <w:sz w:val="24"/>
          <w:highlight w:val="none"/>
        </w:rPr>
        <w:t>（按此格式自制）</w:t>
      </w:r>
    </w:p>
    <w:tbl>
      <w:tblPr>
        <w:tblStyle w:val="4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160"/>
        <w:gridCol w:w="1620"/>
        <w:gridCol w:w="1245"/>
        <w:gridCol w:w="2175"/>
        <w:gridCol w:w="1260"/>
      </w:tblGrid>
      <w:tr w14:paraId="4BCC4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828" w:type="dxa"/>
          </w:tcPr>
          <w:p w14:paraId="6908FFF5">
            <w:pPr>
              <w:autoSpaceDE w:val="0"/>
              <w:autoSpaceDN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2160" w:type="dxa"/>
          </w:tcPr>
          <w:p w14:paraId="2E4FAD84">
            <w:pPr>
              <w:autoSpaceDE w:val="0"/>
              <w:autoSpaceDN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机构名称</w:t>
            </w:r>
          </w:p>
        </w:tc>
        <w:tc>
          <w:tcPr>
            <w:tcW w:w="1620" w:type="dxa"/>
          </w:tcPr>
          <w:p w14:paraId="3E1D1A38">
            <w:pPr>
              <w:autoSpaceDE w:val="0"/>
              <w:autoSpaceDN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机构性质</w:t>
            </w:r>
          </w:p>
        </w:tc>
        <w:tc>
          <w:tcPr>
            <w:tcW w:w="1245" w:type="dxa"/>
          </w:tcPr>
          <w:p w14:paraId="5B6EAAA7">
            <w:pPr>
              <w:autoSpaceDE w:val="0"/>
              <w:autoSpaceDN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注册地址</w:t>
            </w:r>
          </w:p>
        </w:tc>
        <w:tc>
          <w:tcPr>
            <w:tcW w:w="2175" w:type="dxa"/>
          </w:tcPr>
          <w:p w14:paraId="18069B78">
            <w:pPr>
              <w:autoSpaceDE w:val="0"/>
              <w:autoSpaceDN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服务技术人员数量</w:t>
            </w:r>
          </w:p>
        </w:tc>
        <w:tc>
          <w:tcPr>
            <w:tcW w:w="1260" w:type="dxa"/>
          </w:tcPr>
          <w:p w14:paraId="19211F57">
            <w:pPr>
              <w:autoSpaceDE w:val="0"/>
              <w:autoSpaceDN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联系电话</w:t>
            </w:r>
          </w:p>
        </w:tc>
      </w:tr>
      <w:tr w14:paraId="53840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2A707C7F">
            <w:pPr>
              <w:autoSpaceDE w:val="0"/>
              <w:autoSpaceDN w:val="0"/>
              <w:spacing w:line="360" w:lineRule="auto"/>
              <w:jc w:val="center"/>
              <w:rPr>
                <w:rFonts w:hint="eastAsia" w:ascii="仿宋" w:hAnsi="仿宋" w:eastAsia="仿宋" w:cs="仿宋"/>
                <w:color w:val="auto"/>
                <w:sz w:val="24"/>
                <w:highlight w:val="none"/>
              </w:rPr>
            </w:pPr>
          </w:p>
        </w:tc>
        <w:tc>
          <w:tcPr>
            <w:tcW w:w="2160" w:type="dxa"/>
          </w:tcPr>
          <w:p w14:paraId="5282A624">
            <w:pPr>
              <w:autoSpaceDE w:val="0"/>
              <w:autoSpaceDN w:val="0"/>
              <w:spacing w:line="360" w:lineRule="auto"/>
              <w:jc w:val="center"/>
              <w:rPr>
                <w:rFonts w:hint="eastAsia" w:ascii="仿宋" w:hAnsi="仿宋" w:eastAsia="仿宋" w:cs="仿宋"/>
                <w:color w:val="auto"/>
                <w:sz w:val="24"/>
                <w:highlight w:val="none"/>
              </w:rPr>
            </w:pPr>
          </w:p>
        </w:tc>
        <w:tc>
          <w:tcPr>
            <w:tcW w:w="1620" w:type="dxa"/>
          </w:tcPr>
          <w:p w14:paraId="3F9377E9">
            <w:pPr>
              <w:autoSpaceDE w:val="0"/>
              <w:autoSpaceDN w:val="0"/>
              <w:spacing w:line="360" w:lineRule="auto"/>
              <w:jc w:val="center"/>
              <w:rPr>
                <w:rFonts w:hint="eastAsia" w:ascii="仿宋" w:hAnsi="仿宋" w:eastAsia="仿宋" w:cs="仿宋"/>
                <w:color w:val="auto"/>
                <w:sz w:val="24"/>
                <w:highlight w:val="none"/>
              </w:rPr>
            </w:pPr>
          </w:p>
        </w:tc>
        <w:tc>
          <w:tcPr>
            <w:tcW w:w="1245" w:type="dxa"/>
          </w:tcPr>
          <w:p w14:paraId="69F4890E">
            <w:pPr>
              <w:autoSpaceDE w:val="0"/>
              <w:autoSpaceDN w:val="0"/>
              <w:spacing w:line="360" w:lineRule="auto"/>
              <w:jc w:val="center"/>
              <w:rPr>
                <w:rFonts w:hint="eastAsia" w:ascii="仿宋" w:hAnsi="仿宋" w:eastAsia="仿宋" w:cs="仿宋"/>
                <w:color w:val="auto"/>
                <w:sz w:val="24"/>
                <w:highlight w:val="none"/>
              </w:rPr>
            </w:pPr>
          </w:p>
        </w:tc>
        <w:tc>
          <w:tcPr>
            <w:tcW w:w="2175" w:type="dxa"/>
          </w:tcPr>
          <w:p w14:paraId="67EDEDA9">
            <w:pPr>
              <w:autoSpaceDE w:val="0"/>
              <w:autoSpaceDN w:val="0"/>
              <w:spacing w:line="360" w:lineRule="auto"/>
              <w:jc w:val="center"/>
              <w:rPr>
                <w:rFonts w:hint="eastAsia" w:ascii="仿宋" w:hAnsi="仿宋" w:eastAsia="仿宋" w:cs="仿宋"/>
                <w:color w:val="auto"/>
                <w:sz w:val="24"/>
                <w:highlight w:val="none"/>
              </w:rPr>
            </w:pPr>
          </w:p>
        </w:tc>
        <w:tc>
          <w:tcPr>
            <w:tcW w:w="1260" w:type="dxa"/>
          </w:tcPr>
          <w:p w14:paraId="470BD3CE">
            <w:pPr>
              <w:autoSpaceDE w:val="0"/>
              <w:autoSpaceDN w:val="0"/>
              <w:spacing w:line="360" w:lineRule="auto"/>
              <w:jc w:val="center"/>
              <w:rPr>
                <w:rFonts w:hint="eastAsia" w:ascii="仿宋" w:hAnsi="仿宋" w:eastAsia="仿宋" w:cs="仿宋"/>
                <w:color w:val="auto"/>
                <w:sz w:val="24"/>
                <w:highlight w:val="none"/>
              </w:rPr>
            </w:pPr>
          </w:p>
        </w:tc>
      </w:tr>
      <w:tr w14:paraId="611A7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0AFB9AA">
            <w:pPr>
              <w:autoSpaceDE w:val="0"/>
              <w:autoSpaceDN w:val="0"/>
              <w:spacing w:line="360" w:lineRule="auto"/>
              <w:jc w:val="center"/>
              <w:rPr>
                <w:rFonts w:hint="eastAsia" w:ascii="仿宋" w:hAnsi="仿宋" w:eastAsia="仿宋" w:cs="仿宋"/>
                <w:color w:val="auto"/>
                <w:sz w:val="24"/>
                <w:highlight w:val="none"/>
              </w:rPr>
            </w:pPr>
          </w:p>
        </w:tc>
        <w:tc>
          <w:tcPr>
            <w:tcW w:w="2160" w:type="dxa"/>
          </w:tcPr>
          <w:p w14:paraId="6714A3D5">
            <w:pPr>
              <w:autoSpaceDE w:val="0"/>
              <w:autoSpaceDN w:val="0"/>
              <w:spacing w:line="360" w:lineRule="auto"/>
              <w:jc w:val="center"/>
              <w:rPr>
                <w:rFonts w:hint="eastAsia" w:ascii="仿宋" w:hAnsi="仿宋" w:eastAsia="仿宋" w:cs="仿宋"/>
                <w:color w:val="auto"/>
                <w:sz w:val="24"/>
                <w:highlight w:val="none"/>
              </w:rPr>
            </w:pPr>
          </w:p>
        </w:tc>
        <w:tc>
          <w:tcPr>
            <w:tcW w:w="1620" w:type="dxa"/>
          </w:tcPr>
          <w:p w14:paraId="7BC75BC7">
            <w:pPr>
              <w:autoSpaceDE w:val="0"/>
              <w:autoSpaceDN w:val="0"/>
              <w:spacing w:line="360" w:lineRule="auto"/>
              <w:jc w:val="center"/>
              <w:rPr>
                <w:rFonts w:hint="eastAsia" w:ascii="仿宋" w:hAnsi="仿宋" w:eastAsia="仿宋" w:cs="仿宋"/>
                <w:color w:val="auto"/>
                <w:sz w:val="24"/>
                <w:highlight w:val="none"/>
              </w:rPr>
            </w:pPr>
          </w:p>
        </w:tc>
        <w:tc>
          <w:tcPr>
            <w:tcW w:w="1245" w:type="dxa"/>
          </w:tcPr>
          <w:p w14:paraId="23C62A8D">
            <w:pPr>
              <w:autoSpaceDE w:val="0"/>
              <w:autoSpaceDN w:val="0"/>
              <w:spacing w:line="360" w:lineRule="auto"/>
              <w:jc w:val="center"/>
              <w:rPr>
                <w:rFonts w:hint="eastAsia" w:ascii="仿宋" w:hAnsi="仿宋" w:eastAsia="仿宋" w:cs="仿宋"/>
                <w:color w:val="auto"/>
                <w:sz w:val="24"/>
                <w:highlight w:val="none"/>
              </w:rPr>
            </w:pPr>
          </w:p>
        </w:tc>
        <w:tc>
          <w:tcPr>
            <w:tcW w:w="2175" w:type="dxa"/>
          </w:tcPr>
          <w:p w14:paraId="6BD11194">
            <w:pPr>
              <w:autoSpaceDE w:val="0"/>
              <w:autoSpaceDN w:val="0"/>
              <w:spacing w:line="360" w:lineRule="auto"/>
              <w:jc w:val="center"/>
              <w:rPr>
                <w:rFonts w:hint="eastAsia" w:ascii="仿宋" w:hAnsi="仿宋" w:eastAsia="仿宋" w:cs="仿宋"/>
                <w:color w:val="auto"/>
                <w:sz w:val="24"/>
                <w:highlight w:val="none"/>
              </w:rPr>
            </w:pPr>
          </w:p>
        </w:tc>
        <w:tc>
          <w:tcPr>
            <w:tcW w:w="1260" w:type="dxa"/>
          </w:tcPr>
          <w:p w14:paraId="7DD9E26B">
            <w:pPr>
              <w:autoSpaceDE w:val="0"/>
              <w:autoSpaceDN w:val="0"/>
              <w:spacing w:line="360" w:lineRule="auto"/>
              <w:jc w:val="center"/>
              <w:rPr>
                <w:rFonts w:hint="eastAsia" w:ascii="仿宋" w:hAnsi="仿宋" w:eastAsia="仿宋" w:cs="仿宋"/>
                <w:color w:val="auto"/>
                <w:sz w:val="24"/>
                <w:highlight w:val="none"/>
              </w:rPr>
            </w:pPr>
          </w:p>
        </w:tc>
      </w:tr>
      <w:tr w14:paraId="4E59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E23DBAD">
            <w:pPr>
              <w:autoSpaceDE w:val="0"/>
              <w:autoSpaceDN w:val="0"/>
              <w:spacing w:line="360" w:lineRule="auto"/>
              <w:jc w:val="center"/>
              <w:rPr>
                <w:rFonts w:hint="eastAsia" w:ascii="仿宋" w:hAnsi="仿宋" w:eastAsia="仿宋" w:cs="仿宋"/>
                <w:color w:val="auto"/>
                <w:sz w:val="24"/>
                <w:highlight w:val="none"/>
              </w:rPr>
            </w:pPr>
          </w:p>
        </w:tc>
        <w:tc>
          <w:tcPr>
            <w:tcW w:w="2160" w:type="dxa"/>
          </w:tcPr>
          <w:p w14:paraId="75EE4BB1">
            <w:pPr>
              <w:autoSpaceDE w:val="0"/>
              <w:autoSpaceDN w:val="0"/>
              <w:spacing w:line="360" w:lineRule="auto"/>
              <w:jc w:val="center"/>
              <w:rPr>
                <w:rFonts w:hint="eastAsia" w:ascii="仿宋" w:hAnsi="仿宋" w:eastAsia="仿宋" w:cs="仿宋"/>
                <w:color w:val="auto"/>
                <w:sz w:val="24"/>
                <w:highlight w:val="none"/>
              </w:rPr>
            </w:pPr>
          </w:p>
        </w:tc>
        <w:tc>
          <w:tcPr>
            <w:tcW w:w="1620" w:type="dxa"/>
          </w:tcPr>
          <w:p w14:paraId="4EAEF2CF">
            <w:pPr>
              <w:autoSpaceDE w:val="0"/>
              <w:autoSpaceDN w:val="0"/>
              <w:spacing w:line="360" w:lineRule="auto"/>
              <w:jc w:val="center"/>
              <w:rPr>
                <w:rFonts w:hint="eastAsia" w:ascii="仿宋" w:hAnsi="仿宋" w:eastAsia="仿宋" w:cs="仿宋"/>
                <w:color w:val="auto"/>
                <w:sz w:val="24"/>
                <w:highlight w:val="none"/>
              </w:rPr>
            </w:pPr>
          </w:p>
        </w:tc>
        <w:tc>
          <w:tcPr>
            <w:tcW w:w="1245" w:type="dxa"/>
          </w:tcPr>
          <w:p w14:paraId="292B4A07">
            <w:pPr>
              <w:autoSpaceDE w:val="0"/>
              <w:autoSpaceDN w:val="0"/>
              <w:spacing w:line="360" w:lineRule="auto"/>
              <w:jc w:val="center"/>
              <w:rPr>
                <w:rFonts w:hint="eastAsia" w:ascii="仿宋" w:hAnsi="仿宋" w:eastAsia="仿宋" w:cs="仿宋"/>
                <w:color w:val="auto"/>
                <w:sz w:val="24"/>
                <w:highlight w:val="none"/>
              </w:rPr>
            </w:pPr>
          </w:p>
        </w:tc>
        <w:tc>
          <w:tcPr>
            <w:tcW w:w="2175" w:type="dxa"/>
          </w:tcPr>
          <w:p w14:paraId="4AA2B1E6">
            <w:pPr>
              <w:autoSpaceDE w:val="0"/>
              <w:autoSpaceDN w:val="0"/>
              <w:spacing w:line="360" w:lineRule="auto"/>
              <w:jc w:val="center"/>
              <w:rPr>
                <w:rFonts w:hint="eastAsia" w:ascii="仿宋" w:hAnsi="仿宋" w:eastAsia="仿宋" w:cs="仿宋"/>
                <w:color w:val="auto"/>
                <w:sz w:val="24"/>
                <w:highlight w:val="none"/>
              </w:rPr>
            </w:pPr>
          </w:p>
        </w:tc>
        <w:tc>
          <w:tcPr>
            <w:tcW w:w="1260" w:type="dxa"/>
          </w:tcPr>
          <w:p w14:paraId="231920BF">
            <w:pPr>
              <w:autoSpaceDE w:val="0"/>
              <w:autoSpaceDN w:val="0"/>
              <w:spacing w:line="360" w:lineRule="auto"/>
              <w:jc w:val="center"/>
              <w:rPr>
                <w:rFonts w:hint="eastAsia" w:ascii="仿宋" w:hAnsi="仿宋" w:eastAsia="仿宋" w:cs="仿宋"/>
                <w:color w:val="auto"/>
                <w:sz w:val="24"/>
                <w:highlight w:val="none"/>
              </w:rPr>
            </w:pPr>
          </w:p>
        </w:tc>
      </w:tr>
    </w:tbl>
    <w:p w14:paraId="6168ED91">
      <w:pPr>
        <w:autoSpaceDE w:val="0"/>
        <w:autoSpaceDN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注：关于项目涉及的所有售后服务机构均在本表注明，包括投标人本单位和符合条件的第三方服务机构。</w:t>
      </w:r>
    </w:p>
    <w:p w14:paraId="15B871D8">
      <w:pPr>
        <w:autoSpaceDE w:val="0"/>
        <w:autoSpaceDN w:val="0"/>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附表B：售后服务人员情况表</w:t>
      </w:r>
      <w:r>
        <w:rPr>
          <w:rFonts w:hint="eastAsia" w:ascii="仿宋" w:hAnsi="仿宋" w:eastAsia="仿宋" w:cs="仿宋"/>
          <w:color w:val="auto"/>
          <w:sz w:val="24"/>
          <w:highlight w:val="none"/>
        </w:rPr>
        <w:t>（按此格式自制）</w:t>
      </w:r>
    </w:p>
    <w:tbl>
      <w:tblPr>
        <w:tblStyle w:val="44"/>
        <w:tblW w:w="9503" w:type="dxa"/>
        <w:jc w:val="center"/>
        <w:tblLayout w:type="fixed"/>
        <w:tblCellMar>
          <w:top w:w="0" w:type="dxa"/>
          <w:left w:w="108" w:type="dxa"/>
          <w:bottom w:w="0" w:type="dxa"/>
          <w:right w:w="108" w:type="dxa"/>
        </w:tblCellMar>
      </w:tblPr>
      <w:tblGrid>
        <w:gridCol w:w="360"/>
        <w:gridCol w:w="746"/>
        <w:gridCol w:w="787"/>
        <w:gridCol w:w="412"/>
        <w:gridCol w:w="900"/>
        <w:gridCol w:w="1080"/>
        <w:gridCol w:w="1080"/>
        <w:gridCol w:w="1080"/>
        <w:gridCol w:w="1260"/>
        <w:gridCol w:w="900"/>
        <w:gridCol w:w="898"/>
      </w:tblGrid>
      <w:tr w14:paraId="3B95BA39">
        <w:tblPrEx>
          <w:tblCellMar>
            <w:top w:w="0" w:type="dxa"/>
            <w:left w:w="108" w:type="dxa"/>
            <w:bottom w:w="0" w:type="dxa"/>
            <w:right w:w="108" w:type="dxa"/>
          </w:tblCellMar>
        </w:tblPrEx>
        <w:trPr>
          <w:trHeight w:val="20" w:hRule="atLeast"/>
          <w:jc w:val="center"/>
        </w:trPr>
        <w:tc>
          <w:tcPr>
            <w:tcW w:w="360" w:type="dxa"/>
            <w:tcBorders>
              <w:top w:val="single" w:color="auto" w:sz="6" w:space="0"/>
              <w:left w:val="single" w:color="auto" w:sz="6" w:space="0"/>
              <w:bottom w:val="single" w:color="auto" w:sz="6" w:space="0"/>
              <w:right w:val="single" w:color="auto" w:sz="4" w:space="0"/>
            </w:tcBorders>
            <w:vAlign w:val="center"/>
          </w:tcPr>
          <w:p w14:paraId="5926CEF8">
            <w:pPr>
              <w:autoSpaceDE w:val="0"/>
              <w:autoSpaceDN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746" w:type="dxa"/>
            <w:tcBorders>
              <w:top w:val="single" w:color="auto" w:sz="6" w:space="0"/>
              <w:left w:val="single" w:color="auto" w:sz="4" w:space="0"/>
              <w:bottom w:val="single" w:color="auto" w:sz="6" w:space="0"/>
              <w:right w:val="single" w:color="auto" w:sz="6" w:space="0"/>
            </w:tcBorders>
            <w:vAlign w:val="center"/>
          </w:tcPr>
          <w:p w14:paraId="1960C6CF">
            <w:pPr>
              <w:autoSpaceDE w:val="0"/>
              <w:autoSpaceDN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096F4869">
            <w:pPr>
              <w:autoSpaceDE w:val="0"/>
              <w:autoSpaceDN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5EB736E5">
            <w:pPr>
              <w:autoSpaceDE w:val="0"/>
              <w:autoSpaceDN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4AC5B893">
            <w:pPr>
              <w:autoSpaceDE w:val="0"/>
              <w:autoSpaceDN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5F945D61">
            <w:pPr>
              <w:autoSpaceDE w:val="0"/>
              <w:autoSpaceDN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6F936AB7">
            <w:pPr>
              <w:autoSpaceDE w:val="0"/>
              <w:autoSpaceDN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2C2C2C9B">
            <w:pPr>
              <w:autoSpaceDE w:val="0"/>
              <w:autoSpaceDN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47E5706E">
            <w:pPr>
              <w:autoSpaceDE w:val="0"/>
              <w:autoSpaceDN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2EDDC2FA">
            <w:pPr>
              <w:autoSpaceDE w:val="0"/>
              <w:autoSpaceDN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响应时间</w:t>
            </w:r>
          </w:p>
        </w:tc>
        <w:tc>
          <w:tcPr>
            <w:tcW w:w="898" w:type="dxa"/>
            <w:tcBorders>
              <w:top w:val="single" w:color="auto" w:sz="6" w:space="0"/>
              <w:left w:val="single" w:color="auto" w:sz="6" w:space="0"/>
              <w:bottom w:val="single" w:color="auto" w:sz="6" w:space="0"/>
              <w:right w:val="single" w:color="auto" w:sz="6" w:space="0"/>
            </w:tcBorders>
            <w:vAlign w:val="center"/>
          </w:tcPr>
          <w:p w14:paraId="28A60A9B">
            <w:pPr>
              <w:autoSpaceDE w:val="0"/>
              <w:autoSpaceDN w:val="0"/>
              <w:spacing w:line="240" w:lineRule="exact"/>
              <w:ind w:left="-36" w:leftChars="-17" w:right="-181" w:rightChars="-86"/>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到达现场时间</w:t>
            </w:r>
          </w:p>
        </w:tc>
      </w:tr>
      <w:tr w14:paraId="07F32782">
        <w:tblPrEx>
          <w:tblCellMar>
            <w:top w:w="0" w:type="dxa"/>
            <w:left w:w="108" w:type="dxa"/>
            <w:bottom w:w="0" w:type="dxa"/>
            <w:right w:w="108" w:type="dxa"/>
          </w:tblCellMar>
        </w:tblPrEx>
        <w:trPr>
          <w:trHeight w:val="20" w:hRule="atLeast"/>
          <w:jc w:val="center"/>
        </w:trPr>
        <w:tc>
          <w:tcPr>
            <w:tcW w:w="360" w:type="dxa"/>
            <w:tcBorders>
              <w:top w:val="single" w:color="auto" w:sz="6" w:space="0"/>
              <w:left w:val="single" w:color="auto" w:sz="6" w:space="0"/>
              <w:bottom w:val="single" w:color="auto" w:sz="6" w:space="0"/>
              <w:right w:val="single" w:color="auto" w:sz="4" w:space="0"/>
            </w:tcBorders>
          </w:tcPr>
          <w:p w14:paraId="0FF9E8AC">
            <w:pPr>
              <w:autoSpaceDE w:val="0"/>
              <w:autoSpaceDN w:val="0"/>
              <w:spacing w:line="240" w:lineRule="exact"/>
              <w:jc w:val="center"/>
              <w:rPr>
                <w:rFonts w:hint="eastAsia" w:ascii="仿宋" w:hAnsi="仿宋" w:eastAsia="仿宋" w:cs="仿宋"/>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2A088ABB">
            <w:pPr>
              <w:autoSpaceDE w:val="0"/>
              <w:autoSpaceDN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1D6D4650">
            <w:pPr>
              <w:autoSpaceDE w:val="0"/>
              <w:autoSpaceDN w:val="0"/>
              <w:spacing w:line="240" w:lineRule="exact"/>
              <w:rPr>
                <w:rFonts w:hint="eastAsia" w:ascii="仿宋" w:hAnsi="仿宋" w:eastAsia="仿宋" w:cs="仿宋"/>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62298AB">
            <w:pPr>
              <w:autoSpaceDE w:val="0"/>
              <w:autoSpaceDN w:val="0"/>
              <w:spacing w:line="240" w:lineRule="exact"/>
              <w:rPr>
                <w:rFonts w:hint="eastAsia" w:ascii="仿宋" w:hAnsi="仿宋" w:eastAsia="仿宋" w:cs="仿宋"/>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422F650">
            <w:pPr>
              <w:autoSpaceDE w:val="0"/>
              <w:autoSpaceDN w:val="0"/>
              <w:spacing w:line="240" w:lineRule="exact"/>
              <w:rPr>
                <w:rFonts w:hint="eastAsia" w:ascii="仿宋" w:hAnsi="仿宋" w:eastAsia="仿宋" w:cs="仿宋"/>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EE5A777">
            <w:pPr>
              <w:autoSpaceDE w:val="0"/>
              <w:autoSpaceDN w:val="0"/>
              <w:spacing w:line="240" w:lineRule="exact"/>
              <w:rPr>
                <w:rFonts w:hint="eastAsia" w:ascii="仿宋" w:hAnsi="仿宋" w:eastAsia="仿宋" w:cs="仿宋"/>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8E66049">
            <w:pPr>
              <w:autoSpaceDE w:val="0"/>
              <w:autoSpaceDN w:val="0"/>
              <w:spacing w:line="240" w:lineRule="exact"/>
              <w:rPr>
                <w:rFonts w:hint="eastAsia" w:ascii="仿宋" w:hAnsi="仿宋" w:eastAsia="仿宋" w:cs="仿宋"/>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A0B38F4">
            <w:pPr>
              <w:autoSpaceDE w:val="0"/>
              <w:autoSpaceDN w:val="0"/>
              <w:spacing w:line="240" w:lineRule="exact"/>
              <w:rPr>
                <w:rFonts w:hint="eastAsia" w:ascii="仿宋" w:hAnsi="仿宋" w:eastAsia="仿宋" w:cs="仿宋"/>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A0CFAB7">
            <w:pPr>
              <w:autoSpaceDE w:val="0"/>
              <w:autoSpaceDN w:val="0"/>
              <w:spacing w:line="240" w:lineRule="exact"/>
              <w:rPr>
                <w:rFonts w:hint="eastAsia" w:ascii="仿宋" w:hAnsi="仿宋" w:eastAsia="仿宋" w:cs="仿宋"/>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83408E9">
            <w:pPr>
              <w:autoSpaceDE w:val="0"/>
              <w:autoSpaceDN w:val="0"/>
              <w:spacing w:line="240" w:lineRule="exact"/>
              <w:rPr>
                <w:rFonts w:hint="eastAsia" w:ascii="仿宋" w:hAnsi="仿宋" w:eastAsia="仿宋" w:cs="仿宋"/>
                <w:color w:val="auto"/>
                <w:sz w:val="24"/>
                <w:highlight w:val="none"/>
              </w:rPr>
            </w:pPr>
          </w:p>
        </w:tc>
        <w:tc>
          <w:tcPr>
            <w:tcW w:w="898" w:type="dxa"/>
            <w:tcBorders>
              <w:top w:val="single" w:color="auto" w:sz="6" w:space="0"/>
              <w:left w:val="single" w:color="auto" w:sz="6" w:space="0"/>
              <w:bottom w:val="single" w:color="auto" w:sz="6" w:space="0"/>
              <w:right w:val="single" w:color="auto" w:sz="6" w:space="0"/>
            </w:tcBorders>
          </w:tcPr>
          <w:p w14:paraId="4B0E5DDD">
            <w:pPr>
              <w:autoSpaceDE w:val="0"/>
              <w:autoSpaceDN w:val="0"/>
              <w:spacing w:line="240" w:lineRule="exact"/>
              <w:rPr>
                <w:rFonts w:hint="eastAsia" w:ascii="仿宋" w:hAnsi="仿宋" w:eastAsia="仿宋" w:cs="仿宋"/>
                <w:color w:val="auto"/>
                <w:sz w:val="24"/>
                <w:highlight w:val="none"/>
              </w:rPr>
            </w:pPr>
          </w:p>
        </w:tc>
      </w:tr>
      <w:tr w14:paraId="3DC032E6">
        <w:tblPrEx>
          <w:tblCellMar>
            <w:top w:w="0" w:type="dxa"/>
            <w:left w:w="108" w:type="dxa"/>
            <w:bottom w:w="0" w:type="dxa"/>
            <w:right w:w="108" w:type="dxa"/>
          </w:tblCellMar>
        </w:tblPrEx>
        <w:trPr>
          <w:trHeight w:val="20" w:hRule="atLeast"/>
          <w:jc w:val="center"/>
        </w:trPr>
        <w:tc>
          <w:tcPr>
            <w:tcW w:w="360" w:type="dxa"/>
            <w:tcBorders>
              <w:top w:val="single" w:color="auto" w:sz="6" w:space="0"/>
              <w:left w:val="single" w:color="auto" w:sz="6" w:space="0"/>
              <w:bottom w:val="single" w:color="auto" w:sz="6" w:space="0"/>
              <w:right w:val="single" w:color="auto" w:sz="4" w:space="0"/>
            </w:tcBorders>
          </w:tcPr>
          <w:p w14:paraId="2C90FD83">
            <w:pPr>
              <w:autoSpaceDE w:val="0"/>
              <w:autoSpaceDN w:val="0"/>
              <w:spacing w:line="240" w:lineRule="exact"/>
              <w:jc w:val="center"/>
              <w:rPr>
                <w:rFonts w:hint="eastAsia" w:ascii="仿宋" w:hAnsi="仿宋" w:eastAsia="仿宋" w:cs="仿宋"/>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7C22D23E">
            <w:pPr>
              <w:autoSpaceDE w:val="0"/>
              <w:autoSpaceDN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2D827C2A">
            <w:pPr>
              <w:autoSpaceDE w:val="0"/>
              <w:autoSpaceDN w:val="0"/>
              <w:spacing w:line="240" w:lineRule="exact"/>
              <w:rPr>
                <w:rFonts w:hint="eastAsia" w:ascii="仿宋" w:hAnsi="仿宋" w:eastAsia="仿宋" w:cs="仿宋"/>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268CACF">
            <w:pPr>
              <w:autoSpaceDE w:val="0"/>
              <w:autoSpaceDN w:val="0"/>
              <w:spacing w:line="240" w:lineRule="exact"/>
              <w:rPr>
                <w:rFonts w:hint="eastAsia" w:ascii="仿宋" w:hAnsi="仿宋" w:eastAsia="仿宋" w:cs="仿宋"/>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0AE3970">
            <w:pPr>
              <w:autoSpaceDE w:val="0"/>
              <w:autoSpaceDN w:val="0"/>
              <w:spacing w:line="240" w:lineRule="exact"/>
              <w:rPr>
                <w:rFonts w:hint="eastAsia" w:ascii="仿宋" w:hAnsi="仿宋" w:eastAsia="仿宋" w:cs="仿宋"/>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C25395C">
            <w:pPr>
              <w:autoSpaceDE w:val="0"/>
              <w:autoSpaceDN w:val="0"/>
              <w:spacing w:line="240" w:lineRule="exact"/>
              <w:rPr>
                <w:rFonts w:hint="eastAsia" w:ascii="仿宋" w:hAnsi="仿宋" w:eastAsia="仿宋" w:cs="仿宋"/>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3B3836D">
            <w:pPr>
              <w:autoSpaceDE w:val="0"/>
              <w:autoSpaceDN w:val="0"/>
              <w:spacing w:line="240" w:lineRule="exact"/>
              <w:rPr>
                <w:rFonts w:hint="eastAsia" w:ascii="仿宋" w:hAnsi="仿宋" w:eastAsia="仿宋" w:cs="仿宋"/>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B53ACA1">
            <w:pPr>
              <w:autoSpaceDE w:val="0"/>
              <w:autoSpaceDN w:val="0"/>
              <w:spacing w:line="240" w:lineRule="exact"/>
              <w:rPr>
                <w:rFonts w:hint="eastAsia" w:ascii="仿宋" w:hAnsi="仿宋" w:eastAsia="仿宋" w:cs="仿宋"/>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6313AFA7">
            <w:pPr>
              <w:autoSpaceDE w:val="0"/>
              <w:autoSpaceDN w:val="0"/>
              <w:spacing w:line="240" w:lineRule="exact"/>
              <w:rPr>
                <w:rFonts w:hint="eastAsia" w:ascii="仿宋" w:hAnsi="仿宋" w:eastAsia="仿宋" w:cs="仿宋"/>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EB19E9A">
            <w:pPr>
              <w:autoSpaceDE w:val="0"/>
              <w:autoSpaceDN w:val="0"/>
              <w:spacing w:line="240" w:lineRule="exact"/>
              <w:rPr>
                <w:rFonts w:hint="eastAsia" w:ascii="仿宋" w:hAnsi="仿宋" w:eastAsia="仿宋" w:cs="仿宋"/>
                <w:color w:val="auto"/>
                <w:sz w:val="24"/>
                <w:highlight w:val="none"/>
              </w:rPr>
            </w:pPr>
          </w:p>
        </w:tc>
        <w:tc>
          <w:tcPr>
            <w:tcW w:w="898" w:type="dxa"/>
            <w:tcBorders>
              <w:top w:val="single" w:color="auto" w:sz="6" w:space="0"/>
              <w:left w:val="single" w:color="auto" w:sz="6" w:space="0"/>
              <w:bottom w:val="single" w:color="auto" w:sz="6" w:space="0"/>
              <w:right w:val="single" w:color="auto" w:sz="6" w:space="0"/>
            </w:tcBorders>
          </w:tcPr>
          <w:p w14:paraId="11D011F8">
            <w:pPr>
              <w:autoSpaceDE w:val="0"/>
              <w:autoSpaceDN w:val="0"/>
              <w:spacing w:line="240" w:lineRule="exact"/>
              <w:rPr>
                <w:rFonts w:hint="eastAsia" w:ascii="仿宋" w:hAnsi="仿宋" w:eastAsia="仿宋" w:cs="仿宋"/>
                <w:color w:val="auto"/>
                <w:sz w:val="24"/>
                <w:highlight w:val="none"/>
              </w:rPr>
            </w:pPr>
          </w:p>
        </w:tc>
      </w:tr>
      <w:tr w14:paraId="3ADA7FB1">
        <w:tblPrEx>
          <w:tblCellMar>
            <w:top w:w="0" w:type="dxa"/>
            <w:left w:w="108" w:type="dxa"/>
            <w:bottom w:w="0" w:type="dxa"/>
            <w:right w:w="108" w:type="dxa"/>
          </w:tblCellMar>
        </w:tblPrEx>
        <w:trPr>
          <w:trHeight w:val="20" w:hRule="atLeast"/>
          <w:jc w:val="center"/>
        </w:trPr>
        <w:tc>
          <w:tcPr>
            <w:tcW w:w="360" w:type="dxa"/>
            <w:tcBorders>
              <w:top w:val="single" w:color="auto" w:sz="6" w:space="0"/>
              <w:left w:val="single" w:color="auto" w:sz="6" w:space="0"/>
              <w:bottom w:val="single" w:color="auto" w:sz="6" w:space="0"/>
              <w:right w:val="single" w:color="auto" w:sz="4" w:space="0"/>
            </w:tcBorders>
          </w:tcPr>
          <w:p w14:paraId="112702C7">
            <w:pPr>
              <w:autoSpaceDE w:val="0"/>
              <w:autoSpaceDN w:val="0"/>
              <w:spacing w:line="240" w:lineRule="exact"/>
              <w:jc w:val="center"/>
              <w:rPr>
                <w:rFonts w:hint="eastAsia" w:ascii="仿宋" w:hAnsi="仿宋" w:eastAsia="仿宋" w:cs="仿宋"/>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1997951D">
            <w:pPr>
              <w:autoSpaceDE w:val="0"/>
              <w:autoSpaceDN w:val="0"/>
              <w:spacing w:line="2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787" w:type="dxa"/>
            <w:tcBorders>
              <w:top w:val="single" w:color="auto" w:sz="6" w:space="0"/>
              <w:left w:val="single" w:color="auto" w:sz="6" w:space="0"/>
              <w:bottom w:val="single" w:color="auto" w:sz="6" w:space="0"/>
              <w:right w:val="single" w:color="auto" w:sz="6" w:space="0"/>
            </w:tcBorders>
          </w:tcPr>
          <w:p w14:paraId="307A67E4">
            <w:pPr>
              <w:autoSpaceDE w:val="0"/>
              <w:autoSpaceDN w:val="0"/>
              <w:spacing w:line="240" w:lineRule="exact"/>
              <w:rPr>
                <w:rFonts w:hint="eastAsia" w:ascii="仿宋" w:hAnsi="仿宋" w:eastAsia="仿宋" w:cs="仿宋"/>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7995963C">
            <w:pPr>
              <w:autoSpaceDE w:val="0"/>
              <w:autoSpaceDN w:val="0"/>
              <w:spacing w:line="240" w:lineRule="exact"/>
              <w:rPr>
                <w:rFonts w:hint="eastAsia" w:ascii="仿宋" w:hAnsi="仿宋" w:eastAsia="仿宋" w:cs="仿宋"/>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EC5C278">
            <w:pPr>
              <w:autoSpaceDE w:val="0"/>
              <w:autoSpaceDN w:val="0"/>
              <w:spacing w:line="240" w:lineRule="exact"/>
              <w:rPr>
                <w:rFonts w:hint="eastAsia" w:ascii="仿宋" w:hAnsi="仿宋" w:eastAsia="仿宋" w:cs="仿宋"/>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673A9B7">
            <w:pPr>
              <w:autoSpaceDE w:val="0"/>
              <w:autoSpaceDN w:val="0"/>
              <w:spacing w:line="240" w:lineRule="exact"/>
              <w:rPr>
                <w:rFonts w:hint="eastAsia" w:ascii="仿宋" w:hAnsi="仿宋" w:eastAsia="仿宋" w:cs="仿宋"/>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EB1F921">
            <w:pPr>
              <w:autoSpaceDE w:val="0"/>
              <w:autoSpaceDN w:val="0"/>
              <w:spacing w:line="240" w:lineRule="exact"/>
              <w:rPr>
                <w:rFonts w:hint="eastAsia" w:ascii="仿宋" w:hAnsi="仿宋" w:eastAsia="仿宋" w:cs="仿宋"/>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19A9C39">
            <w:pPr>
              <w:autoSpaceDE w:val="0"/>
              <w:autoSpaceDN w:val="0"/>
              <w:spacing w:line="240" w:lineRule="exact"/>
              <w:rPr>
                <w:rFonts w:hint="eastAsia" w:ascii="仿宋" w:hAnsi="仿宋" w:eastAsia="仿宋" w:cs="仿宋"/>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597A3A4">
            <w:pPr>
              <w:autoSpaceDE w:val="0"/>
              <w:autoSpaceDN w:val="0"/>
              <w:spacing w:line="240" w:lineRule="exact"/>
              <w:rPr>
                <w:rFonts w:hint="eastAsia" w:ascii="仿宋" w:hAnsi="仿宋" w:eastAsia="仿宋" w:cs="仿宋"/>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3767CE6">
            <w:pPr>
              <w:autoSpaceDE w:val="0"/>
              <w:autoSpaceDN w:val="0"/>
              <w:spacing w:line="240" w:lineRule="exact"/>
              <w:rPr>
                <w:rFonts w:hint="eastAsia" w:ascii="仿宋" w:hAnsi="仿宋" w:eastAsia="仿宋" w:cs="仿宋"/>
                <w:color w:val="auto"/>
                <w:sz w:val="24"/>
                <w:highlight w:val="none"/>
              </w:rPr>
            </w:pPr>
          </w:p>
        </w:tc>
        <w:tc>
          <w:tcPr>
            <w:tcW w:w="898" w:type="dxa"/>
            <w:tcBorders>
              <w:top w:val="single" w:color="auto" w:sz="6" w:space="0"/>
              <w:left w:val="single" w:color="auto" w:sz="6" w:space="0"/>
              <w:bottom w:val="single" w:color="auto" w:sz="6" w:space="0"/>
              <w:right w:val="single" w:color="auto" w:sz="6" w:space="0"/>
            </w:tcBorders>
          </w:tcPr>
          <w:p w14:paraId="637651E1">
            <w:pPr>
              <w:autoSpaceDE w:val="0"/>
              <w:autoSpaceDN w:val="0"/>
              <w:spacing w:line="240" w:lineRule="exact"/>
              <w:rPr>
                <w:rFonts w:hint="eastAsia" w:ascii="仿宋" w:hAnsi="仿宋" w:eastAsia="仿宋" w:cs="仿宋"/>
                <w:color w:val="auto"/>
                <w:sz w:val="24"/>
                <w:highlight w:val="none"/>
              </w:rPr>
            </w:pPr>
          </w:p>
        </w:tc>
      </w:tr>
    </w:tbl>
    <w:p w14:paraId="0566BF22">
      <w:pPr>
        <w:spacing w:line="360" w:lineRule="auto"/>
        <w:ind w:firstLine="480" w:firstLineChars="200"/>
        <w:rPr>
          <w:rFonts w:hint="eastAsia" w:ascii="仿宋" w:hAnsi="仿宋" w:eastAsia="仿宋" w:cs="仿宋"/>
          <w:color w:val="auto"/>
          <w:sz w:val="24"/>
          <w:szCs w:val="20"/>
          <w:highlight w:val="none"/>
        </w:rPr>
      </w:pPr>
    </w:p>
    <w:p w14:paraId="34B12E0D">
      <w:pPr>
        <w:snapToGrid w:val="0"/>
        <w:spacing w:line="360" w:lineRule="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投标人 (盖章)：</w:t>
      </w:r>
    </w:p>
    <w:p w14:paraId="259EE3CA">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 xml:space="preserve">                                  法定代表人或其授权代表(签字或盖章)：</w:t>
      </w:r>
    </w:p>
    <w:p w14:paraId="54410635">
      <w:pPr>
        <w:snapToGrid w:val="0"/>
        <w:spacing w:line="360" w:lineRule="auto"/>
        <w:ind w:firstLine="5160" w:firstLineChars="215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月日</w:t>
      </w:r>
    </w:p>
    <w:p w14:paraId="076F96F6">
      <w:pPr>
        <w:pageBreakBefore/>
        <w:spacing w:line="360" w:lineRule="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14、项目小组人员名单</w:t>
      </w:r>
    </w:p>
    <w:p w14:paraId="3CB817F5">
      <w:pPr>
        <w:spacing w:line="360" w:lineRule="auto"/>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（由投标人根据采购需求及招标文件要求编制）</w:t>
      </w:r>
    </w:p>
    <w:p w14:paraId="3FB289B8">
      <w:pPr>
        <w:keepNext/>
        <w:autoSpaceDE w:val="0"/>
        <w:autoSpaceDN w:val="0"/>
        <w:spacing w:line="360" w:lineRule="auto"/>
        <w:ind w:firstLine="477"/>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附表A:本项目的项目经理情况表</w:t>
      </w:r>
    </w:p>
    <w:tbl>
      <w:tblPr>
        <w:tblStyle w:val="44"/>
        <w:tblW w:w="8755" w:type="dxa"/>
        <w:tblInd w:w="0" w:type="dxa"/>
        <w:tblLayout w:type="fixed"/>
        <w:tblCellMar>
          <w:top w:w="0" w:type="dxa"/>
          <w:left w:w="108" w:type="dxa"/>
          <w:bottom w:w="0" w:type="dxa"/>
          <w:right w:w="108" w:type="dxa"/>
        </w:tblCellMar>
      </w:tblPr>
      <w:tblGrid>
        <w:gridCol w:w="2061"/>
        <w:gridCol w:w="1287"/>
        <w:gridCol w:w="1260"/>
        <w:gridCol w:w="4147"/>
      </w:tblGrid>
      <w:tr w14:paraId="3CE06F60">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35C08487">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665D9FE2">
            <w:pPr>
              <w:autoSpaceDE w:val="0"/>
              <w:autoSpaceDN w:val="0"/>
              <w:spacing w:line="360" w:lineRule="auto"/>
              <w:jc w:val="center"/>
              <w:rPr>
                <w:rFonts w:hint="eastAsia" w:ascii="仿宋" w:hAnsi="仿宋" w:eastAsia="仿宋" w:cs="仿宋"/>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DC2A595">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0B1D3CFA">
            <w:pPr>
              <w:autoSpaceDE w:val="0"/>
              <w:autoSpaceDN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截止投标时间近3年业绩及承担的主要工作情况，曾担任项目经理的项目应列明细</w:t>
            </w:r>
          </w:p>
        </w:tc>
      </w:tr>
      <w:tr w14:paraId="43B15992">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210898D8">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4F4D8371">
            <w:pPr>
              <w:autoSpaceDE w:val="0"/>
              <w:autoSpaceDN w:val="0"/>
              <w:spacing w:line="360" w:lineRule="auto"/>
              <w:jc w:val="center"/>
              <w:rPr>
                <w:rFonts w:hint="eastAsia" w:ascii="仿宋" w:hAnsi="仿宋" w:eastAsia="仿宋" w:cs="仿宋"/>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37757751">
            <w:pPr>
              <w:autoSpaceDE w:val="0"/>
              <w:autoSpaceDN w:val="0"/>
              <w:spacing w:line="360" w:lineRule="auto"/>
              <w:jc w:val="center"/>
              <w:rPr>
                <w:rFonts w:hint="eastAsia" w:ascii="仿宋" w:hAnsi="仿宋" w:eastAsia="仿宋" w:cs="仿宋"/>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1BB0E304">
            <w:pPr>
              <w:autoSpaceDE w:val="0"/>
              <w:autoSpaceDN w:val="0"/>
              <w:spacing w:line="360" w:lineRule="auto"/>
              <w:jc w:val="center"/>
              <w:rPr>
                <w:rFonts w:hint="eastAsia" w:ascii="仿宋" w:hAnsi="仿宋" w:eastAsia="仿宋" w:cs="仿宋"/>
                <w:color w:val="auto"/>
                <w:sz w:val="24"/>
                <w:highlight w:val="none"/>
              </w:rPr>
            </w:pPr>
          </w:p>
        </w:tc>
      </w:tr>
      <w:tr w14:paraId="33755A08">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25AFE291">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DF0A499">
            <w:pPr>
              <w:autoSpaceDE w:val="0"/>
              <w:autoSpaceDN w:val="0"/>
              <w:spacing w:line="360" w:lineRule="auto"/>
              <w:jc w:val="center"/>
              <w:rPr>
                <w:rFonts w:hint="eastAsia" w:ascii="仿宋" w:hAnsi="仿宋" w:eastAsia="仿宋" w:cs="仿宋"/>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31FA5072">
            <w:pPr>
              <w:autoSpaceDE w:val="0"/>
              <w:autoSpaceDN w:val="0"/>
              <w:spacing w:line="360" w:lineRule="auto"/>
              <w:jc w:val="center"/>
              <w:rPr>
                <w:rFonts w:hint="eastAsia" w:ascii="仿宋" w:hAnsi="仿宋" w:eastAsia="仿宋" w:cs="仿宋"/>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0AC50F6">
            <w:pPr>
              <w:autoSpaceDE w:val="0"/>
              <w:autoSpaceDN w:val="0"/>
              <w:spacing w:line="360" w:lineRule="auto"/>
              <w:jc w:val="center"/>
              <w:rPr>
                <w:rFonts w:hint="eastAsia" w:ascii="仿宋" w:hAnsi="仿宋" w:eastAsia="仿宋" w:cs="仿宋"/>
                <w:color w:val="auto"/>
                <w:sz w:val="24"/>
                <w:highlight w:val="none"/>
              </w:rPr>
            </w:pPr>
          </w:p>
        </w:tc>
      </w:tr>
      <w:tr w14:paraId="3905DA99">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716B5C06">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34A37748">
            <w:pPr>
              <w:autoSpaceDE w:val="0"/>
              <w:autoSpaceDN w:val="0"/>
              <w:spacing w:line="360" w:lineRule="auto"/>
              <w:jc w:val="center"/>
              <w:rPr>
                <w:rFonts w:hint="eastAsia" w:ascii="仿宋" w:hAnsi="仿宋" w:eastAsia="仿宋" w:cs="仿宋"/>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563DD7F">
            <w:pPr>
              <w:autoSpaceDE w:val="0"/>
              <w:autoSpaceDN w:val="0"/>
              <w:spacing w:line="360" w:lineRule="auto"/>
              <w:jc w:val="center"/>
              <w:rPr>
                <w:rFonts w:hint="eastAsia" w:ascii="仿宋" w:hAnsi="仿宋" w:eastAsia="仿宋" w:cs="仿宋"/>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0507247">
            <w:pPr>
              <w:autoSpaceDE w:val="0"/>
              <w:autoSpaceDN w:val="0"/>
              <w:spacing w:line="360" w:lineRule="auto"/>
              <w:jc w:val="center"/>
              <w:rPr>
                <w:rFonts w:hint="eastAsia" w:ascii="仿宋" w:hAnsi="仿宋" w:eastAsia="仿宋" w:cs="仿宋"/>
                <w:color w:val="auto"/>
                <w:sz w:val="24"/>
                <w:highlight w:val="none"/>
              </w:rPr>
            </w:pPr>
          </w:p>
        </w:tc>
      </w:tr>
      <w:tr w14:paraId="2DEA7F86">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11E4DF1F">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6D7075C0">
            <w:pPr>
              <w:autoSpaceDE w:val="0"/>
              <w:autoSpaceDN w:val="0"/>
              <w:spacing w:line="360" w:lineRule="auto"/>
              <w:jc w:val="center"/>
              <w:rPr>
                <w:rFonts w:hint="eastAsia" w:ascii="仿宋" w:hAnsi="仿宋" w:eastAsia="仿宋" w:cs="仿宋"/>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F093147">
            <w:pPr>
              <w:autoSpaceDE w:val="0"/>
              <w:autoSpaceDN w:val="0"/>
              <w:spacing w:line="360" w:lineRule="auto"/>
              <w:jc w:val="center"/>
              <w:rPr>
                <w:rFonts w:hint="eastAsia" w:ascii="仿宋" w:hAnsi="仿宋" w:eastAsia="仿宋" w:cs="仿宋"/>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95A6B2E">
            <w:pPr>
              <w:autoSpaceDE w:val="0"/>
              <w:autoSpaceDN w:val="0"/>
              <w:spacing w:line="360" w:lineRule="auto"/>
              <w:jc w:val="center"/>
              <w:rPr>
                <w:rFonts w:hint="eastAsia" w:ascii="仿宋" w:hAnsi="仿宋" w:eastAsia="仿宋" w:cs="仿宋"/>
                <w:color w:val="auto"/>
                <w:sz w:val="24"/>
                <w:highlight w:val="none"/>
              </w:rPr>
            </w:pPr>
          </w:p>
        </w:tc>
      </w:tr>
      <w:tr w14:paraId="181E0039">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55FAFDAF">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4245FFE1">
            <w:pPr>
              <w:autoSpaceDE w:val="0"/>
              <w:autoSpaceDN w:val="0"/>
              <w:spacing w:line="360" w:lineRule="auto"/>
              <w:jc w:val="center"/>
              <w:rPr>
                <w:rFonts w:hint="eastAsia" w:ascii="仿宋" w:hAnsi="仿宋" w:eastAsia="仿宋" w:cs="仿宋"/>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FF1893E">
            <w:pPr>
              <w:autoSpaceDE w:val="0"/>
              <w:autoSpaceDN w:val="0"/>
              <w:spacing w:line="360" w:lineRule="auto"/>
              <w:jc w:val="center"/>
              <w:rPr>
                <w:rFonts w:hint="eastAsia" w:ascii="仿宋" w:hAnsi="仿宋" w:eastAsia="仿宋" w:cs="仿宋"/>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A88E289">
            <w:pPr>
              <w:autoSpaceDE w:val="0"/>
              <w:autoSpaceDN w:val="0"/>
              <w:spacing w:line="360" w:lineRule="auto"/>
              <w:jc w:val="center"/>
              <w:rPr>
                <w:rFonts w:hint="eastAsia" w:ascii="仿宋" w:hAnsi="仿宋" w:eastAsia="仿宋" w:cs="仿宋"/>
                <w:color w:val="auto"/>
                <w:sz w:val="24"/>
                <w:highlight w:val="none"/>
              </w:rPr>
            </w:pPr>
          </w:p>
        </w:tc>
      </w:tr>
      <w:tr w14:paraId="38F5C5F8">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257B2896">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0DFEB045">
            <w:pPr>
              <w:autoSpaceDE w:val="0"/>
              <w:autoSpaceDN w:val="0"/>
              <w:spacing w:line="360" w:lineRule="auto"/>
              <w:jc w:val="center"/>
              <w:rPr>
                <w:rFonts w:hint="eastAsia" w:ascii="仿宋" w:hAnsi="仿宋" w:eastAsia="仿宋" w:cs="仿宋"/>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16F5FAB">
            <w:pPr>
              <w:autoSpaceDE w:val="0"/>
              <w:autoSpaceDN w:val="0"/>
              <w:spacing w:line="360" w:lineRule="auto"/>
              <w:jc w:val="center"/>
              <w:rPr>
                <w:rFonts w:hint="eastAsia" w:ascii="仿宋" w:hAnsi="仿宋" w:eastAsia="仿宋" w:cs="仿宋"/>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3108458">
            <w:pPr>
              <w:autoSpaceDE w:val="0"/>
              <w:autoSpaceDN w:val="0"/>
              <w:spacing w:line="360" w:lineRule="auto"/>
              <w:jc w:val="center"/>
              <w:rPr>
                <w:rFonts w:hint="eastAsia" w:ascii="仿宋" w:hAnsi="仿宋" w:eastAsia="仿宋" w:cs="仿宋"/>
                <w:color w:val="auto"/>
                <w:sz w:val="24"/>
                <w:highlight w:val="none"/>
              </w:rPr>
            </w:pPr>
          </w:p>
        </w:tc>
      </w:tr>
      <w:tr w14:paraId="2F266633">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6E284B29">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28708D26">
            <w:pPr>
              <w:autoSpaceDE w:val="0"/>
              <w:autoSpaceDN w:val="0"/>
              <w:spacing w:line="360" w:lineRule="auto"/>
              <w:jc w:val="center"/>
              <w:rPr>
                <w:rFonts w:hint="eastAsia" w:ascii="仿宋" w:hAnsi="仿宋" w:eastAsia="仿宋" w:cs="仿宋"/>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F02B81C">
            <w:pPr>
              <w:autoSpaceDE w:val="0"/>
              <w:autoSpaceDN w:val="0"/>
              <w:spacing w:line="360" w:lineRule="auto"/>
              <w:jc w:val="center"/>
              <w:rPr>
                <w:rFonts w:hint="eastAsia" w:ascii="仿宋" w:hAnsi="仿宋" w:eastAsia="仿宋" w:cs="仿宋"/>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B3FEF00">
            <w:pPr>
              <w:autoSpaceDE w:val="0"/>
              <w:autoSpaceDN w:val="0"/>
              <w:spacing w:line="360" w:lineRule="auto"/>
              <w:jc w:val="center"/>
              <w:rPr>
                <w:rFonts w:hint="eastAsia" w:ascii="仿宋" w:hAnsi="仿宋" w:eastAsia="仿宋" w:cs="仿宋"/>
                <w:color w:val="auto"/>
                <w:sz w:val="24"/>
                <w:highlight w:val="none"/>
              </w:rPr>
            </w:pPr>
          </w:p>
        </w:tc>
      </w:tr>
      <w:tr w14:paraId="601DAFE7">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4E630D94">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49E582C0">
            <w:pPr>
              <w:autoSpaceDE w:val="0"/>
              <w:autoSpaceDN w:val="0"/>
              <w:spacing w:line="360" w:lineRule="auto"/>
              <w:jc w:val="center"/>
              <w:rPr>
                <w:rFonts w:hint="eastAsia" w:ascii="仿宋" w:hAnsi="仿宋" w:eastAsia="仿宋" w:cs="仿宋"/>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31CE02F">
            <w:pPr>
              <w:autoSpaceDE w:val="0"/>
              <w:autoSpaceDN w:val="0"/>
              <w:spacing w:line="360" w:lineRule="auto"/>
              <w:jc w:val="center"/>
              <w:rPr>
                <w:rFonts w:hint="eastAsia" w:ascii="仿宋" w:hAnsi="仿宋" w:eastAsia="仿宋" w:cs="仿宋"/>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F235091">
            <w:pPr>
              <w:autoSpaceDE w:val="0"/>
              <w:autoSpaceDN w:val="0"/>
              <w:spacing w:line="360" w:lineRule="auto"/>
              <w:jc w:val="center"/>
              <w:rPr>
                <w:rFonts w:hint="eastAsia" w:ascii="仿宋" w:hAnsi="仿宋" w:eastAsia="仿宋" w:cs="仿宋"/>
                <w:color w:val="auto"/>
                <w:sz w:val="24"/>
                <w:highlight w:val="none"/>
              </w:rPr>
            </w:pPr>
          </w:p>
        </w:tc>
      </w:tr>
      <w:tr w14:paraId="561B92A0">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248D045A">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64610F22">
            <w:pPr>
              <w:autoSpaceDE w:val="0"/>
              <w:autoSpaceDN w:val="0"/>
              <w:spacing w:line="360" w:lineRule="auto"/>
              <w:jc w:val="center"/>
              <w:rPr>
                <w:rFonts w:hint="eastAsia" w:ascii="仿宋" w:hAnsi="仿宋" w:eastAsia="仿宋" w:cs="仿宋"/>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1249F536">
            <w:pPr>
              <w:autoSpaceDE w:val="0"/>
              <w:autoSpaceDN w:val="0"/>
              <w:spacing w:line="360" w:lineRule="auto"/>
              <w:jc w:val="center"/>
              <w:rPr>
                <w:rFonts w:hint="eastAsia" w:ascii="仿宋" w:hAnsi="仿宋" w:eastAsia="仿宋" w:cs="仿宋"/>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A2E155B">
            <w:pPr>
              <w:autoSpaceDE w:val="0"/>
              <w:autoSpaceDN w:val="0"/>
              <w:spacing w:line="360" w:lineRule="auto"/>
              <w:jc w:val="center"/>
              <w:rPr>
                <w:rFonts w:hint="eastAsia" w:ascii="仿宋" w:hAnsi="仿宋" w:eastAsia="仿宋" w:cs="仿宋"/>
                <w:color w:val="auto"/>
                <w:sz w:val="24"/>
                <w:highlight w:val="none"/>
              </w:rPr>
            </w:pPr>
          </w:p>
        </w:tc>
      </w:tr>
    </w:tbl>
    <w:p w14:paraId="68A046E8">
      <w:pPr>
        <w:autoSpaceDE w:val="0"/>
        <w:autoSpaceDN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注：须随表提交相应的证书复印件并注明所在投标技术文件页码。</w:t>
      </w:r>
    </w:p>
    <w:p w14:paraId="71E31224">
      <w:pPr>
        <w:autoSpaceDE w:val="0"/>
        <w:autoSpaceDN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附表B:本项目的项目小组人员情况表</w:t>
      </w:r>
      <w:r>
        <w:rPr>
          <w:rFonts w:hint="eastAsia" w:ascii="仿宋" w:hAnsi="仿宋" w:eastAsia="仿宋" w:cs="仿宋"/>
          <w:color w:val="auto"/>
          <w:sz w:val="24"/>
          <w:highlight w:val="none"/>
        </w:rPr>
        <w:t>（按此格式自制）</w:t>
      </w:r>
    </w:p>
    <w:tbl>
      <w:tblPr>
        <w:tblStyle w:val="44"/>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01F494F6">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2AEECFA5">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151C4FBA">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50B4606D">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20F09B67">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791377D2">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学历</w:t>
            </w:r>
          </w:p>
          <w:p w14:paraId="29900AF6">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251A4869">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专业</w:t>
            </w:r>
          </w:p>
          <w:p w14:paraId="5B7B7834">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4915E937">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职称</w:t>
            </w:r>
          </w:p>
          <w:p w14:paraId="1ACB8D1D">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324EB53D">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2493F8C1">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12F4022A">
            <w:pPr>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参与本项目的到位情况</w:t>
            </w:r>
          </w:p>
        </w:tc>
      </w:tr>
      <w:tr w14:paraId="693A8441">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7090ED23">
            <w:pPr>
              <w:autoSpaceDE w:val="0"/>
              <w:autoSpaceDN w:val="0"/>
              <w:spacing w:line="360" w:lineRule="auto"/>
              <w:jc w:val="center"/>
              <w:rPr>
                <w:rFonts w:hint="eastAsia" w:ascii="仿宋" w:hAnsi="仿宋" w:eastAsia="仿宋" w:cs="仿宋"/>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263C63D1">
            <w:pPr>
              <w:autoSpaceDE w:val="0"/>
              <w:autoSpaceDN w:val="0"/>
              <w:spacing w:line="360" w:lineRule="auto"/>
              <w:rPr>
                <w:rFonts w:hint="eastAsia" w:ascii="仿宋" w:hAnsi="仿宋" w:eastAsia="仿宋" w:cs="仿宋"/>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328FCE6">
            <w:pPr>
              <w:autoSpaceDE w:val="0"/>
              <w:autoSpaceDN w:val="0"/>
              <w:spacing w:line="360" w:lineRule="auto"/>
              <w:rPr>
                <w:rFonts w:hint="eastAsia" w:ascii="仿宋" w:hAnsi="仿宋" w:eastAsia="仿宋" w:cs="仿宋"/>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481F87DB">
            <w:pPr>
              <w:autoSpaceDE w:val="0"/>
              <w:autoSpaceDN w:val="0"/>
              <w:spacing w:line="360" w:lineRule="auto"/>
              <w:rPr>
                <w:rFonts w:hint="eastAsia" w:ascii="仿宋" w:hAnsi="仿宋" w:eastAsia="仿宋" w:cs="仿宋"/>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10BA36D3">
            <w:pPr>
              <w:autoSpaceDE w:val="0"/>
              <w:autoSpaceDN w:val="0"/>
              <w:spacing w:line="360" w:lineRule="auto"/>
              <w:rPr>
                <w:rFonts w:hint="eastAsia" w:ascii="仿宋" w:hAnsi="仿宋" w:eastAsia="仿宋" w:cs="仿宋"/>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05A0301">
            <w:pPr>
              <w:autoSpaceDE w:val="0"/>
              <w:autoSpaceDN w:val="0"/>
              <w:spacing w:line="360" w:lineRule="auto"/>
              <w:rPr>
                <w:rFonts w:hint="eastAsia" w:ascii="仿宋" w:hAnsi="仿宋" w:eastAsia="仿宋" w:cs="仿宋"/>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1FB5A65">
            <w:pPr>
              <w:autoSpaceDE w:val="0"/>
              <w:autoSpaceDN w:val="0"/>
              <w:spacing w:line="360" w:lineRule="auto"/>
              <w:rPr>
                <w:rFonts w:hint="eastAsia" w:ascii="仿宋" w:hAnsi="仿宋" w:eastAsia="仿宋" w:cs="仿宋"/>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3A8FE348">
            <w:pPr>
              <w:autoSpaceDE w:val="0"/>
              <w:autoSpaceDN w:val="0"/>
              <w:spacing w:line="360" w:lineRule="auto"/>
              <w:rPr>
                <w:rFonts w:hint="eastAsia" w:ascii="仿宋" w:hAnsi="仿宋" w:eastAsia="仿宋" w:cs="仿宋"/>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8A1AF7C">
            <w:pPr>
              <w:autoSpaceDE w:val="0"/>
              <w:autoSpaceDN w:val="0"/>
              <w:spacing w:line="360" w:lineRule="auto"/>
              <w:rPr>
                <w:rFonts w:hint="eastAsia" w:ascii="仿宋" w:hAnsi="仿宋" w:eastAsia="仿宋" w:cs="仿宋"/>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76F371C6">
            <w:pPr>
              <w:autoSpaceDE w:val="0"/>
              <w:autoSpaceDN w:val="0"/>
              <w:spacing w:line="360" w:lineRule="auto"/>
              <w:rPr>
                <w:rFonts w:hint="eastAsia" w:ascii="仿宋" w:hAnsi="仿宋" w:eastAsia="仿宋" w:cs="仿宋"/>
                <w:color w:val="auto"/>
                <w:sz w:val="24"/>
                <w:highlight w:val="none"/>
              </w:rPr>
            </w:pPr>
          </w:p>
        </w:tc>
      </w:tr>
      <w:tr w14:paraId="7329C759">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755CCE35">
            <w:pPr>
              <w:autoSpaceDE w:val="0"/>
              <w:autoSpaceDN w:val="0"/>
              <w:spacing w:line="360" w:lineRule="auto"/>
              <w:jc w:val="center"/>
              <w:rPr>
                <w:rFonts w:hint="eastAsia" w:ascii="仿宋" w:hAnsi="仿宋" w:eastAsia="仿宋" w:cs="仿宋"/>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2F44F016">
            <w:pPr>
              <w:autoSpaceDE w:val="0"/>
              <w:autoSpaceDN w:val="0"/>
              <w:spacing w:line="360" w:lineRule="auto"/>
              <w:rPr>
                <w:rFonts w:hint="eastAsia" w:ascii="仿宋" w:hAnsi="仿宋" w:eastAsia="仿宋" w:cs="仿宋"/>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50E2F59">
            <w:pPr>
              <w:autoSpaceDE w:val="0"/>
              <w:autoSpaceDN w:val="0"/>
              <w:spacing w:line="360" w:lineRule="auto"/>
              <w:rPr>
                <w:rFonts w:hint="eastAsia" w:ascii="仿宋" w:hAnsi="仿宋" w:eastAsia="仿宋" w:cs="仿宋"/>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66D4888C">
            <w:pPr>
              <w:autoSpaceDE w:val="0"/>
              <w:autoSpaceDN w:val="0"/>
              <w:spacing w:line="360" w:lineRule="auto"/>
              <w:rPr>
                <w:rFonts w:hint="eastAsia" w:ascii="仿宋" w:hAnsi="仿宋" w:eastAsia="仿宋" w:cs="仿宋"/>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246C0EB2">
            <w:pPr>
              <w:autoSpaceDE w:val="0"/>
              <w:autoSpaceDN w:val="0"/>
              <w:spacing w:line="360" w:lineRule="auto"/>
              <w:rPr>
                <w:rFonts w:hint="eastAsia" w:ascii="仿宋" w:hAnsi="仿宋" w:eastAsia="仿宋" w:cs="仿宋"/>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C53A458">
            <w:pPr>
              <w:autoSpaceDE w:val="0"/>
              <w:autoSpaceDN w:val="0"/>
              <w:spacing w:line="360" w:lineRule="auto"/>
              <w:rPr>
                <w:rFonts w:hint="eastAsia" w:ascii="仿宋" w:hAnsi="仿宋" w:eastAsia="仿宋" w:cs="仿宋"/>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F0F6533">
            <w:pPr>
              <w:autoSpaceDE w:val="0"/>
              <w:autoSpaceDN w:val="0"/>
              <w:spacing w:line="360" w:lineRule="auto"/>
              <w:rPr>
                <w:rFonts w:hint="eastAsia" w:ascii="仿宋" w:hAnsi="仿宋" w:eastAsia="仿宋" w:cs="仿宋"/>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8F7F59E">
            <w:pPr>
              <w:autoSpaceDE w:val="0"/>
              <w:autoSpaceDN w:val="0"/>
              <w:spacing w:line="360" w:lineRule="auto"/>
              <w:rPr>
                <w:rFonts w:hint="eastAsia" w:ascii="仿宋" w:hAnsi="仿宋" w:eastAsia="仿宋" w:cs="仿宋"/>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5A55B40">
            <w:pPr>
              <w:autoSpaceDE w:val="0"/>
              <w:autoSpaceDN w:val="0"/>
              <w:spacing w:line="360" w:lineRule="auto"/>
              <w:rPr>
                <w:rFonts w:hint="eastAsia" w:ascii="仿宋" w:hAnsi="仿宋" w:eastAsia="仿宋" w:cs="仿宋"/>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654AD563">
            <w:pPr>
              <w:autoSpaceDE w:val="0"/>
              <w:autoSpaceDN w:val="0"/>
              <w:spacing w:line="360" w:lineRule="auto"/>
              <w:rPr>
                <w:rFonts w:hint="eastAsia" w:ascii="仿宋" w:hAnsi="仿宋" w:eastAsia="仿宋" w:cs="仿宋"/>
                <w:color w:val="auto"/>
                <w:sz w:val="24"/>
                <w:highlight w:val="none"/>
              </w:rPr>
            </w:pPr>
          </w:p>
        </w:tc>
      </w:tr>
    </w:tbl>
    <w:p w14:paraId="7ED09983">
      <w:pPr>
        <w:spacing w:line="360" w:lineRule="auto"/>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注：投标人可按上述的格式自行编制，须随表提交相应的证书复印件并注明所在投标技术文件页码。</w:t>
      </w:r>
    </w:p>
    <w:p w14:paraId="323D1220">
      <w:pPr>
        <w:spacing w:line="360" w:lineRule="auto"/>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附表C:本项目的项目负责人和小组人员社会保障资金记录情况表</w:t>
      </w:r>
      <w:r>
        <w:rPr>
          <w:rFonts w:hint="eastAsia" w:ascii="仿宋" w:hAnsi="仿宋" w:eastAsia="仿宋" w:cs="仿宋"/>
          <w:color w:val="auto"/>
          <w:sz w:val="24"/>
          <w:highlight w:val="none"/>
        </w:rPr>
        <w:t>（以社保部门出具缴纳凭证作附件）</w:t>
      </w:r>
    </w:p>
    <w:p w14:paraId="6C389732">
      <w:pPr>
        <w:spacing w:line="360" w:lineRule="auto"/>
        <w:ind w:firstLine="480" w:firstLineChars="200"/>
        <w:rPr>
          <w:rFonts w:hint="eastAsia" w:ascii="仿宋" w:hAnsi="仿宋" w:eastAsia="仿宋" w:cs="仿宋"/>
          <w:color w:val="auto"/>
          <w:sz w:val="24"/>
          <w:szCs w:val="20"/>
          <w:highlight w:val="none"/>
        </w:rPr>
      </w:pPr>
    </w:p>
    <w:p w14:paraId="002CBBE0">
      <w:pPr>
        <w:snapToGrid w:val="0"/>
        <w:spacing w:line="360" w:lineRule="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投标人 (盖章)：</w:t>
      </w:r>
    </w:p>
    <w:p w14:paraId="286DC3FA">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 xml:space="preserve">                                  法定代表人或其授权代表(签字或盖章)：</w:t>
      </w:r>
    </w:p>
    <w:p w14:paraId="5DF3DBD3">
      <w:pPr>
        <w:snapToGrid w:val="0"/>
        <w:spacing w:line="360" w:lineRule="auto"/>
        <w:ind w:firstLine="5160" w:firstLineChars="2150"/>
        <w:rPr>
          <w:rFonts w:hint="eastAsia" w:ascii="仿宋" w:hAnsi="仿宋" w:eastAsia="仿宋" w:cs="仿宋"/>
          <w:b/>
          <w:bCs/>
          <w:color w:val="auto"/>
          <w:sz w:val="32"/>
          <w:szCs w:val="32"/>
          <w:highlight w:val="none"/>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月日</w:t>
      </w:r>
    </w:p>
    <w:p w14:paraId="7644A487">
      <w:pPr>
        <w:pageBreakBefore/>
        <w:spacing w:line="360" w:lineRule="auto"/>
        <w:rPr>
          <w:rFonts w:hint="eastAsia" w:ascii="仿宋" w:hAnsi="仿宋" w:eastAsia="仿宋" w:cs="仿宋"/>
          <w:b/>
          <w:color w:val="auto"/>
          <w:kern w:val="0"/>
          <w:sz w:val="32"/>
          <w:szCs w:val="32"/>
          <w:highlight w:val="none"/>
          <w:lang w:val="zh-CN"/>
        </w:rPr>
      </w:pPr>
      <w:r>
        <w:rPr>
          <w:rFonts w:hint="eastAsia" w:ascii="仿宋" w:hAnsi="仿宋" w:eastAsia="仿宋" w:cs="仿宋"/>
          <w:b/>
          <w:bCs/>
          <w:color w:val="auto"/>
          <w:sz w:val="32"/>
          <w:szCs w:val="32"/>
          <w:highlight w:val="none"/>
        </w:rPr>
        <w:t>15、</w:t>
      </w:r>
      <w:r>
        <w:rPr>
          <w:rFonts w:hint="eastAsia" w:ascii="仿宋" w:hAnsi="仿宋" w:eastAsia="仿宋" w:cs="仿宋"/>
          <w:b/>
          <w:color w:val="auto"/>
          <w:kern w:val="0"/>
          <w:sz w:val="32"/>
          <w:szCs w:val="32"/>
          <w:highlight w:val="none"/>
          <w:lang w:val="zh-CN"/>
        </w:rPr>
        <w:t>优惠条件及特殊承诺</w:t>
      </w:r>
    </w:p>
    <w:p w14:paraId="64B591A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（由投标人根据采购需求自行编制）</w:t>
      </w:r>
    </w:p>
    <w:p w14:paraId="12474424">
      <w:pPr>
        <w:spacing w:line="360" w:lineRule="auto"/>
        <w:rPr>
          <w:rFonts w:hint="eastAsia" w:ascii="仿宋" w:hAnsi="仿宋" w:eastAsia="仿宋" w:cs="仿宋"/>
          <w:color w:val="auto"/>
          <w:sz w:val="18"/>
          <w:szCs w:val="18"/>
          <w:highlight w:val="none"/>
        </w:rPr>
      </w:pPr>
    </w:p>
    <w:p w14:paraId="50FF586C">
      <w:pPr>
        <w:snapToGrid w:val="0"/>
        <w:spacing w:line="360" w:lineRule="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投标人 (盖章)：</w:t>
      </w:r>
    </w:p>
    <w:p w14:paraId="7E3AF099">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 xml:space="preserve">                                  法定代表人或其授权代表(签字或盖章)：</w:t>
      </w:r>
    </w:p>
    <w:p w14:paraId="66709C9B">
      <w:pPr>
        <w:snapToGrid w:val="0"/>
        <w:spacing w:line="360" w:lineRule="auto"/>
        <w:ind w:firstLine="5160" w:firstLineChars="215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月日</w:t>
      </w:r>
    </w:p>
    <w:p w14:paraId="0D762CE2">
      <w:pPr>
        <w:spacing w:line="360" w:lineRule="auto"/>
        <w:rPr>
          <w:rFonts w:hint="eastAsia" w:ascii="仿宋" w:hAnsi="仿宋" w:eastAsia="仿宋" w:cs="仿宋"/>
          <w:b/>
          <w:bCs/>
          <w:color w:val="auto"/>
          <w:sz w:val="18"/>
          <w:szCs w:val="18"/>
          <w:highlight w:val="none"/>
        </w:rPr>
      </w:pPr>
    </w:p>
    <w:p w14:paraId="19C70576">
      <w:pPr>
        <w:spacing w:line="360" w:lineRule="auto"/>
        <w:rPr>
          <w:rFonts w:hint="eastAsia" w:ascii="仿宋" w:hAnsi="仿宋" w:eastAsia="仿宋" w:cs="仿宋"/>
          <w:b/>
          <w:bCs/>
          <w:color w:val="auto"/>
          <w:sz w:val="32"/>
          <w:szCs w:val="32"/>
          <w:highlight w:val="none"/>
        </w:rPr>
      </w:pPr>
    </w:p>
    <w:p w14:paraId="52B60CEE">
      <w:pPr>
        <w:spacing w:line="360" w:lineRule="auto"/>
        <w:rPr>
          <w:rFonts w:hint="eastAsia" w:ascii="仿宋" w:hAnsi="仿宋" w:eastAsia="仿宋" w:cs="仿宋"/>
          <w:b/>
          <w:bCs/>
          <w:color w:val="auto"/>
          <w:sz w:val="32"/>
          <w:szCs w:val="32"/>
          <w:highlight w:val="none"/>
        </w:rPr>
      </w:pPr>
    </w:p>
    <w:p w14:paraId="358E6C64">
      <w:pPr>
        <w:spacing w:line="360" w:lineRule="auto"/>
        <w:rPr>
          <w:rFonts w:hint="eastAsia" w:ascii="仿宋" w:hAnsi="仿宋" w:eastAsia="仿宋" w:cs="仿宋"/>
          <w:b/>
          <w:bCs/>
          <w:color w:val="auto"/>
          <w:sz w:val="32"/>
          <w:szCs w:val="32"/>
          <w:highlight w:val="none"/>
        </w:rPr>
      </w:pPr>
    </w:p>
    <w:p w14:paraId="2C14EFCF">
      <w:pPr>
        <w:spacing w:line="360" w:lineRule="auto"/>
        <w:rPr>
          <w:rFonts w:hint="eastAsia" w:ascii="仿宋" w:hAnsi="仿宋" w:eastAsia="仿宋" w:cs="仿宋"/>
          <w:b/>
          <w:bCs/>
          <w:color w:val="auto"/>
          <w:sz w:val="32"/>
          <w:szCs w:val="32"/>
          <w:highlight w:val="none"/>
        </w:rPr>
      </w:pPr>
    </w:p>
    <w:p w14:paraId="3FDB0465">
      <w:pPr>
        <w:spacing w:line="360" w:lineRule="auto"/>
        <w:rPr>
          <w:rFonts w:hint="eastAsia" w:ascii="仿宋" w:hAnsi="仿宋" w:eastAsia="仿宋" w:cs="仿宋"/>
          <w:b/>
          <w:bCs/>
          <w:color w:val="auto"/>
          <w:sz w:val="32"/>
          <w:szCs w:val="32"/>
          <w:highlight w:val="none"/>
        </w:rPr>
      </w:pPr>
    </w:p>
    <w:p w14:paraId="15619B79">
      <w:pPr>
        <w:spacing w:line="360" w:lineRule="auto"/>
        <w:rPr>
          <w:rFonts w:hint="eastAsia" w:ascii="仿宋" w:hAnsi="仿宋" w:eastAsia="仿宋" w:cs="仿宋"/>
          <w:b/>
          <w:bCs/>
          <w:color w:val="auto"/>
          <w:sz w:val="32"/>
          <w:szCs w:val="32"/>
          <w:highlight w:val="none"/>
        </w:rPr>
      </w:pPr>
    </w:p>
    <w:p w14:paraId="7AD98280">
      <w:pPr>
        <w:spacing w:line="360" w:lineRule="auto"/>
        <w:rPr>
          <w:rFonts w:hint="eastAsia" w:ascii="仿宋" w:hAnsi="仿宋" w:eastAsia="仿宋" w:cs="仿宋"/>
          <w:b/>
          <w:bCs/>
          <w:color w:val="auto"/>
          <w:sz w:val="32"/>
          <w:szCs w:val="32"/>
          <w:highlight w:val="none"/>
        </w:rPr>
      </w:pPr>
    </w:p>
    <w:p w14:paraId="60D77B14">
      <w:pPr>
        <w:spacing w:line="360" w:lineRule="auto"/>
        <w:rPr>
          <w:rFonts w:hint="eastAsia" w:ascii="仿宋" w:hAnsi="仿宋" w:eastAsia="仿宋" w:cs="仿宋"/>
          <w:b/>
          <w:bCs/>
          <w:color w:val="auto"/>
          <w:sz w:val="32"/>
          <w:szCs w:val="32"/>
          <w:highlight w:val="none"/>
        </w:rPr>
      </w:pPr>
    </w:p>
    <w:p w14:paraId="18CC1F8F">
      <w:pPr>
        <w:spacing w:line="360" w:lineRule="auto"/>
        <w:rPr>
          <w:rFonts w:hint="eastAsia" w:ascii="仿宋" w:hAnsi="仿宋" w:eastAsia="仿宋" w:cs="仿宋"/>
          <w:b/>
          <w:bCs/>
          <w:color w:val="auto"/>
          <w:sz w:val="32"/>
          <w:szCs w:val="32"/>
          <w:highlight w:val="none"/>
        </w:rPr>
      </w:pPr>
    </w:p>
    <w:p w14:paraId="2A0AA3EE">
      <w:pPr>
        <w:spacing w:line="360" w:lineRule="auto"/>
        <w:rPr>
          <w:rFonts w:hint="eastAsia" w:ascii="仿宋" w:hAnsi="仿宋" w:eastAsia="仿宋" w:cs="仿宋"/>
          <w:b/>
          <w:bCs/>
          <w:color w:val="auto"/>
          <w:sz w:val="32"/>
          <w:szCs w:val="32"/>
          <w:highlight w:val="none"/>
        </w:rPr>
      </w:pPr>
    </w:p>
    <w:p w14:paraId="300C1ECD">
      <w:pPr>
        <w:pageBreakBefore/>
        <w:spacing w:line="360" w:lineRule="auto"/>
        <w:rPr>
          <w:rFonts w:hint="eastAsia" w:ascii="仿宋" w:hAnsi="仿宋" w:eastAsia="仿宋" w:cs="仿宋"/>
          <w:b/>
          <w:color w:val="auto"/>
          <w:kern w:val="0"/>
          <w:sz w:val="32"/>
          <w:szCs w:val="32"/>
          <w:highlight w:val="none"/>
          <w:lang w:val="zh-CN"/>
        </w:rPr>
      </w:pPr>
      <w:r>
        <w:rPr>
          <w:rFonts w:hint="eastAsia" w:ascii="仿宋" w:hAnsi="仿宋" w:eastAsia="仿宋" w:cs="仿宋"/>
          <w:b/>
          <w:bCs/>
          <w:color w:val="auto"/>
          <w:sz w:val="32"/>
          <w:szCs w:val="32"/>
          <w:highlight w:val="none"/>
        </w:rPr>
        <w:t>1</w:t>
      </w:r>
      <w:r>
        <w:rPr>
          <w:rFonts w:hint="eastAsia" w:ascii="仿宋" w:hAnsi="仿宋" w:eastAsia="仿宋" w:cs="仿宋"/>
          <w:b/>
          <w:bCs/>
          <w:color w:val="auto"/>
          <w:sz w:val="32"/>
          <w:szCs w:val="32"/>
          <w:highlight w:val="none"/>
          <w:lang w:val="en-US" w:eastAsia="zh-CN"/>
        </w:rPr>
        <w:t>6</w:t>
      </w:r>
      <w:r>
        <w:rPr>
          <w:rFonts w:hint="eastAsia" w:ascii="仿宋" w:hAnsi="仿宋" w:eastAsia="仿宋" w:cs="仿宋"/>
          <w:b/>
          <w:bCs/>
          <w:color w:val="auto"/>
          <w:sz w:val="32"/>
          <w:szCs w:val="32"/>
          <w:highlight w:val="none"/>
        </w:rPr>
        <w:t>、</w:t>
      </w:r>
      <w:r>
        <w:rPr>
          <w:rFonts w:hint="eastAsia" w:ascii="仿宋" w:hAnsi="仿宋" w:eastAsia="仿宋" w:cs="仿宋"/>
          <w:b/>
          <w:color w:val="auto"/>
          <w:kern w:val="0"/>
          <w:sz w:val="32"/>
          <w:szCs w:val="32"/>
          <w:highlight w:val="none"/>
          <w:lang w:val="zh-CN"/>
        </w:rPr>
        <w:t>培训计划</w:t>
      </w:r>
    </w:p>
    <w:p w14:paraId="74228FB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（由投标人根据采购需求自行编制）</w:t>
      </w:r>
    </w:p>
    <w:p w14:paraId="3DEC749C">
      <w:pPr>
        <w:keepNext/>
        <w:autoSpaceDE w:val="0"/>
        <w:autoSpaceDN w:val="0"/>
        <w:spacing w:line="360" w:lineRule="auto"/>
        <w:ind w:firstLine="477"/>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附表: 培训日程及费用</w:t>
      </w:r>
    </w:p>
    <w:tbl>
      <w:tblPr>
        <w:tblStyle w:val="44"/>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67C88DCA">
        <w:tblPrEx>
          <w:tblCellMar>
            <w:top w:w="0" w:type="dxa"/>
            <w:left w:w="120" w:type="dxa"/>
            <w:bottom w:w="0" w:type="dxa"/>
            <w:right w:w="120" w:type="dxa"/>
          </w:tblCellMar>
        </w:tblPrEx>
        <w:trPr>
          <w:trHeight w:val="764" w:hRule="atLeast"/>
        </w:trPr>
        <w:tc>
          <w:tcPr>
            <w:tcW w:w="1806" w:type="dxa"/>
            <w:tcBorders>
              <w:top w:val="single" w:color="auto" w:sz="6" w:space="0"/>
              <w:left w:val="single" w:color="auto" w:sz="6" w:space="0"/>
              <w:bottom w:val="nil"/>
              <w:right w:val="nil"/>
            </w:tcBorders>
            <w:shd w:val="pct10" w:color="auto" w:fill="auto"/>
            <w:vAlign w:val="center"/>
          </w:tcPr>
          <w:p w14:paraId="65F8D8A6">
            <w:pPr>
              <w:tabs>
                <w:tab w:val="center" w:pos="1690"/>
              </w:tabs>
              <w:suppressAutoHyphens/>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tcPr>
          <w:p w14:paraId="4C1A079B">
            <w:pPr>
              <w:tabs>
                <w:tab w:val="center" w:pos="595"/>
              </w:tabs>
              <w:suppressAutoHyphens/>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vAlign w:val="center"/>
          </w:tcPr>
          <w:p w14:paraId="3DECF5DB">
            <w:pPr>
              <w:tabs>
                <w:tab w:val="center" w:pos="595"/>
              </w:tabs>
              <w:suppressAutoHyphens/>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vAlign w:val="center"/>
          </w:tcPr>
          <w:p w14:paraId="76031ABE">
            <w:pPr>
              <w:tabs>
                <w:tab w:val="center" w:pos="1028"/>
              </w:tabs>
              <w:suppressAutoHyphens/>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vAlign w:val="center"/>
          </w:tcPr>
          <w:p w14:paraId="7CAF9017">
            <w:pPr>
              <w:tabs>
                <w:tab w:val="center" w:pos="595"/>
              </w:tabs>
              <w:suppressAutoHyphens/>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vAlign w:val="center"/>
          </w:tcPr>
          <w:p w14:paraId="2B99036A">
            <w:pPr>
              <w:tabs>
                <w:tab w:val="center" w:pos="520"/>
              </w:tabs>
              <w:suppressAutoHyphens/>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573CBF76">
            <w:pPr>
              <w:suppressAutoHyphens/>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课程费用</w:t>
            </w:r>
          </w:p>
        </w:tc>
      </w:tr>
      <w:tr w14:paraId="5B11EE26">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cBorders>
          </w:tcPr>
          <w:p w14:paraId="13B4A5DC">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仿宋" w:hAnsi="仿宋" w:eastAsia="仿宋" w:cs="仿宋"/>
                <w:color w:val="auto"/>
                <w:sz w:val="24"/>
                <w:highlight w:val="none"/>
              </w:rPr>
            </w:pPr>
          </w:p>
        </w:tc>
        <w:tc>
          <w:tcPr>
            <w:tcW w:w="1254" w:type="dxa"/>
            <w:tcBorders>
              <w:top w:val="single" w:color="auto" w:sz="6" w:space="0"/>
              <w:left w:val="single" w:color="auto" w:sz="6" w:space="0"/>
              <w:bottom w:val="nil"/>
              <w:right w:val="single" w:color="auto" w:sz="6" w:space="0"/>
            </w:tcBorders>
          </w:tcPr>
          <w:p w14:paraId="067E741D">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 w:hAnsi="仿宋" w:eastAsia="仿宋" w:cs="仿宋"/>
                <w:color w:val="auto"/>
                <w:sz w:val="24"/>
                <w:highlight w:val="none"/>
              </w:rPr>
            </w:pPr>
          </w:p>
        </w:tc>
        <w:tc>
          <w:tcPr>
            <w:tcW w:w="930" w:type="dxa"/>
            <w:tcBorders>
              <w:top w:val="single" w:color="auto" w:sz="6" w:space="0"/>
              <w:left w:val="single" w:color="auto" w:sz="6" w:space="0"/>
              <w:bottom w:val="nil"/>
              <w:right w:val="nil"/>
            </w:tcBorders>
          </w:tcPr>
          <w:p w14:paraId="150FCBD4">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 w:hAnsi="仿宋" w:eastAsia="仿宋" w:cs="仿宋"/>
                <w:color w:val="auto"/>
                <w:sz w:val="24"/>
                <w:highlight w:val="none"/>
              </w:rPr>
            </w:pPr>
          </w:p>
        </w:tc>
        <w:tc>
          <w:tcPr>
            <w:tcW w:w="953" w:type="dxa"/>
            <w:tcBorders>
              <w:top w:val="single" w:color="auto" w:sz="6" w:space="0"/>
              <w:left w:val="single" w:color="auto" w:sz="6" w:space="0"/>
              <w:bottom w:val="nil"/>
              <w:right w:val="nil"/>
            </w:tcBorders>
          </w:tcPr>
          <w:p w14:paraId="731274C1">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仿宋" w:hAnsi="仿宋" w:eastAsia="仿宋" w:cs="仿宋"/>
                <w:color w:val="auto"/>
                <w:sz w:val="24"/>
                <w:highlight w:val="none"/>
              </w:rPr>
            </w:pPr>
          </w:p>
        </w:tc>
        <w:tc>
          <w:tcPr>
            <w:tcW w:w="997" w:type="dxa"/>
            <w:tcBorders>
              <w:top w:val="single" w:color="auto" w:sz="6" w:space="0"/>
              <w:left w:val="single" w:color="auto" w:sz="6" w:space="0"/>
              <w:bottom w:val="nil"/>
              <w:right w:val="nil"/>
            </w:tcBorders>
          </w:tcPr>
          <w:p w14:paraId="692CCD36">
            <w:pPr>
              <w:tabs>
                <w:tab w:val="left" w:pos="440"/>
                <w:tab w:val="left" w:pos="1154"/>
                <w:tab w:val="left" w:pos="1936"/>
                <w:tab w:val="left" w:pos="2368"/>
              </w:tabs>
              <w:suppressAutoHyphens/>
              <w:autoSpaceDE w:val="0"/>
              <w:autoSpaceDN w:val="0"/>
              <w:spacing w:line="360" w:lineRule="auto"/>
              <w:rPr>
                <w:rFonts w:hint="eastAsia" w:ascii="仿宋" w:hAnsi="仿宋" w:eastAsia="仿宋" w:cs="仿宋"/>
                <w:color w:val="auto"/>
                <w:sz w:val="24"/>
                <w:highlight w:val="none"/>
              </w:rPr>
            </w:pPr>
          </w:p>
        </w:tc>
        <w:tc>
          <w:tcPr>
            <w:tcW w:w="1440" w:type="dxa"/>
            <w:tcBorders>
              <w:top w:val="single" w:color="auto" w:sz="6" w:space="0"/>
              <w:left w:val="single" w:color="auto" w:sz="6" w:space="0"/>
              <w:bottom w:val="nil"/>
              <w:right w:val="nil"/>
            </w:tcBorders>
          </w:tcPr>
          <w:p w14:paraId="5AE16168">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仿宋" w:hAnsi="仿宋" w:eastAsia="仿宋" w:cs="仿宋"/>
                <w:color w:val="auto"/>
                <w:sz w:val="24"/>
                <w:highlight w:val="none"/>
              </w:rPr>
            </w:pPr>
          </w:p>
        </w:tc>
        <w:tc>
          <w:tcPr>
            <w:tcW w:w="1620" w:type="dxa"/>
            <w:tcBorders>
              <w:top w:val="single" w:color="auto" w:sz="6" w:space="0"/>
              <w:left w:val="single" w:color="auto" w:sz="6" w:space="0"/>
              <w:bottom w:val="nil"/>
              <w:right w:val="single" w:color="auto" w:sz="6" w:space="0"/>
            </w:tcBorders>
          </w:tcPr>
          <w:p w14:paraId="70CDB1BE">
            <w:pPr>
              <w:suppressAutoHyphens/>
              <w:autoSpaceDE w:val="0"/>
              <w:autoSpaceDN w:val="0"/>
              <w:spacing w:line="360" w:lineRule="auto"/>
              <w:rPr>
                <w:rFonts w:hint="eastAsia" w:ascii="仿宋" w:hAnsi="仿宋" w:eastAsia="仿宋" w:cs="仿宋"/>
                <w:color w:val="auto"/>
                <w:sz w:val="24"/>
                <w:highlight w:val="none"/>
              </w:rPr>
            </w:pPr>
          </w:p>
        </w:tc>
      </w:tr>
      <w:tr w14:paraId="1BEA93BA">
        <w:tblPrEx>
          <w:tblCellMar>
            <w:top w:w="0" w:type="dxa"/>
            <w:left w:w="120" w:type="dxa"/>
            <w:bottom w:w="0" w:type="dxa"/>
            <w:right w:w="120" w:type="dxa"/>
          </w:tblCellMar>
        </w:tblPrEx>
        <w:trPr>
          <w:trHeight w:val="110" w:hRule="atLeast"/>
        </w:trPr>
        <w:tc>
          <w:tcPr>
            <w:tcW w:w="1806" w:type="dxa"/>
            <w:tcBorders>
              <w:top w:val="single" w:color="auto" w:sz="6" w:space="0"/>
              <w:left w:val="single" w:color="auto" w:sz="6" w:space="0"/>
              <w:bottom w:val="single" w:color="auto" w:sz="6" w:space="0"/>
              <w:right w:val="single" w:color="auto" w:sz="6" w:space="0"/>
            </w:tcBorders>
            <w:vAlign w:val="center"/>
          </w:tcPr>
          <w:p w14:paraId="3EC7DF59">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tcPr>
          <w:p w14:paraId="34483B09">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 w:hAnsi="仿宋" w:eastAsia="仿宋" w:cs="仿宋"/>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tcPr>
          <w:p w14:paraId="68EAA151">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 w:hAnsi="仿宋" w:eastAsia="仿宋" w:cs="仿宋"/>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tcPr>
          <w:p w14:paraId="3D66126C">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仿宋" w:hAnsi="仿宋" w:eastAsia="仿宋" w:cs="仿宋"/>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tcPr>
          <w:p w14:paraId="33E30621">
            <w:pPr>
              <w:tabs>
                <w:tab w:val="left" w:pos="440"/>
                <w:tab w:val="left" w:pos="1154"/>
                <w:tab w:val="left" w:pos="1936"/>
                <w:tab w:val="left" w:pos="2368"/>
              </w:tabs>
              <w:suppressAutoHyphens/>
              <w:autoSpaceDE w:val="0"/>
              <w:autoSpaceDN w:val="0"/>
              <w:spacing w:line="360" w:lineRule="auto"/>
              <w:rPr>
                <w:rFonts w:hint="eastAsia" w:ascii="仿宋" w:hAnsi="仿宋" w:eastAsia="仿宋" w:cs="仿宋"/>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tcPr>
          <w:p w14:paraId="5846ED75">
            <w:pPr>
              <w:tabs>
                <w:tab w:val="left" w:pos="7"/>
              </w:tabs>
              <w:suppressAutoHyphens/>
              <w:autoSpaceDE w:val="0"/>
              <w:autoSpaceDN w:val="0"/>
              <w:spacing w:line="360" w:lineRule="auto"/>
              <w:rPr>
                <w:rFonts w:hint="eastAsia" w:ascii="仿宋" w:hAnsi="仿宋" w:eastAsia="仿宋" w:cs="仿宋"/>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tcPr>
          <w:p w14:paraId="22C5947E">
            <w:pPr>
              <w:suppressAutoHyphens/>
              <w:autoSpaceDE w:val="0"/>
              <w:autoSpaceDN w:val="0"/>
              <w:spacing w:line="360" w:lineRule="auto"/>
              <w:rPr>
                <w:rFonts w:hint="eastAsia" w:ascii="仿宋" w:hAnsi="仿宋" w:eastAsia="仿宋" w:cs="仿宋"/>
                <w:color w:val="auto"/>
                <w:sz w:val="24"/>
                <w:highlight w:val="none"/>
              </w:rPr>
            </w:pPr>
          </w:p>
        </w:tc>
      </w:tr>
    </w:tbl>
    <w:p w14:paraId="6558D406">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注解:A</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课程清单按时间顺序排列，并提供以下详细资料：</w:t>
      </w:r>
    </w:p>
    <w:p w14:paraId="6581F7C0">
      <w:pPr>
        <w:numPr>
          <w:ilvl w:val="0"/>
          <w:numId w:val="7"/>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360"/>
        </w:tabs>
        <w:suppressAutoHyphens/>
        <w:autoSpaceDE w:val="0"/>
        <w:autoSpaceDN w:val="0"/>
        <w:adjustRightInd w:val="0"/>
        <w:spacing w:line="360" w:lineRule="auto"/>
        <w:ind w:left="1069" w:hanging="420"/>
        <w:rPr>
          <w:rFonts w:hint="eastAsia" w:ascii="仿宋" w:hAnsi="仿宋" w:eastAsia="仿宋" w:cs="仿宋"/>
          <w:color w:val="auto"/>
          <w:sz w:val="24"/>
          <w:highlight w:val="none"/>
        </w:rPr>
      </w:pPr>
      <w:r>
        <w:rPr>
          <w:rFonts w:hint="eastAsia" w:ascii="仿宋" w:hAnsi="仿宋" w:eastAsia="仿宋" w:cs="仿宋"/>
          <w:color w:val="auto"/>
          <w:sz w:val="24"/>
          <w:highlight w:val="none"/>
        </w:rPr>
        <w:t>课程概要</w:t>
      </w:r>
    </w:p>
    <w:p w14:paraId="46072C7F">
      <w:pPr>
        <w:numPr>
          <w:ilvl w:val="0"/>
          <w:numId w:val="7"/>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360"/>
        </w:tabs>
        <w:suppressAutoHyphens/>
        <w:autoSpaceDE w:val="0"/>
        <w:autoSpaceDN w:val="0"/>
        <w:adjustRightInd w:val="0"/>
        <w:spacing w:line="360" w:lineRule="auto"/>
        <w:ind w:left="1069" w:hanging="420"/>
        <w:rPr>
          <w:rFonts w:hint="eastAsia" w:ascii="仿宋" w:hAnsi="仿宋" w:eastAsia="仿宋" w:cs="仿宋"/>
          <w:color w:val="auto"/>
          <w:sz w:val="24"/>
          <w:highlight w:val="none"/>
        </w:rPr>
      </w:pPr>
      <w:r>
        <w:rPr>
          <w:rFonts w:hint="eastAsia" w:ascii="仿宋" w:hAnsi="仿宋" w:eastAsia="仿宋" w:cs="仿宋"/>
          <w:color w:val="auto"/>
          <w:sz w:val="24"/>
          <w:highlight w:val="none"/>
        </w:rPr>
        <w:t>课程目的</w:t>
      </w:r>
    </w:p>
    <w:p w14:paraId="0CCA0CAC">
      <w:pPr>
        <w:numPr>
          <w:ilvl w:val="0"/>
          <w:numId w:val="7"/>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360"/>
        </w:tabs>
        <w:suppressAutoHyphens/>
        <w:autoSpaceDE w:val="0"/>
        <w:autoSpaceDN w:val="0"/>
        <w:adjustRightInd w:val="0"/>
        <w:spacing w:line="360" w:lineRule="auto"/>
        <w:ind w:left="1069" w:hanging="420"/>
        <w:rPr>
          <w:rFonts w:hint="eastAsia" w:ascii="仿宋" w:hAnsi="仿宋" w:eastAsia="仿宋" w:cs="仿宋"/>
          <w:color w:val="auto"/>
          <w:sz w:val="24"/>
          <w:highlight w:val="none"/>
        </w:rPr>
      </w:pPr>
      <w:r>
        <w:rPr>
          <w:rFonts w:hint="eastAsia" w:ascii="仿宋" w:hAnsi="仿宋" w:eastAsia="仿宋" w:cs="仿宋"/>
          <w:color w:val="auto"/>
          <w:sz w:val="24"/>
          <w:highlight w:val="none"/>
        </w:rPr>
        <w:t>教学方式</w:t>
      </w:r>
    </w:p>
    <w:p w14:paraId="7630D0D6">
      <w:pPr>
        <w:numPr>
          <w:ilvl w:val="0"/>
          <w:numId w:val="7"/>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360"/>
        </w:tabs>
        <w:suppressAutoHyphens/>
        <w:autoSpaceDE w:val="0"/>
        <w:autoSpaceDN w:val="0"/>
        <w:adjustRightInd w:val="0"/>
        <w:spacing w:line="360" w:lineRule="auto"/>
        <w:ind w:left="1069" w:hanging="420"/>
        <w:rPr>
          <w:rFonts w:hint="eastAsia" w:ascii="仿宋" w:hAnsi="仿宋" w:eastAsia="仿宋" w:cs="仿宋"/>
          <w:color w:val="auto"/>
          <w:sz w:val="24"/>
          <w:highlight w:val="none"/>
        </w:rPr>
      </w:pPr>
      <w:r>
        <w:rPr>
          <w:rFonts w:hint="eastAsia" w:ascii="仿宋" w:hAnsi="仿宋" w:eastAsia="仿宋" w:cs="仿宋"/>
          <w:color w:val="auto"/>
          <w:sz w:val="24"/>
          <w:highlight w:val="none"/>
        </w:rPr>
        <w:t>先决条件</w:t>
      </w:r>
    </w:p>
    <w:p w14:paraId="4CDA85B4">
      <w:pPr>
        <w:numPr>
          <w:ilvl w:val="0"/>
          <w:numId w:val="7"/>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 w:val="clear" w:pos="360"/>
        </w:tabs>
        <w:suppressAutoHyphens/>
        <w:autoSpaceDE w:val="0"/>
        <w:autoSpaceDN w:val="0"/>
        <w:adjustRightInd w:val="0"/>
        <w:spacing w:line="360" w:lineRule="auto"/>
        <w:ind w:left="1069" w:hanging="420"/>
        <w:rPr>
          <w:rFonts w:hint="eastAsia" w:ascii="仿宋" w:hAnsi="仿宋" w:eastAsia="仿宋" w:cs="仿宋"/>
          <w:color w:val="auto"/>
          <w:sz w:val="24"/>
          <w:highlight w:val="none"/>
        </w:rPr>
      </w:pPr>
      <w:r>
        <w:rPr>
          <w:rFonts w:hint="eastAsia" w:ascii="仿宋" w:hAnsi="仿宋" w:eastAsia="仿宋" w:cs="仿宋"/>
          <w:color w:val="auto"/>
          <w:sz w:val="24"/>
          <w:highlight w:val="none"/>
        </w:rPr>
        <w:t>教材目录</w:t>
      </w:r>
    </w:p>
    <w:p w14:paraId="4584E5BB">
      <w:pPr>
        <w:autoSpaceDE w:val="0"/>
        <w:autoSpaceDN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B  按照附表A提供授课教师的简历</w:t>
      </w:r>
    </w:p>
    <w:p w14:paraId="46D16F80">
      <w:pPr>
        <w:autoSpaceDE w:val="0"/>
        <w:autoSpaceDN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注：须随表提交相应的证书复印件并注明所在投标技术文件页码。</w:t>
      </w:r>
    </w:p>
    <w:p w14:paraId="17617FA8">
      <w:pPr>
        <w:spacing w:line="360" w:lineRule="auto"/>
        <w:ind w:firstLine="480" w:firstLineChars="200"/>
        <w:rPr>
          <w:rFonts w:hint="eastAsia" w:ascii="仿宋" w:hAnsi="仿宋" w:eastAsia="仿宋" w:cs="仿宋"/>
          <w:color w:val="auto"/>
          <w:sz w:val="24"/>
          <w:szCs w:val="20"/>
          <w:highlight w:val="none"/>
        </w:rPr>
      </w:pPr>
    </w:p>
    <w:p w14:paraId="68EA6CFA">
      <w:pPr>
        <w:snapToGrid w:val="0"/>
        <w:spacing w:line="360" w:lineRule="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投标人 (盖章)：</w:t>
      </w:r>
    </w:p>
    <w:p w14:paraId="4C315CF3">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 xml:space="preserve">                                  法定代表人或其授权代表(签字或盖章)：</w:t>
      </w:r>
    </w:p>
    <w:p w14:paraId="219CA541">
      <w:pPr>
        <w:snapToGrid w:val="0"/>
        <w:spacing w:line="360" w:lineRule="auto"/>
        <w:ind w:firstLine="5160" w:firstLineChars="215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月日</w:t>
      </w:r>
    </w:p>
    <w:p w14:paraId="29022BDA">
      <w:pPr>
        <w:spacing w:line="360" w:lineRule="auto"/>
        <w:jc w:val="both"/>
        <w:rPr>
          <w:rFonts w:hint="eastAsia" w:ascii="仿宋" w:hAnsi="仿宋" w:eastAsia="仿宋" w:cs="仿宋"/>
          <w:b/>
          <w:bCs/>
          <w:color w:val="auto"/>
          <w:sz w:val="30"/>
          <w:szCs w:val="30"/>
          <w:highlight w:val="none"/>
        </w:rPr>
      </w:pPr>
    </w:p>
    <w:p w14:paraId="04780AA9">
      <w:pPr>
        <w:spacing w:line="360" w:lineRule="auto"/>
        <w:jc w:val="center"/>
        <w:rPr>
          <w:rFonts w:hint="eastAsia" w:ascii="仿宋" w:hAnsi="仿宋" w:eastAsia="仿宋" w:cs="仿宋"/>
          <w:b/>
          <w:bCs/>
          <w:color w:val="auto"/>
          <w:sz w:val="24"/>
          <w:highlight w:val="none"/>
        </w:rPr>
      </w:pPr>
    </w:p>
    <w:p w14:paraId="3232E595">
      <w:pPr>
        <w:spacing w:line="360" w:lineRule="auto"/>
        <w:jc w:val="center"/>
        <w:rPr>
          <w:rFonts w:hint="eastAsia" w:ascii="仿宋" w:hAnsi="仿宋" w:eastAsia="仿宋" w:cs="仿宋"/>
          <w:b/>
          <w:bCs/>
          <w:color w:val="auto"/>
          <w:sz w:val="24"/>
          <w:highlight w:val="none"/>
        </w:rPr>
      </w:pPr>
    </w:p>
    <w:p w14:paraId="5B7DF9AE">
      <w:pPr>
        <w:spacing w:line="360" w:lineRule="auto"/>
        <w:rPr>
          <w:rFonts w:hint="eastAsia" w:ascii="仿宋" w:hAnsi="仿宋" w:eastAsia="仿宋" w:cs="仿宋"/>
          <w:b/>
          <w:color w:val="auto"/>
          <w:kern w:val="0"/>
          <w:sz w:val="32"/>
          <w:szCs w:val="32"/>
          <w:highlight w:val="none"/>
          <w:lang w:val="zh-CN"/>
        </w:rPr>
      </w:pPr>
      <w:r>
        <w:rPr>
          <w:rFonts w:hint="eastAsia" w:ascii="仿宋" w:hAnsi="仿宋" w:eastAsia="仿宋" w:cs="仿宋"/>
          <w:b/>
          <w:bCs/>
          <w:color w:val="auto"/>
          <w:sz w:val="32"/>
          <w:szCs w:val="32"/>
          <w:highlight w:val="none"/>
        </w:rPr>
        <w:t>1</w:t>
      </w:r>
      <w:r>
        <w:rPr>
          <w:rFonts w:hint="eastAsia" w:ascii="仿宋" w:hAnsi="仿宋" w:eastAsia="仿宋" w:cs="仿宋"/>
          <w:b/>
          <w:bCs/>
          <w:color w:val="auto"/>
          <w:sz w:val="32"/>
          <w:szCs w:val="32"/>
          <w:highlight w:val="none"/>
          <w:lang w:val="en-US" w:eastAsia="zh-CN"/>
        </w:rPr>
        <w:t>7</w:t>
      </w:r>
      <w:r>
        <w:rPr>
          <w:rFonts w:hint="eastAsia" w:ascii="仿宋" w:hAnsi="仿宋" w:eastAsia="仿宋" w:cs="仿宋"/>
          <w:b/>
          <w:bCs/>
          <w:color w:val="auto"/>
          <w:sz w:val="32"/>
          <w:szCs w:val="32"/>
          <w:highlight w:val="none"/>
        </w:rPr>
        <w:t>、认为需要的</w:t>
      </w:r>
      <w:r>
        <w:rPr>
          <w:rFonts w:hint="eastAsia" w:ascii="仿宋" w:hAnsi="仿宋" w:eastAsia="仿宋" w:cs="仿宋"/>
          <w:b/>
          <w:color w:val="auto"/>
          <w:kern w:val="0"/>
          <w:sz w:val="32"/>
          <w:szCs w:val="32"/>
          <w:highlight w:val="none"/>
          <w:lang w:val="zh-CN"/>
        </w:rPr>
        <w:t>其他商务技术（资信）文件或说明</w:t>
      </w:r>
    </w:p>
    <w:p w14:paraId="09AC297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（由投标人根据采购需求自行编制）</w:t>
      </w:r>
    </w:p>
    <w:p w14:paraId="1C8BFE6B">
      <w:pPr>
        <w:spacing w:line="360" w:lineRule="auto"/>
        <w:rPr>
          <w:rFonts w:hint="eastAsia" w:ascii="仿宋" w:hAnsi="仿宋" w:eastAsia="仿宋" w:cs="仿宋"/>
          <w:color w:val="auto"/>
          <w:sz w:val="24"/>
          <w:highlight w:val="none"/>
        </w:rPr>
      </w:pPr>
    </w:p>
    <w:p w14:paraId="4F09B410">
      <w:pPr>
        <w:spacing w:line="360" w:lineRule="auto"/>
        <w:ind w:firstLine="480" w:firstLineChars="200"/>
        <w:rPr>
          <w:rFonts w:hint="eastAsia" w:ascii="仿宋" w:hAnsi="仿宋" w:eastAsia="仿宋" w:cs="仿宋"/>
          <w:color w:val="auto"/>
          <w:sz w:val="24"/>
          <w:szCs w:val="20"/>
          <w:highlight w:val="none"/>
        </w:rPr>
      </w:pPr>
    </w:p>
    <w:p w14:paraId="7A162CE3">
      <w:pPr>
        <w:snapToGrid w:val="0"/>
        <w:spacing w:line="360" w:lineRule="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投标人 (盖章)：</w:t>
      </w:r>
    </w:p>
    <w:p w14:paraId="6362761C">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 xml:space="preserve">                                  法定代表人或其授权代表(签字或盖章)：</w:t>
      </w:r>
    </w:p>
    <w:p w14:paraId="1DDDE006">
      <w:pPr>
        <w:snapToGrid w:val="0"/>
        <w:spacing w:line="360" w:lineRule="auto"/>
        <w:ind w:firstLine="5160" w:firstLineChars="2150"/>
        <w:rPr>
          <w:rFonts w:hint="eastAsia" w:ascii="仿宋" w:hAnsi="仿宋" w:eastAsia="仿宋" w:cs="仿宋"/>
          <w:color w:val="auto"/>
          <w:highlight w:val="none"/>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月日</w:t>
      </w:r>
    </w:p>
    <w:p w14:paraId="42D5AEC0">
      <w:pPr>
        <w:pageBreakBefore/>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质疑函范本</w:t>
      </w:r>
    </w:p>
    <w:p w14:paraId="36423DD3">
      <w:pPr>
        <w:adjustRightInd w:val="0"/>
        <w:snapToGrid w:val="0"/>
        <w:spacing w:line="360" w:lineRule="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一、质疑供应商基本信息</w:t>
      </w:r>
    </w:p>
    <w:p w14:paraId="013D1F01">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质疑供应商：</w:t>
      </w:r>
      <w:r>
        <w:rPr>
          <w:rFonts w:hint="eastAsia" w:ascii="仿宋" w:hAnsi="仿宋" w:eastAsia="仿宋" w:cs="仿宋"/>
          <w:color w:val="auto"/>
          <w:sz w:val="32"/>
          <w:szCs w:val="32"/>
          <w:highlight w:val="none"/>
          <w:u w:val="dotted"/>
        </w:rPr>
        <w:t xml:space="preserve">                                        </w:t>
      </w:r>
    </w:p>
    <w:p w14:paraId="5DBFEEDD">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地址：</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邮编：</w:t>
      </w:r>
      <w:r>
        <w:rPr>
          <w:rFonts w:hint="eastAsia" w:ascii="仿宋" w:hAnsi="仿宋" w:eastAsia="仿宋" w:cs="仿宋"/>
          <w:color w:val="auto"/>
          <w:sz w:val="32"/>
          <w:szCs w:val="32"/>
          <w:highlight w:val="none"/>
          <w:u w:val="dotted"/>
        </w:rPr>
        <w:t xml:space="preserve">                                                   </w:t>
      </w:r>
    </w:p>
    <w:p w14:paraId="41CB80EF">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联系人：</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u w:val="dotted"/>
        </w:rPr>
        <w:t xml:space="preserve">                              </w:t>
      </w:r>
    </w:p>
    <w:p w14:paraId="67EDA971">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授权代表：</w:t>
      </w:r>
      <w:r>
        <w:rPr>
          <w:rFonts w:hint="eastAsia" w:ascii="仿宋" w:hAnsi="仿宋" w:eastAsia="仿宋" w:cs="仿宋"/>
          <w:color w:val="auto"/>
          <w:sz w:val="32"/>
          <w:szCs w:val="32"/>
          <w:highlight w:val="none"/>
          <w:u w:val="dotted"/>
        </w:rPr>
        <w:t xml:space="preserve">                                          </w:t>
      </w:r>
    </w:p>
    <w:p w14:paraId="697A40CA">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 xml:space="preserve"> </w:t>
      </w:r>
    </w:p>
    <w:p w14:paraId="2E2B9106">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地址： </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邮编：</w:t>
      </w:r>
      <w:r>
        <w:rPr>
          <w:rFonts w:hint="eastAsia" w:ascii="仿宋" w:hAnsi="仿宋" w:eastAsia="仿宋" w:cs="仿宋"/>
          <w:color w:val="auto"/>
          <w:sz w:val="32"/>
          <w:szCs w:val="32"/>
          <w:highlight w:val="none"/>
          <w:u w:val="dotted"/>
        </w:rPr>
        <w:t xml:space="preserve">                                                </w:t>
      </w:r>
    </w:p>
    <w:p w14:paraId="097A0C45">
      <w:pPr>
        <w:adjustRightInd w:val="0"/>
        <w:snapToGrid w:val="0"/>
        <w:spacing w:line="360" w:lineRule="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二、质疑项目基本情况</w:t>
      </w:r>
    </w:p>
    <w:p w14:paraId="6107ADB7">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质疑项目的名称：</w:t>
      </w:r>
      <w:r>
        <w:rPr>
          <w:rFonts w:hint="eastAsia" w:ascii="仿宋" w:hAnsi="仿宋" w:eastAsia="仿宋" w:cs="仿宋"/>
          <w:color w:val="auto"/>
          <w:sz w:val="32"/>
          <w:szCs w:val="32"/>
          <w:highlight w:val="none"/>
          <w:u w:val="dotted"/>
        </w:rPr>
        <w:t xml:space="preserve">                                      </w:t>
      </w:r>
    </w:p>
    <w:p w14:paraId="51C0EA8D">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质疑项目的编号：</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包号：</w:t>
      </w:r>
      <w:r>
        <w:rPr>
          <w:rFonts w:hint="eastAsia" w:ascii="仿宋" w:hAnsi="仿宋" w:eastAsia="仿宋" w:cs="仿宋"/>
          <w:color w:val="auto"/>
          <w:sz w:val="32"/>
          <w:szCs w:val="32"/>
          <w:highlight w:val="none"/>
          <w:u w:val="dotted"/>
        </w:rPr>
        <w:t xml:space="preserve">                 </w:t>
      </w:r>
    </w:p>
    <w:p w14:paraId="037B2E3D">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采购人名称：</w:t>
      </w:r>
      <w:r>
        <w:rPr>
          <w:rFonts w:hint="eastAsia" w:ascii="仿宋" w:hAnsi="仿宋" w:eastAsia="仿宋" w:cs="仿宋"/>
          <w:color w:val="auto"/>
          <w:sz w:val="32"/>
          <w:szCs w:val="32"/>
          <w:highlight w:val="none"/>
          <w:u w:val="dotted"/>
        </w:rPr>
        <w:t xml:space="preserve">                                         </w:t>
      </w:r>
    </w:p>
    <w:p w14:paraId="2233CC78">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采购文件获取日期：</w:t>
      </w:r>
      <w:r>
        <w:rPr>
          <w:rFonts w:hint="eastAsia" w:ascii="仿宋" w:hAnsi="仿宋" w:eastAsia="仿宋" w:cs="仿宋"/>
          <w:color w:val="auto"/>
          <w:sz w:val="32"/>
          <w:szCs w:val="32"/>
          <w:highlight w:val="none"/>
          <w:u w:val="dotted"/>
        </w:rPr>
        <w:t xml:space="preserve">                                           </w:t>
      </w:r>
    </w:p>
    <w:p w14:paraId="62552DF6">
      <w:pPr>
        <w:adjustRightInd w:val="0"/>
        <w:snapToGrid w:val="0"/>
        <w:spacing w:line="360" w:lineRule="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三、质疑事项具体内容</w:t>
      </w:r>
    </w:p>
    <w:p w14:paraId="7F08F64E">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质疑事项1：</w:t>
      </w:r>
      <w:r>
        <w:rPr>
          <w:rFonts w:hint="eastAsia" w:ascii="仿宋" w:hAnsi="仿宋" w:eastAsia="仿宋" w:cs="仿宋"/>
          <w:color w:val="auto"/>
          <w:sz w:val="32"/>
          <w:szCs w:val="32"/>
          <w:highlight w:val="none"/>
          <w:u w:val="dotted"/>
        </w:rPr>
        <w:t xml:space="preserve">                                         </w:t>
      </w:r>
    </w:p>
    <w:p w14:paraId="2C71DCF1">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事实依据：</w:t>
      </w:r>
      <w:r>
        <w:rPr>
          <w:rFonts w:hint="eastAsia" w:ascii="仿宋" w:hAnsi="仿宋" w:eastAsia="仿宋" w:cs="仿宋"/>
          <w:color w:val="auto"/>
          <w:sz w:val="32"/>
          <w:szCs w:val="32"/>
          <w:highlight w:val="none"/>
          <w:u w:val="dotted"/>
        </w:rPr>
        <w:t xml:space="preserve">                                          </w:t>
      </w:r>
    </w:p>
    <w:p w14:paraId="646301B4">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dotted"/>
        </w:rPr>
        <w:t xml:space="preserve">                                                       </w:t>
      </w:r>
    </w:p>
    <w:p w14:paraId="5601DAA1">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法律依据：</w:t>
      </w:r>
      <w:r>
        <w:rPr>
          <w:rFonts w:hint="eastAsia" w:ascii="仿宋" w:hAnsi="仿宋" w:eastAsia="仿宋" w:cs="仿宋"/>
          <w:color w:val="auto"/>
          <w:sz w:val="32"/>
          <w:szCs w:val="32"/>
          <w:highlight w:val="none"/>
          <w:u w:val="dotted"/>
        </w:rPr>
        <w:t xml:space="preserve">                                          </w:t>
      </w:r>
    </w:p>
    <w:p w14:paraId="66E7F43D">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u w:val="dotted"/>
        </w:rPr>
        <w:t xml:space="preserve">                                                     </w:t>
      </w:r>
    </w:p>
    <w:p w14:paraId="2D24AE80">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质疑事项2</w:t>
      </w:r>
    </w:p>
    <w:p w14:paraId="07A39FE3">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p>
    <w:p w14:paraId="2B50F515">
      <w:pPr>
        <w:adjustRightInd w:val="0"/>
        <w:snapToGrid w:val="0"/>
        <w:spacing w:line="360" w:lineRule="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四、与质疑事项相关的质疑请求</w:t>
      </w:r>
    </w:p>
    <w:p w14:paraId="18600E8D">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请求：</w:t>
      </w:r>
      <w:r>
        <w:rPr>
          <w:rFonts w:hint="eastAsia" w:ascii="仿宋" w:hAnsi="仿宋" w:eastAsia="仿宋" w:cs="仿宋"/>
          <w:color w:val="auto"/>
          <w:sz w:val="32"/>
          <w:szCs w:val="32"/>
          <w:highlight w:val="none"/>
          <w:u w:val="dotted"/>
        </w:rPr>
        <w:t xml:space="preserve">                                               </w:t>
      </w:r>
    </w:p>
    <w:p w14:paraId="27668716">
      <w:pP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签字(签章)：                   公章：                      </w:t>
      </w:r>
    </w:p>
    <w:p w14:paraId="6114C801">
      <w:pP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日期：    </w:t>
      </w:r>
    </w:p>
    <w:p w14:paraId="34B7DCF1">
      <w:pPr>
        <w:adjustRightInd w:val="0"/>
        <w:snapToGrid w:val="0"/>
        <w:spacing w:line="360" w:lineRule="auto"/>
        <w:rPr>
          <w:rFonts w:hint="eastAsia" w:ascii="仿宋" w:hAnsi="仿宋" w:eastAsia="仿宋" w:cs="仿宋"/>
          <w:color w:val="auto"/>
          <w:sz w:val="32"/>
          <w:szCs w:val="32"/>
          <w:highlight w:val="none"/>
        </w:rPr>
      </w:pPr>
    </w:p>
    <w:p w14:paraId="45240D51">
      <w:pPr>
        <w:adjustRightInd w:val="0"/>
        <w:snapToGrid w:val="0"/>
        <w:spacing w:line="360" w:lineRule="auto"/>
        <w:rPr>
          <w:rFonts w:hint="eastAsia" w:ascii="仿宋" w:hAnsi="仿宋" w:eastAsia="仿宋" w:cs="仿宋"/>
          <w:color w:val="auto"/>
          <w:sz w:val="32"/>
          <w:szCs w:val="32"/>
          <w:highlight w:val="none"/>
        </w:rPr>
      </w:pPr>
    </w:p>
    <w:p w14:paraId="5420C630">
      <w:pPr>
        <w:jc w:val="center"/>
        <w:rPr>
          <w:rFonts w:hint="eastAsia" w:ascii="仿宋" w:hAnsi="仿宋" w:eastAsia="仿宋" w:cs="仿宋"/>
          <w:b/>
          <w:bCs/>
          <w:color w:val="auto"/>
          <w:sz w:val="32"/>
          <w:szCs w:val="32"/>
          <w:highlight w:val="none"/>
        </w:rPr>
      </w:pPr>
    </w:p>
    <w:p w14:paraId="3464BF9C">
      <w:pPr>
        <w:jc w:val="center"/>
        <w:rPr>
          <w:rFonts w:hint="eastAsia" w:ascii="仿宋" w:hAnsi="仿宋" w:eastAsia="仿宋" w:cs="仿宋"/>
          <w:b/>
          <w:bCs/>
          <w:color w:val="auto"/>
          <w:sz w:val="32"/>
          <w:szCs w:val="32"/>
          <w:highlight w:val="none"/>
        </w:rPr>
      </w:pPr>
    </w:p>
    <w:p w14:paraId="504EC78B">
      <w:pPr>
        <w:jc w:val="center"/>
        <w:rPr>
          <w:rFonts w:hint="eastAsia" w:ascii="仿宋" w:hAnsi="仿宋" w:eastAsia="仿宋" w:cs="仿宋"/>
          <w:b/>
          <w:bCs/>
          <w:color w:val="auto"/>
          <w:sz w:val="32"/>
          <w:szCs w:val="32"/>
          <w:highlight w:val="none"/>
        </w:rPr>
      </w:pPr>
    </w:p>
    <w:p w14:paraId="029CA162">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质疑函制作说明：</w:t>
      </w:r>
    </w:p>
    <w:p w14:paraId="77CB8722">
      <w:pPr>
        <w:widowControl/>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1.供应商提出质疑时，应提交质疑函和必要的证明材料。</w:t>
      </w:r>
    </w:p>
    <w:p w14:paraId="1EEEF981">
      <w:pPr>
        <w:widowControl/>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2.质疑供应商若委托代理人进行质疑的，质疑函应按要求列明“授权代表”的有关内容，并在附件中提交由质疑</w:t>
      </w:r>
      <w:r>
        <w:rPr>
          <w:rFonts w:hint="eastAsia" w:ascii="仿宋" w:hAnsi="仿宋" w:eastAsia="仿宋" w:cs="仿宋"/>
          <w:color w:val="auto"/>
          <w:kern w:val="0"/>
          <w:sz w:val="32"/>
          <w:szCs w:val="32"/>
          <w:highlight w:val="none"/>
        </w:rPr>
        <w:t>供应商签署的授权委托书。授权委托书应载明代理人的姓名或者名称、代理事项、具体权限、期限和相关事项。</w:t>
      </w:r>
    </w:p>
    <w:p w14:paraId="09D2061B">
      <w:pPr>
        <w:widowControl/>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3.质疑供应商若对项目的某一分包进行质疑，质疑函中应列明具体分包号。</w:t>
      </w:r>
    </w:p>
    <w:p w14:paraId="261F194D">
      <w:pPr>
        <w:widowControl/>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4.质疑函的质疑事项应具体、明确，并有必要的事实依据和法律依据。</w:t>
      </w:r>
    </w:p>
    <w:p w14:paraId="2751EC3D">
      <w:pPr>
        <w:widowControl/>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5.质疑函的质疑请求应与质疑事项相关。</w:t>
      </w:r>
    </w:p>
    <w:p w14:paraId="35A70BF3">
      <w:pPr>
        <w:widowControl/>
        <w:ind w:firstLine="64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sz w:val="32"/>
          <w:szCs w:val="32"/>
          <w:highlight w:val="none"/>
        </w:rPr>
        <w:t>6.质疑供应商为自然人的，质疑函应由本人签字；质疑供应商为法人或者其他组织的，质疑函应由法定代表人、主要负责人，或者其授权代表签字或者盖章，并加盖公章。</w:t>
      </w:r>
    </w:p>
    <w:sectPr>
      <w:pgSz w:w="11906" w:h="16838"/>
      <w:pgMar w:top="1440" w:right="1558" w:bottom="1246" w:left="1587" w:header="1021" w:footer="90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Lucida Sans">
    <w:panose1 w:val="020B0602030504020204"/>
    <w:charset w:val="00"/>
    <w:family w:val="swiss"/>
    <w:pitch w:val="default"/>
    <w:sig w:usb0="00000003" w:usb1="00000000" w:usb2="00000000" w:usb3="00000000" w:csb0="20000001" w:csb1="0000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933A9">
    <w:pPr>
      <w:pStyle w:val="28"/>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96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96</w:t>
    </w:r>
    <w:r>
      <w:rPr>
        <w:rFonts w:hint="eastAsia" w:ascii="仿宋_GB2312" w:eastAsia="仿宋_GB2312"/>
        <w:kern w:val="0"/>
      </w:rPr>
      <w:fldChar w:fldCharType="end"/>
    </w:r>
    <w:r>
      <w:rPr>
        <w:rFonts w:hint="eastAsia" w:ascii="仿宋_GB2312" w:eastAsia="仿宋_GB2312"/>
        <w:kern w:val="0"/>
      </w:rPr>
      <w:t xml:space="preserve"> 页</w:t>
    </w:r>
  </w:p>
  <w:p w14:paraId="6311330F">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AE00A">
    <w:pPr>
      <w:pStyle w:val="28"/>
      <w:framePr w:wrap="around" w:vAnchor="text" w:hAnchor="margin" w:xAlign="center" w:y="1"/>
      <w:rPr>
        <w:rStyle w:val="48"/>
      </w:rPr>
    </w:pPr>
    <w:r>
      <w:rPr>
        <w:rStyle w:val="48"/>
      </w:rPr>
      <w:fldChar w:fldCharType="begin"/>
    </w:r>
    <w:r>
      <w:rPr>
        <w:rStyle w:val="48"/>
      </w:rPr>
      <w:instrText xml:space="preserve">PAGE  </w:instrText>
    </w:r>
    <w:r>
      <w:rPr>
        <w:rStyle w:val="48"/>
      </w:rPr>
      <w:fldChar w:fldCharType="end"/>
    </w:r>
  </w:p>
  <w:p w14:paraId="51C6800C">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06BC8">
    <w:pPr>
      <w:pStyle w:val="28"/>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78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78</w:t>
    </w:r>
    <w:r>
      <w:rPr>
        <w:rFonts w:hint="eastAsia" w:ascii="仿宋_GB2312" w:eastAsia="仿宋_GB2312"/>
        <w:kern w:val="0"/>
      </w:rPr>
      <w:fldChar w:fldCharType="end"/>
    </w:r>
    <w:r>
      <w:rPr>
        <w:rFonts w:hint="eastAsia" w:ascii="仿宋_GB2312" w:eastAsia="仿宋_GB2312"/>
        <w:kern w:val="0"/>
      </w:rPr>
      <w:t xml:space="preserve"> 页</w:t>
    </w:r>
  </w:p>
  <w:p w14:paraId="44972A2D">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0DD8A">
    <w:pPr>
      <w:pStyle w:val="2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8"/>
      <w:lvlText w:val="%1."/>
      <w:lvlJc w:val="left"/>
      <w:pPr>
        <w:tabs>
          <w:tab w:val="left" w:pos="1200"/>
        </w:tabs>
        <w:ind w:left="1200" w:leftChars="400" w:hanging="360" w:hangingChars="200"/>
      </w:pPr>
    </w:lvl>
  </w:abstractNum>
  <w:abstractNum w:abstractNumId="1">
    <w:nsid w:val="FFFFFF88"/>
    <w:multiLevelType w:val="singleLevel"/>
    <w:tmpl w:val="FFFFFF88"/>
    <w:lvl w:ilvl="0" w:tentative="0">
      <w:start w:val="1"/>
      <w:numFmt w:val="decimal"/>
      <w:pStyle w:val="5"/>
      <w:lvlText w:val="%1."/>
      <w:lvlJc w:val="left"/>
      <w:pPr>
        <w:tabs>
          <w:tab w:val="left" w:pos="360"/>
        </w:tabs>
        <w:ind w:left="360" w:hanging="360" w:hangingChars="200"/>
      </w:pPr>
    </w:lvl>
  </w:abstractNum>
  <w:abstractNum w:abstractNumId="2">
    <w:nsid w:val="00000007"/>
    <w:multiLevelType w:val="multilevel"/>
    <w:tmpl w:val="00000007"/>
    <w:lvl w:ilvl="0" w:tentative="0">
      <w:start w:val="1"/>
      <w:numFmt w:val="decimal"/>
      <w:lvlText w:val="%1."/>
      <w:lvlJc w:val="left"/>
      <w:pPr>
        <w:tabs>
          <w:tab w:val="left" w:pos="360"/>
        </w:tabs>
        <w:ind w:left="360" w:hanging="360"/>
      </w:pPr>
      <w:rPr>
        <w:rFonts w:hint="default"/>
      </w:rPr>
    </w:lvl>
    <w:lvl w:ilvl="1" w:tentative="0">
      <w:start w:val="1"/>
      <w:numFmt w:val="decimal"/>
      <w:isLgl/>
      <w:lvlText w:val="%1.%2"/>
      <w:lvlJc w:val="left"/>
      <w:pPr>
        <w:tabs>
          <w:tab w:val="left" w:pos="750"/>
        </w:tabs>
        <w:ind w:left="750" w:hanging="390"/>
      </w:pPr>
      <w:rPr>
        <w:rFonts w:hint="default"/>
      </w:rPr>
    </w:lvl>
    <w:lvl w:ilvl="2" w:tentative="0">
      <w:start w:val="1"/>
      <w:numFmt w:val="decimal"/>
      <w:isLgl/>
      <w:lvlText w:val="%1.%2.%3"/>
      <w:lvlJc w:val="left"/>
      <w:pPr>
        <w:tabs>
          <w:tab w:val="left" w:pos="1440"/>
        </w:tabs>
        <w:ind w:left="1440" w:hanging="720"/>
      </w:pPr>
      <w:rPr>
        <w:rFonts w:hint="default"/>
      </w:rPr>
    </w:lvl>
    <w:lvl w:ilvl="3" w:tentative="0">
      <w:start w:val="1"/>
      <w:numFmt w:val="decimal"/>
      <w:isLgl/>
      <w:lvlText w:val="%1.%2.%3.%4"/>
      <w:lvlJc w:val="left"/>
      <w:pPr>
        <w:tabs>
          <w:tab w:val="left" w:pos="1800"/>
        </w:tabs>
        <w:ind w:left="1800" w:hanging="720"/>
      </w:pPr>
      <w:rPr>
        <w:rFonts w:hint="default"/>
      </w:rPr>
    </w:lvl>
    <w:lvl w:ilvl="4" w:tentative="0">
      <w:start w:val="1"/>
      <w:numFmt w:val="decimal"/>
      <w:isLgl/>
      <w:lvlText w:val="%1.%2.%3.%4.%5"/>
      <w:lvlJc w:val="left"/>
      <w:pPr>
        <w:tabs>
          <w:tab w:val="left" w:pos="2520"/>
        </w:tabs>
        <w:ind w:left="2520" w:hanging="1080"/>
      </w:pPr>
      <w:rPr>
        <w:rFonts w:hint="default"/>
      </w:rPr>
    </w:lvl>
    <w:lvl w:ilvl="5" w:tentative="0">
      <w:start w:val="1"/>
      <w:numFmt w:val="decimal"/>
      <w:isLgl/>
      <w:lvlText w:val="%1.%2.%3.%4.%5.%6"/>
      <w:lvlJc w:val="left"/>
      <w:pPr>
        <w:tabs>
          <w:tab w:val="left" w:pos="2880"/>
        </w:tabs>
        <w:ind w:left="2880" w:hanging="1080"/>
      </w:pPr>
      <w:rPr>
        <w:rFonts w:hint="default"/>
      </w:rPr>
    </w:lvl>
    <w:lvl w:ilvl="6" w:tentative="0">
      <w:start w:val="1"/>
      <w:numFmt w:val="decimal"/>
      <w:isLgl/>
      <w:lvlText w:val="%1.%2.%3.%4.%5.%6.%7"/>
      <w:lvlJc w:val="left"/>
      <w:pPr>
        <w:tabs>
          <w:tab w:val="left" w:pos="3240"/>
        </w:tabs>
        <w:ind w:left="3240" w:hanging="1080"/>
      </w:pPr>
      <w:rPr>
        <w:rFonts w:hint="default"/>
      </w:rPr>
    </w:lvl>
    <w:lvl w:ilvl="7" w:tentative="0">
      <w:start w:val="1"/>
      <w:numFmt w:val="decimal"/>
      <w:isLgl/>
      <w:lvlText w:val="%1.%2.%3.%4.%5.%6.%7.%8"/>
      <w:lvlJc w:val="left"/>
      <w:pPr>
        <w:tabs>
          <w:tab w:val="left" w:pos="3960"/>
        </w:tabs>
        <w:ind w:left="3960" w:hanging="1440"/>
      </w:pPr>
      <w:rPr>
        <w:rFonts w:hint="default"/>
      </w:rPr>
    </w:lvl>
    <w:lvl w:ilvl="8" w:tentative="0">
      <w:start w:val="1"/>
      <w:numFmt w:val="decimal"/>
      <w:isLgl/>
      <w:lvlText w:val="%1.%2.%3.%4.%5.%6.%7.%8.%9"/>
      <w:lvlJc w:val="left"/>
      <w:pPr>
        <w:tabs>
          <w:tab w:val="left" w:pos="4320"/>
        </w:tabs>
        <w:ind w:left="4320" w:hanging="1440"/>
      </w:pPr>
      <w:rPr>
        <w:rFonts w:hint="default"/>
      </w:rPr>
    </w:lvl>
  </w:abstractNum>
  <w:abstractNum w:abstractNumId="3">
    <w:nsid w:val="3C0975EF"/>
    <w:multiLevelType w:val="multilevel"/>
    <w:tmpl w:val="3C0975EF"/>
    <w:lvl w:ilvl="0" w:tentative="0">
      <w:start w:val="1"/>
      <w:numFmt w:val="decimal"/>
      <w:pStyle w:val="292"/>
      <w:lvlText w:val="%1."/>
      <w:lvlJc w:val="left"/>
      <w:pPr>
        <w:ind w:left="425" w:hanging="425"/>
      </w:pPr>
    </w:lvl>
    <w:lvl w:ilvl="1" w:tentative="0">
      <w:start w:val="1"/>
      <w:numFmt w:val="decimal"/>
      <w:pStyle w:val="291"/>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4">
    <w:nsid w:val="5CB017FC"/>
    <w:multiLevelType w:val="multilevel"/>
    <w:tmpl w:val="5CB017FC"/>
    <w:lvl w:ilvl="0" w:tentative="0">
      <w:start w:val="1"/>
      <w:numFmt w:val="decimal"/>
      <w:pStyle w:val="4"/>
      <w:suff w:val="space"/>
      <w:lvlText w:val="第 %1 章"/>
      <w:lvlJc w:val="left"/>
      <w:pPr>
        <w:ind w:left="425" w:hanging="425"/>
      </w:pPr>
      <w:rPr>
        <w:rFonts w:hint="eastAsia"/>
      </w:rPr>
    </w:lvl>
    <w:lvl w:ilvl="1" w:tentative="0">
      <w:start w:val="1"/>
      <w:numFmt w:val="decimal"/>
      <w:lvlText w:val="%1.%2 "/>
      <w:lvlJc w:val="left"/>
      <w:pPr>
        <w:tabs>
          <w:tab w:val="left" w:pos="1145"/>
        </w:tabs>
        <w:ind w:left="992" w:hanging="567"/>
      </w:pPr>
      <w:rPr>
        <w:rFonts w:hint="eastAsia"/>
      </w:rPr>
    </w:lvl>
    <w:lvl w:ilvl="2" w:tentative="0">
      <w:start w:val="1"/>
      <w:numFmt w:val="decimal"/>
      <w:lvlText w:val="〔%3〕、"/>
      <w:lvlJc w:val="left"/>
      <w:pPr>
        <w:tabs>
          <w:tab w:val="left" w:pos="2651"/>
        </w:tabs>
        <w:ind w:left="1418" w:hanging="567"/>
      </w:pPr>
      <w:rPr>
        <w:rFonts w:hint="eastAsia"/>
      </w:rPr>
    </w:lvl>
    <w:lvl w:ilvl="3" w:tentative="0">
      <w:start w:val="1"/>
      <w:numFmt w:val="none"/>
      <w:pStyle w:val="9"/>
      <w:lvlText w:val=""/>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6A383B68"/>
    <w:multiLevelType w:val="singleLevel"/>
    <w:tmpl w:val="6A383B68"/>
    <w:lvl w:ilvl="0" w:tentative="0">
      <w:start w:val="1"/>
      <w:numFmt w:val="upperLetter"/>
      <w:pStyle w:val="10"/>
      <w:lvlText w:val="%1、"/>
      <w:lvlJc w:val="left"/>
      <w:pPr>
        <w:tabs>
          <w:tab w:val="left" w:pos="405"/>
        </w:tabs>
        <w:ind w:left="405" w:hanging="405"/>
      </w:pPr>
    </w:lvl>
  </w:abstractNum>
  <w:abstractNum w:abstractNumId="6">
    <w:nsid w:val="72696FE3"/>
    <w:multiLevelType w:val="multilevel"/>
    <w:tmpl w:val="72696FE3"/>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1"/>
  </w:num>
  <w:num w:numId="3">
    <w:abstractNumId w:val="0"/>
  </w:num>
  <w:num w:numId="4">
    <w:abstractNumId w:val="5"/>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Y5MGEzOTYyODcwOTI5MTVjYjBmNGIzNGRkMmQ2NmIifQ=="/>
  </w:docVars>
  <w:rsids>
    <w:rsidRoot w:val="00417C8A"/>
    <w:rsid w:val="00002EF8"/>
    <w:rsid w:val="00003B69"/>
    <w:rsid w:val="00005125"/>
    <w:rsid w:val="0000551C"/>
    <w:rsid w:val="00010C9A"/>
    <w:rsid w:val="00010FC1"/>
    <w:rsid w:val="0001278F"/>
    <w:rsid w:val="00020031"/>
    <w:rsid w:val="0002045E"/>
    <w:rsid w:val="00021D87"/>
    <w:rsid w:val="0002203D"/>
    <w:rsid w:val="0002468D"/>
    <w:rsid w:val="00025A9F"/>
    <w:rsid w:val="00026762"/>
    <w:rsid w:val="00030A0F"/>
    <w:rsid w:val="00031F75"/>
    <w:rsid w:val="000329A7"/>
    <w:rsid w:val="00033D7B"/>
    <w:rsid w:val="000402F5"/>
    <w:rsid w:val="00040A03"/>
    <w:rsid w:val="00047118"/>
    <w:rsid w:val="00047D3B"/>
    <w:rsid w:val="0005172F"/>
    <w:rsid w:val="000517D0"/>
    <w:rsid w:val="00051C47"/>
    <w:rsid w:val="00052DCC"/>
    <w:rsid w:val="000535F4"/>
    <w:rsid w:val="000541AB"/>
    <w:rsid w:val="00056199"/>
    <w:rsid w:val="0005700A"/>
    <w:rsid w:val="0006049D"/>
    <w:rsid w:val="0006344A"/>
    <w:rsid w:val="0006392C"/>
    <w:rsid w:val="000643A5"/>
    <w:rsid w:val="00065197"/>
    <w:rsid w:val="000657C6"/>
    <w:rsid w:val="00065EFB"/>
    <w:rsid w:val="00067FB2"/>
    <w:rsid w:val="000702AD"/>
    <w:rsid w:val="0007066D"/>
    <w:rsid w:val="00074373"/>
    <w:rsid w:val="000751F9"/>
    <w:rsid w:val="00075850"/>
    <w:rsid w:val="0007656E"/>
    <w:rsid w:val="000812D0"/>
    <w:rsid w:val="00082DC1"/>
    <w:rsid w:val="00083E93"/>
    <w:rsid w:val="00083EB1"/>
    <w:rsid w:val="00087605"/>
    <w:rsid w:val="00092B23"/>
    <w:rsid w:val="00092E7F"/>
    <w:rsid w:val="000933A2"/>
    <w:rsid w:val="0009629C"/>
    <w:rsid w:val="00096D24"/>
    <w:rsid w:val="00097421"/>
    <w:rsid w:val="00097868"/>
    <w:rsid w:val="0009797B"/>
    <w:rsid w:val="000A0868"/>
    <w:rsid w:val="000A1F26"/>
    <w:rsid w:val="000A3FC5"/>
    <w:rsid w:val="000A4017"/>
    <w:rsid w:val="000A5AC0"/>
    <w:rsid w:val="000B0284"/>
    <w:rsid w:val="000B14AE"/>
    <w:rsid w:val="000B1744"/>
    <w:rsid w:val="000B1D0B"/>
    <w:rsid w:val="000B2A94"/>
    <w:rsid w:val="000B2D29"/>
    <w:rsid w:val="000B625B"/>
    <w:rsid w:val="000C14CF"/>
    <w:rsid w:val="000C1F3C"/>
    <w:rsid w:val="000C3344"/>
    <w:rsid w:val="000C5A53"/>
    <w:rsid w:val="000C5F21"/>
    <w:rsid w:val="000D0E6C"/>
    <w:rsid w:val="000D110F"/>
    <w:rsid w:val="000D122E"/>
    <w:rsid w:val="000D1267"/>
    <w:rsid w:val="000D1ACF"/>
    <w:rsid w:val="000D1D59"/>
    <w:rsid w:val="000D2699"/>
    <w:rsid w:val="000D3FC1"/>
    <w:rsid w:val="000D42A6"/>
    <w:rsid w:val="000D4D0E"/>
    <w:rsid w:val="000D716C"/>
    <w:rsid w:val="000E1C88"/>
    <w:rsid w:val="000E308A"/>
    <w:rsid w:val="000E3723"/>
    <w:rsid w:val="000E4A4F"/>
    <w:rsid w:val="000E5C9B"/>
    <w:rsid w:val="000E6F8C"/>
    <w:rsid w:val="000E72A0"/>
    <w:rsid w:val="000F0D59"/>
    <w:rsid w:val="000F51A7"/>
    <w:rsid w:val="000F5EF4"/>
    <w:rsid w:val="000F7FA8"/>
    <w:rsid w:val="001023D9"/>
    <w:rsid w:val="00102FA0"/>
    <w:rsid w:val="00103B47"/>
    <w:rsid w:val="00104327"/>
    <w:rsid w:val="00104663"/>
    <w:rsid w:val="00104806"/>
    <w:rsid w:val="00104A07"/>
    <w:rsid w:val="0010763D"/>
    <w:rsid w:val="00111E93"/>
    <w:rsid w:val="00112B08"/>
    <w:rsid w:val="00114BF9"/>
    <w:rsid w:val="00114C81"/>
    <w:rsid w:val="00115363"/>
    <w:rsid w:val="001166CC"/>
    <w:rsid w:val="00116EDA"/>
    <w:rsid w:val="0012018C"/>
    <w:rsid w:val="00120D86"/>
    <w:rsid w:val="001259AD"/>
    <w:rsid w:val="00125D70"/>
    <w:rsid w:val="00126CDE"/>
    <w:rsid w:val="00132EE2"/>
    <w:rsid w:val="001345B3"/>
    <w:rsid w:val="0013527E"/>
    <w:rsid w:val="00135455"/>
    <w:rsid w:val="00137525"/>
    <w:rsid w:val="0014024E"/>
    <w:rsid w:val="0014242C"/>
    <w:rsid w:val="0014545F"/>
    <w:rsid w:val="00145D25"/>
    <w:rsid w:val="00154591"/>
    <w:rsid w:val="00154E3A"/>
    <w:rsid w:val="00156633"/>
    <w:rsid w:val="00157269"/>
    <w:rsid w:val="0015771E"/>
    <w:rsid w:val="00157914"/>
    <w:rsid w:val="00157EB1"/>
    <w:rsid w:val="00157FB7"/>
    <w:rsid w:val="00160B0A"/>
    <w:rsid w:val="00161F66"/>
    <w:rsid w:val="00162DD9"/>
    <w:rsid w:val="001637A2"/>
    <w:rsid w:val="00163B9C"/>
    <w:rsid w:val="00165068"/>
    <w:rsid w:val="001657B2"/>
    <w:rsid w:val="00171701"/>
    <w:rsid w:val="0017455C"/>
    <w:rsid w:val="00174F52"/>
    <w:rsid w:val="001751A8"/>
    <w:rsid w:val="0018130F"/>
    <w:rsid w:val="00181544"/>
    <w:rsid w:val="00181887"/>
    <w:rsid w:val="00182D73"/>
    <w:rsid w:val="0018376B"/>
    <w:rsid w:val="001841D9"/>
    <w:rsid w:val="00184C15"/>
    <w:rsid w:val="00185F55"/>
    <w:rsid w:val="001866C4"/>
    <w:rsid w:val="001866FC"/>
    <w:rsid w:val="001873DB"/>
    <w:rsid w:val="00187AB1"/>
    <w:rsid w:val="0019064E"/>
    <w:rsid w:val="00190DB7"/>
    <w:rsid w:val="00191263"/>
    <w:rsid w:val="00191BE8"/>
    <w:rsid w:val="00191EE1"/>
    <w:rsid w:val="00193494"/>
    <w:rsid w:val="00194583"/>
    <w:rsid w:val="0019471E"/>
    <w:rsid w:val="00197955"/>
    <w:rsid w:val="001A0C24"/>
    <w:rsid w:val="001A15C0"/>
    <w:rsid w:val="001A4123"/>
    <w:rsid w:val="001A4A9D"/>
    <w:rsid w:val="001A6712"/>
    <w:rsid w:val="001A7E2A"/>
    <w:rsid w:val="001B1392"/>
    <w:rsid w:val="001B2461"/>
    <w:rsid w:val="001B2770"/>
    <w:rsid w:val="001B485F"/>
    <w:rsid w:val="001B4C51"/>
    <w:rsid w:val="001B589D"/>
    <w:rsid w:val="001B70E5"/>
    <w:rsid w:val="001C07C7"/>
    <w:rsid w:val="001C4733"/>
    <w:rsid w:val="001C57F3"/>
    <w:rsid w:val="001C5AA3"/>
    <w:rsid w:val="001C6042"/>
    <w:rsid w:val="001C6EC1"/>
    <w:rsid w:val="001D24BB"/>
    <w:rsid w:val="001D30DD"/>
    <w:rsid w:val="001D3CEA"/>
    <w:rsid w:val="001D43F0"/>
    <w:rsid w:val="001D6ED7"/>
    <w:rsid w:val="001D76A1"/>
    <w:rsid w:val="001E3B20"/>
    <w:rsid w:val="001E4A9F"/>
    <w:rsid w:val="001F14C4"/>
    <w:rsid w:val="001F2767"/>
    <w:rsid w:val="001F429B"/>
    <w:rsid w:val="001F43C6"/>
    <w:rsid w:val="001F4C63"/>
    <w:rsid w:val="001F661E"/>
    <w:rsid w:val="001F7E31"/>
    <w:rsid w:val="00201062"/>
    <w:rsid w:val="0020236F"/>
    <w:rsid w:val="00204DA6"/>
    <w:rsid w:val="0020567D"/>
    <w:rsid w:val="002056F9"/>
    <w:rsid w:val="002062F2"/>
    <w:rsid w:val="0020786F"/>
    <w:rsid w:val="002102AD"/>
    <w:rsid w:val="00210450"/>
    <w:rsid w:val="002105F0"/>
    <w:rsid w:val="00212B8F"/>
    <w:rsid w:val="00213AC9"/>
    <w:rsid w:val="00214C2B"/>
    <w:rsid w:val="00214D48"/>
    <w:rsid w:val="0022062E"/>
    <w:rsid w:val="002212C4"/>
    <w:rsid w:val="00223848"/>
    <w:rsid w:val="00223A5B"/>
    <w:rsid w:val="00224A52"/>
    <w:rsid w:val="002261D7"/>
    <w:rsid w:val="002266CD"/>
    <w:rsid w:val="0022698F"/>
    <w:rsid w:val="00230A8D"/>
    <w:rsid w:val="00231CB7"/>
    <w:rsid w:val="00233356"/>
    <w:rsid w:val="00235AC1"/>
    <w:rsid w:val="0023638E"/>
    <w:rsid w:val="00240411"/>
    <w:rsid w:val="002438B7"/>
    <w:rsid w:val="00243D9A"/>
    <w:rsid w:val="002442F3"/>
    <w:rsid w:val="00244766"/>
    <w:rsid w:val="00247AB8"/>
    <w:rsid w:val="00251888"/>
    <w:rsid w:val="00256069"/>
    <w:rsid w:val="0025660E"/>
    <w:rsid w:val="00256A92"/>
    <w:rsid w:val="0025749B"/>
    <w:rsid w:val="002608A0"/>
    <w:rsid w:val="00260A0D"/>
    <w:rsid w:val="00262E82"/>
    <w:rsid w:val="00264B31"/>
    <w:rsid w:val="00264FFB"/>
    <w:rsid w:val="00266447"/>
    <w:rsid w:val="00267D7C"/>
    <w:rsid w:val="00270E20"/>
    <w:rsid w:val="00271324"/>
    <w:rsid w:val="002714BE"/>
    <w:rsid w:val="00272379"/>
    <w:rsid w:val="00274B01"/>
    <w:rsid w:val="00274D38"/>
    <w:rsid w:val="00274F24"/>
    <w:rsid w:val="00275F7B"/>
    <w:rsid w:val="002826DA"/>
    <w:rsid w:val="002827A8"/>
    <w:rsid w:val="00283EAF"/>
    <w:rsid w:val="002857D3"/>
    <w:rsid w:val="002860D2"/>
    <w:rsid w:val="00286495"/>
    <w:rsid w:val="0029132F"/>
    <w:rsid w:val="00291839"/>
    <w:rsid w:val="00291D57"/>
    <w:rsid w:val="002945E5"/>
    <w:rsid w:val="00295DD9"/>
    <w:rsid w:val="00297560"/>
    <w:rsid w:val="002A0921"/>
    <w:rsid w:val="002A13E9"/>
    <w:rsid w:val="002A168D"/>
    <w:rsid w:val="002A22BB"/>
    <w:rsid w:val="002A2667"/>
    <w:rsid w:val="002A3119"/>
    <w:rsid w:val="002A41C9"/>
    <w:rsid w:val="002A4A75"/>
    <w:rsid w:val="002A5124"/>
    <w:rsid w:val="002A683A"/>
    <w:rsid w:val="002A6BAE"/>
    <w:rsid w:val="002A7EFA"/>
    <w:rsid w:val="002B0298"/>
    <w:rsid w:val="002B186A"/>
    <w:rsid w:val="002B1BA5"/>
    <w:rsid w:val="002B3711"/>
    <w:rsid w:val="002B37F5"/>
    <w:rsid w:val="002B484B"/>
    <w:rsid w:val="002B4A4B"/>
    <w:rsid w:val="002B5650"/>
    <w:rsid w:val="002B6B66"/>
    <w:rsid w:val="002B78AF"/>
    <w:rsid w:val="002C0C85"/>
    <w:rsid w:val="002C2C53"/>
    <w:rsid w:val="002C3804"/>
    <w:rsid w:val="002D2F86"/>
    <w:rsid w:val="002D5386"/>
    <w:rsid w:val="002D6849"/>
    <w:rsid w:val="002D6DC6"/>
    <w:rsid w:val="002D7C56"/>
    <w:rsid w:val="002E2586"/>
    <w:rsid w:val="002E2C11"/>
    <w:rsid w:val="002E34F4"/>
    <w:rsid w:val="002E35C4"/>
    <w:rsid w:val="002E3ED5"/>
    <w:rsid w:val="002E4DCA"/>
    <w:rsid w:val="002E6CF6"/>
    <w:rsid w:val="002E7ADA"/>
    <w:rsid w:val="002F2363"/>
    <w:rsid w:val="002F34ED"/>
    <w:rsid w:val="002F3755"/>
    <w:rsid w:val="002F3F13"/>
    <w:rsid w:val="002F40C5"/>
    <w:rsid w:val="002F4354"/>
    <w:rsid w:val="002F439D"/>
    <w:rsid w:val="002F5A63"/>
    <w:rsid w:val="002F7932"/>
    <w:rsid w:val="003006C3"/>
    <w:rsid w:val="00302020"/>
    <w:rsid w:val="00302514"/>
    <w:rsid w:val="00307917"/>
    <w:rsid w:val="00310479"/>
    <w:rsid w:val="00310AA4"/>
    <w:rsid w:val="0031167A"/>
    <w:rsid w:val="00316329"/>
    <w:rsid w:val="003214B7"/>
    <w:rsid w:val="00322583"/>
    <w:rsid w:val="00322E59"/>
    <w:rsid w:val="00323729"/>
    <w:rsid w:val="00323B52"/>
    <w:rsid w:val="00323E60"/>
    <w:rsid w:val="003250A1"/>
    <w:rsid w:val="0032527D"/>
    <w:rsid w:val="0032789C"/>
    <w:rsid w:val="00327C7D"/>
    <w:rsid w:val="003302F0"/>
    <w:rsid w:val="00331BAF"/>
    <w:rsid w:val="00332DA4"/>
    <w:rsid w:val="00334BC7"/>
    <w:rsid w:val="00334D58"/>
    <w:rsid w:val="00334D83"/>
    <w:rsid w:val="00334E51"/>
    <w:rsid w:val="003371DD"/>
    <w:rsid w:val="003406B5"/>
    <w:rsid w:val="003413F9"/>
    <w:rsid w:val="0034305B"/>
    <w:rsid w:val="00347CAD"/>
    <w:rsid w:val="00350E72"/>
    <w:rsid w:val="00351EEF"/>
    <w:rsid w:val="0035254A"/>
    <w:rsid w:val="003565A0"/>
    <w:rsid w:val="003618CE"/>
    <w:rsid w:val="00365766"/>
    <w:rsid w:val="00365F56"/>
    <w:rsid w:val="003670EB"/>
    <w:rsid w:val="00367EAB"/>
    <w:rsid w:val="0037319B"/>
    <w:rsid w:val="0037368A"/>
    <w:rsid w:val="00373C67"/>
    <w:rsid w:val="00375107"/>
    <w:rsid w:val="0037517D"/>
    <w:rsid w:val="003822F9"/>
    <w:rsid w:val="00384E3C"/>
    <w:rsid w:val="00385323"/>
    <w:rsid w:val="0039130B"/>
    <w:rsid w:val="00391E7C"/>
    <w:rsid w:val="00393589"/>
    <w:rsid w:val="00393A4C"/>
    <w:rsid w:val="003949AE"/>
    <w:rsid w:val="00395601"/>
    <w:rsid w:val="003A137B"/>
    <w:rsid w:val="003A19D2"/>
    <w:rsid w:val="003A3963"/>
    <w:rsid w:val="003A3C9C"/>
    <w:rsid w:val="003A546B"/>
    <w:rsid w:val="003A74F5"/>
    <w:rsid w:val="003B0D07"/>
    <w:rsid w:val="003B1CEB"/>
    <w:rsid w:val="003B24CA"/>
    <w:rsid w:val="003B2A7E"/>
    <w:rsid w:val="003B2B02"/>
    <w:rsid w:val="003B4EAE"/>
    <w:rsid w:val="003B5786"/>
    <w:rsid w:val="003B774D"/>
    <w:rsid w:val="003B7907"/>
    <w:rsid w:val="003C46C5"/>
    <w:rsid w:val="003C4B74"/>
    <w:rsid w:val="003C527A"/>
    <w:rsid w:val="003C5AA7"/>
    <w:rsid w:val="003C637D"/>
    <w:rsid w:val="003C67A8"/>
    <w:rsid w:val="003C7A48"/>
    <w:rsid w:val="003C7F20"/>
    <w:rsid w:val="003D10C3"/>
    <w:rsid w:val="003D1A22"/>
    <w:rsid w:val="003D2496"/>
    <w:rsid w:val="003D3253"/>
    <w:rsid w:val="003D7052"/>
    <w:rsid w:val="003E074D"/>
    <w:rsid w:val="003E0777"/>
    <w:rsid w:val="003E2D56"/>
    <w:rsid w:val="003E4007"/>
    <w:rsid w:val="003E5724"/>
    <w:rsid w:val="003E6C02"/>
    <w:rsid w:val="003F2982"/>
    <w:rsid w:val="003F4084"/>
    <w:rsid w:val="003F77E0"/>
    <w:rsid w:val="00400057"/>
    <w:rsid w:val="00400777"/>
    <w:rsid w:val="00400B4D"/>
    <w:rsid w:val="00400BD4"/>
    <w:rsid w:val="004014D1"/>
    <w:rsid w:val="00403FEC"/>
    <w:rsid w:val="00404284"/>
    <w:rsid w:val="00407D88"/>
    <w:rsid w:val="004109FD"/>
    <w:rsid w:val="0041394C"/>
    <w:rsid w:val="00413B7A"/>
    <w:rsid w:val="00414412"/>
    <w:rsid w:val="0041460B"/>
    <w:rsid w:val="00414F64"/>
    <w:rsid w:val="004166D1"/>
    <w:rsid w:val="00417C8A"/>
    <w:rsid w:val="0042094B"/>
    <w:rsid w:val="0042136D"/>
    <w:rsid w:val="00424C70"/>
    <w:rsid w:val="0042557D"/>
    <w:rsid w:val="00426003"/>
    <w:rsid w:val="00426B45"/>
    <w:rsid w:val="00426CA3"/>
    <w:rsid w:val="00427B10"/>
    <w:rsid w:val="004350B7"/>
    <w:rsid w:val="004357E0"/>
    <w:rsid w:val="0043766D"/>
    <w:rsid w:val="00437F79"/>
    <w:rsid w:val="00441896"/>
    <w:rsid w:val="00442935"/>
    <w:rsid w:val="0044422F"/>
    <w:rsid w:val="004443C5"/>
    <w:rsid w:val="004446D7"/>
    <w:rsid w:val="00445C1C"/>
    <w:rsid w:val="00447789"/>
    <w:rsid w:val="004513F6"/>
    <w:rsid w:val="00451D55"/>
    <w:rsid w:val="00457231"/>
    <w:rsid w:val="00457BF2"/>
    <w:rsid w:val="004600A6"/>
    <w:rsid w:val="00460793"/>
    <w:rsid w:val="00461637"/>
    <w:rsid w:val="00463E5C"/>
    <w:rsid w:val="00464359"/>
    <w:rsid w:val="00465D0D"/>
    <w:rsid w:val="00467CFF"/>
    <w:rsid w:val="0047117D"/>
    <w:rsid w:val="00471407"/>
    <w:rsid w:val="00471DA5"/>
    <w:rsid w:val="00472E4E"/>
    <w:rsid w:val="0047483C"/>
    <w:rsid w:val="00474BED"/>
    <w:rsid w:val="004766EE"/>
    <w:rsid w:val="00476C0B"/>
    <w:rsid w:val="00476E9A"/>
    <w:rsid w:val="00477EFE"/>
    <w:rsid w:val="00480DE4"/>
    <w:rsid w:val="004832BC"/>
    <w:rsid w:val="00485E04"/>
    <w:rsid w:val="00486B01"/>
    <w:rsid w:val="00487465"/>
    <w:rsid w:val="004939A7"/>
    <w:rsid w:val="00495C9D"/>
    <w:rsid w:val="00497699"/>
    <w:rsid w:val="00497DB2"/>
    <w:rsid w:val="004A0174"/>
    <w:rsid w:val="004A236E"/>
    <w:rsid w:val="004A3418"/>
    <w:rsid w:val="004A403F"/>
    <w:rsid w:val="004A51BA"/>
    <w:rsid w:val="004A5DF1"/>
    <w:rsid w:val="004A6677"/>
    <w:rsid w:val="004A7A78"/>
    <w:rsid w:val="004B1F57"/>
    <w:rsid w:val="004B3B15"/>
    <w:rsid w:val="004B5136"/>
    <w:rsid w:val="004B5B9E"/>
    <w:rsid w:val="004B701A"/>
    <w:rsid w:val="004C0238"/>
    <w:rsid w:val="004C0EE6"/>
    <w:rsid w:val="004C1C20"/>
    <w:rsid w:val="004C3EFB"/>
    <w:rsid w:val="004C40D8"/>
    <w:rsid w:val="004C47F0"/>
    <w:rsid w:val="004C5147"/>
    <w:rsid w:val="004C541A"/>
    <w:rsid w:val="004C6D62"/>
    <w:rsid w:val="004D017A"/>
    <w:rsid w:val="004D0304"/>
    <w:rsid w:val="004D0DB1"/>
    <w:rsid w:val="004D0EA8"/>
    <w:rsid w:val="004D103A"/>
    <w:rsid w:val="004D2D24"/>
    <w:rsid w:val="004D314A"/>
    <w:rsid w:val="004D4938"/>
    <w:rsid w:val="004D5FE6"/>
    <w:rsid w:val="004D609E"/>
    <w:rsid w:val="004E05D9"/>
    <w:rsid w:val="004E0E2C"/>
    <w:rsid w:val="004E1AB8"/>
    <w:rsid w:val="004E2D4B"/>
    <w:rsid w:val="004E4899"/>
    <w:rsid w:val="004E7CD7"/>
    <w:rsid w:val="004F3734"/>
    <w:rsid w:val="004F69CA"/>
    <w:rsid w:val="004F7507"/>
    <w:rsid w:val="004F7995"/>
    <w:rsid w:val="00503D74"/>
    <w:rsid w:val="005041C0"/>
    <w:rsid w:val="005048EE"/>
    <w:rsid w:val="0050570A"/>
    <w:rsid w:val="0050629F"/>
    <w:rsid w:val="0051262C"/>
    <w:rsid w:val="00512768"/>
    <w:rsid w:val="00513DE6"/>
    <w:rsid w:val="005144B2"/>
    <w:rsid w:val="00517733"/>
    <w:rsid w:val="005215F9"/>
    <w:rsid w:val="00522169"/>
    <w:rsid w:val="005230CA"/>
    <w:rsid w:val="0052340D"/>
    <w:rsid w:val="0052376F"/>
    <w:rsid w:val="00524FD6"/>
    <w:rsid w:val="00527E1C"/>
    <w:rsid w:val="00532937"/>
    <w:rsid w:val="00532B60"/>
    <w:rsid w:val="005351C1"/>
    <w:rsid w:val="00536FBF"/>
    <w:rsid w:val="0054018C"/>
    <w:rsid w:val="005410BB"/>
    <w:rsid w:val="00541A02"/>
    <w:rsid w:val="00543426"/>
    <w:rsid w:val="00544130"/>
    <w:rsid w:val="005459FE"/>
    <w:rsid w:val="00545F40"/>
    <w:rsid w:val="00552D57"/>
    <w:rsid w:val="00553FE7"/>
    <w:rsid w:val="0055544C"/>
    <w:rsid w:val="00555780"/>
    <w:rsid w:val="00556840"/>
    <w:rsid w:val="00557737"/>
    <w:rsid w:val="0056065C"/>
    <w:rsid w:val="005634CB"/>
    <w:rsid w:val="00565EF8"/>
    <w:rsid w:val="00566FBC"/>
    <w:rsid w:val="00567005"/>
    <w:rsid w:val="005671CA"/>
    <w:rsid w:val="0057066B"/>
    <w:rsid w:val="00570DFC"/>
    <w:rsid w:val="00570F4A"/>
    <w:rsid w:val="00572BAD"/>
    <w:rsid w:val="00573677"/>
    <w:rsid w:val="005738F4"/>
    <w:rsid w:val="00573BCB"/>
    <w:rsid w:val="00576529"/>
    <w:rsid w:val="00576EFE"/>
    <w:rsid w:val="005770CA"/>
    <w:rsid w:val="005817DD"/>
    <w:rsid w:val="00585233"/>
    <w:rsid w:val="00585D7E"/>
    <w:rsid w:val="0058680D"/>
    <w:rsid w:val="00586C3A"/>
    <w:rsid w:val="005879E7"/>
    <w:rsid w:val="00590A70"/>
    <w:rsid w:val="00591190"/>
    <w:rsid w:val="00591584"/>
    <w:rsid w:val="00594CDD"/>
    <w:rsid w:val="00595AB2"/>
    <w:rsid w:val="005A14E8"/>
    <w:rsid w:val="005A3003"/>
    <w:rsid w:val="005A32FB"/>
    <w:rsid w:val="005A3E6E"/>
    <w:rsid w:val="005A7A4A"/>
    <w:rsid w:val="005B180C"/>
    <w:rsid w:val="005C2908"/>
    <w:rsid w:val="005C30CF"/>
    <w:rsid w:val="005C3154"/>
    <w:rsid w:val="005C3A22"/>
    <w:rsid w:val="005C54A7"/>
    <w:rsid w:val="005C6EE6"/>
    <w:rsid w:val="005C6F10"/>
    <w:rsid w:val="005D0155"/>
    <w:rsid w:val="005D2F62"/>
    <w:rsid w:val="005D375C"/>
    <w:rsid w:val="005D451A"/>
    <w:rsid w:val="005D6575"/>
    <w:rsid w:val="005D70ED"/>
    <w:rsid w:val="005E00B9"/>
    <w:rsid w:val="005E282B"/>
    <w:rsid w:val="005E33BD"/>
    <w:rsid w:val="005E4144"/>
    <w:rsid w:val="005E5AC0"/>
    <w:rsid w:val="005E5B57"/>
    <w:rsid w:val="005E68E7"/>
    <w:rsid w:val="005F510E"/>
    <w:rsid w:val="005F5691"/>
    <w:rsid w:val="005F78A5"/>
    <w:rsid w:val="00601F1E"/>
    <w:rsid w:val="006029F2"/>
    <w:rsid w:val="00604458"/>
    <w:rsid w:val="00605CCE"/>
    <w:rsid w:val="00606ED5"/>
    <w:rsid w:val="006070BD"/>
    <w:rsid w:val="006073C6"/>
    <w:rsid w:val="00607E60"/>
    <w:rsid w:val="006107F3"/>
    <w:rsid w:val="006120C0"/>
    <w:rsid w:val="0061245C"/>
    <w:rsid w:val="00613873"/>
    <w:rsid w:val="00615BAF"/>
    <w:rsid w:val="00617775"/>
    <w:rsid w:val="00622201"/>
    <w:rsid w:val="006225C8"/>
    <w:rsid w:val="006225CB"/>
    <w:rsid w:val="00624516"/>
    <w:rsid w:val="006257E9"/>
    <w:rsid w:val="00625BC2"/>
    <w:rsid w:val="0062625D"/>
    <w:rsid w:val="006264DB"/>
    <w:rsid w:val="00630ADC"/>
    <w:rsid w:val="00630CF7"/>
    <w:rsid w:val="006351A3"/>
    <w:rsid w:val="00637770"/>
    <w:rsid w:val="006378C9"/>
    <w:rsid w:val="00640D50"/>
    <w:rsid w:val="00642276"/>
    <w:rsid w:val="00643AA9"/>
    <w:rsid w:val="00643BDC"/>
    <w:rsid w:val="00644FF2"/>
    <w:rsid w:val="0064613F"/>
    <w:rsid w:val="006465FE"/>
    <w:rsid w:val="006467D7"/>
    <w:rsid w:val="00646E44"/>
    <w:rsid w:val="00651F43"/>
    <w:rsid w:val="006527F3"/>
    <w:rsid w:val="006541FB"/>
    <w:rsid w:val="006608B1"/>
    <w:rsid w:val="00665466"/>
    <w:rsid w:val="00665C19"/>
    <w:rsid w:val="00665CBD"/>
    <w:rsid w:val="00670AFE"/>
    <w:rsid w:val="00671A32"/>
    <w:rsid w:val="00672AC8"/>
    <w:rsid w:val="00675C4B"/>
    <w:rsid w:val="0067762D"/>
    <w:rsid w:val="00680B4E"/>
    <w:rsid w:val="006810E4"/>
    <w:rsid w:val="006839B6"/>
    <w:rsid w:val="006843E1"/>
    <w:rsid w:val="0068671B"/>
    <w:rsid w:val="00686F48"/>
    <w:rsid w:val="006872D9"/>
    <w:rsid w:val="00687BEE"/>
    <w:rsid w:val="00687DA3"/>
    <w:rsid w:val="0069160B"/>
    <w:rsid w:val="006936A5"/>
    <w:rsid w:val="006948E4"/>
    <w:rsid w:val="00694B34"/>
    <w:rsid w:val="00694B87"/>
    <w:rsid w:val="00694D00"/>
    <w:rsid w:val="006A1906"/>
    <w:rsid w:val="006A3BEF"/>
    <w:rsid w:val="006A3D9E"/>
    <w:rsid w:val="006A4F05"/>
    <w:rsid w:val="006A69A8"/>
    <w:rsid w:val="006B183A"/>
    <w:rsid w:val="006B1A97"/>
    <w:rsid w:val="006B3AAF"/>
    <w:rsid w:val="006B4F54"/>
    <w:rsid w:val="006B6B67"/>
    <w:rsid w:val="006C002F"/>
    <w:rsid w:val="006C02F5"/>
    <w:rsid w:val="006C5FEF"/>
    <w:rsid w:val="006C7EB3"/>
    <w:rsid w:val="006D5227"/>
    <w:rsid w:val="006D629D"/>
    <w:rsid w:val="006E51D3"/>
    <w:rsid w:val="006E64A5"/>
    <w:rsid w:val="006E6C77"/>
    <w:rsid w:val="006E772C"/>
    <w:rsid w:val="006E797A"/>
    <w:rsid w:val="006F0A0C"/>
    <w:rsid w:val="006F1D33"/>
    <w:rsid w:val="006F1D8D"/>
    <w:rsid w:val="006F2510"/>
    <w:rsid w:val="006F3A0F"/>
    <w:rsid w:val="006F7221"/>
    <w:rsid w:val="007014C0"/>
    <w:rsid w:val="00702458"/>
    <w:rsid w:val="007047D8"/>
    <w:rsid w:val="00707395"/>
    <w:rsid w:val="007122EB"/>
    <w:rsid w:val="00715B09"/>
    <w:rsid w:val="0072144E"/>
    <w:rsid w:val="00721BF4"/>
    <w:rsid w:val="007266EE"/>
    <w:rsid w:val="00727382"/>
    <w:rsid w:val="0072764B"/>
    <w:rsid w:val="00727936"/>
    <w:rsid w:val="00727E2C"/>
    <w:rsid w:val="00727F6F"/>
    <w:rsid w:val="007327FF"/>
    <w:rsid w:val="007402C2"/>
    <w:rsid w:val="007402D5"/>
    <w:rsid w:val="007404F8"/>
    <w:rsid w:val="00740EED"/>
    <w:rsid w:val="00741976"/>
    <w:rsid w:val="00741F19"/>
    <w:rsid w:val="007435B2"/>
    <w:rsid w:val="00743C5C"/>
    <w:rsid w:val="0075021A"/>
    <w:rsid w:val="0075094E"/>
    <w:rsid w:val="00751DF3"/>
    <w:rsid w:val="00752F32"/>
    <w:rsid w:val="0075304B"/>
    <w:rsid w:val="0075552B"/>
    <w:rsid w:val="00757BAC"/>
    <w:rsid w:val="0076108E"/>
    <w:rsid w:val="00762B5C"/>
    <w:rsid w:val="007657D6"/>
    <w:rsid w:val="007715B9"/>
    <w:rsid w:val="00771654"/>
    <w:rsid w:val="00772AC2"/>
    <w:rsid w:val="00773A2C"/>
    <w:rsid w:val="00775269"/>
    <w:rsid w:val="0077608C"/>
    <w:rsid w:val="007774FA"/>
    <w:rsid w:val="00777C1A"/>
    <w:rsid w:val="00777DF4"/>
    <w:rsid w:val="00777F21"/>
    <w:rsid w:val="00780272"/>
    <w:rsid w:val="007804F7"/>
    <w:rsid w:val="007809BE"/>
    <w:rsid w:val="007814B9"/>
    <w:rsid w:val="0078178E"/>
    <w:rsid w:val="007822C3"/>
    <w:rsid w:val="00784810"/>
    <w:rsid w:val="00785B15"/>
    <w:rsid w:val="00787752"/>
    <w:rsid w:val="007910DD"/>
    <w:rsid w:val="0079174D"/>
    <w:rsid w:val="0079412B"/>
    <w:rsid w:val="00794F1B"/>
    <w:rsid w:val="007A06F3"/>
    <w:rsid w:val="007A11CC"/>
    <w:rsid w:val="007A160C"/>
    <w:rsid w:val="007A179B"/>
    <w:rsid w:val="007A4FF4"/>
    <w:rsid w:val="007A5361"/>
    <w:rsid w:val="007A6CC8"/>
    <w:rsid w:val="007B0001"/>
    <w:rsid w:val="007B2540"/>
    <w:rsid w:val="007B3695"/>
    <w:rsid w:val="007B58B1"/>
    <w:rsid w:val="007B5ADD"/>
    <w:rsid w:val="007B6A7E"/>
    <w:rsid w:val="007B7257"/>
    <w:rsid w:val="007C1059"/>
    <w:rsid w:val="007C2503"/>
    <w:rsid w:val="007C2B7A"/>
    <w:rsid w:val="007C4BF9"/>
    <w:rsid w:val="007C5716"/>
    <w:rsid w:val="007D0823"/>
    <w:rsid w:val="007D3E95"/>
    <w:rsid w:val="007D4361"/>
    <w:rsid w:val="007D506A"/>
    <w:rsid w:val="007D7005"/>
    <w:rsid w:val="007E3068"/>
    <w:rsid w:val="007E414C"/>
    <w:rsid w:val="007E4AD3"/>
    <w:rsid w:val="007E6C18"/>
    <w:rsid w:val="007E765C"/>
    <w:rsid w:val="007F0029"/>
    <w:rsid w:val="007F0976"/>
    <w:rsid w:val="007F168D"/>
    <w:rsid w:val="007F1749"/>
    <w:rsid w:val="007F3580"/>
    <w:rsid w:val="007F4C09"/>
    <w:rsid w:val="007F5965"/>
    <w:rsid w:val="007F5CEC"/>
    <w:rsid w:val="007F6983"/>
    <w:rsid w:val="00800AE2"/>
    <w:rsid w:val="00802471"/>
    <w:rsid w:val="008030DC"/>
    <w:rsid w:val="0080418D"/>
    <w:rsid w:val="008070FB"/>
    <w:rsid w:val="008125CD"/>
    <w:rsid w:val="00813057"/>
    <w:rsid w:val="0081356F"/>
    <w:rsid w:val="00815230"/>
    <w:rsid w:val="00816151"/>
    <w:rsid w:val="00817564"/>
    <w:rsid w:val="00817EB6"/>
    <w:rsid w:val="0082016A"/>
    <w:rsid w:val="00820ECE"/>
    <w:rsid w:val="008215E5"/>
    <w:rsid w:val="0082176B"/>
    <w:rsid w:val="00821954"/>
    <w:rsid w:val="008219AD"/>
    <w:rsid w:val="00822072"/>
    <w:rsid w:val="00822430"/>
    <w:rsid w:val="008231ED"/>
    <w:rsid w:val="0082403F"/>
    <w:rsid w:val="0082455A"/>
    <w:rsid w:val="008248BC"/>
    <w:rsid w:val="008249F4"/>
    <w:rsid w:val="00825C61"/>
    <w:rsid w:val="00827589"/>
    <w:rsid w:val="00827791"/>
    <w:rsid w:val="00830F84"/>
    <w:rsid w:val="008310B0"/>
    <w:rsid w:val="008312DD"/>
    <w:rsid w:val="008325F0"/>
    <w:rsid w:val="00834788"/>
    <w:rsid w:val="00840AB3"/>
    <w:rsid w:val="008424CD"/>
    <w:rsid w:val="00842C80"/>
    <w:rsid w:val="00844F41"/>
    <w:rsid w:val="008457C1"/>
    <w:rsid w:val="0084613D"/>
    <w:rsid w:val="00850E6B"/>
    <w:rsid w:val="00852E88"/>
    <w:rsid w:val="008557E8"/>
    <w:rsid w:val="00863478"/>
    <w:rsid w:val="00863945"/>
    <w:rsid w:val="00864E3D"/>
    <w:rsid w:val="00875064"/>
    <w:rsid w:val="00877F0F"/>
    <w:rsid w:val="008800C8"/>
    <w:rsid w:val="0088347A"/>
    <w:rsid w:val="00885797"/>
    <w:rsid w:val="00886234"/>
    <w:rsid w:val="008863D4"/>
    <w:rsid w:val="00886634"/>
    <w:rsid w:val="00887B85"/>
    <w:rsid w:val="00890B37"/>
    <w:rsid w:val="00890DCD"/>
    <w:rsid w:val="00896670"/>
    <w:rsid w:val="00896BE8"/>
    <w:rsid w:val="00896ED5"/>
    <w:rsid w:val="008A037C"/>
    <w:rsid w:val="008A17D1"/>
    <w:rsid w:val="008A251A"/>
    <w:rsid w:val="008A5161"/>
    <w:rsid w:val="008A6135"/>
    <w:rsid w:val="008A7376"/>
    <w:rsid w:val="008A78BB"/>
    <w:rsid w:val="008B3818"/>
    <w:rsid w:val="008B43D4"/>
    <w:rsid w:val="008B470F"/>
    <w:rsid w:val="008B6655"/>
    <w:rsid w:val="008C2830"/>
    <w:rsid w:val="008C3401"/>
    <w:rsid w:val="008C4226"/>
    <w:rsid w:val="008C4325"/>
    <w:rsid w:val="008C4B7C"/>
    <w:rsid w:val="008C4E5B"/>
    <w:rsid w:val="008C5CF0"/>
    <w:rsid w:val="008C764A"/>
    <w:rsid w:val="008D18D9"/>
    <w:rsid w:val="008D356B"/>
    <w:rsid w:val="008D4AB1"/>
    <w:rsid w:val="008D7471"/>
    <w:rsid w:val="008D7B31"/>
    <w:rsid w:val="008E19EE"/>
    <w:rsid w:val="008E1A0D"/>
    <w:rsid w:val="008E316D"/>
    <w:rsid w:val="008E4B80"/>
    <w:rsid w:val="008E6364"/>
    <w:rsid w:val="008F03D5"/>
    <w:rsid w:val="008F07DF"/>
    <w:rsid w:val="008F1A2E"/>
    <w:rsid w:val="008F526D"/>
    <w:rsid w:val="00900D76"/>
    <w:rsid w:val="00901100"/>
    <w:rsid w:val="0090286C"/>
    <w:rsid w:val="0090287D"/>
    <w:rsid w:val="009048AE"/>
    <w:rsid w:val="00906681"/>
    <w:rsid w:val="00907BAD"/>
    <w:rsid w:val="00910AEC"/>
    <w:rsid w:val="00911FE1"/>
    <w:rsid w:val="00912BD2"/>
    <w:rsid w:val="009175CE"/>
    <w:rsid w:val="0092030F"/>
    <w:rsid w:val="009215A1"/>
    <w:rsid w:val="00921A52"/>
    <w:rsid w:val="009250EF"/>
    <w:rsid w:val="0092637D"/>
    <w:rsid w:val="00926541"/>
    <w:rsid w:val="00926B9E"/>
    <w:rsid w:val="009271D3"/>
    <w:rsid w:val="00927477"/>
    <w:rsid w:val="009309E4"/>
    <w:rsid w:val="00933465"/>
    <w:rsid w:val="00933FD9"/>
    <w:rsid w:val="00934398"/>
    <w:rsid w:val="00934ED5"/>
    <w:rsid w:val="0093527E"/>
    <w:rsid w:val="00935678"/>
    <w:rsid w:val="00935C1D"/>
    <w:rsid w:val="00936104"/>
    <w:rsid w:val="00936426"/>
    <w:rsid w:val="00936632"/>
    <w:rsid w:val="009379E5"/>
    <w:rsid w:val="00940FA0"/>
    <w:rsid w:val="009415ED"/>
    <w:rsid w:val="00944F1A"/>
    <w:rsid w:val="00945E58"/>
    <w:rsid w:val="00947BAD"/>
    <w:rsid w:val="00947FE6"/>
    <w:rsid w:val="00952269"/>
    <w:rsid w:val="00952CE1"/>
    <w:rsid w:val="00953507"/>
    <w:rsid w:val="009557D2"/>
    <w:rsid w:val="009568DF"/>
    <w:rsid w:val="00961531"/>
    <w:rsid w:val="009626CD"/>
    <w:rsid w:val="009639DC"/>
    <w:rsid w:val="00963B11"/>
    <w:rsid w:val="00963CC1"/>
    <w:rsid w:val="0096450C"/>
    <w:rsid w:val="009700D6"/>
    <w:rsid w:val="00970329"/>
    <w:rsid w:val="00970F9E"/>
    <w:rsid w:val="009712BD"/>
    <w:rsid w:val="00973BCA"/>
    <w:rsid w:val="00974BCB"/>
    <w:rsid w:val="00975C87"/>
    <w:rsid w:val="00976585"/>
    <w:rsid w:val="00983C45"/>
    <w:rsid w:val="00986357"/>
    <w:rsid w:val="009868B6"/>
    <w:rsid w:val="009924D5"/>
    <w:rsid w:val="009931AC"/>
    <w:rsid w:val="00993E50"/>
    <w:rsid w:val="00995623"/>
    <w:rsid w:val="00995C94"/>
    <w:rsid w:val="0099775A"/>
    <w:rsid w:val="00997ACE"/>
    <w:rsid w:val="009A2940"/>
    <w:rsid w:val="009A373E"/>
    <w:rsid w:val="009A5E9D"/>
    <w:rsid w:val="009A728E"/>
    <w:rsid w:val="009A74ED"/>
    <w:rsid w:val="009B022A"/>
    <w:rsid w:val="009B0779"/>
    <w:rsid w:val="009B1146"/>
    <w:rsid w:val="009B206E"/>
    <w:rsid w:val="009B24E0"/>
    <w:rsid w:val="009B3142"/>
    <w:rsid w:val="009B55F5"/>
    <w:rsid w:val="009B6D6F"/>
    <w:rsid w:val="009B7B41"/>
    <w:rsid w:val="009C17E3"/>
    <w:rsid w:val="009C221E"/>
    <w:rsid w:val="009C2C58"/>
    <w:rsid w:val="009C3B05"/>
    <w:rsid w:val="009C473A"/>
    <w:rsid w:val="009C4D5D"/>
    <w:rsid w:val="009C4F71"/>
    <w:rsid w:val="009C6549"/>
    <w:rsid w:val="009C725B"/>
    <w:rsid w:val="009C739D"/>
    <w:rsid w:val="009C76D3"/>
    <w:rsid w:val="009C77E0"/>
    <w:rsid w:val="009D13D6"/>
    <w:rsid w:val="009D1860"/>
    <w:rsid w:val="009D3E5A"/>
    <w:rsid w:val="009D4396"/>
    <w:rsid w:val="009D4482"/>
    <w:rsid w:val="009D5067"/>
    <w:rsid w:val="009D5C27"/>
    <w:rsid w:val="009D5D43"/>
    <w:rsid w:val="009D744F"/>
    <w:rsid w:val="009E0132"/>
    <w:rsid w:val="009E1AA0"/>
    <w:rsid w:val="009E3C73"/>
    <w:rsid w:val="009E4458"/>
    <w:rsid w:val="009E6D86"/>
    <w:rsid w:val="009E7112"/>
    <w:rsid w:val="009F2704"/>
    <w:rsid w:val="009F3AC5"/>
    <w:rsid w:val="009F51CF"/>
    <w:rsid w:val="009F55BF"/>
    <w:rsid w:val="009F5C24"/>
    <w:rsid w:val="009F5CDD"/>
    <w:rsid w:val="009F7C75"/>
    <w:rsid w:val="00A042F1"/>
    <w:rsid w:val="00A05568"/>
    <w:rsid w:val="00A0629A"/>
    <w:rsid w:val="00A10B9C"/>
    <w:rsid w:val="00A15C91"/>
    <w:rsid w:val="00A200B6"/>
    <w:rsid w:val="00A2031E"/>
    <w:rsid w:val="00A20F2A"/>
    <w:rsid w:val="00A216B1"/>
    <w:rsid w:val="00A22975"/>
    <w:rsid w:val="00A22F25"/>
    <w:rsid w:val="00A23624"/>
    <w:rsid w:val="00A23D3B"/>
    <w:rsid w:val="00A26379"/>
    <w:rsid w:val="00A270A3"/>
    <w:rsid w:val="00A27983"/>
    <w:rsid w:val="00A27EE2"/>
    <w:rsid w:val="00A30D6F"/>
    <w:rsid w:val="00A31681"/>
    <w:rsid w:val="00A320F8"/>
    <w:rsid w:val="00A32354"/>
    <w:rsid w:val="00A32FC2"/>
    <w:rsid w:val="00A36348"/>
    <w:rsid w:val="00A36FB8"/>
    <w:rsid w:val="00A40FD5"/>
    <w:rsid w:val="00A41EAC"/>
    <w:rsid w:val="00A428D5"/>
    <w:rsid w:val="00A42B9E"/>
    <w:rsid w:val="00A44F6D"/>
    <w:rsid w:val="00A44FE5"/>
    <w:rsid w:val="00A4609C"/>
    <w:rsid w:val="00A472EC"/>
    <w:rsid w:val="00A50249"/>
    <w:rsid w:val="00A5358B"/>
    <w:rsid w:val="00A53D4A"/>
    <w:rsid w:val="00A55F87"/>
    <w:rsid w:val="00A56E2E"/>
    <w:rsid w:val="00A67420"/>
    <w:rsid w:val="00A7154B"/>
    <w:rsid w:val="00A746F5"/>
    <w:rsid w:val="00A7634A"/>
    <w:rsid w:val="00A773A7"/>
    <w:rsid w:val="00A773DA"/>
    <w:rsid w:val="00A81702"/>
    <w:rsid w:val="00A84151"/>
    <w:rsid w:val="00A84FC6"/>
    <w:rsid w:val="00A86340"/>
    <w:rsid w:val="00A864EB"/>
    <w:rsid w:val="00A9044C"/>
    <w:rsid w:val="00A90951"/>
    <w:rsid w:val="00A9106B"/>
    <w:rsid w:val="00A91DE3"/>
    <w:rsid w:val="00A91F9A"/>
    <w:rsid w:val="00A93222"/>
    <w:rsid w:val="00A93BC2"/>
    <w:rsid w:val="00A9432E"/>
    <w:rsid w:val="00A94DF2"/>
    <w:rsid w:val="00A95DBC"/>
    <w:rsid w:val="00A95E12"/>
    <w:rsid w:val="00A96926"/>
    <w:rsid w:val="00A97180"/>
    <w:rsid w:val="00AA0167"/>
    <w:rsid w:val="00AA14A9"/>
    <w:rsid w:val="00AA17DC"/>
    <w:rsid w:val="00AA42BD"/>
    <w:rsid w:val="00AA7A18"/>
    <w:rsid w:val="00AA7AB4"/>
    <w:rsid w:val="00AB01E4"/>
    <w:rsid w:val="00AB1582"/>
    <w:rsid w:val="00AB2223"/>
    <w:rsid w:val="00AB29D3"/>
    <w:rsid w:val="00AB39F3"/>
    <w:rsid w:val="00AB44CD"/>
    <w:rsid w:val="00AB44F1"/>
    <w:rsid w:val="00AB454D"/>
    <w:rsid w:val="00AC1694"/>
    <w:rsid w:val="00AC2B19"/>
    <w:rsid w:val="00AC3A1C"/>
    <w:rsid w:val="00AC3D35"/>
    <w:rsid w:val="00AC4A89"/>
    <w:rsid w:val="00AC518A"/>
    <w:rsid w:val="00AC6CEC"/>
    <w:rsid w:val="00AC7411"/>
    <w:rsid w:val="00AD0DBF"/>
    <w:rsid w:val="00AD6ACB"/>
    <w:rsid w:val="00AE05FC"/>
    <w:rsid w:val="00AE1B40"/>
    <w:rsid w:val="00AE2ED6"/>
    <w:rsid w:val="00AE3196"/>
    <w:rsid w:val="00AE7581"/>
    <w:rsid w:val="00AF039F"/>
    <w:rsid w:val="00AF199C"/>
    <w:rsid w:val="00AF4A99"/>
    <w:rsid w:val="00AF6325"/>
    <w:rsid w:val="00AF7A6A"/>
    <w:rsid w:val="00B00F7A"/>
    <w:rsid w:val="00B012D5"/>
    <w:rsid w:val="00B0332B"/>
    <w:rsid w:val="00B03BEE"/>
    <w:rsid w:val="00B066F0"/>
    <w:rsid w:val="00B077EB"/>
    <w:rsid w:val="00B11F7D"/>
    <w:rsid w:val="00B12214"/>
    <w:rsid w:val="00B1230F"/>
    <w:rsid w:val="00B127DA"/>
    <w:rsid w:val="00B12D6E"/>
    <w:rsid w:val="00B12ECD"/>
    <w:rsid w:val="00B14C0B"/>
    <w:rsid w:val="00B2146D"/>
    <w:rsid w:val="00B243CC"/>
    <w:rsid w:val="00B257CC"/>
    <w:rsid w:val="00B25D56"/>
    <w:rsid w:val="00B26E26"/>
    <w:rsid w:val="00B27632"/>
    <w:rsid w:val="00B31EAF"/>
    <w:rsid w:val="00B3313A"/>
    <w:rsid w:val="00B34302"/>
    <w:rsid w:val="00B36043"/>
    <w:rsid w:val="00B37734"/>
    <w:rsid w:val="00B37BCC"/>
    <w:rsid w:val="00B41870"/>
    <w:rsid w:val="00B47039"/>
    <w:rsid w:val="00B47E7B"/>
    <w:rsid w:val="00B518B8"/>
    <w:rsid w:val="00B55791"/>
    <w:rsid w:val="00B6142A"/>
    <w:rsid w:val="00B63318"/>
    <w:rsid w:val="00B665B5"/>
    <w:rsid w:val="00B66DC1"/>
    <w:rsid w:val="00B67101"/>
    <w:rsid w:val="00B706D0"/>
    <w:rsid w:val="00B718C3"/>
    <w:rsid w:val="00B73A67"/>
    <w:rsid w:val="00B76B6C"/>
    <w:rsid w:val="00B76F48"/>
    <w:rsid w:val="00B8043F"/>
    <w:rsid w:val="00B810F4"/>
    <w:rsid w:val="00B8308E"/>
    <w:rsid w:val="00B85012"/>
    <w:rsid w:val="00B91124"/>
    <w:rsid w:val="00B9180C"/>
    <w:rsid w:val="00B9298C"/>
    <w:rsid w:val="00B929F6"/>
    <w:rsid w:val="00B94480"/>
    <w:rsid w:val="00B97B7B"/>
    <w:rsid w:val="00B97BD6"/>
    <w:rsid w:val="00BA18A9"/>
    <w:rsid w:val="00BA2C2D"/>
    <w:rsid w:val="00BA4F14"/>
    <w:rsid w:val="00BA68E2"/>
    <w:rsid w:val="00BB14F8"/>
    <w:rsid w:val="00BB1D3E"/>
    <w:rsid w:val="00BB20A2"/>
    <w:rsid w:val="00BB5269"/>
    <w:rsid w:val="00BC02D7"/>
    <w:rsid w:val="00BC058F"/>
    <w:rsid w:val="00BC1E6A"/>
    <w:rsid w:val="00BC3D6F"/>
    <w:rsid w:val="00BC500A"/>
    <w:rsid w:val="00BC57B1"/>
    <w:rsid w:val="00BC61AC"/>
    <w:rsid w:val="00BD0EBD"/>
    <w:rsid w:val="00BD166C"/>
    <w:rsid w:val="00BD20CF"/>
    <w:rsid w:val="00BD3984"/>
    <w:rsid w:val="00BD3B87"/>
    <w:rsid w:val="00BD3EC6"/>
    <w:rsid w:val="00BD4C35"/>
    <w:rsid w:val="00BE4CCA"/>
    <w:rsid w:val="00BE6FA5"/>
    <w:rsid w:val="00BF28ED"/>
    <w:rsid w:val="00BF3C1F"/>
    <w:rsid w:val="00BF4A9B"/>
    <w:rsid w:val="00BF4D63"/>
    <w:rsid w:val="00BF55E7"/>
    <w:rsid w:val="00C013D8"/>
    <w:rsid w:val="00C0150B"/>
    <w:rsid w:val="00C02786"/>
    <w:rsid w:val="00C036EC"/>
    <w:rsid w:val="00C04372"/>
    <w:rsid w:val="00C0598F"/>
    <w:rsid w:val="00C05D83"/>
    <w:rsid w:val="00C06B27"/>
    <w:rsid w:val="00C1042C"/>
    <w:rsid w:val="00C13CEC"/>
    <w:rsid w:val="00C13CF5"/>
    <w:rsid w:val="00C142D9"/>
    <w:rsid w:val="00C14BD8"/>
    <w:rsid w:val="00C17776"/>
    <w:rsid w:val="00C1781A"/>
    <w:rsid w:val="00C2059D"/>
    <w:rsid w:val="00C20DC8"/>
    <w:rsid w:val="00C23661"/>
    <w:rsid w:val="00C2561D"/>
    <w:rsid w:val="00C300F2"/>
    <w:rsid w:val="00C31EB2"/>
    <w:rsid w:val="00C320DF"/>
    <w:rsid w:val="00C329C3"/>
    <w:rsid w:val="00C34C64"/>
    <w:rsid w:val="00C35A43"/>
    <w:rsid w:val="00C35B77"/>
    <w:rsid w:val="00C35D54"/>
    <w:rsid w:val="00C408A4"/>
    <w:rsid w:val="00C4126C"/>
    <w:rsid w:val="00C42C0C"/>
    <w:rsid w:val="00C42C40"/>
    <w:rsid w:val="00C45D96"/>
    <w:rsid w:val="00C524B5"/>
    <w:rsid w:val="00C55889"/>
    <w:rsid w:val="00C55E95"/>
    <w:rsid w:val="00C62563"/>
    <w:rsid w:val="00C635DA"/>
    <w:rsid w:val="00C6395F"/>
    <w:rsid w:val="00C642F8"/>
    <w:rsid w:val="00C649BC"/>
    <w:rsid w:val="00C66128"/>
    <w:rsid w:val="00C66BD5"/>
    <w:rsid w:val="00C66EE6"/>
    <w:rsid w:val="00C66FCB"/>
    <w:rsid w:val="00C670AB"/>
    <w:rsid w:val="00C67CBA"/>
    <w:rsid w:val="00C71D3E"/>
    <w:rsid w:val="00C721C3"/>
    <w:rsid w:val="00C809DB"/>
    <w:rsid w:val="00C826A0"/>
    <w:rsid w:val="00C83068"/>
    <w:rsid w:val="00C83429"/>
    <w:rsid w:val="00C8410F"/>
    <w:rsid w:val="00C841E8"/>
    <w:rsid w:val="00C85A01"/>
    <w:rsid w:val="00C8637A"/>
    <w:rsid w:val="00C870A4"/>
    <w:rsid w:val="00C87C97"/>
    <w:rsid w:val="00C90ECA"/>
    <w:rsid w:val="00C93022"/>
    <w:rsid w:val="00C946D2"/>
    <w:rsid w:val="00C951D0"/>
    <w:rsid w:val="00C9553E"/>
    <w:rsid w:val="00CA4195"/>
    <w:rsid w:val="00CA45AE"/>
    <w:rsid w:val="00CA535D"/>
    <w:rsid w:val="00CA5747"/>
    <w:rsid w:val="00CA6080"/>
    <w:rsid w:val="00CA61D7"/>
    <w:rsid w:val="00CA70BF"/>
    <w:rsid w:val="00CA7348"/>
    <w:rsid w:val="00CB16E8"/>
    <w:rsid w:val="00CB2CE8"/>
    <w:rsid w:val="00CB364F"/>
    <w:rsid w:val="00CB394A"/>
    <w:rsid w:val="00CB7229"/>
    <w:rsid w:val="00CC1D36"/>
    <w:rsid w:val="00CC4095"/>
    <w:rsid w:val="00CC5BDB"/>
    <w:rsid w:val="00CC6070"/>
    <w:rsid w:val="00CC718E"/>
    <w:rsid w:val="00CC7CDA"/>
    <w:rsid w:val="00CD1CAB"/>
    <w:rsid w:val="00CD3770"/>
    <w:rsid w:val="00CD3E5C"/>
    <w:rsid w:val="00CD5EDD"/>
    <w:rsid w:val="00CE2BA4"/>
    <w:rsid w:val="00CE3AD7"/>
    <w:rsid w:val="00CE4EFC"/>
    <w:rsid w:val="00CE50F5"/>
    <w:rsid w:val="00CF33C3"/>
    <w:rsid w:val="00CF33D2"/>
    <w:rsid w:val="00CF3AC6"/>
    <w:rsid w:val="00CF438E"/>
    <w:rsid w:val="00CF7F2A"/>
    <w:rsid w:val="00CF7F8F"/>
    <w:rsid w:val="00D019ED"/>
    <w:rsid w:val="00D0225D"/>
    <w:rsid w:val="00D026F7"/>
    <w:rsid w:val="00D035AB"/>
    <w:rsid w:val="00D03B6A"/>
    <w:rsid w:val="00D05597"/>
    <w:rsid w:val="00D05BBB"/>
    <w:rsid w:val="00D1373D"/>
    <w:rsid w:val="00D13ABF"/>
    <w:rsid w:val="00D16316"/>
    <w:rsid w:val="00D200E4"/>
    <w:rsid w:val="00D2049A"/>
    <w:rsid w:val="00D213FC"/>
    <w:rsid w:val="00D23C15"/>
    <w:rsid w:val="00D24803"/>
    <w:rsid w:val="00D24ACD"/>
    <w:rsid w:val="00D25F92"/>
    <w:rsid w:val="00D268BA"/>
    <w:rsid w:val="00D311D4"/>
    <w:rsid w:val="00D322B6"/>
    <w:rsid w:val="00D32534"/>
    <w:rsid w:val="00D32B75"/>
    <w:rsid w:val="00D32C0A"/>
    <w:rsid w:val="00D32C17"/>
    <w:rsid w:val="00D353FF"/>
    <w:rsid w:val="00D402F9"/>
    <w:rsid w:val="00D434C3"/>
    <w:rsid w:val="00D44839"/>
    <w:rsid w:val="00D47043"/>
    <w:rsid w:val="00D47915"/>
    <w:rsid w:val="00D5093A"/>
    <w:rsid w:val="00D51479"/>
    <w:rsid w:val="00D54DC4"/>
    <w:rsid w:val="00D55FFA"/>
    <w:rsid w:val="00D5623E"/>
    <w:rsid w:val="00D625F8"/>
    <w:rsid w:val="00D626F2"/>
    <w:rsid w:val="00D63D29"/>
    <w:rsid w:val="00D649AA"/>
    <w:rsid w:val="00D73693"/>
    <w:rsid w:val="00D74A49"/>
    <w:rsid w:val="00D74BEC"/>
    <w:rsid w:val="00D75A07"/>
    <w:rsid w:val="00D80A4D"/>
    <w:rsid w:val="00D82341"/>
    <w:rsid w:val="00D83294"/>
    <w:rsid w:val="00D832F2"/>
    <w:rsid w:val="00D83A4D"/>
    <w:rsid w:val="00D840D8"/>
    <w:rsid w:val="00D85827"/>
    <w:rsid w:val="00D8676E"/>
    <w:rsid w:val="00D90BF2"/>
    <w:rsid w:val="00D92EA4"/>
    <w:rsid w:val="00D93A13"/>
    <w:rsid w:val="00D949A2"/>
    <w:rsid w:val="00D94B21"/>
    <w:rsid w:val="00DA0208"/>
    <w:rsid w:val="00DA0B33"/>
    <w:rsid w:val="00DA1B47"/>
    <w:rsid w:val="00DA2036"/>
    <w:rsid w:val="00DA3FC7"/>
    <w:rsid w:val="00DA46E3"/>
    <w:rsid w:val="00DA4EC4"/>
    <w:rsid w:val="00DA55DB"/>
    <w:rsid w:val="00DA5953"/>
    <w:rsid w:val="00DA5BA5"/>
    <w:rsid w:val="00DA5D11"/>
    <w:rsid w:val="00DA662A"/>
    <w:rsid w:val="00DA7361"/>
    <w:rsid w:val="00DA7537"/>
    <w:rsid w:val="00DA7B21"/>
    <w:rsid w:val="00DA7BFE"/>
    <w:rsid w:val="00DB1453"/>
    <w:rsid w:val="00DB2FD1"/>
    <w:rsid w:val="00DB3137"/>
    <w:rsid w:val="00DB6503"/>
    <w:rsid w:val="00DB663C"/>
    <w:rsid w:val="00DC10A7"/>
    <w:rsid w:val="00DC168D"/>
    <w:rsid w:val="00DC33B6"/>
    <w:rsid w:val="00DC63F9"/>
    <w:rsid w:val="00DD17E8"/>
    <w:rsid w:val="00DD29D3"/>
    <w:rsid w:val="00DD4B24"/>
    <w:rsid w:val="00DD5651"/>
    <w:rsid w:val="00DD6196"/>
    <w:rsid w:val="00DE0474"/>
    <w:rsid w:val="00DE0E2E"/>
    <w:rsid w:val="00DE12F4"/>
    <w:rsid w:val="00DE1DFC"/>
    <w:rsid w:val="00DE208C"/>
    <w:rsid w:val="00DE53B2"/>
    <w:rsid w:val="00DE6B52"/>
    <w:rsid w:val="00DF13FF"/>
    <w:rsid w:val="00DF1553"/>
    <w:rsid w:val="00DF3FB1"/>
    <w:rsid w:val="00DF4624"/>
    <w:rsid w:val="00DF46D3"/>
    <w:rsid w:val="00DF4743"/>
    <w:rsid w:val="00DF7B2B"/>
    <w:rsid w:val="00E01909"/>
    <w:rsid w:val="00E04E0A"/>
    <w:rsid w:val="00E04FDF"/>
    <w:rsid w:val="00E05A53"/>
    <w:rsid w:val="00E05F15"/>
    <w:rsid w:val="00E07D2B"/>
    <w:rsid w:val="00E07D8B"/>
    <w:rsid w:val="00E10531"/>
    <w:rsid w:val="00E10877"/>
    <w:rsid w:val="00E10F29"/>
    <w:rsid w:val="00E11FA8"/>
    <w:rsid w:val="00E1304F"/>
    <w:rsid w:val="00E13BC1"/>
    <w:rsid w:val="00E1419F"/>
    <w:rsid w:val="00E1468A"/>
    <w:rsid w:val="00E17315"/>
    <w:rsid w:val="00E17D79"/>
    <w:rsid w:val="00E20872"/>
    <w:rsid w:val="00E20A02"/>
    <w:rsid w:val="00E238C5"/>
    <w:rsid w:val="00E23F8C"/>
    <w:rsid w:val="00E261C5"/>
    <w:rsid w:val="00E26FC7"/>
    <w:rsid w:val="00E27363"/>
    <w:rsid w:val="00E32521"/>
    <w:rsid w:val="00E34C20"/>
    <w:rsid w:val="00E35D90"/>
    <w:rsid w:val="00E3742A"/>
    <w:rsid w:val="00E4159A"/>
    <w:rsid w:val="00E42DE4"/>
    <w:rsid w:val="00E45CB3"/>
    <w:rsid w:val="00E45EE2"/>
    <w:rsid w:val="00E46623"/>
    <w:rsid w:val="00E46934"/>
    <w:rsid w:val="00E46EB8"/>
    <w:rsid w:val="00E51C1B"/>
    <w:rsid w:val="00E52E4C"/>
    <w:rsid w:val="00E56E61"/>
    <w:rsid w:val="00E57296"/>
    <w:rsid w:val="00E622B2"/>
    <w:rsid w:val="00E633B5"/>
    <w:rsid w:val="00E6393B"/>
    <w:rsid w:val="00E644CD"/>
    <w:rsid w:val="00E65A9B"/>
    <w:rsid w:val="00E7052E"/>
    <w:rsid w:val="00E715C6"/>
    <w:rsid w:val="00E720E4"/>
    <w:rsid w:val="00E7370C"/>
    <w:rsid w:val="00E76C25"/>
    <w:rsid w:val="00E775D2"/>
    <w:rsid w:val="00E8010C"/>
    <w:rsid w:val="00E80AE9"/>
    <w:rsid w:val="00E85789"/>
    <w:rsid w:val="00E9005A"/>
    <w:rsid w:val="00E90688"/>
    <w:rsid w:val="00E91461"/>
    <w:rsid w:val="00E91B94"/>
    <w:rsid w:val="00E93356"/>
    <w:rsid w:val="00E95B85"/>
    <w:rsid w:val="00E9624D"/>
    <w:rsid w:val="00EA0EAA"/>
    <w:rsid w:val="00EA357D"/>
    <w:rsid w:val="00EA37AB"/>
    <w:rsid w:val="00EA4736"/>
    <w:rsid w:val="00EA5BEE"/>
    <w:rsid w:val="00EA5D3F"/>
    <w:rsid w:val="00EA60CE"/>
    <w:rsid w:val="00EA62B8"/>
    <w:rsid w:val="00EA6B0D"/>
    <w:rsid w:val="00EB0AE3"/>
    <w:rsid w:val="00EB0BD9"/>
    <w:rsid w:val="00EB27E5"/>
    <w:rsid w:val="00EB3246"/>
    <w:rsid w:val="00EB3D23"/>
    <w:rsid w:val="00EB4FA7"/>
    <w:rsid w:val="00EB5222"/>
    <w:rsid w:val="00EB602F"/>
    <w:rsid w:val="00EB68EE"/>
    <w:rsid w:val="00EB7174"/>
    <w:rsid w:val="00EB7E69"/>
    <w:rsid w:val="00EC155E"/>
    <w:rsid w:val="00EC23C5"/>
    <w:rsid w:val="00EC2706"/>
    <w:rsid w:val="00EC287E"/>
    <w:rsid w:val="00EC3182"/>
    <w:rsid w:val="00EC35BE"/>
    <w:rsid w:val="00EC3F23"/>
    <w:rsid w:val="00EC57BD"/>
    <w:rsid w:val="00EC5AEE"/>
    <w:rsid w:val="00EC74CE"/>
    <w:rsid w:val="00EC7697"/>
    <w:rsid w:val="00EC77D6"/>
    <w:rsid w:val="00EC7AA0"/>
    <w:rsid w:val="00ED1F25"/>
    <w:rsid w:val="00ED23E5"/>
    <w:rsid w:val="00ED3A71"/>
    <w:rsid w:val="00ED758C"/>
    <w:rsid w:val="00EE06ED"/>
    <w:rsid w:val="00EE232E"/>
    <w:rsid w:val="00EE29CF"/>
    <w:rsid w:val="00EE3209"/>
    <w:rsid w:val="00EE4212"/>
    <w:rsid w:val="00EE54FE"/>
    <w:rsid w:val="00EE55D8"/>
    <w:rsid w:val="00EE5E15"/>
    <w:rsid w:val="00EF03A2"/>
    <w:rsid w:val="00EF1A94"/>
    <w:rsid w:val="00EF20FA"/>
    <w:rsid w:val="00EF52D6"/>
    <w:rsid w:val="00EF7E5B"/>
    <w:rsid w:val="00F00B43"/>
    <w:rsid w:val="00F0162F"/>
    <w:rsid w:val="00F01C96"/>
    <w:rsid w:val="00F0661F"/>
    <w:rsid w:val="00F12CBB"/>
    <w:rsid w:val="00F1355C"/>
    <w:rsid w:val="00F16306"/>
    <w:rsid w:val="00F17B70"/>
    <w:rsid w:val="00F226E8"/>
    <w:rsid w:val="00F25574"/>
    <w:rsid w:val="00F2566F"/>
    <w:rsid w:val="00F30E51"/>
    <w:rsid w:val="00F31375"/>
    <w:rsid w:val="00F316E4"/>
    <w:rsid w:val="00F31980"/>
    <w:rsid w:val="00F31AD0"/>
    <w:rsid w:val="00F33527"/>
    <w:rsid w:val="00F3506F"/>
    <w:rsid w:val="00F35DF7"/>
    <w:rsid w:val="00F37077"/>
    <w:rsid w:val="00F37F36"/>
    <w:rsid w:val="00F41632"/>
    <w:rsid w:val="00F42267"/>
    <w:rsid w:val="00F44560"/>
    <w:rsid w:val="00F454C9"/>
    <w:rsid w:val="00F502E8"/>
    <w:rsid w:val="00F51AF2"/>
    <w:rsid w:val="00F5295B"/>
    <w:rsid w:val="00F55C7F"/>
    <w:rsid w:val="00F564F6"/>
    <w:rsid w:val="00F56AD8"/>
    <w:rsid w:val="00F57CCC"/>
    <w:rsid w:val="00F6137E"/>
    <w:rsid w:val="00F63771"/>
    <w:rsid w:val="00F63922"/>
    <w:rsid w:val="00F673BD"/>
    <w:rsid w:val="00F67509"/>
    <w:rsid w:val="00F675E2"/>
    <w:rsid w:val="00F67F0B"/>
    <w:rsid w:val="00F70C83"/>
    <w:rsid w:val="00F75E0E"/>
    <w:rsid w:val="00F76826"/>
    <w:rsid w:val="00F76A15"/>
    <w:rsid w:val="00F77A72"/>
    <w:rsid w:val="00F8143A"/>
    <w:rsid w:val="00F825E8"/>
    <w:rsid w:val="00F82E38"/>
    <w:rsid w:val="00F83C52"/>
    <w:rsid w:val="00F83D25"/>
    <w:rsid w:val="00F84A1B"/>
    <w:rsid w:val="00F85561"/>
    <w:rsid w:val="00F85A41"/>
    <w:rsid w:val="00F87203"/>
    <w:rsid w:val="00F87DA7"/>
    <w:rsid w:val="00F90A9D"/>
    <w:rsid w:val="00F9218E"/>
    <w:rsid w:val="00F92229"/>
    <w:rsid w:val="00F942DD"/>
    <w:rsid w:val="00F94983"/>
    <w:rsid w:val="00F95111"/>
    <w:rsid w:val="00F95B52"/>
    <w:rsid w:val="00F97C8E"/>
    <w:rsid w:val="00F97E58"/>
    <w:rsid w:val="00FA0AAD"/>
    <w:rsid w:val="00FA1DC1"/>
    <w:rsid w:val="00FA791B"/>
    <w:rsid w:val="00FB0E70"/>
    <w:rsid w:val="00FB1EB6"/>
    <w:rsid w:val="00FB1F05"/>
    <w:rsid w:val="00FB3989"/>
    <w:rsid w:val="00FB5FF6"/>
    <w:rsid w:val="00FB67DD"/>
    <w:rsid w:val="00FB748E"/>
    <w:rsid w:val="00FC02C4"/>
    <w:rsid w:val="00FC066F"/>
    <w:rsid w:val="00FC33BC"/>
    <w:rsid w:val="00FC5B79"/>
    <w:rsid w:val="00FC7905"/>
    <w:rsid w:val="00FD0273"/>
    <w:rsid w:val="00FE5E89"/>
    <w:rsid w:val="00FE7260"/>
    <w:rsid w:val="00FF0866"/>
    <w:rsid w:val="00FF0CA9"/>
    <w:rsid w:val="00FF0D0D"/>
    <w:rsid w:val="00FF245B"/>
    <w:rsid w:val="00FF724C"/>
    <w:rsid w:val="00FF7BD2"/>
    <w:rsid w:val="0446241E"/>
    <w:rsid w:val="04CF7F73"/>
    <w:rsid w:val="04EB39F0"/>
    <w:rsid w:val="05F23EC2"/>
    <w:rsid w:val="06AB31FB"/>
    <w:rsid w:val="086E0331"/>
    <w:rsid w:val="0D2F6B8A"/>
    <w:rsid w:val="111A3D20"/>
    <w:rsid w:val="11504E7B"/>
    <w:rsid w:val="116973E7"/>
    <w:rsid w:val="137A20FF"/>
    <w:rsid w:val="15C622CE"/>
    <w:rsid w:val="1618304E"/>
    <w:rsid w:val="1C661E9C"/>
    <w:rsid w:val="1FF93C0D"/>
    <w:rsid w:val="20D62960"/>
    <w:rsid w:val="218D2799"/>
    <w:rsid w:val="240B2444"/>
    <w:rsid w:val="246D5265"/>
    <w:rsid w:val="252B7970"/>
    <w:rsid w:val="281A2C55"/>
    <w:rsid w:val="28C73537"/>
    <w:rsid w:val="28FF7311"/>
    <w:rsid w:val="2A8011DF"/>
    <w:rsid w:val="2CB624FE"/>
    <w:rsid w:val="2FFD5337"/>
    <w:rsid w:val="317442B8"/>
    <w:rsid w:val="32297A9B"/>
    <w:rsid w:val="32877139"/>
    <w:rsid w:val="345B3646"/>
    <w:rsid w:val="382168F2"/>
    <w:rsid w:val="3844344B"/>
    <w:rsid w:val="390B348E"/>
    <w:rsid w:val="3958538C"/>
    <w:rsid w:val="3A52002D"/>
    <w:rsid w:val="3C854832"/>
    <w:rsid w:val="3E9B2BF5"/>
    <w:rsid w:val="42E303BC"/>
    <w:rsid w:val="45CC7564"/>
    <w:rsid w:val="46B04891"/>
    <w:rsid w:val="46B61861"/>
    <w:rsid w:val="47D964FE"/>
    <w:rsid w:val="48E26213"/>
    <w:rsid w:val="48E43102"/>
    <w:rsid w:val="49463453"/>
    <w:rsid w:val="49D2118A"/>
    <w:rsid w:val="4A901AC1"/>
    <w:rsid w:val="4A963F66"/>
    <w:rsid w:val="4B7047B7"/>
    <w:rsid w:val="4B9F6E4A"/>
    <w:rsid w:val="4BDC6D24"/>
    <w:rsid w:val="4BFA5BC7"/>
    <w:rsid w:val="4C283F6A"/>
    <w:rsid w:val="4E8641FD"/>
    <w:rsid w:val="4E920D56"/>
    <w:rsid w:val="507F6FC1"/>
    <w:rsid w:val="51501564"/>
    <w:rsid w:val="52211C6A"/>
    <w:rsid w:val="53FA1DF9"/>
    <w:rsid w:val="554117E0"/>
    <w:rsid w:val="57A653FB"/>
    <w:rsid w:val="580179B6"/>
    <w:rsid w:val="58B17641"/>
    <w:rsid w:val="5B1E224C"/>
    <w:rsid w:val="5DD047C5"/>
    <w:rsid w:val="5E2A6A47"/>
    <w:rsid w:val="5F9C4824"/>
    <w:rsid w:val="600A6C32"/>
    <w:rsid w:val="60432042"/>
    <w:rsid w:val="605D660D"/>
    <w:rsid w:val="60990465"/>
    <w:rsid w:val="62B76D39"/>
    <w:rsid w:val="694B0523"/>
    <w:rsid w:val="6A3A44B6"/>
    <w:rsid w:val="6B574BF4"/>
    <w:rsid w:val="6BF427C0"/>
    <w:rsid w:val="6CAA4302"/>
    <w:rsid w:val="6D6A6C46"/>
    <w:rsid w:val="6DD35DE5"/>
    <w:rsid w:val="6DF8648C"/>
    <w:rsid w:val="6F0B6421"/>
    <w:rsid w:val="6FF65B1A"/>
    <w:rsid w:val="72C963D7"/>
    <w:rsid w:val="72E87C49"/>
    <w:rsid w:val="74B752B6"/>
    <w:rsid w:val="75673B65"/>
    <w:rsid w:val="76B33C9E"/>
    <w:rsid w:val="76FE49DA"/>
    <w:rsid w:val="77F34A4C"/>
    <w:rsid w:val="781E0402"/>
    <w:rsid w:val="7AF96FCA"/>
    <w:rsid w:val="7D742382"/>
    <w:rsid w:val="7DFBB8BB"/>
    <w:rsid w:val="7E261385"/>
    <w:rsid w:val="7E3045EF"/>
    <w:rsid w:val="AEBA602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iPriority="0" w:semiHidden="0" w:name="toc 3"/>
    <w:lsdException w:qFormat="1" w:unhideWhenUsed="0" w:uiPriority="0" w:name="toc 4"/>
    <w:lsdException w:uiPriority="0" w:name="toc 5"/>
    <w:lsdException w:qFormat="1" w:unhideWhenUsed="0" w:uiPriority="0" w:semiHidden="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qFormat="1"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5"/>
    <w:qFormat/>
    <w:uiPriority w:val="0"/>
    <w:pPr>
      <w:keepNext/>
      <w:keepLines/>
      <w:numPr>
        <w:ilvl w:val="0"/>
        <w:numId w:val="1"/>
      </w:numPr>
      <w:spacing w:before="340" w:after="330" w:line="578" w:lineRule="auto"/>
      <w:outlineLvl w:val="0"/>
    </w:pPr>
    <w:rPr>
      <w:rFonts w:eastAsia="仿宋_GB2312"/>
      <w:b/>
      <w:kern w:val="44"/>
      <w:sz w:val="44"/>
      <w:szCs w:val="20"/>
    </w:rPr>
  </w:style>
  <w:style w:type="paragraph" w:styleId="5">
    <w:name w:val="heading 2"/>
    <w:basedOn w:val="1"/>
    <w:next w:val="6"/>
    <w:link w:val="58"/>
    <w:qFormat/>
    <w:uiPriority w:val="0"/>
    <w:pPr>
      <w:keepNext/>
      <w:keepLines/>
      <w:numPr>
        <w:ilvl w:val="0"/>
        <w:numId w:val="2"/>
      </w:numPr>
      <w:tabs>
        <w:tab w:val="left" w:pos="1145"/>
        <w:tab w:val="clear" w:pos="360"/>
      </w:tabs>
      <w:spacing w:before="260" w:after="260" w:line="416" w:lineRule="auto"/>
      <w:ind w:left="992" w:hanging="567" w:firstLineChars="0"/>
      <w:outlineLvl w:val="1"/>
    </w:pPr>
    <w:rPr>
      <w:rFonts w:ascii="Arial" w:hAnsi="Arial" w:eastAsia="黑体"/>
      <w:b/>
      <w:sz w:val="32"/>
      <w:szCs w:val="20"/>
    </w:rPr>
  </w:style>
  <w:style w:type="paragraph" w:styleId="8">
    <w:name w:val="heading 3"/>
    <w:basedOn w:val="1"/>
    <w:next w:val="6"/>
    <w:link w:val="59"/>
    <w:qFormat/>
    <w:uiPriority w:val="0"/>
    <w:pPr>
      <w:keepNext/>
      <w:keepLines/>
      <w:numPr>
        <w:ilvl w:val="0"/>
        <w:numId w:val="3"/>
      </w:numPr>
      <w:tabs>
        <w:tab w:val="left" w:pos="2651"/>
        <w:tab w:val="clear" w:pos="1200"/>
      </w:tabs>
      <w:spacing w:before="260" w:after="260" w:line="416" w:lineRule="auto"/>
      <w:ind w:left="1418" w:leftChars="0" w:hanging="567" w:firstLineChars="0"/>
      <w:outlineLvl w:val="2"/>
    </w:pPr>
    <w:rPr>
      <w:rFonts w:eastAsia="仿宋_GB2312"/>
      <w:b/>
      <w:sz w:val="32"/>
      <w:szCs w:val="20"/>
    </w:rPr>
  </w:style>
  <w:style w:type="paragraph" w:styleId="9">
    <w:name w:val="heading 4"/>
    <w:basedOn w:val="1"/>
    <w:next w:val="1"/>
    <w:link w:val="60"/>
    <w:qFormat/>
    <w:uiPriority w:val="0"/>
    <w:pPr>
      <w:keepNext/>
      <w:keepLines/>
      <w:numPr>
        <w:ilvl w:val="3"/>
        <w:numId w:val="1"/>
      </w:numPr>
      <w:spacing w:before="280" w:after="290" w:line="376" w:lineRule="auto"/>
      <w:outlineLvl w:val="3"/>
    </w:pPr>
    <w:rPr>
      <w:rFonts w:ascii="Arial" w:hAnsi="Arial" w:eastAsia="黑体"/>
      <w:b/>
      <w:sz w:val="28"/>
      <w:szCs w:val="20"/>
    </w:rPr>
  </w:style>
  <w:style w:type="paragraph" w:styleId="10">
    <w:name w:val="heading 5"/>
    <w:basedOn w:val="1"/>
    <w:next w:val="6"/>
    <w:link w:val="61"/>
    <w:qFormat/>
    <w:uiPriority w:val="0"/>
    <w:pPr>
      <w:keepNext/>
      <w:widowControl/>
      <w:numPr>
        <w:ilvl w:val="0"/>
        <w:numId w:val="4"/>
      </w:numPr>
      <w:jc w:val="left"/>
      <w:outlineLvl w:val="4"/>
    </w:pPr>
    <w:rPr>
      <w:kern w:val="0"/>
      <w:sz w:val="24"/>
      <w:szCs w:val="20"/>
    </w:rPr>
  </w:style>
  <w:style w:type="paragraph" w:styleId="11">
    <w:name w:val="heading 6"/>
    <w:basedOn w:val="1"/>
    <w:next w:val="1"/>
    <w:link w:val="62"/>
    <w:qFormat/>
    <w:uiPriority w:val="0"/>
    <w:pPr>
      <w:widowControl/>
      <w:spacing w:before="60" w:after="60" w:line="440" w:lineRule="atLeast"/>
      <w:textAlignment w:val="baseline"/>
      <w:outlineLvl w:val="5"/>
    </w:pPr>
    <w:rPr>
      <w:rFonts w:ascii="宋体" w:hAnsi="Arial"/>
      <w:kern w:val="0"/>
      <w:sz w:val="24"/>
      <w:szCs w:val="20"/>
    </w:rPr>
  </w:style>
  <w:style w:type="paragraph" w:styleId="12">
    <w:name w:val="heading 7"/>
    <w:basedOn w:val="1"/>
    <w:next w:val="1"/>
    <w:link w:val="63"/>
    <w:qFormat/>
    <w:uiPriority w:val="0"/>
    <w:pPr>
      <w:keepNext/>
      <w:keepLines/>
      <w:adjustRightInd w:val="0"/>
      <w:spacing w:before="240" w:after="64" w:line="320" w:lineRule="atLeast"/>
      <w:textAlignment w:val="baseline"/>
      <w:outlineLvl w:val="6"/>
    </w:pPr>
    <w:rPr>
      <w:rFonts w:ascii="宋体" w:hAnsi="Arial"/>
      <w:b/>
      <w:kern w:val="0"/>
      <w:sz w:val="24"/>
      <w:szCs w:val="20"/>
    </w:rPr>
  </w:style>
  <w:style w:type="paragraph" w:styleId="13">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4">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 w:val="24"/>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next w:val="3"/>
    <w:qFormat/>
    <w:uiPriority w:val="0"/>
    <w:pPr>
      <w:adjustRightInd w:val="0"/>
      <w:spacing w:line="360" w:lineRule="auto"/>
      <w:ind w:firstLine="480" w:firstLineChars="200"/>
    </w:pPr>
    <w:rPr>
      <w:sz w:val="24"/>
      <w:szCs w:val="20"/>
      <w:lang w:val="zh-CN"/>
    </w:rPr>
  </w:style>
  <w:style w:type="paragraph" w:styleId="3">
    <w:name w:val="Body Text"/>
    <w:basedOn w:val="1"/>
    <w:next w:val="1"/>
    <w:link w:val="87"/>
    <w:qFormat/>
    <w:uiPriority w:val="0"/>
    <w:pPr>
      <w:spacing w:line="360" w:lineRule="auto"/>
    </w:pPr>
    <w:rPr>
      <w:rFonts w:eastAsia="仿宋_GB2312"/>
      <w:sz w:val="28"/>
    </w:rPr>
  </w:style>
  <w:style w:type="paragraph" w:styleId="6">
    <w:name w:val="Normal Indent"/>
    <w:basedOn w:val="1"/>
    <w:next w:val="7"/>
    <w:link w:val="56"/>
    <w:qFormat/>
    <w:uiPriority w:val="0"/>
    <w:pPr>
      <w:ind w:firstLine="420" w:firstLineChars="200"/>
    </w:pPr>
  </w:style>
  <w:style w:type="paragraph" w:styleId="7">
    <w:name w:val="Body Text Indent"/>
    <w:basedOn w:val="1"/>
    <w:next w:val="1"/>
    <w:link w:val="68"/>
    <w:qFormat/>
    <w:uiPriority w:val="0"/>
    <w:pPr>
      <w:spacing w:after="120"/>
      <w:ind w:left="420" w:leftChars="200"/>
    </w:pPr>
  </w:style>
  <w:style w:type="paragraph" w:styleId="15">
    <w:name w:val="List Number 2"/>
    <w:basedOn w:val="1"/>
    <w:qFormat/>
    <w:uiPriority w:val="0"/>
    <w:pPr>
      <w:widowControl/>
      <w:tabs>
        <w:tab w:val="left" w:pos="1697"/>
      </w:tabs>
      <w:spacing w:afterLines="50"/>
      <w:ind w:left="1697" w:hanging="420"/>
      <w:jc w:val="left"/>
    </w:pPr>
    <w:rPr>
      <w:kern w:val="0"/>
      <w:sz w:val="24"/>
      <w:szCs w:val="20"/>
    </w:rPr>
  </w:style>
  <w:style w:type="paragraph" w:styleId="16">
    <w:name w:val="List Number"/>
    <w:basedOn w:val="1"/>
    <w:qFormat/>
    <w:uiPriority w:val="0"/>
    <w:pPr>
      <w:widowControl/>
      <w:tabs>
        <w:tab w:val="left" w:pos="454"/>
      </w:tabs>
      <w:spacing w:afterLines="50"/>
      <w:ind w:left="454" w:hanging="284"/>
      <w:jc w:val="left"/>
    </w:pPr>
    <w:rPr>
      <w:kern w:val="0"/>
      <w:sz w:val="24"/>
      <w:szCs w:val="20"/>
    </w:rPr>
  </w:style>
  <w:style w:type="paragraph" w:styleId="17">
    <w:name w:val="caption"/>
    <w:basedOn w:val="1"/>
    <w:next w:val="1"/>
    <w:link w:val="282"/>
    <w:qFormat/>
    <w:uiPriority w:val="0"/>
    <w:pPr>
      <w:spacing w:line="360" w:lineRule="auto"/>
      <w:jc w:val="center"/>
    </w:pPr>
    <w:rPr>
      <w:rFonts w:ascii="Calibri" w:hAnsi="Calibri"/>
      <w:sz w:val="20"/>
      <w:szCs w:val="20"/>
    </w:rPr>
  </w:style>
  <w:style w:type="paragraph" w:styleId="18">
    <w:name w:val="Document Map"/>
    <w:basedOn w:val="1"/>
    <w:link w:val="121"/>
    <w:semiHidden/>
    <w:qFormat/>
    <w:uiPriority w:val="0"/>
    <w:pPr>
      <w:shd w:val="clear" w:color="auto" w:fill="000080"/>
    </w:pPr>
  </w:style>
  <w:style w:type="paragraph" w:styleId="19">
    <w:name w:val="annotation text"/>
    <w:basedOn w:val="1"/>
    <w:link w:val="74"/>
    <w:qFormat/>
    <w:uiPriority w:val="0"/>
    <w:pPr>
      <w:jc w:val="left"/>
    </w:pPr>
  </w:style>
  <w:style w:type="paragraph" w:styleId="20">
    <w:name w:val="List Number 3"/>
    <w:basedOn w:val="1"/>
    <w:qFormat/>
    <w:uiPriority w:val="0"/>
    <w:pPr>
      <w:widowControl/>
      <w:tabs>
        <w:tab w:val="left" w:pos="482"/>
      </w:tabs>
      <w:spacing w:afterLines="50"/>
      <w:ind w:left="482" w:hanging="340"/>
      <w:jc w:val="left"/>
    </w:pPr>
    <w:rPr>
      <w:kern w:val="0"/>
      <w:sz w:val="24"/>
      <w:szCs w:val="20"/>
    </w:rPr>
  </w:style>
  <w:style w:type="paragraph" w:styleId="21">
    <w:name w:val="Block Text"/>
    <w:basedOn w:val="1"/>
    <w:qFormat/>
    <w:uiPriority w:val="0"/>
    <w:pPr>
      <w:spacing w:before="120" w:line="360" w:lineRule="auto"/>
      <w:ind w:left="824" w:right="202"/>
    </w:pPr>
    <w:rPr>
      <w:rFonts w:ascii="宋体" w:hAnsi="宋体"/>
      <w:sz w:val="24"/>
      <w:szCs w:val="21"/>
    </w:rPr>
  </w:style>
  <w:style w:type="paragraph" w:styleId="22">
    <w:name w:val="index 4"/>
    <w:basedOn w:val="1"/>
    <w:next w:val="1"/>
    <w:unhideWhenUsed/>
    <w:qFormat/>
    <w:uiPriority w:val="99"/>
    <w:pPr>
      <w:ind w:left="600" w:leftChars="600"/>
    </w:pPr>
    <w:rPr>
      <w:szCs w:val="22"/>
    </w:rPr>
  </w:style>
  <w:style w:type="paragraph" w:styleId="23">
    <w:name w:val="toc 3"/>
    <w:basedOn w:val="1"/>
    <w:next w:val="1"/>
    <w:unhideWhenUsed/>
    <w:qFormat/>
    <w:uiPriority w:val="0"/>
    <w:pPr>
      <w:ind w:left="840" w:leftChars="400"/>
    </w:pPr>
    <w:rPr>
      <w:rFonts w:ascii="Calibri" w:hAnsi="Calibri"/>
      <w:szCs w:val="22"/>
    </w:rPr>
  </w:style>
  <w:style w:type="paragraph" w:styleId="24">
    <w:name w:val="Plain Text"/>
    <w:basedOn w:val="1"/>
    <w:next w:val="1"/>
    <w:link w:val="66"/>
    <w:qFormat/>
    <w:uiPriority w:val="0"/>
    <w:rPr>
      <w:rFonts w:ascii="宋体" w:hAnsi="Courier New"/>
      <w:szCs w:val="20"/>
    </w:rPr>
  </w:style>
  <w:style w:type="paragraph" w:styleId="25">
    <w:name w:val="Date"/>
    <w:basedOn w:val="1"/>
    <w:next w:val="1"/>
    <w:link w:val="69"/>
    <w:qFormat/>
    <w:uiPriority w:val="0"/>
    <w:rPr>
      <w:rFonts w:ascii="楷体_GB2312" w:eastAsia="楷体_GB2312"/>
      <w:b/>
      <w:sz w:val="28"/>
      <w:szCs w:val="20"/>
    </w:rPr>
  </w:style>
  <w:style w:type="paragraph" w:styleId="26">
    <w:name w:val="Body Text Indent 2"/>
    <w:basedOn w:val="1"/>
    <w:link w:val="83"/>
    <w:qFormat/>
    <w:uiPriority w:val="0"/>
    <w:pPr>
      <w:spacing w:after="120" w:line="480" w:lineRule="auto"/>
      <w:ind w:left="420" w:leftChars="200"/>
    </w:pPr>
  </w:style>
  <w:style w:type="paragraph" w:styleId="27">
    <w:name w:val="Balloon Text"/>
    <w:basedOn w:val="1"/>
    <w:link w:val="200"/>
    <w:qFormat/>
    <w:uiPriority w:val="0"/>
    <w:rPr>
      <w:sz w:val="18"/>
      <w:szCs w:val="18"/>
    </w:rPr>
  </w:style>
  <w:style w:type="paragraph" w:styleId="28">
    <w:name w:val="footer"/>
    <w:basedOn w:val="1"/>
    <w:link w:val="71"/>
    <w:qFormat/>
    <w:uiPriority w:val="0"/>
    <w:pPr>
      <w:tabs>
        <w:tab w:val="center" w:pos="4153"/>
        <w:tab w:val="right" w:pos="8306"/>
      </w:tabs>
      <w:snapToGrid w:val="0"/>
      <w:jc w:val="left"/>
    </w:pPr>
    <w:rPr>
      <w:sz w:val="18"/>
      <w:szCs w:val="18"/>
    </w:rPr>
  </w:style>
  <w:style w:type="paragraph" w:styleId="29">
    <w:name w:val="header"/>
    <w:basedOn w:val="1"/>
    <w:link w:val="70"/>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style>
  <w:style w:type="paragraph" w:styleId="31">
    <w:name w:val="toc 4"/>
    <w:basedOn w:val="1"/>
    <w:next w:val="1"/>
    <w:semiHidden/>
    <w:qFormat/>
    <w:uiPriority w:val="0"/>
    <w:pPr>
      <w:tabs>
        <w:tab w:val="right" w:leader="dot" w:pos="8314"/>
      </w:tabs>
      <w:ind w:firstLine="588" w:firstLineChars="245"/>
    </w:pPr>
  </w:style>
  <w:style w:type="paragraph" w:styleId="32">
    <w:name w:val="toc 6"/>
    <w:basedOn w:val="1"/>
    <w:next w:val="1"/>
    <w:qFormat/>
    <w:uiPriority w:val="0"/>
    <w:pPr>
      <w:ind w:left="2100" w:leftChars="1000"/>
    </w:pPr>
  </w:style>
  <w:style w:type="paragraph" w:styleId="33">
    <w:name w:val="Body Text Indent 3"/>
    <w:basedOn w:val="1"/>
    <w:link w:val="201"/>
    <w:qFormat/>
    <w:uiPriority w:val="0"/>
    <w:pPr>
      <w:spacing w:after="120"/>
      <w:ind w:left="420" w:leftChars="200"/>
    </w:pPr>
    <w:rPr>
      <w:sz w:val="16"/>
      <w:szCs w:val="16"/>
    </w:rPr>
  </w:style>
  <w:style w:type="paragraph" w:styleId="34">
    <w:name w:val="toc 2"/>
    <w:basedOn w:val="1"/>
    <w:next w:val="1"/>
    <w:semiHidden/>
    <w:qFormat/>
    <w:uiPriority w:val="0"/>
    <w:pPr>
      <w:ind w:left="420" w:leftChars="200"/>
    </w:pPr>
  </w:style>
  <w:style w:type="paragraph" w:styleId="35">
    <w:name w:val="Body Text 2"/>
    <w:basedOn w:val="1"/>
    <w:link w:val="75"/>
    <w:qFormat/>
    <w:uiPriority w:val="0"/>
    <w:pPr>
      <w:widowControl/>
      <w:spacing w:afterLines="50" w:line="216" w:lineRule="auto"/>
      <w:jc w:val="center"/>
    </w:pPr>
    <w:rPr>
      <w:rFonts w:ascii="隶书" w:eastAsia="隶书"/>
      <w:bCs/>
      <w:kern w:val="0"/>
      <w:sz w:val="72"/>
      <w:szCs w:val="84"/>
    </w:rPr>
  </w:style>
  <w:style w:type="paragraph" w:styleId="36">
    <w:name w:val="List Continue 2"/>
    <w:basedOn w:val="1"/>
    <w:qFormat/>
    <w:uiPriority w:val="0"/>
    <w:pPr>
      <w:spacing w:after="120"/>
      <w:ind w:left="840" w:leftChars="400"/>
    </w:pPr>
  </w:style>
  <w:style w:type="paragraph" w:styleId="37">
    <w:name w:val="HTML Preformatted"/>
    <w:basedOn w:val="1"/>
    <w:link w:val="20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8">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paragraph" w:styleId="39">
    <w:name w:val="index 1"/>
    <w:basedOn w:val="1"/>
    <w:next w:val="1"/>
    <w:semiHidden/>
    <w:qFormat/>
    <w:uiPriority w:val="0"/>
    <w:pPr>
      <w:spacing w:line="320" w:lineRule="exact"/>
    </w:pPr>
    <w:rPr>
      <w:b/>
      <w:snapToGrid w:val="0"/>
      <w:color w:val="FF6600"/>
      <w:kern w:val="0"/>
      <w:sz w:val="18"/>
      <w:szCs w:val="21"/>
    </w:rPr>
  </w:style>
  <w:style w:type="paragraph" w:styleId="40">
    <w:name w:val="Title"/>
    <w:basedOn w:val="1"/>
    <w:next w:val="1"/>
    <w:link w:val="176"/>
    <w:qFormat/>
    <w:uiPriority w:val="0"/>
    <w:pPr>
      <w:adjustRightInd w:val="0"/>
      <w:spacing w:before="240" w:after="60"/>
      <w:jc w:val="center"/>
      <w:outlineLvl w:val="0"/>
    </w:pPr>
    <w:rPr>
      <w:rFonts w:ascii="Calibri Light" w:hAnsi="Calibri Light"/>
      <w:b/>
      <w:bCs/>
      <w:sz w:val="32"/>
      <w:szCs w:val="32"/>
    </w:rPr>
  </w:style>
  <w:style w:type="paragraph" w:styleId="41">
    <w:name w:val="annotation subject"/>
    <w:basedOn w:val="19"/>
    <w:next w:val="19"/>
    <w:link w:val="203"/>
    <w:qFormat/>
    <w:uiPriority w:val="0"/>
    <w:pPr>
      <w:widowControl/>
      <w:spacing w:afterLines="50"/>
    </w:pPr>
    <w:rPr>
      <w:b/>
      <w:bCs/>
      <w:kern w:val="0"/>
      <w:sz w:val="24"/>
      <w:szCs w:val="20"/>
    </w:rPr>
  </w:style>
  <w:style w:type="paragraph" w:styleId="42">
    <w:name w:val="Body Text First Indent"/>
    <w:basedOn w:val="3"/>
    <w:link w:val="204"/>
    <w:qFormat/>
    <w:uiPriority w:val="0"/>
    <w:pPr>
      <w:spacing w:after="120" w:line="240" w:lineRule="auto"/>
      <w:ind w:firstLine="420" w:firstLineChars="100"/>
    </w:pPr>
    <w:rPr>
      <w:rFonts w:eastAsia="宋体"/>
      <w:sz w:val="21"/>
    </w:rPr>
  </w:style>
  <w:style w:type="paragraph" w:styleId="43">
    <w:name w:val="Body Text First Indent 2"/>
    <w:basedOn w:val="7"/>
    <w:next w:val="42"/>
    <w:link w:val="205"/>
    <w:qFormat/>
    <w:uiPriority w:val="0"/>
    <w:pPr>
      <w:ind w:firstLine="420" w:firstLineChars="200"/>
    </w:p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99"/>
    <w:rPr>
      <w:color w:val="800080"/>
      <w:u w:val="single"/>
    </w:rPr>
  </w:style>
  <w:style w:type="character" w:styleId="50">
    <w:name w:val="Emphasis"/>
    <w:qFormat/>
    <w:uiPriority w:val="0"/>
    <w:rPr>
      <w:color w:val="CC0000"/>
    </w:rPr>
  </w:style>
  <w:style w:type="character" w:styleId="51">
    <w:name w:val="Hyperlink"/>
    <w:qFormat/>
    <w:uiPriority w:val="99"/>
    <w:rPr>
      <w:color w:val="0000FF"/>
      <w:u w:val="single"/>
    </w:rPr>
  </w:style>
  <w:style w:type="character" w:styleId="52">
    <w:name w:val="annotation reference"/>
    <w:qFormat/>
    <w:uiPriority w:val="0"/>
    <w:rPr>
      <w:sz w:val="21"/>
      <w:szCs w:val="21"/>
    </w:rPr>
  </w:style>
  <w:style w:type="paragraph" w:customStyle="1" w:styleId="5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4">
    <w:name w:val="xl53"/>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character" w:customStyle="1" w:styleId="55">
    <w:name w:val="标题 1 字符"/>
    <w:link w:val="4"/>
    <w:qFormat/>
    <w:uiPriority w:val="0"/>
    <w:rPr>
      <w:rFonts w:eastAsia="仿宋_GB2312"/>
      <w:b/>
      <w:kern w:val="44"/>
      <w:sz w:val="44"/>
      <w:lang w:val="en-US" w:eastAsia="zh-CN" w:bidi="ar-SA"/>
    </w:rPr>
  </w:style>
  <w:style w:type="character" w:customStyle="1" w:styleId="56">
    <w:name w:val="正文缩进 字符"/>
    <w:link w:val="6"/>
    <w:qFormat/>
    <w:uiPriority w:val="0"/>
    <w:rPr>
      <w:rFonts w:eastAsia="宋体"/>
      <w:kern w:val="2"/>
      <w:sz w:val="21"/>
      <w:szCs w:val="24"/>
      <w:lang w:val="en-US" w:eastAsia="zh-CN" w:bidi="ar-SA"/>
    </w:rPr>
  </w:style>
  <w:style w:type="paragraph" w:customStyle="1" w:styleId="57">
    <w:name w:val="_Style 15"/>
    <w:basedOn w:val="1"/>
    <w:qFormat/>
    <w:uiPriority w:val="0"/>
    <w:rPr>
      <w:rFonts w:ascii="Tahoma" w:hAnsi="Tahoma"/>
      <w:sz w:val="24"/>
      <w:szCs w:val="20"/>
    </w:rPr>
  </w:style>
  <w:style w:type="character" w:customStyle="1" w:styleId="58">
    <w:name w:val="标题 2 字符"/>
    <w:link w:val="5"/>
    <w:qFormat/>
    <w:uiPriority w:val="0"/>
    <w:rPr>
      <w:rFonts w:ascii="Arial" w:hAnsi="Arial" w:eastAsia="黑体"/>
      <w:b/>
      <w:kern w:val="2"/>
      <w:sz w:val="32"/>
      <w:lang w:val="en-US" w:eastAsia="zh-CN" w:bidi="ar-SA"/>
    </w:rPr>
  </w:style>
  <w:style w:type="character" w:customStyle="1" w:styleId="59">
    <w:name w:val="标题 3 字符"/>
    <w:link w:val="8"/>
    <w:qFormat/>
    <w:uiPriority w:val="0"/>
    <w:rPr>
      <w:rFonts w:eastAsia="仿宋_GB2312"/>
      <w:b/>
      <w:kern w:val="2"/>
      <w:sz w:val="32"/>
      <w:lang w:val="en-US" w:eastAsia="zh-CN" w:bidi="ar-SA"/>
    </w:rPr>
  </w:style>
  <w:style w:type="character" w:customStyle="1" w:styleId="60">
    <w:name w:val="标题 4 字符"/>
    <w:link w:val="9"/>
    <w:qFormat/>
    <w:uiPriority w:val="0"/>
    <w:rPr>
      <w:rFonts w:ascii="Arial" w:hAnsi="Arial" w:eastAsia="黑体"/>
      <w:b/>
      <w:kern w:val="2"/>
      <w:sz w:val="28"/>
      <w:lang w:val="en-US" w:eastAsia="zh-CN" w:bidi="ar-SA"/>
    </w:rPr>
  </w:style>
  <w:style w:type="character" w:customStyle="1" w:styleId="61">
    <w:name w:val="标题 5 字符"/>
    <w:link w:val="10"/>
    <w:qFormat/>
    <w:uiPriority w:val="0"/>
    <w:rPr>
      <w:sz w:val="24"/>
    </w:rPr>
  </w:style>
  <w:style w:type="character" w:customStyle="1" w:styleId="62">
    <w:name w:val="标题 6 字符"/>
    <w:link w:val="11"/>
    <w:qFormat/>
    <w:uiPriority w:val="0"/>
    <w:rPr>
      <w:rFonts w:ascii="宋体" w:hAnsi="Arial" w:eastAsia="宋体"/>
      <w:sz w:val="24"/>
      <w:lang w:val="en-US" w:eastAsia="zh-CN" w:bidi="ar-SA"/>
    </w:rPr>
  </w:style>
  <w:style w:type="character" w:customStyle="1" w:styleId="63">
    <w:name w:val="标题 7 字符"/>
    <w:link w:val="12"/>
    <w:qFormat/>
    <w:uiPriority w:val="0"/>
    <w:rPr>
      <w:rFonts w:ascii="宋体" w:hAnsi="Arial" w:eastAsia="宋体"/>
      <w:b/>
      <w:sz w:val="24"/>
      <w:lang w:val="en-US" w:eastAsia="zh-CN" w:bidi="ar-SA"/>
    </w:rPr>
  </w:style>
  <w:style w:type="character" w:customStyle="1" w:styleId="64">
    <w:name w:val="标题 8 字符"/>
    <w:link w:val="13"/>
    <w:qFormat/>
    <w:uiPriority w:val="0"/>
    <w:rPr>
      <w:rFonts w:ascii="Arial" w:hAnsi="Arial" w:eastAsia="黑体"/>
      <w:sz w:val="24"/>
      <w:lang w:val="en-US" w:eastAsia="zh-CN" w:bidi="ar-SA"/>
    </w:rPr>
  </w:style>
  <w:style w:type="character" w:customStyle="1" w:styleId="65">
    <w:name w:val="标题 9 字符"/>
    <w:link w:val="14"/>
    <w:qFormat/>
    <w:uiPriority w:val="0"/>
    <w:rPr>
      <w:rFonts w:ascii="Arial" w:hAnsi="Arial" w:eastAsia="黑体"/>
      <w:sz w:val="24"/>
      <w:lang w:val="en-US" w:eastAsia="zh-CN" w:bidi="ar-SA"/>
    </w:rPr>
  </w:style>
  <w:style w:type="character" w:customStyle="1" w:styleId="66">
    <w:name w:val="纯文本 字符"/>
    <w:link w:val="24"/>
    <w:qFormat/>
    <w:uiPriority w:val="0"/>
    <w:rPr>
      <w:rFonts w:ascii="宋体" w:hAnsi="Courier New" w:eastAsia="宋体"/>
      <w:kern w:val="2"/>
      <w:sz w:val="21"/>
      <w:lang w:val="en-US" w:eastAsia="zh-CN" w:bidi="ar-SA"/>
    </w:rPr>
  </w:style>
  <w:style w:type="paragraph" w:customStyle="1" w:styleId="67">
    <w:name w:val="表正文"/>
    <w:basedOn w:val="1"/>
    <w:next w:val="24"/>
    <w:qFormat/>
    <w:uiPriority w:val="0"/>
    <w:rPr>
      <w:rFonts w:ascii="宋体" w:hAnsi="Courier New"/>
      <w:szCs w:val="20"/>
    </w:rPr>
  </w:style>
  <w:style w:type="character" w:customStyle="1" w:styleId="68">
    <w:name w:val="正文文本缩进 字符"/>
    <w:link w:val="7"/>
    <w:qFormat/>
    <w:uiPriority w:val="0"/>
    <w:rPr>
      <w:rFonts w:eastAsia="宋体"/>
      <w:kern w:val="2"/>
      <w:sz w:val="21"/>
      <w:szCs w:val="24"/>
      <w:lang w:val="en-US" w:eastAsia="zh-CN" w:bidi="ar-SA"/>
    </w:rPr>
  </w:style>
  <w:style w:type="character" w:customStyle="1" w:styleId="69">
    <w:name w:val="日期 字符"/>
    <w:link w:val="25"/>
    <w:qFormat/>
    <w:uiPriority w:val="0"/>
    <w:rPr>
      <w:rFonts w:ascii="楷体_GB2312" w:eastAsia="楷体_GB2312"/>
      <w:b/>
      <w:kern w:val="2"/>
      <w:sz w:val="28"/>
      <w:lang w:val="en-US" w:eastAsia="zh-CN" w:bidi="ar-SA"/>
    </w:rPr>
  </w:style>
  <w:style w:type="character" w:customStyle="1" w:styleId="70">
    <w:name w:val="页眉 字符"/>
    <w:link w:val="29"/>
    <w:qFormat/>
    <w:uiPriority w:val="0"/>
    <w:rPr>
      <w:rFonts w:eastAsia="宋体"/>
      <w:kern w:val="2"/>
      <w:sz w:val="18"/>
      <w:szCs w:val="18"/>
      <w:lang w:val="en-US" w:eastAsia="zh-CN" w:bidi="ar-SA"/>
    </w:rPr>
  </w:style>
  <w:style w:type="character" w:customStyle="1" w:styleId="71">
    <w:name w:val="页脚 字符"/>
    <w:link w:val="28"/>
    <w:qFormat/>
    <w:locked/>
    <w:uiPriority w:val="0"/>
    <w:rPr>
      <w:rFonts w:eastAsia="宋体"/>
      <w:kern w:val="2"/>
      <w:sz w:val="18"/>
      <w:szCs w:val="18"/>
      <w:lang w:val="en-US" w:eastAsia="zh-CN" w:bidi="ar-SA"/>
    </w:rPr>
  </w:style>
  <w:style w:type="paragraph" w:customStyle="1" w:styleId="72">
    <w:name w:val="正文段"/>
    <w:basedOn w:val="1"/>
    <w:link w:val="73"/>
    <w:qFormat/>
    <w:uiPriority w:val="0"/>
    <w:pPr>
      <w:widowControl/>
      <w:snapToGrid w:val="0"/>
      <w:spacing w:afterLines="50"/>
      <w:ind w:firstLine="200" w:firstLineChars="200"/>
    </w:pPr>
    <w:rPr>
      <w:kern w:val="0"/>
      <w:sz w:val="24"/>
      <w:szCs w:val="20"/>
    </w:rPr>
  </w:style>
  <w:style w:type="character" w:customStyle="1" w:styleId="73">
    <w:name w:val="正文段 Char"/>
    <w:link w:val="72"/>
    <w:qFormat/>
    <w:uiPriority w:val="0"/>
    <w:rPr>
      <w:rFonts w:eastAsia="宋体"/>
      <w:sz w:val="24"/>
      <w:lang w:val="en-US" w:eastAsia="zh-CN" w:bidi="ar-SA"/>
    </w:rPr>
  </w:style>
  <w:style w:type="character" w:customStyle="1" w:styleId="74">
    <w:name w:val="批注文字 字符"/>
    <w:link w:val="19"/>
    <w:qFormat/>
    <w:uiPriority w:val="0"/>
    <w:rPr>
      <w:rFonts w:eastAsia="宋体"/>
      <w:kern w:val="2"/>
      <w:sz w:val="21"/>
      <w:szCs w:val="24"/>
      <w:lang w:val="en-US" w:eastAsia="zh-CN" w:bidi="ar-SA"/>
    </w:rPr>
  </w:style>
  <w:style w:type="character" w:customStyle="1" w:styleId="75">
    <w:name w:val="正文文本 2 字符"/>
    <w:link w:val="35"/>
    <w:qFormat/>
    <w:uiPriority w:val="0"/>
    <w:rPr>
      <w:rFonts w:ascii="隶书" w:eastAsia="隶书"/>
      <w:bCs/>
      <w:sz w:val="72"/>
      <w:szCs w:val="84"/>
      <w:lang w:val="en-US" w:eastAsia="zh-CN" w:bidi="ar-SA"/>
    </w:rPr>
  </w:style>
  <w:style w:type="paragraph" w:customStyle="1" w:styleId="76">
    <w:name w:val="Char"/>
    <w:basedOn w:val="1"/>
    <w:qFormat/>
    <w:uiPriority w:val="0"/>
    <w:rPr>
      <w:rFonts w:ascii="仿宋_GB2312" w:eastAsia="仿宋_GB2312"/>
      <w:b/>
      <w:sz w:val="32"/>
      <w:szCs w:val="32"/>
    </w:rPr>
  </w:style>
  <w:style w:type="paragraph" w:customStyle="1" w:styleId="77">
    <w:name w:val="Table Text"/>
    <w:link w:val="78"/>
    <w:qFormat/>
    <w:uiPriority w:val="0"/>
    <w:pPr>
      <w:snapToGrid w:val="0"/>
      <w:spacing w:before="80" w:after="80"/>
    </w:pPr>
    <w:rPr>
      <w:rFonts w:ascii="Arial" w:hAnsi="Arial" w:eastAsia="宋体" w:cs="Times New Roman"/>
      <w:sz w:val="18"/>
      <w:lang w:val="en-US" w:eastAsia="zh-CN" w:bidi="ar-SA"/>
    </w:rPr>
  </w:style>
  <w:style w:type="character" w:customStyle="1" w:styleId="78">
    <w:name w:val="Table Text Char1"/>
    <w:link w:val="77"/>
    <w:qFormat/>
    <w:uiPriority w:val="0"/>
    <w:rPr>
      <w:rFonts w:ascii="Arial" w:hAnsi="Arial"/>
      <w:sz w:val="18"/>
      <w:lang w:val="en-US" w:eastAsia="zh-CN" w:bidi="ar-SA"/>
    </w:rPr>
  </w:style>
  <w:style w:type="character" w:customStyle="1" w:styleId="79">
    <w:name w:val="正文（缩进2汉字） Char"/>
    <w:link w:val="80"/>
    <w:qFormat/>
    <w:uiPriority w:val="0"/>
    <w:rPr>
      <w:rFonts w:ascii="宋体"/>
      <w:kern w:val="2"/>
      <w:sz w:val="21"/>
      <w:lang w:bidi="ar-SA"/>
    </w:rPr>
  </w:style>
  <w:style w:type="paragraph" w:customStyle="1" w:styleId="80">
    <w:name w:val="正文（缩进2汉字）"/>
    <w:basedOn w:val="1"/>
    <w:link w:val="79"/>
    <w:qFormat/>
    <w:uiPriority w:val="0"/>
    <w:pPr>
      <w:tabs>
        <w:tab w:val="left" w:pos="525"/>
      </w:tabs>
      <w:spacing w:before="100" w:beforeAutospacing="1" w:after="100" w:afterAutospacing="1"/>
      <w:ind w:left="120" w:leftChars="50" w:firstLine="494" w:firstLineChars="206"/>
    </w:pPr>
    <w:rPr>
      <w:rFonts w:ascii="宋体"/>
      <w:szCs w:val="20"/>
    </w:rPr>
  </w:style>
  <w:style w:type="paragraph" w:customStyle="1" w:styleId="81">
    <w:name w:val="Char111"/>
    <w:basedOn w:val="1"/>
    <w:qFormat/>
    <w:uiPriority w:val="0"/>
    <w:pPr>
      <w:tabs>
        <w:tab w:val="left" w:pos="432"/>
      </w:tabs>
      <w:spacing w:beforeLines="50" w:afterLines="50"/>
      <w:ind w:left="432" w:hanging="432"/>
      <w:jc w:val="center"/>
    </w:pPr>
    <w:rPr>
      <w:sz w:val="24"/>
    </w:rPr>
  </w:style>
  <w:style w:type="paragraph" w:customStyle="1" w:styleId="82">
    <w:name w:val="模板普通正文"/>
    <w:basedOn w:val="7"/>
    <w:qFormat/>
    <w:uiPriority w:val="0"/>
    <w:pPr>
      <w:spacing w:beforeLines="50" w:after="10" w:line="360" w:lineRule="auto"/>
      <w:ind w:left="0" w:leftChars="0" w:firstLine="175" w:firstLineChars="175"/>
      <w:jc w:val="left"/>
    </w:pPr>
    <w:rPr>
      <w:sz w:val="24"/>
    </w:rPr>
  </w:style>
  <w:style w:type="character" w:customStyle="1" w:styleId="83">
    <w:name w:val="正文文本缩进 2 字符"/>
    <w:link w:val="26"/>
    <w:qFormat/>
    <w:locked/>
    <w:uiPriority w:val="0"/>
    <w:rPr>
      <w:rFonts w:eastAsia="宋体"/>
      <w:kern w:val="2"/>
      <w:sz w:val="21"/>
      <w:szCs w:val="24"/>
      <w:lang w:val="en-US" w:eastAsia="zh-CN" w:bidi="ar-SA"/>
    </w:rPr>
  </w:style>
  <w:style w:type="paragraph" w:customStyle="1" w:styleId="84">
    <w:name w:val="缺省文本"/>
    <w:basedOn w:val="1"/>
    <w:qFormat/>
    <w:uiPriority w:val="0"/>
    <w:pPr>
      <w:autoSpaceDE w:val="0"/>
      <w:autoSpaceDN w:val="0"/>
      <w:adjustRightInd w:val="0"/>
      <w:jc w:val="left"/>
    </w:pPr>
    <w:rPr>
      <w:kern w:val="0"/>
      <w:sz w:val="24"/>
    </w:rPr>
  </w:style>
  <w:style w:type="paragraph" w:customStyle="1" w:styleId="85">
    <w:name w:val="WW-正文文字缩进 2"/>
    <w:basedOn w:val="1"/>
    <w:qFormat/>
    <w:uiPriority w:val="0"/>
    <w:pPr>
      <w:suppressAutoHyphens/>
      <w:ind w:firstLine="420"/>
    </w:pPr>
    <w:rPr>
      <w:kern w:val="1"/>
      <w:szCs w:val="20"/>
    </w:rPr>
  </w:style>
  <w:style w:type="paragraph" w:customStyle="1" w:styleId="86">
    <w:name w:val="默认段落字体 Para Char Char Char Char Char Char Char Char Char1 Char Char Char Char"/>
    <w:basedOn w:val="1"/>
    <w:qFormat/>
    <w:uiPriority w:val="0"/>
    <w:rPr>
      <w:rFonts w:ascii="Tahoma" w:hAnsi="Tahoma"/>
      <w:sz w:val="24"/>
      <w:szCs w:val="20"/>
    </w:rPr>
  </w:style>
  <w:style w:type="character" w:customStyle="1" w:styleId="87">
    <w:name w:val="正文文本 字符"/>
    <w:link w:val="3"/>
    <w:qFormat/>
    <w:locked/>
    <w:uiPriority w:val="0"/>
    <w:rPr>
      <w:rFonts w:eastAsia="仿宋_GB2312"/>
      <w:kern w:val="2"/>
      <w:sz w:val="28"/>
      <w:szCs w:val="24"/>
      <w:lang w:val="en-US" w:eastAsia="zh-CN" w:bidi="ar-SA"/>
    </w:rPr>
  </w:style>
  <w:style w:type="paragraph" w:customStyle="1" w:styleId="88">
    <w:name w:val="项目排列"/>
    <w:basedOn w:val="1"/>
    <w:link w:val="89"/>
    <w:qFormat/>
    <w:uiPriority w:val="0"/>
    <w:pPr>
      <w:tabs>
        <w:tab w:val="left" w:pos="900"/>
      </w:tabs>
      <w:spacing w:beforeLines="50" w:afterLines="50" w:line="300" w:lineRule="auto"/>
      <w:ind w:left="900" w:hanging="420"/>
    </w:pPr>
    <w:rPr>
      <w:sz w:val="24"/>
    </w:rPr>
  </w:style>
  <w:style w:type="character" w:customStyle="1" w:styleId="89">
    <w:name w:val="项目排列 Char"/>
    <w:link w:val="88"/>
    <w:qFormat/>
    <w:uiPriority w:val="0"/>
    <w:rPr>
      <w:kern w:val="2"/>
      <w:sz w:val="24"/>
      <w:szCs w:val="24"/>
    </w:rPr>
  </w:style>
  <w:style w:type="character" w:customStyle="1" w:styleId="90">
    <w:name w:val="style21"/>
    <w:qFormat/>
    <w:uiPriority w:val="0"/>
    <w:rPr>
      <w:sz w:val="15"/>
      <w:szCs w:val="15"/>
    </w:rPr>
  </w:style>
  <w:style w:type="paragraph" w:customStyle="1" w:styleId="91">
    <w:name w:val="blue"/>
    <w:basedOn w:val="1"/>
    <w:qFormat/>
    <w:uiPriority w:val="0"/>
    <w:pPr>
      <w:widowControl/>
      <w:spacing w:before="100" w:beforeAutospacing="1" w:after="100" w:afterAutospacing="1"/>
      <w:jc w:val="left"/>
    </w:pPr>
    <w:rPr>
      <w:rFonts w:ascii="Arial Unicode MS" w:hAnsi="Arial Unicode MS" w:eastAsia="Arial Unicode MS"/>
      <w:kern w:val="0"/>
      <w:sz w:val="24"/>
      <w:szCs w:val="20"/>
    </w:rPr>
  </w:style>
  <w:style w:type="paragraph" w:styleId="92">
    <w:name w:val="List Paragraph"/>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93">
    <w:name w:val="Char1"/>
    <w:basedOn w:val="1"/>
    <w:qFormat/>
    <w:uiPriority w:val="0"/>
    <w:rPr>
      <w:szCs w:val="20"/>
    </w:rPr>
  </w:style>
  <w:style w:type="paragraph" w:customStyle="1" w:styleId="94">
    <w:name w:val="列出段落1"/>
    <w:basedOn w:val="1"/>
    <w:qFormat/>
    <w:uiPriority w:val="0"/>
    <w:pPr>
      <w:ind w:firstLine="420" w:firstLineChars="200"/>
    </w:pPr>
    <w:rPr>
      <w:rFonts w:ascii="Calibri" w:hAnsi="Calibri"/>
      <w:szCs w:val="22"/>
    </w:rPr>
  </w:style>
  <w:style w:type="paragraph" w:customStyle="1" w:styleId="95">
    <w:name w:val="默认段落字体 Para Char Char Char Char"/>
    <w:basedOn w:val="1"/>
    <w:qFormat/>
    <w:uiPriority w:val="0"/>
  </w:style>
  <w:style w:type="paragraph" w:customStyle="1" w:styleId="96">
    <w:name w:val="Char Char Char1 Char Char Char1 Char Char Char Char"/>
    <w:basedOn w:val="1"/>
    <w:qFormat/>
    <w:uiPriority w:val="0"/>
  </w:style>
  <w:style w:type="character" w:customStyle="1" w:styleId="97">
    <w:name w:val="font1"/>
    <w:qFormat/>
    <w:uiPriority w:val="0"/>
    <w:rPr>
      <w:color w:val="999999"/>
      <w:sz w:val="18"/>
      <w:szCs w:val="18"/>
      <w:u w:val="none"/>
    </w:rPr>
  </w:style>
  <w:style w:type="paragraph" w:customStyle="1" w:styleId="9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Char Char Char Char Char Char Char Char Char Char"/>
    <w:basedOn w:val="1"/>
    <w:qFormat/>
    <w:uiPriority w:val="0"/>
    <w:rPr>
      <w:rFonts w:ascii="Tahoma" w:hAnsi="Tahoma"/>
      <w:sz w:val="24"/>
      <w:szCs w:val="20"/>
    </w:rPr>
  </w:style>
  <w:style w:type="character" w:customStyle="1" w:styleId="100">
    <w:name w:val="apple-style-span"/>
    <w:basedOn w:val="46"/>
    <w:qFormat/>
    <w:uiPriority w:val="0"/>
  </w:style>
  <w:style w:type="paragraph" w:customStyle="1" w:styleId="101">
    <w:name w:val="正文无缩进"/>
    <w:basedOn w:val="1"/>
    <w:link w:val="102"/>
    <w:qFormat/>
    <w:uiPriority w:val="0"/>
    <w:pPr>
      <w:spacing w:line="360" w:lineRule="auto"/>
    </w:pPr>
    <w:rPr>
      <w:rFonts w:ascii="宋体"/>
      <w:color w:val="000000"/>
      <w:sz w:val="24"/>
    </w:rPr>
  </w:style>
  <w:style w:type="character" w:customStyle="1" w:styleId="102">
    <w:name w:val="正文无缩进 Char"/>
    <w:link w:val="101"/>
    <w:qFormat/>
    <w:uiPriority w:val="0"/>
    <w:rPr>
      <w:rFonts w:ascii="宋体" w:eastAsia="宋体"/>
      <w:color w:val="000000"/>
      <w:kern w:val="2"/>
      <w:sz w:val="24"/>
      <w:szCs w:val="24"/>
      <w:lang w:val="en-US" w:eastAsia="zh-CN" w:bidi="ar-SA"/>
    </w:rPr>
  </w:style>
  <w:style w:type="paragraph" w:customStyle="1" w:styleId="103">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character" w:customStyle="1" w:styleId="104">
    <w:name w:val="ca-3"/>
    <w:basedOn w:val="46"/>
    <w:qFormat/>
    <w:uiPriority w:val="0"/>
  </w:style>
  <w:style w:type="paragraph" w:customStyle="1" w:styleId="105">
    <w:name w:val="Char Char1 Char Char Char Char1 Char Char Char"/>
    <w:basedOn w:val="1"/>
    <w:qFormat/>
    <w:uiPriority w:val="0"/>
    <w:pPr>
      <w:adjustRightInd w:val="0"/>
      <w:spacing w:line="360" w:lineRule="atLeast"/>
    </w:pPr>
    <w:rPr>
      <w:rFonts w:ascii="Tahoma" w:hAnsi="Tahoma"/>
      <w:sz w:val="24"/>
      <w:szCs w:val="20"/>
    </w:rPr>
  </w:style>
  <w:style w:type="character" w:customStyle="1" w:styleId="106">
    <w:name w:val="表格 Char Char"/>
    <w:link w:val="107"/>
    <w:qFormat/>
    <w:locked/>
    <w:uiPriority w:val="0"/>
    <w:rPr>
      <w:rFonts w:ascii="宋体" w:hAnsi="宋体" w:eastAsia="宋体"/>
      <w:lang w:val="en-US" w:eastAsia="zh-CN" w:bidi="ar-SA"/>
    </w:rPr>
  </w:style>
  <w:style w:type="paragraph" w:customStyle="1" w:styleId="107">
    <w:name w:val="表格"/>
    <w:basedOn w:val="1"/>
    <w:link w:val="106"/>
    <w:qFormat/>
    <w:uiPriority w:val="0"/>
    <w:pPr>
      <w:snapToGrid w:val="0"/>
      <w:ind w:firstLine="42" w:firstLineChars="21"/>
    </w:pPr>
    <w:rPr>
      <w:rFonts w:ascii="宋体" w:hAnsi="宋体"/>
      <w:kern w:val="0"/>
      <w:sz w:val="20"/>
      <w:szCs w:val="20"/>
    </w:rPr>
  </w:style>
  <w:style w:type="paragraph" w:customStyle="1" w:styleId="108">
    <w:name w:val="xl32"/>
    <w:basedOn w:val="1"/>
    <w:qFormat/>
    <w:uiPriority w:val="0"/>
    <w:pPr>
      <w:widowControl/>
      <w:pBdr>
        <w:left w:val="single" w:color="auto" w:sz="4" w:space="0"/>
        <w:right w:val="single" w:color="auto" w:sz="4" w:space="0"/>
      </w:pBdr>
      <w:spacing w:before="100" w:beforeAutospacing="1" w:after="100" w:afterAutospacing="1"/>
    </w:pPr>
    <w:rPr>
      <w:kern w:val="0"/>
      <w:szCs w:val="21"/>
    </w:rPr>
  </w:style>
  <w:style w:type="paragraph" w:customStyle="1" w:styleId="109">
    <w:name w:val="Char Char1 Char Char Char Char Char Char"/>
    <w:basedOn w:val="1"/>
    <w:qFormat/>
    <w:uiPriority w:val="0"/>
    <w:pPr>
      <w:widowControl/>
      <w:spacing w:after="160" w:line="240" w:lineRule="exact"/>
      <w:jc w:val="left"/>
    </w:pPr>
  </w:style>
  <w:style w:type="character" w:customStyle="1" w:styleId="110">
    <w:name w:val="Char Char"/>
    <w:qFormat/>
    <w:uiPriority w:val="0"/>
    <w:rPr>
      <w:rFonts w:hint="eastAsia" w:ascii="宋体" w:hAnsi="Courier New" w:eastAsia="宋体"/>
      <w:kern w:val="2"/>
      <w:sz w:val="21"/>
      <w:lang w:val="en-US" w:eastAsia="zh-CN" w:bidi="ar-SA"/>
    </w:rPr>
  </w:style>
  <w:style w:type="character" w:customStyle="1" w:styleId="111">
    <w:name w:val="style51"/>
    <w:qFormat/>
    <w:uiPriority w:val="0"/>
    <w:rPr>
      <w:sz w:val="21"/>
      <w:szCs w:val="21"/>
    </w:rPr>
  </w:style>
  <w:style w:type="paragraph" w:customStyle="1" w:styleId="112">
    <w:name w:val="标书_正文"/>
    <w:basedOn w:val="1"/>
    <w:qFormat/>
    <w:uiPriority w:val="0"/>
    <w:pPr>
      <w:adjustRightInd w:val="0"/>
      <w:snapToGrid w:val="0"/>
      <w:spacing w:line="400" w:lineRule="exact"/>
      <w:ind w:firstLine="560" w:firstLineChars="200"/>
    </w:pPr>
    <w:rPr>
      <w:rFonts w:ascii="仿宋_GB2312" w:eastAsia="仿宋_GB2312" w:cs="宋体"/>
      <w:bCs/>
      <w:color w:val="000000"/>
      <w:kern w:val="0"/>
      <w:sz w:val="28"/>
      <w:szCs w:val="28"/>
    </w:rPr>
  </w:style>
  <w:style w:type="paragraph" w:customStyle="1" w:styleId="113">
    <w:name w:val="标准文本"/>
    <w:basedOn w:val="1"/>
    <w:link w:val="114"/>
    <w:qFormat/>
    <w:uiPriority w:val="0"/>
    <w:pPr>
      <w:spacing w:line="360" w:lineRule="auto"/>
      <w:ind w:firstLine="480" w:firstLineChars="200"/>
    </w:pPr>
    <w:rPr>
      <w:rFonts w:cs="宋体"/>
      <w:sz w:val="24"/>
      <w:szCs w:val="20"/>
    </w:rPr>
  </w:style>
  <w:style w:type="character" w:customStyle="1" w:styleId="114">
    <w:name w:val="标准文本 Char"/>
    <w:link w:val="113"/>
    <w:qFormat/>
    <w:uiPriority w:val="0"/>
    <w:rPr>
      <w:rFonts w:eastAsia="宋体" w:cs="宋体"/>
      <w:kern w:val="2"/>
      <w:sz w:val="24"/>
      <w:lang w:val="en-US" w:eastAsia="zh-CN" w:bidi="ar-SA"/>
    </w:rPr>
  </w:style>
  <w:style w:type="paragraph" w:customStyle="1" w:styleId="115">
    <w:name w:val="自定义正文"/>
    <w:basedOn w:val="1"/>
    <w:link w:val="116"/>
    <w:qFormat/>
    <w:uiPriority w:val="0"/>
    <w:pPr>
      <w:spacing w:line="480" w:lineRule="exact"/>
      <w:ind w:firstLine="200" w:firstLineChars="200"/>
      <w:jc w:val="left"/>
    </w:pPr>
    <w:rPr>
      <w:rFonts w:ascii="仿宋_GB2312" w:eastAsia="仿宋_GB2312"/>
      <w:sz w:val="28"/>
    </w:rPr>
  </w:style>
  <w:style w:type="character" w:customStyle="1" w:styleId="116">
    <w:name w:val="自定义正文 Char"/>
    <w:link w:val="115"/>
    <w:qFormat/>
    <w:uiPriority w:val="0"/>
    <w:rPr>
      <w:rFonts w:ascii="仿宋_GB2312" w:eastAsia="仿宋_GB2312"/>
      <w:kern w:val="2"/>
      <w:sz w:val="28"/>
      <w:szCs w:val="24"/>
      <w:lang w:val="en-US" w:eastAsia="zh-CN" w:bidi="ar-SA"/>
    </w:rPr>
  </w:style>
  <w:style w:type="paragraph" w:customStyle="1" w:styleId="117">
    <w:name w:val="样式 小四 行距: 1.5 倍行距 首行缩进:  2 字符"/>
    <w:basedOn w:val="1"/>
    <w:qFormat/>
    <w:uiPriority w:val="0"/>
    <w:pPr>
      <w:spacing w:line="360" w:lineRule="auto"/>
      <w:ind w:firstLine="480" w:firstLineChars="200"/>
    </w:pPr>
    <w:rPr>
      <w:rFonts w:cs="宋体"/>
      <w:sz w:val="24"/>
      <w:szCs w:val="20"/>
    </w:rPr>
  </w:style>
  <w:style w:type="paragraph" w:customStyle="1" w:styleId="118">
    <w:name w:val="自定义表格文字"/>
    <w:basedOn w:val="1"/>
    <w:qFormat/>
    <w:uiPriority w:val="0"/>
    <w:pPr>
      <w:spacing w:before="60" w:after="60" w:line="320" w:lineRule="exact"/>
      <w:jc w:val="left"/>
    </w:pPr>
    <w:rPr>
      <w:rFonts w:ascii="宋体" w:eastAsia="楷体_GB2312"/>
    </w:rPr>
  </w:style>
  <w:style w:type="paragraph" w:customStyle="1" w:styleId="119">
    <w:name w:val="Char Char Char1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0">
    <w:name w:val="Char Char Char1 Char11"/>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21">
    <w:name w:val="文档结构图 字符"/>
    <w:link w:val="18"/>
    <w:semiHidden/>
    <w:qFormat/>
    <w:uiPriority w:val="0"/>
    <w:rPr>
      <w:rFonts w:eastAsia="宋体"/>
      <w:kern w:val="2"/>
      <w:sz w:val="21"/>
      <w:szCs w:val="24"/>
      <w:lang w:val="en-US" w:eastAsia="zh-CN" w:bidi="ar-SA"/>
    </w:rPr>
  </w:style>
  <w:style w:type="character" w:customStyle="1" w:styleId="122">
    <w:name w:val="Char Char12"/>
    <w:qFormat/>
    <w:uiPriority w:val="0"/>
    <w:rPr>
      <w:rFonts w:ascii="宋体" w:hAnsi="Courier New" w:eastAsia="宋体"/>
      <w:kern w:val="2"/>
      <w:sz w:val="21"/>
      <w:lang w:val="en-US" w:eastAsia="zh-CN" w:bidi="ar-SA"/>
    </w:rPr>
  </w:style>
  <w:style w:type="character" w:customStyle="1" w:styleId="123">
    <w:name w:val="H4 Char"/>
    <w:qFormat/>
    <w:uiPriority w:val="0"/>
    <w:rPr>
      <w:rFonts w:ascii="宋体" w:hAnsi="宋体" w:eastAsia="黑体"/>
      <w:b/>
      <w:bCs/>
      <w:color w:val="000000"/>
      <w:spacing w:val="-4"/>
      <w:kern w:val="2"/>
      <w:sz w:val="24"/>
      <w:szCs w:val="30"/>
      <w:lang w:val="en-US" w:eastAsia="zh-CN" w:bidi="ar-SA"/>
    </w:rPr>
  </w:style>
  <w:style w:type="character" w:customStyle="1" w:styleId="124">
    <w:name w:val="H5 Char"/>
    <w:qFormat/>
    <w:uiPriority w:val="0"/>
    <w:rPr>
      <w:rFonts w:ascii="Arial" w:hAnsi="Arial" w:eastAsia="宋体"/>
      <w:sz w:val="24"/>
      <w:lang w:val="en-US" w:eastAsia="zh-CN" w:bidi="ar-SA"/>
    </w:rPr>
  </w:style>
  <w:style w:type="character" w:customStyle="1" w:styleId="125">
    <w:name w:val="Char Char8"/>
    <w:qFormat/>
    <w:uiPriority w:val="0"/>
    <w:rPr>
      <w:rFonts w:ascii="宋体" w:eastAsia="宋体"/>
      <w:kern w:val="2"/>
      <w:sz w:val="28"/>
      <w:lang w:val="en-US" w:eastAsia="zh-CN" w:bidi="ar-SA"/>
    </w:rPr>
  </w:style>
  <w:style w:type="character" w:customStyle="1" w:styleId="126">
    <w:name w:val="Char Char7"/>
    <w:qFormat/>
    <w:uiPriority w:val="0"/>
    <w:rPr>
      <w:rFonts w:eastAsia="仿宋_GB2312"/>
      <w:kern w:val="2"/>
      <w:sz w:val="24"/>
      <w:szCs w:val="24"/>
      <w:lang w:val="en-US" w:eastAsia="zh-CN" w:bidi="ar-SA"/>
    </w:rPr>
  </w:style>
  <w:style w:type="paragraph" w:customStyle="1" w:styleId="127">
    <w:name w:val="表内文字"/>
    <w:basedOn w:val="1"/>
    <w:qFormat/>
    <w:uiPriority w:val="0"/>
    <w:pPr>
      <w:jc w:val="center"/>
    </w:pPr>
    <w:rPr>
      <w:color w:val="FF0000"/>
      <w:kern w:val="0"/>
      <w:sz w:val="24"/>
    </w:rPr>
  </w:style>
  <w:style w:type="character" w:customStyle="1" w:styleId="128">
    <w:name w:val="Char Char3"/>
    <w:qFormat/>
    <w:uiPriority w:val="0"/>
    <w:rPr>
      <w:rFonts w:eastAsia="仿宋_GB2312"/>
      <w:kern w:val="2"/>
      <w:sz w:val="28"/>
      <w:szCs w:val="24"/>
      <w:lang w:val="en-US" w:eastAsia="zh-CN" w:bidi="ar-SA"/>
    </w:rPr>
  </w:style>
  <w:style w:type="paragraph" w:customStyle="1" w:styleId="129">
    <w:name w:val="xl25"/>
    <w:basedOn w:val="1"/>
    <w:qFormat/>
    <w:uiPriority w:val="0"/>
    <w:pPr>
      <w:widowControl/>
      <w:spacing w:before="100" w:beforeAutospacing="1" w:after="100" w:afterAutospacing="1"/>
      <w:jc w:val="center"/>
      <w:textAlignment w:val="center"/>
    </w:pPr>
    <w:rPr>
      <w:rFonts w:ascii="宋体" w:hAnsi="宋体"/>
      <w:kern w:val="0"/>
      <w:sz w:val="20"/>
      <w:szCs w:val="20"/>
    </w:rPr>
  </w:style>
  <w:style w:type="paragraph" w:customStyle="1" w:styleId="130">
    <w:name w:val="font7"/>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131">
    <w:name w:val="font5"/>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32">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33">
    <w:name w:val="项目1"/>
    <w:basedOn w:val="1"/>
    <w:qFormat/>
    <w:uiPriority w:val="0"/>
    <w:pPr>
      <w:tabs>
        <w:tab w:val="left" w:pos="840"/>
      </w:tabs>
      <w:spacing w:after="60"/>
      <w:ind w:left="840" w:hanging="420"/>
    </w:pPr>
    <w:rPr>
      <w:rFonts w:ascii="宋体"/>
      <w:spacing w:val="4"/>
      <w:szCs w:val="20"/>
    </w:rPr>
  </w:style>
  <w:style w:type="paragraph" w:customStyle="1" w:styleId="134">
    <w:name w:val="编10号"/>
    <w:basedOn w:val="1"/>
    <w:qFormat/>
    <w:uiPriority w:val="0"/>
    <w:pPr>
      <w:tabs>
        <w:tab w:val="left" w:pos="1620"/>
      </w:tabs>
      <w:ind w:left="1620" w:hanging="360"/>
    </w:pPr>
  </w:style>
  <w:style w:type="paragraph" w:customStyle="1" w:styleId="135">
    <w:name w:val="段"/>
    <w:basedOn w:val="1"/>
    <w:qFormat/>
    <w:uiPriority w:val="0"/>
    <w:pPr>
      <w:ind w:firstLine="425"/>
    </w:pPr>
    <w:rPr>
      <w:rFonts w:ascii="宋体"/>
      <w:szCs w:val="20"/>
    </w:rPr>
  </w:style>
  <w:style w:type="paragraph" w:customStyle="1" w:styleId="136">
    <w:name w:val="Char Char Char Char"/>
    <w:basedOn w:val="1"/>
    <w:qFormat/>
    <w:uiPriority w:val="0"/>
    <w:pPr>
      <w:widowControl/>
      <w:spacing w:after="160" w:line="240" w:lineRule="exact"/>
      <w:jc w:val="left"/>
    </w:pPr>
    <w:rPr>
      <w:kern w:val="0"/>
      <w:sz w:val="24"/>
    </w:rPr>
  </w:style>
  <w:style w:type="paragraph" w:customStyle="1" w:styleId="137">
    <w:name w:val="Char Char1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38">
    <w:name w:val="bulletintext1"/>
    <w:qFormat/>
    <w:uiPriority w:val="0"/>
    <w:rPr>
      <w:rFonts w:hint="eastAsia" w:ascii="宋体" w:hAnsi="宋体" w:eastAsia="宋体"/>
      <w:sz w:val="18"/>
      <w:szCs w:val="18"/>
    </w:rPr>
  </w:style>
  <w:style w:type="paragraph" w:customStyle="1" w:styleId="139">
    <w:name w:val="Char1 Char Char Char Char Char Char"/>
    <w:basedOn w:val="1"/>
    <w:qFormat/>
    <w:uiPriority w:val="0"/>
    <w:rPr>
      <w:rFonts w:ascii="Tahoma" w:hAnsi="Tahoma"/>
      <w:sz w:val="24"/>
      <w:szCs w:val="20"/>
    </w:rPr>
  </w:style>
  <w:style w:type="paragraph" w:customStyle="1" w:styleId="140">
    <w:name w:val="Char Char2 Char Char Char Char"/>
    <w:basedOn w:val="18"/>
    <w:qFormat/>
    <w:uiPriority w:val="0"/>
    <w:rPr>
      <w:rFonts w:ascii="Tahoma" w:hAnsi="Tahoma"/>
      <w:sz w:val="24"/>
    </w:rPr>
  </w:style>
  <w:style w:type="paragraph" w:customStyle="1" w:styleId="141">
    <w:name w:val="Char Char Char"/>
    <w:basedOn w:val="18"/>
    <w:qFormat/>
    <w:uiPriority w:val="0"/>
    <w:rPr>
      <w:rFonts w:ascii="Tahoma" w:hAnsi="Tahoma"/>
      <w:sz w:val="24"/>
    </w:rPr>
  </w:style>
  <w:style w:type="paragraph" w:customStyle="1" w:styleId="142">
    <w:name w:val="正文缩进 New"/>
    <w:basedOn w:val="1"/>
    <w:qFormat/>
    <w:uiPriority w:val="0"/>
    <w:pPr>
      <w:ind w:firstLine="420" w:firstLineChars="200"/>
    </w:pPr>
    <w:rPr>
      <w:szCs w:val="20"/>
    </w:rPr>
  </w:style>
  <w:style w:type="paragraph" w:customStyle="1" w:styleId="143">
    <w:name w:val="正文 New New New New New New New New New New New New New New New New New New New New New New New New New"/>
    <w:qFormat/>
    <w:uiPriority w:val="0"/>
    <w:pPr>
      <w:widowControl w:val="0"/>
      <w:spacing w:line="440" w:lineRule="exact"/>
      <w:jc w:val="both"/>
    </w:pPr>
    <w:rPr>
      <w:rFonts w:ascii="Times New Roman" w:hAnsi="Times New Roman" w:eastAsia="宋体" w:cs="Times New Roman"/>
      <w:kern w:val="2"/>
      <w:sz w:val="28"/>
      <w:szCs w:val="24"/>
      <w:lang w:val="en-US" w:eastAsia="zh-CN" w:bidi="ar-SA"/>
    </w:rPr>
  </w:style>
  <w:style w:type="character" w:customStyle="1" w:styleId="144">
    <w:name w:val="tpc_content1"/>
    <w:qFormat/>
    <w:uiPriority w:val="0"/>
    <w:rPr>
      <w:sz w:val="20"/>
      <w:szCs w:val="20"/>
    </w:rPr>
  </w:style>
  <w:style w:type="character" w:customStyle="1" w:styleId="145">
    <w:name w:val="Char Char11"/>
    <w:qFormat/>
    <w:uiPriority w:val="0"/>
    <w:rPr>
      <w:b/>
      <w:kern w:val="44"/>
      <w:sz w:val="44"/>
    </w:rPr>
  </w:style>
  <w:style w:type="character" w:customStyle="1" w:styleId="146">
    <w:name w:val="Char Char10"/>
    <w:qFormat/>
    <w:uiPriority w:val="0"/>
    <w:rPr>
      <w:b/>
      <w:kern w:val="2"/>
      <w:sz w:val="28"/>
      <w:szCs w:val="28"/>
    </w:rPr>
  </w:style>
  <w:style w:type="character" w:customStyle="1" w:styleId="147">
    <w:name w:val="Char Char9"/>
    <w:qFormat/>
    <w:uiPriority w:val="0"/>
    <w:rPr>
      <w:b/>
      <w:kern w:val="2"/>
      <w:sz w:val="24"/>
      <w:szCs w:val="24"/>
    </w:rPr>
  </w:style>
  <w:style w:type="paragraph" w:customStyle="1" w:styleId="148">
    <w:name w:val="Char Char Char 字元 字元"/>
    <w:basedOn w:val="1"/>
    <w:qFormat/>
    <w:uiPriority w:val="0"/>
    <w:pPr>
      <w:spacing w:line="360" w:lineRule="auto"/>
      <w:ind w:firstLine="200" w:firstLineChars="200"/>
    </w:pPr>
    <w:rPr>
      <w:szCs w:val="20"/>
    </w:rPr>
  </w:style>
  <w:style w:type="paragraph" w:customStyle="1" w:styleId="149">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0">
    <w:name w:val="正文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51">
    <w:name w:val="style11"/>
    <w:qFormat/>
    <w:uiPriority w:val="0"/>
    <w:rPr>
      <w:b/>
      <w:bCs/>
      <w:color w:val="FF0000"/>
    </w:rPr>
  </w:style>
  <w:style w:type="character" w:customStyle="1" w:styleId="152">
    <w:name w:val="info"/>
    <w:basedOn w:val="46"/>
    <w:qFormat/>
    <w:uiPriority w:val="0"/>
  </w:style>
  <w:style w:type="paragraph" w:customStyle="1" w:styleId="153">
    <w:name w:val="样式 正文缩进 + 首行缩进:  2 字符"/>
    <w:basedOn w:val="6"/>
    <w:link w:val="154"/>
    <w:qFormat/>
    <w:uiPriority w:val="0"/>
    <w:pPr>
      <w:spacing w:line="360" w:lineRule="auto"/>
      <w:ind w:firstLine="480"/>
    </w:pPr>
    <w:rPr>
      <w:rFonts w:ascii="宋体" w:hAnsi="宋体"/>
      <w:color w:val="000000"/>
      <w:kern w:val="0"/>
      <w:sz w:val="24"/>
      <w:szCs w:val="20"/>
    </w:rPr>
  </w:style>
  <w:style w:type="character" w:customStyle="1" w:styleId="154">
    <w:name w:val="样式 正文缩进 + 首行缩进:  2 字符 Char"/>
    <w:link w:val="153"/>
    <w:qFormat/>
    <w:locked/>
    <w:uiPriority w:val="0"/>
    <w:rPr>
      <w:rFonts w:ascii="宋体" w:hAnsi="宋体" w:eastAsia="宋体"/>
      <w:color w:val="000000"/>
      <w:sz w:val="24"/>
      <w:lang w:bidi="ar-SA"/>
    </w:rPr>
  </w:style>
  <w:style w:type="paragraph" w:customStyle="1" w:styleId="155">
    <w:name w:val="正文2"/>
    <w:basedOn w:val="1"/>
    <w:link w:val="156"/>
    <w:qFormat/>
    <w:uiPriority w:val="0"/>
    <w:pPr>
      <w:spacing w:before="156" w:line="360" w:lineRule="auto"/>
      <w:ind w:firstLine="510" w:firstLineChars="200"/>
    </w:pPr>
    <w:rPr>
      <w:sz w:val="24"/>
      <w:szCs w:val="20"/>
    </w:rPr>
  </w:style>
  <w:style w:type="character" w:customStyle="1" w:styleId="156">
    <w:name w:val="正文2 Char"/>
    <w:link w:val="155"/>
    <w:qFormat/>
    <w:uiPriority w:val="0"/>
    <w:rPr>
      <w:rFonts w:eastAsia="宋体"/>
      <w:kern w:val="2"/>
      <w:sz w:val="24"/>
      <w:lang w:val="en-US" w:eastAsia="zh-CN" w:bidi="ar-SA"/>
    </w:rPr>
  </w:style>
  <w:style w:type="paragraph" w:customStyle="1" w:styleId="157">
    <w:name w:val="p0"/>
    <w:basedOn w:val="1"/>
    <w:qFormat/>
    <w:uiPriority w:val="0"/>
    <w:pPr>
      <w:widowControl/>
    </w:pPr>
    <w:rPr>
      <w:kern w:val="0"/>
      <w:szCs w:val="21"/>
    </w:rPr>
  </w:style>
  <w:style w:type="character" w:customStyle="1" w:styleId="158">
    <w:name w:val="param-name"/>
    <w:basedOn w:val="46"/>
    <w:qFormat/>
    <w:uiPriority w:val="0"/>
  </w:style>
  <w:style w:type="character" w:customStyle="1" w:styleId="159">
    <w:name w:val="日期 Char"/>
    <w:qFormat/>
    <w:uiPriority w:val="0"/>
    <w:rPr>
      <w:rFonts w:ascii="楷体_GB2312" w:eastAsia="楷体_GB2312"/>
      <w:b/>
      <w:kern w:val="2"/>
      <w:sz w:val="28"/>
      <w:lang w:val="en-US" w:eastAsia="zh-CN" w:bidi="ar-SA"/>
    </w:rPr>
  </w:style>
  <w:style w:type="character" w:customStyle="1" w:styleId="160">
    <w:name w:val="标题 4 Char"/>
    <w:qFormat/>
    <w:uiPriority w:val="0"/>
    <w:rPr>
      <w:rFonts w:ascii="Arial" w:hAnsi="Arial" w:eastAsia="黑体"/>
      <w:b/>
      <w:kern w:val="2"/>
      <w:sz w:val="28"/>
      <w:lang w:val="en-US" w:eastAsia="zh-CN" w:bidi="ar-SA"/>
    </w:rPr>
  </w:style>
  <w:style w:type="character" w:customStyle="1" w:styleId="161">
    <w:name w:val="标题 6 Char"/>
    <w:qFormat/>
    <w:uiPriority w:val="0"/>
    <w:rPr>
      <w:rFonts w:ascii="宋体" w:hAnsi="Arial" w:eastAsia="宋体"/>
      <w:sz w:val="24"/>
      <w:lang w:val="en-US" w:eastAsia="zh-CN" w:bidi="ar-SA"/>
    </w:rPr>
  </w:style>
  <w:style w:type="character" w:customStyle="1" w:styleId="162">
    <w:name w:val="标题 8 Char"/>
    <w:qFormat/>
    <w:uiPriority w:val="0"/>
    <w:rPr>
      <w:rFonts w:ascii="Arial" w:hAnsi="Arial" w:eastAsia="黑体"/>
      <w:sz w:val="24"/>
      <w:lang w:val="en-US" w:eastAsia="zh-CN" w:bidi="ar-SA"/>
    </w:rPr>
  </w:style>
  <w:style w:type="character" w:customStyle="1" w:styleId="163">
    <w:name w:val="标题 9 Char"/>
    <w:qFormat/>
    <w:uiPriority w:val="0"/>
    <w:rPr>
      <w:rFonts w:ascii="Arial" w:hAnsi="Arial" w:eastAsia="黑体"/>
      <w:sz w:val="24"/>
      <w:lang w:val="en-US" w:eastAsia="zh-CN" w:bidi="ar-SA"/>
    </w:rPr>
  </w:style>
  <w:style w:type="character" w:customStyle="1" w:styleId="164">
    <w:name w:val="标题 5 Char"/>
    <w:qFormat/>
    <w:uiPriority w:val="0"/>
    <w:rPr>
      <w:rFonts w:eastAsia="宋体"/>
      <w:sz w:val="24"/>
      <w:lang w:val="en-US" w:eastAsia="zh-CN" w:bidi="ar-SA"/>
    </w:rPr>
  </w:style>
  <w:style w:type="character" w:customStyle="1" w:styleId="165">
    <w:name w:val="正文文本 Char"/>
    <w:qFormat/>
    <w:locked/>
    <w:uiPriority w:val="0"/>
    <w:rPr>
      <w:rFonts w:eastAsia="仿宋_GB2312"/>
      <w:kern w:val="2"/>
      <w:sz w:val="28"/>
      <w:szCs w:val="24"/>
      <w:lang w:val="en-US" w:eastAsia="zh-CN" w:bidi="ar-SA"/>
    </w:rPr>
  </w:style>
  <w:style w:type="character" w:customStyle="1" w:styleId="166">
    <w:name w:val="正文文本缩进 2 Char"/>
    <w:qFormat/>
    <w:locked/>
    <w:uiPriority w:val="0"/>
    <w:rPr>
      <w:rFonts w:eastAsia="宋体"/>
      <w:kern w:val="2"/>
      <w:sz w:val="21"/>
      <w:szCs w:val="24"/>
      <w:lang w:val="en-US" w:eastAsia="zh-CN" w:bidi="ar-SA"/>
    </w:rPr>
  </w:style>
  <w:style w:type="character" w:customStyle="1" w:styleId="167">
    <w:name w:val="正文文本 2 Char"/>
    <w:qFormat/>
    <w:uiPriority w:val="0"/>
    <w:rPr>
      <w:rFonts w:ascii="隶书" w:eastAsia="隶书"/>
      <w:bCs/>
      <w:sz w:val="72"/>
      <w:szCs w:val="84"/>
      <w:lang w:val="en-US" w:eastAsia="zh-CN" w:bidi="ar-SA"/>
    </w:rPr>
  </w:style>
  <w:style w:type="character" w:customStyle="1" w:styleId="168">
    <w:name w:val="标题 7 Char"/>
    <w:qFormat/>
    <w:uiPriority w:val="0"/>
    <w:rPr>
      <w:rFonts w:ascii="宋体" w:hAnsi="Arial" w:eastAsia="宋体"/>
      <w:b/>
      <w:sz w:val="24"/>
      <w:lang w:val="en-US" w:eastAsia="zh-CN" w:bidi="ar-SA"/>
    </w:rPr>
  </w:style>
  <w:style w:type="character" w:customStyle="1" w:styleId="169">
    <w:name w:val="页眉 Char"/>
    <w:qFormat/>
    <w:uiPriority w:val="99"/>
    <w:rPr>
      <w:rFonts w:eastAsia="宋体"/>
      <w:kern w:val="2"/>
      <w:sz w:val="18"/>
      <w:szCs w:val="18"/>
      <w:lang w:val="en-US" w:eastAsia="zh-CN" w:bidi="ar-SA"/>
    </w:rPr>
  </w:style>
  <w:style w:type="character" w:customStyle="1" w:styleId="170">
    <w:name w:val="批注文字 Char"/>
    <w:qFormat/>
    <w:uiPriority w:val="0"/>
    <w:rPr>
      <w:rFonts w:eastAsia="宋体"/>
      <w:kern w:val="2"/>
      <w:sz w:val="21"/>
      <w:szCs w:val="24"/>
      <w:lang w:val="en-US" w:eastAsia="zh-CN" w:bidi="ar-SA"/>
    </w:rPr>
  </w:style>
  <w:style w:type="character" w:customStyle="1" w:styleId="171">
    <w:name w:val="汇视源正文 Char"/>
    <w:link w:val="172"/>
    <w:qFormat/>
    <w:uiPriority w:val="0"/>
    <w:rPr>
      <w:rFonts w:cs="宋体"/>
      <w:kern w:val="2"/>
      <w:sz w:val="24"/>
      <w:lang w:val="en-US" w:eastAsia="zh-CN" w:bidi="ar-SA"/>
    </w:rPr>
  </w:style>
  <w:style w:type="paragraph" w:customStyle="1" w:styleId="172">
    <w:name w:val="汇视源正文"/>
    <w:link w:val="171"/>
    <w:qFormat/>
    <w:uiPriority w:val="0"/>
    <w:pPr>
      <w:widowControl w:val="0"/>
      <w:spacing w:beforeLines="50" w:line="360" w:lineRule="auto"/>
      <w:ind w:firstLine="480" w:firstLineChars="200"/>
      <w:jc w:val="both"/>
    </w:pPr>
    <w:rPr>
      <w:rFonts w:ascii="Times New Roman" w:hAnsi="Times New Roman" w:eastAsia="宋体" w:cs="宋体"/>
      <w:kern w:val="2"/>
      <w:sz w:val="24"/>
      <w:lang w:val="en-US" w:eastAsia="zh-CN" w:bidi="ar-SA"/>
    </w:rPr>
  </w:style>
  <w:style w:type="paragraph" w:customStyle="1" w:styleId="173">
    <w:name w:val="样式 列表编号 + 段后: 0.5 行"/>
    <w:basedOn w:val="16"/>
    <w:qFormat/>
    <w:uiPriority w:val="0"/>
    <w:pPr>
      <w:tabs>
        <w:tab w:val="left" w:pos="840"/>
      </w:tabs>
      <w:spacing w:afterLines="0"/>
      <w:ind w:left="425" w:hanging="425"/>
    </w:pPr>
    <w:rPr>
      <w:rFonts w:cs="宋体"/>
    </w:rPr>
  </w:style>
  <w:style w:type="paragraph" w:customStyle="1" w:styleId="174">
    <w:name w:val="正文缩近"/>
    <w:basedOn w:val="1"/>
    <w:qFormat/>
    <w:uiPriority w:val="0"/>
    <w:pPr>
      <w:adjustRightInd w:val="0"/>
      <w:snapToGrid w:val="0"/>
      <w:spacing w:line="540" w:lineRule="atLeast"/>
      <w:ind w:firstLine="608"/>
      <w:textAlignment w:val="baseline"/>
    </w:pPr>
    <w:rPr>
      <w:rFonts w:ascii="仿宋_GB2312" w:eastAsia="仿宋_GB2312" w:cs="宋体"/>
      <w:kern w:val="0"/>
      <w:sz w:val="30"/>
      <w:szCs w:val="20"/>
    </w:rPr>
  </w:style>
  <w:style w:type="paragraph" w:customStyle="1" w:styleId="175">
    <w:name w:val="TOC 标题1"/>
    <w:basedOn w:val="4"/>
    <w:next w:val="1"/>
    <w:qFormat/>
    <w:uiPriority w:val="0"/>
    <w:pPr>
      <w:widowControl/>
      <w:numPr>
        <w:numId w:val="0"/>
      </w:numPr>
      <w:spacing w:before="240" w:after="0" w:line="259" w:lineRule="auto"/>
      <w:jc w:val="left"/>
      <w:outlineLvl w:val="9"/>
    </w:pPr>
    <w:rPr>
      <w:rFonts w:ascii="Calibri Light" w:hAnsi="Calibri Light" w:eastAsia="宋体"/>
      <w:b w:val="0"/>
      <w:color w:val="2E74B5"/>
      <w:kern w:val="0"/>
      <w:sz w:val="32"/>
      <w:szCs w:val="32"/>
    </w:rPr>
  </w:style>
  <w:style w:type="character" w:customStyle="1" w:styleId="176">
    <w:name w:val="标题 字符"/>
    <w:link w:val="40"/>
    <w:qFormat/>
    <w:locked/>
    <w:uiPriority w:val="0"/>
    <w:rPr>
      <w:rFonts w:ascii="Calibri Light" w:hAnsi="Calibri Light" w:eastAsia="宋体"/>
      <w:b/>
      <w:bCs/>
      <w:kern w:val="2"/>
      <w:sz w:val="32"/>
      <w:szCs w:val="32"/>
      <w:lang w:val="en-US" w:eastAsia="zh-CN" w:bidi="ar-SA"/>
    </w:rPr>
  </w:style>
  <w:style w:type="character" w:customStyle="1" w:styleId="177">
    <w:name w:val="Date Char"/>
    <w:qFormat/>
    <w:locked/>
    <w:uiPriority w:val="0"/>
    <w:rPr>
      <w:rFonts w:ascii="宋体"/>
      <w:sz w:val="21"/>
      <w:lang w:val="zh-CN"/>
    </w:rPr>
  </w:style>
  <w:style w:type="character" w:customStyle="1" w:styleId="178">
    <w:name w:val="Normal Indent Char"/>
    <w:qFormat/>
    <w:locked/>
    <w:uiPriority w:val="0"/>
    <w:rPr>
      <w:rFonts w:ascii="宋体" w:eastAsia="宋体"/>
      <w:snapToGrid w:val="0"/>
      <w:color w:val="000000"/>
      <w:kern w:val="28"/>
      <w:sz w:val="28"/>
    </w:rPr>
  </w:style>
  <w:style w:type="character" w:customStyle="1" w:styleId="179">
    <w:name w:val="Plain Text Char"/>
    <w:qFormat/>
    <w:locked/>
    <w:uiPriority w:val="0"/>
    <w:rPr>
      <w:rFonts w:ascii="宋体" w:hAnsi="Courier New" w:eastAsia="宋体"/>
      <w:snapToGrid w:val="0"/>
      <w:sz w:val="21"/>
    </w:rPr>
  </w:style>
  <w:style w:type="character" w:customStyle="1" w:styleId="180">
    <w:name w:val="日期 Char1"/>
    <w:qFormat/>
    <w:uiPriority w:val="0"/>
    <w:rPr>
      <w:rFonts w:ascii="Times New Roman" w:hAnsi="Times New Roman" w:eastAsia="宋体" w:cs="Times New Roman"/>
      <w:sz w:val="24"/>
      <w:szCs w:val="24"/>
    </w:rPr>
  </w:style>
  <w:style w:type="character" w:customStyle="1" w:styleId="181">
    <w:name w:val="纯文本 Char1"/>
    <w:link w:val="182"/>
    <w:qFormat/>
    <w:uiPriority w:val="0"/>
    <w:rPr>
      <w:rFonts w:ascii="宋体" w:hAnsi="Courier New" w:eastAsia="宋体" w:cs="Courier New"/>
      <w:sz w:val="21"/>
      <w:szCs w:val="21"/>
    </w:rPr>
  </w:style>
  <w:style w:type="paragraph" w:customStyle="1" w:styleId="182">
    <w:name w:val="纯文本1"/>
    <w:basedOn w:val="1"/>
    <w:link w:val="181"/>
    <w:qFormat/>
    <w:uiPriority w:val="0"/>
    <w:rPr>
      <w:rFonts w:ascii="宋体" w:hAnsi="Courier New" w:cs="Courier New"/>
      <w:kern w:val="0"/>
      <w:szCs w:val="21"/>
    </w:rPr>
  </w:style>
  <w:style w:type="paragraph" w:customStyle="1" w:styleId="183">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184">
    <w:name w:val="列出段落112"/>
    <w:basedOn w:val="1"/>
    <w:link w:val="208"/>
    <w:qFormat/>
    <w:uiPriority w:val="0"/>
    <w:pPr>
      <w:adjustRightInd w:val="0"/>
      <w:spacing w:line="360" w:lineRule="auto"/>
      <w:ind w:firstLine="200" w:firstLineChars="200"/>
    </w:pPr>
    <w:rPr>
      <w:rFonts w:eastAsia="楷体_GB2312" w:cs="Lucida Sans"/>
      <w:sz w:val="24"/>
    </w:rPr>
  </w:style>
  <w:style w:type="paragraph" w:customStyle="1" w:styleId="185">
    <w:name w:val="标题2def"/>
    <w:basedOn w:val="40"/>
    <w:qFormat/>
    <w:uiPriority w:val="0"/>
    <w:pPr>
      <w:widowControl/>
      <w:overflowPunct w:val="0"/>
      <w:autoSpaceDE w:val="0"/>
      <w:autoSpaceDN w:val="0"/>
      <w:snapToGrid w:val="0"/>
      <w:spacing w:before="160" w:after="200" w:line="360" w:lineRule="auto"/>
      <w:textAlignment w:val="baseline"/>
    </w:pPr>
    <w:rPr>
      <w:rFonts w:ascii="Times New Roman" w:hAnsi="宋体" w:eastAsia="仿宋_GB2312"/>
      <w:bCs w:val="0"/>
      <w:kern w:val="0"/>
      <w:szCs w:val="20"/>
      <w:lang w:val="en-GB"/>
    </w:rPr>
  </w:style>
  <w:style w:type="paragraph" w:customStyle="1" w:styleId="186">
    <w:name w:val="标题3def"/>
    <w:basedOn w:val="8"/>
    <w:next w:val="1"/>
    <w:qFormat/>
    <w:uiPriority w:val="0"/>
    <w:pPr>
      <w:numPr>
        <w:numId w:val="0"/>
      </w:numPr>
      <w:adjustRightInd w:val="0"/>
      <w:snapToGrid w:val="0"/>
      <w:spacing w:before="80" w:after="160" w:line="400" w:lineRule="exact"/>
    </w:pPr>
    <w:rPr>
      <w:rFonts w:ascii="仿宋_GB2312" w:hAnsi="宋体"/>
      <w:sz w:val="24"/>
    </w:rPr>
  </w:style>
  <w:style w:type="character" w:customStyle="1" w:styleId="187">
    <w:name w:val="Header Char"/>
    <w:qFormat/>
    <w:locked/>
    <w:uiPriority w:val="0"/>
    <w:rPr>
      <w:rFonts w:ascii="Times New Roman" w:hAnsi="Times New Roman" w:eastAsia="宋体" w:cs="Times New Roman"/>
      <w:sz w:val="18"/>
      <w:szCs w:val="18"/>
    </w:rPr>
  </w:style>
  <w:style w:type="paragraph" w:customStyle="1" w:styleId="18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89">
    <w:name w:val="Char Char2 Char Char"/>
    <w:basedOn w:val="1"/>
    <w:qFormat/>
    <w:uiPriority w:val="0"/>
    <w:pPr>
      <w:widowControl/>
      <w:spacing w:line="400" w:lineRule="exact"/>
      <w:jc w:val="center"/>
    </w:pPr>
    <w:rPr>
      <w:rFonts w:ascii="Verdana" w:hAnsi="Verdana"/>
      <w:kern w:val="0"/>
      <w:szCs w:val="20"/>
      <w:lang w:eastAsia="en-US"/>
    </w:rPr>
  </w:style>
  <w:style w:type="character" w:customStyle="1" w:styleId="190">
    <w:name w:val="Comment Text Char"/>
    <w:qFormat/>
    <w:locked/>
    <w:uiPriority w:val="0"/>
    <w:rPr>
      <w:rFonts w:ascii="Times New Roman" w:hAnsi="Times New Roman" w:eastAsia="宋体" w:cs="Times New Roman"/>
      <w:kern w:val="0"/>
      <w:sz w:val="24"/>
      <w:szCs w:val="24"/>
      <w:lang w:val="zh-CN" w:eastAsia="zh-CN"/>
    </w:rPr>
  </w:style>
  <w:style w:type="paragraph" w:customStyle="1" w:styleId="191">
    <w:name w:val="正文文本缩进 21"/>
    <w:basedOn w:val="1"/>
    <w:qFormat/>
    <w:uiPriority w:val="0"/>
    <w:pPr>
      <w:spacing w:line="520" w:lineRule="exact"/>
      <w:ind w:firstLine="848" w:firstLineChars="303"/>
    </w:pPr>
    <w:rPr>
      <w:rFonts w:ascii="黑体" w:hAnsi="Calibri" w:eastAsia="黑体" w:cs="黑体"/>
      <w:sz w:val="28"/>
      <w:szCs w:val="22"/>
    </w:rPr>
  </w:style>
  <w:style w:type="paragraph" w:customStyle="1" w:styleId="192">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93">
    <w:name w:val="Char Char Char Char1"/>
    <w:basedOn w:val="1"/>
    <w:qFormat/>
    <w:uiPriority w:val="0"/>
    <w:rPr>
      <w:rFonts w:ascii="Tahoma" w:hAnsi="Tahoma"/>
      <w:sz w:val="24"/>
      <w:szCs w:val="20"/>
    </w:rPr>
  </w:style>
  <w:style w:type="paragraph" w:customStyle="1" w:styleId="194">
    <w:name w:val="Char Char27"/>
    <w:basedOn w:val="1"/>
    <w:qFormat/>
    <w:uiPriority w:val="0"/>
    <w:pPr>
      <w:snapToGrid w:val="0"/>
      <w:spacing w:line="360" w:lineRule="auto"/>
    </w:pPr>
    <w:rPr>
      <w:rFonts w:ascii="Arial" w:hAnsi="Arial" w:eastAsia="黑体"/>
      <w:snapToGrid w:val="0"/>
      <w:kern w:val="0"/>
      <w:sz w:val="20"/>
      <w:szCs w:val="21"/>
    </w:rPr>
  </w:style>
  <w:style w:type="paragraph" w:customStyle="1" w:styleId="195">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196">
    <w:name w:val="样式4"/>
    <w:basedOn w:val="1"/>
    <w:qFormat/>
    <w:uiPriority w:val="0"/>
    <w:pPr>
      <w:adjustRightInd w:val="0"/>
      <w:spacing w:line="360" w:lineRule="auto"/>
      <w:ind w:firstLine="420"/>
      <w:jc w:val="center"/>
      <w:outlineLvl w:val="2"/>
    </w:pPr>
    <w:rPr>
      <w:rFonts w:ascii="仿宋_GB2312" w:hAnsi="仿宋" w:eastAsia="仿宋_GB2312"/>
      <w:b/>
      <w:sz w:val="32"/>
      <w:szCs w:val="32"/>
    </w:rPr>
  </w:style>
  <w:style w:type="character" w:customStyle="1" w:styleId="197">
    <w:name w:val="正文2 Char Char"/>
    <w:qFormat/>
    <w:uiPriority w:val="0"/>
    <w:rPr>
      <w:kern w:val="2"/>
      <w:sz w:val="24"/>
    </w:rPr>
  </w:style>
  <w:style w:type="character" w:customStyle="1" w:styleId="198">
    <w:name w:val="普通文字 Char Char3"/>
    <w:qFormat/>
    <w:uiPriority w:val="0"/>
    <w:rPr>
      <w:rFonts w:ascii="宋体" w:hAnsi="Courier New"/>
      <w:kern w:val="2"/>
      <w:sz w:val="24"/>
      <w:szCs w:val="24"/>
    </w:rPr>
  </w:style>
  <w:style w:type="character" w:customStyle="1" w:styleId="199">
    <w:name w:val="特点 Char2"/>
    <w:qFormat/>
    <w:uiPriority w:val="0"/>
    <w:rPr>
      <w:rFonts w:ascii="Times New Roman" w:hAnsi="Times New Roman" w:eastAsia="宋体" w:cs="Times New Roman"/>
      <w:szCs w:val="24"/>
    </w:rPr>
  </w:style>
  <w:style w:type="character" w:customStyle="1" w:styleId="200">
    <w:name w:val="批注框文本 字符"/>
    <w:basedOn w:val="46"/>
    <w:link w:val="27"/>
    <w:qFormat/>
    <w:uiPriority w:val="0"/>
    <w:rPr>
      <w:kern w:val="2"/>
      <w:sz w:val="18"/>
      <w:szCs w:val="18"/>
    </w:rPr>
  </w:style>
  <w:style w:type="character" w:customStyle="1" w:styleId="201">
    <w:name w:val="正文文本缩进 3 字符"/>
    <w:basedOn w:val="46"/>
    <w:link w:val="33"/>
    <w:qFormat/>
    <w:uiPriority w:val="0"/>
    <w:rPr>
      <w:kern w:val="2"/>
      <w:sz w:val="16"/>
      <w:szCs w:val="16"/>
    </w:rPr>
  </w:style>
  <w:style w:type="character" w:customStyle="1" w:styleId="202">
    <w:name w:val="HTML 预设格式 字符"/>
    <w:basedOn w:val="46"/>
    <w:link w:val="37"/>
    <w:qFormat/>
    <w:uiPriority w:val="0"/>
    <w:rPr>
      <w:rFonts w:ascii="黑体" w:hAnsi="Courier New" w:eastAsia="黑体" w:cs="Courier New"/>
    </w:rPr>
  </w:style>
  <w:style w:type="character" w:customStyle="1" w:styleId="203">
    <w:name w:val="批注主题 字符"/>
    <w:basedOn w:val="170"/>
    <w:link w:val="41"/>
    <w:qFormat/>
    <w:uiPriority w:val="0"/>
    <w:rPr>
      <w:rFonts w:eastAsia="宋体"/>
      <w:b/>
      <w:bCs/>
      <w:kern w:val="2"/>
      <w:sz w:val="24"/>
      <w:szCs w:val="24"/>
      <w:lang w:val="en-US" w:eastAsia="zh-CN" w:bidi="ar-SA"/>
    </w:rPr>
  </w:style>
  <w:style w:type="character" w:customStyle="1" w:styleId="204">
    <w:name w:val="正文文本首行缩进 字符"/>
    <w:basedOn w:val="165"/>
    <w:link w:val="42"/>
    <w:qFormat/>
    <w:uiPriority w:val="0"/>
    <w:rPr>
      <w:rFonts w:eastAsia="仿宋_GB2312"/>
      <w:kern w:val="2"/>
      <w:sz w:val="21"/>
      <w:szCs w:val="24"/>
      <w:lang w:val="en-US" w:eastAsia="zh-CN" w:bidi="ar-SA"/>
    </w:rPr>
  </w:style>
  <w:style w:type="character" w:customStyle="1" w:styleId="205">
    <w:name w:val="正文文本首行缩进 2 字符"/>
    <w:basedOn w:val="68"/>
    <w:link w:val="43"/>
    <w:qFormat/>
    <w:uiPriority w:val="0"/>
    <w:rPr>
      <w:rFonts w:eastAsia="宋体"/>
      <w:kern w:val="2"/>
      <w:sz w:val="21"/>
      <w:szCs w:val="24"/>
      <w:lang w:val="en-US" w:eastAsia="zh-CN" w:bidi="ar-SA"/>
    </w:rPr>
  </w:style>
  <w:style w:type="paragraph" w:customStyle="1" w:styleId="206">
    <w:name w:val="_Style 11"/>
    <w:basedOn w:val="1"/>
    <w:qFormat/>
    <w:uiPriority w:val="0"/>
    <w:pPr>
      <w:spacing w:line="440" w:lineRule="exact"/>
      <w:ind w:firstLine="200" w:firstLineChars="200"/>
    </w:pPr>
    <w:rPr>
      <w:rFonts w:ascii="Tahoma" w:hAnsi="Tahoma" w:eastAsia="仿宋_GB2312"/>
      <w:sz w:val="24"/>
      <w:szCs w:val="20"/>
    </w:rPr>
  </w:style>
  <w:style w:type="paragraph" w:customStyle="1" w:styleId="207">
    <w:name w:val="Char11"/>
    <w:basedOn w:val="1"/>
    <w:qFormat/>
    <w:uiPriority w:val="0"/>
    <w:pPr>
      <w:tabs>
        <w:tab w:val="left" w:pos="432"/>
      </w:tabs>
      <w:spacing w:beforeLines="50" w:afterLines="50" w:line="440" w:lineRule="exact"/>
      <w:ind w:left="432" w:hanging="432" w:firstLineChars="200"/>
      <w:jc w:val="center"/>
    </w:pPr>
    <w:rPr>
      <w:rFonts w:eastAsia="仿宋_GB2312"/>
      <w:sz w:val="24"/>
    </w:rPr>
  </w:style>
  <w:style w:type="character" w:customStyle="1" w:styleId="208">
    <w:name w:val="列出段落 Char"/>
    <w:link w:val="184"/>
    <w:qFormat/>
    <w:uiPriority w:val="0"/>
    <w:rPr>
      <w:rFonts w:eastAsia="楷体_GB2312" w:cs="Lucida Sans"/>
      <w:kern w:val="2"/>
      <w:sz w:val="24"/>
      <w:szCs w:val="24"/>
    </w:rPr>
  </w:style>
  <w:style w:type="paragraph" w:customStyle="1" w:styleId="209">
    <w:name w:val="列出段落12"/>
    <w:basedOn w:val="1"/>
    <w:qFormat/>
    <w:uiPriority w:val="1"/>
    <w:pPr>
      <w:spacing w:line="440" w:lineRule="exact"/>
      <w:ind w:firstLine="420" w:firstLineChars="200"/>
    </w:pPr>
    <w:rPr>
      <w:rFonts w:ascii="Calibri" w:hAnsi="Calibri" w:eastAsia="仿宋_GB2312"/>
      <w:sz w:val="24"/>
      <w:szCs w:val="22"/>
    </w:rPr>
  </w:style>
  <w:style w:type="paragraph" w:customStyle="1" w:styleId="210">
    <w:name w:val="Char Char Char1 Char1"/>
    <w:basedOn w:val="1"/>
    <w:qFormat/>
    <w:uiPriority w:val="0"/>
    <w:pPr>
      <w:widowControl/>
      <w:spacing w:after="160" w:line="240" w:lineRule="exact"/>
      <w:ind w:firstLine="200" w:firstLineChars="200"/>
      <w:jc w:val="left"/>
    </w:pPr>
    <w:rPr>
      <w:rFonts w:ascii="Verdana" w:hAnsi="Verdana" w:eastAsia="仿宋_GB2312"/>
      <w:kern w:val="0"/>
      <w:sz w:val="24"/>
      <w:szCs w:val="20"/>
      <w:lang w:eastAsia="en-US"/>
    </w:rPr>
  </w:style>
  <w:style w:type="paragraph" w:customStyle="1" w:styleId="211">
    <w:name w:val="TOC 标题11"/>
    <w:basedOn w:val="4"/>
    <w:next w:val="1"/>
    <w:qFormat/>
    <w:uiPriority w:val="0"/>
    <w:pPr>
      <w:widowControl/>
      <w:numPr>
        <w:numId w:val="0"/>
      </w:numPr>
      <w:spacing w:before="240" w:after="0" w:line="259" w:lineRule="auto"/>
      <w:jc w:val="left"/>
      <w:outlineLvl w:val="9"/>
    </w:pPr>
    <w:rPr>
      <w:rFonts w:ascii="Calibri Light" w:hAnsi="Calibri Light" w:eastAsia="宋体"/>
      <w:b w:val="0"/>
      <w:color w:val="2E74B5"/>
      <w:kern w:val="0"/>
      <w:sz w:val="32"/>
      <w:szCs w:val="32"/>
    </w:rPr>
  </w:style>
  <w:style w:type="paragraph" w:customStyle="1" w:styleId="212">
    <w:name w:val="列出段落111"/>
    <w:basedOn w:val="1"/>
    <w:qFormat/>
    <w:uiPriority w:val="0"/>
    <w:pPr>
      <w:adjustRightInd w:val="0"/>
      <w:spacing w:line="360" w:lineRule="auto"/>
      <w:ind w:firstLine="200" w:firstLineChars="200"/>
    </w:pPr>
    <w:rPr>
      <w:rFonts w:eastAsia="楷体_GB2312" w:cs="Lucida Sans"/>
      <w:sz w:val="24"/>
    </w:rPr>
  </w:style>
  <w:style w:type="paragraph" w:customStyle="1" w:styleId="213">
    <w:name w:val="正文缩进2格"/>
    <w:basedOn w:val="1"/>
    <w:link w:val="214"/>
    <w:qFormat/>
    <w:uiPriority w:val="0"/>
    <w:pPr>
      <w:spacing w:line="600" w:lineRule="exact"/>
      <w:ind w:firstLine="639" w:firstLineChars="206"/>
    </w:pPr>
    <w:rPr>
      <w:rFonts w:ascii="仿宋_GB2312" w:hAnsi="宋体" w:eastAsia="仿宋_GB2312"/>
      <w:kern w:val="0"/>
      <w:sz w:val="31"/>
      <w:szCs w:val="20"/>
    </w:rPr>
  </w:style>
  <w:style w:type="character" w:customStyle="1" w:styleId="214">
    <w:name w:val="正文缩进2格 Char"/>
    <w:link w:val="213"/>
    <w:qFormat/>
    <w:uiPriority w:val="0"/>
    <w:rPr>
      <w:rFonts w:ascii="仿宋_GB2312" w:hAnsi="宋体" w:eastAsia="仿宋_GB2312"/>
      <w:sz w:val="31"/>
    </w:rPr>
  </w:style>
  <w:style w:type="paragraph" w:customStyle="1" w:styleId="215">
    <w:name w:val="列出段落11"/>
    <w:basedOn w:val="1"/>
    <w:qFormat/>
    <w:uiPriority w:val="0"/>
    <w:pPr>
      <w:adjustRightInd w:val="0"/>
      <w:spacing w:line="360" w:lineRule="auto"/>
      <w:ind w:firstLine="200" w:firstLineChars="200"/>
    </w:pPr>
    <w:rPr>
      <w:rFonts w:eastAsia="楷体_GB2312" w:cs="Lucida Sans"/>
      <w:sz w:val="24"/>
    </w:rPr>
  </w:style>
  <w:style w:type="paragraph" w:customStyle="1" w:styleId="216">
    <w:name w:val="font8"/>
    <w:basedOn w:val="1"/>
    <w:qFormat/>
    <w:uiPriority w:val="0"/>
    <w:pPr>
      <w:widowControl/>
      <w:spacing w:before="100" w:beforeAutospacing="1" w:after="100" w:afterAutospacing="1" w:line="440" w:lineRule="exact"/>
      <w:ind w:firstLine="200" w:firstLineChars="200"/>
      <w:jc w:val="left"/>
    </w:pPr>
    <w:rPr>
      <w:rFonts w:ascii="宋体" w:hAnsi="宋体" w:eastAsia="仿宋_GB2312" w:cs="宋体"/>
      <w:kern w:val="0"/>
      <w:sz w:val="18"/>
      <w:szCs w:val="18"/>
    </w:rPr>
  </w:style>
  <w:style w:type="paragraph" w:customStyle="1" w:styleId="217">
    <w:name w:val="font9"/>
    <w:basedOn w:val="1"/>
    <w:qFormat/>
    <w:uiPriority w:val="0"/>
    <w:pPr>
      <w:widowControl/>
      <w:spacing w:before="100" w:beforeAutospacing="1" w:after="100" w:afterAutospacing="1" w:line="440" w:lineRule="exact"/>
      <w:ind w:firstLine="200" w:firstLineChars="200"/>
      <w:jc w:val="left"/>
    </w:pPr>
    <w:rPr>
      <w:rFonts w:ascii="仿宋_GB2312" w:hAnsi="宋体" w:eastAsia="仿宋_GB2312" w:cs="宋体"/>
      <w:color w:val="FF0000"/>
      <w:kern w:val="0"/>
      <w:sz w:val="20"/>
      <w:szCs w:val="20"/>
    </w:rPr>
  </w:style>
  <w:style w:type="paragraph" w:customStyle="1" w:styleId="218">
    <w:name w:val="font10"/>
    <w:basedOn w:val="1"/>
    <w:qFormat/>
    <w:uiPriority w:val="0"/>
    <w:pPr>
      <w:widowControl/>
      <w:spacing w:before="100" w:beforeAutospacing="1" w:after="100" w:afterAutospacing="1" w:line="440" w:lineRule="exact"/>
      <w:ind w:firstLine="200" w:firstLineChars="200"/>
      <w:jc w:val="left"/>
    </w:pPr>
    <w:rPr>
      <w:rFonts w:ascii="宋体" w:hAnsi="宋体" w:eastAsia="仿宋_GB2312" w:cs="宋体"/>
      <w:color w:val="FF0000"/>
      <w:kern w:val="0"/>
      <w:sz w:val="20"/>
      <w:szCs w:val="20"/>
    </w:rPr>
  </w:style>
  <w:style w:type="paragraph" w:customStyle="1" w:styleId="21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40" w:lineRule="exact"/>
      <w:ind w:firstLine="200" w:firstLineChars="200"/>
      <w:jc w:val="left"/>
    </w:pPr>
    <w:rPr>
      <w:rFonts w:ascii="宋体" w:hAnsi="宋体" w:eastAsia="仿宋_GB2312" w:cs="宋体"/>
      <w:kern w:val="0"/>
      <w:sz w:val="24"/>
    </w:rPr>
  </w:style>
  <w:style w:type="paragraph" w:customStyle="1" w:styleId="22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40" w:lineRule="exact"/>
      <w:ind w:firstLine="200" w:firstLineChars="200"/>
      <w:jc w:val="left"/>
    </w:pPr>
    <w:rPr>
      <w:rFonts w:ascii="宋体" w:hAnsi="宋体" w:eastAsia="仿宋_GB2312" w:cs="宋体"/>
      <w:kern w:val="0"/>
      <w:sz w:val="24"/>
    </w:rPr>
  </w:style>
  <w:style w:type="paragraph" w:customStyle="1" w:styleId="221">
    <w:name w:val="xl72"/>
    <w:basedOn w:val="1"/>
    <w:qFormat/>
    <w:uiPriority w:val="0"/>
    <w:pPr>
      <w:widowControl/>
      <w:spacing w:before="100" w:beforeAutospacing="1" w:after="100" w:afterAutospacing="1" w:line="440" w:lineRule="exact"/>
      <w:ind w:firstLine="200" w:firstLineChars="200"/>
      <w:jc w:val="left"/>
    </w:pPr>
    <w:rPr>
      <w:rFonts w:ascii="宋体" w:hAnsi="宋体" w:eastAsia="仿宋_GB2312" w:cs="宋体"/>
      <w:kern w:val="0"/>
      <w:sz w:val="24"/>
    </w:rPr>
  </w:style>
  <w:style w:type="paragraph" w:customStyle="1" w:styleId="222">
    <w:name w:val="xl73"/>
    <w:basedOn w:val="1"/>
    <w:qFormat/>
    <w:uiPriority w:val="0"/>
    <w:pPr>
      <w:widowControl/>
      <w:spacing w:before="100" w:beforeAutospacing="1" w:after="100" w:afterAutospacing="1" w:line="440" w:lineRule="exact"/>
      <w:ind w:firstLine="200" w:firstLineChars="200"/>
      <w:jc w:val="center"/>
    </w:pPr>
    <w:rPr>
      <w:rFonts w:ascii="宋体" w:hAnsi="宋体" w:eastAsia="仿宋_GB2312" w:cs="宋体"/>
      <w:kern w:val="0"/>
      <w:sz w:val="24"/>
    </w:rPr>
  </w:style>
  <w:style w:type="paragraph" w:customStyle="1" w:styleId="22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40" w:lineRule="exact"/>
      <w:ind w:firstLine="200" w:firstLineChars="200"/>
      <w:jc w:val="left"/>
      <w:textAlignment w:val="bottom"/>
    </w:pPr>
    <w:rPr>
      <w:rFonts w:ascii="宋体" w:hAnsi="宋体" w:eastAsia="仿宋_GB2312" w:cs="宋体"/>
      <w:kern w:val="0"/>
      <w:sz w:val="24"/>
    </w:rPr>
  </w:style>
  <w:style w:type="paragraph" w:customStyle="1" w:styleId="2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40" w:lineRule="exact"/>
      <w:ind w:firstLine="200" w:firstLineChars="200"/>
    </w:pPr>
    <w:rPr>
      <w:rFonts w:ascii="宋体" w:hAnsi="宋体" w:eastAsia="仿宋_GB2312" w:cs="宋体"/>
      <w:kern w:val="0"/>
      <w:sz w:val="24"/>
    </w:rPr>
  </w:style>
  <w:style w:type="paragraph" w:customStyle="1" w:styleId="22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40" w:lineRule="exact"/>
      <w:ind w:firstLine="200" w:firstLineChars="200"/>
      <w:jc w:val="left"/>
    </w:pPr>
    <w:rPr>
      <w:rFonts w:ascii="宋体" w:hAnsi="宋体" w:eastAsia="仿宋_GB2312" w:cs="宋体"/>
      <w:kern w:val="0"/>
      <w:sz w:val="24"/>
    </w:rPr>
  </w:style>
  <w:style w:type="paragraph" w:customStyle="1" w:styleId="22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40" w:lineRule="exact"/>
      <w:ind w:firstLine="200" w:firstLineChars="200"/>
      <w:jc w:val="center"/>
    </w:pPr>
    <w:rPr>
      <w:rFonts w:ascii="宋体" w:hAnsi="宋体" w:eastAsia="仿宋_GB2312" w:cs="宋体"/>
      <w:kern w:val="0"/>
      <w:sz w:val="24"/>
    </w:rPr>
  </w:style>
  <w:style w:type="paragraph" w:customStyle="1" w:styleId="22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40" w:lineRule="exact"/>
      <w:ind w:firstLine="200" w:firstLineChars="200"/>
      <w:jc w:val="center"/>
    </w:pPr>
    <w:rPr>
      <w:rFonts w:ascii="宋体" w:hAnsi="宋体" w:eastAsia="仿宋_GB2312" w:cs="宋体"/>
      <w:kern w:val="0"/>
      <w:sz w:val="24"/>
    </w:rPr>
  </w:style>
  <w:style w:type="paragraph" w:customStyle="1" w:styleId="22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40" w:lineRule="exact"/>
      <w:ind w:firstLine="200" w:firstLineChars="200"/>
      <w:jc w:val="left"/>
    </w:pPr>
    <w:rPr>
      <w:rFonts w:ascii="宋体" w:hAnsi="宋体" w:eastAsia="仿宋_GB2312" w:cs="宋体"/>
      <w:kern w:val="0"/>
      <w:sz w:val="24"/>
    </w:rPr>
  </w:style>
  <w:style w:type="paragraph" w:customStyle="1" w:styleId="22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40" w:lineRule="exact"/>
      <w:ind w:firstLine="200" w:firstLineChars="200"/>
      <w:jc w:val="left"/>
    </w:pPr>
    <w:rPr>
      <w:rFonts w:ascii="宋体" w:hAnsi="宋体" w:eastAsia="仿宋_GB2312" w:cs="宋体"/>
      <w:kern w:val="0"/>
      <w:sz w:val="24"/>
    </w:rPr>
  </w:style>
  <w:style w:type="paragraph" w:customStyle="1" w:styleId="23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40" w:lineRule="exact"/>
      <w:ind w:firstLine="200" w:firstLineChars="200"/>
      <w:jc w:val="left"/>
    </w:pPr>
    <w:rPr>
      <w:rFonts w:ascii="宋体" w:hAnsi="宋体" w:eastAsia="仿宋_GB2312" w:cs="宋体"/>
      <w:kern w:val="0"/>
      <w:sz w:val="24"/>
    </w:rPr>
  </w:style>
  <w:style w:type="paragraph" w:customStyle="1" w:styleId="23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40" w:lineRule="exact"/>
      <w:ind w:firstLine="200" w:firstLineChars="200"/>
      <w:jc w:val="left"/>
    </w:pPr>
    <w:rPr>
      <w:rFonts w:ascii="宋体" w:hAnsi="宋体" w:eastAsia="仿宋_GB2312" w:cs="宋体"/>
      <w:kern w:val="0"/>
      <w:sz w:val="24"/>
    </w:rPr>
  </w:style>
  <w:style w:type="paragraph" w:customStyle="1" w:styleId="23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40" w:lineRule="exact"/>
      <w:ind w:firstLine="200" w:firstLineChars="200"/>
      <w:jc w:val="center"/>
    </w:pPr>
    <w:rPr>
      <w:rFonts w:ascii="宋体" w:hAnsi="宋体" w:eastAsia="仿宋_GB2312" w:cs="宋体"/>
      <w:kern w:val="0"/>
      <w:sz w:val="24"/>
    </w:rPr>
  </w:style>
  <w:style w:type="paragraph" w:customStyle="1" w:styleId="23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40" w:lineRule="exact"/>
      <w:ind w:firstLine="200" w:firstLineChars="200"/>
      <w:jc w:val="left"/>
    </w:pPr>
    <w:rPr>
      <w:rFonts w:ascii="宋体" w:hAnsi="宋体" w:eastAsia="仿宋_GB2312" w:cs="宋体"/>
      <w:color w:val="FF0000"/>
      <w:kern w:val="0"/>
      <w:sz w:val="24"/>
    </w:rPr>
  </w:style>
  <w:style w:type="paragraph" w:customStyle="1" w:styleId="234">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40" w:lineRule="exact"/>
      <w:ind w:firstLine="200" w:firstLineChars="200"/>
      <w:jc w:val="left"/>
    </w:pPr>
    <w:rPr>
      <w:rFonts w:ascii="宋体" w:hAnsi="宋体" w:eastAsia="仿宋_GB2312" w:cs="宋体"/>
      <w:color w:val="FF0000"/>
      <w:kern w:val="0"/>
      <w:sz w:val="24"/>
    </w:rPr>
  </w:style>
  <w:style w:type="paragraph" w:customStyle="1" w:styleId="23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40" w:lineRule="exact"/>
      <w:ind w:firstLine="200" w:firstLineChars="200"/>
      <w:jc w:val="left"/>
    </w:pPr>
    <w:rPr>
      <w:rFonts w:ascii="宋体" w:hAnsi="宋体" w:eastAsia="仿宋_GB2312" w:cs="宋体"/>
      <w:color w:val="FF0000"/>
      <w:kern w:val="0"/>
      <w:sz w:val="24"/>
    </w:rPr>
  </w:style>
  <w:style w:type="paragraph" w:customStyle="1" w:styleId="23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40" w:lineRule="exact"/>
      <w:ind w:firstLine="200" w:firstLineChars="200"/>
      <w:jc w:val="left"/>
    </w:pPr>
    <w:rPr>
      <w:rFonts w:ascii="宋体" w:hAnsi="宋体" w:eastAsia="仿宋_GB2312" w:cs="宋体"/>
      <w:color w:val="FF0000"/>
      <w:kern w:val="0"/>
      <w:sz w:val="24"/>
    </w:rPr>
  </w:style>
  <w:style w:type="paragraph" w:customStyle="1" w:styleId="237">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440" w:lineRule="exact"/>
      <w:ind w:firstLine="200" w:firstLineChars="200"/>
      <w:jc w:val="left"/>
    </w:pPr>
    <w:rPr>
      <w:rFonts w:ascii="仿宋_GB2312" w:hAnsi="宋体" w:eastAsia="仿宋_GB2312" w:cs="宋体"/>
      <w:color w:val="FF0000"/>
      <w:kern w:val="0"/>
      <w:sz w:val="20"/>
      <w:szCs w:val="20"/>
    </w:rPr>
  </w:style>
  <w:style w:type="paragraph" w:customStyle="1" w:styleId="238">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440" w:lineRule="exact"/>
      <w:ind w:firstLine="200" w:firstLineChars="200"/>
      <w:jc w:val="left"/>
    </w:pPr>
    <w:rPr>
      <w:rFonts w:ascii="仿宋_GB2312" w:hAnsi="宋体" w:eastAsia="仿宋_GB2312" w:cs="宋体"/>
      <w:color w:val="FF0000"/>
      <w:kern w:val="0"/>
      <w:sz w:val="20"/>
      <w:szCs w:val="20"/>
    </w:rPr>
  </w:style>
  <w:style w:type="paragraph" w:customStyle="1" w:styleId="23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40" w:lineRule="exact"/>
      <w:ind w:firstLine="200" w:firstLineChars="200"/>
      <w:jc w:val="left"/>
    </w:pPr>
    <w:rPr>
      <w:rFonts w:ascii="宋体" w:hAnsi="宋体" w:eastAsia="仿宋_GB2312" w:cs="宋体"/>
      <w:color w:val="FF0000"/>
      <w:kern w:val="0"/>
      <w:sz w:val="24"/>
    </w:rPr>
  </w:style>
  <w:style w:type="paragraph" w:customStyle="1" w:styleId="24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40" w:lineRule="exact"/>
      <w:ind w:firstLine="200" w:firstLineChars="200"/>
      <w:jc w:val="left"/>
    </w:pPr>
    <w:rPr>
      <w:rFonts w:ascii="仿宋_GB2312" w:hAnsi="宋体" w:eastAsia="仿宋_GB2312" w:cs="宋体"/>
      <w:color w:val="FF0000"/>
      <w:kern w:val="0"/>
      <w:sz w:val="20"/>
      <w:szCs w:val="20"/>
    </w:rPr>
  </w:style>
  <w:style w:type="paragraph" w:customStyle="1" w:styleId="24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40" w:lineRule="exact"/>
      <w:ind w:firstLine="200" w:firstLineChars="200"/>
      <w:jc w:val="left"/>
    </w:pPr>
    <w:rPr>
      <w:rFonts w:ascii="仿宋_GB2312" w:hAnsi="宋体" w:eastAsia="仿宋_GB2312" w:cs="宋体"/>
      <w:color w:val="FF0000"/>
      <w:kern w:val="0"/>
      <w:sz w:val="20"/>
      <w:szCs w:val="20"/>
    </w:rPr>
  </w:style>
  <w:style w:type="paragraph" w:customStyle="1" w:styleId="24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40" w:lineRule="exact"/>
      <w:ind w:firstLine="200" w:firstLineChars="200"/>
      <w:jc w:val="center"/>
    </w:pPr>
    <w:rPr>
      <w:rFonts w:ascii="宋体" w:hAnsi="宋体" w:eastAsia="仿宋_GB2312" w:cs="宋体"/>
      <w:b/>
      <w:bCs/>
      <w:kern w:val="0"/>
      <w:sz w:val="24"/>
    </w:rPr>
  </w:style>
  <w:style w:type="paragraph" w:customStyle="1" w:styleId="243">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line="440" w:lineRule="exact"/>
      <w:ind w:firstLine="200" w:firstLineChars="200"/>
      <w:jc w:val="center"/>
    </w:pPr>
    <w:rPr>
      <w:rFonts w:ascii="宋体" w:hAnsi="宋体" w:eastAsia="仿宋_GB2312" w:cs="宋体"/>
      <w:kern w:val="0"/>
      <w:sz w:val="24"/>
    </w:rPr>
  </w:style>
  <w:style w:type="paragraph" w:customStyle="1" w:styleId="244">
    <w:name w:val="xl95"/>
    <w:basedOn w:val="1"/>
    <w:qFormat/>
    <w:uiPriority w:val="0"/>
    <w:pPr>
      <w:widowControl/>
      <w:pBdr>
        <w:left w:val="single" w:color="auto" w:sz="4" w:space="0"/>
        <w:right w:val="single" w:color="auto" w:sz="4" w:space="0"/>
      </w:pBdr>
      <w:spacing w:before="100" w:beforeAutospacing="1" w:after="100" w:afterAutospacing="1" w:line="440" w:lineRule="exact"/>
      <w:ind w:firstLine="200" w:firstLineChars="200"/>
      <w:jc w:val="center"/>
    </w:pPr>
    <w:rPr>
      <w:rFonts w:ascii="宋体" w:hAnsi="宋体" w:eastAsia="仿宋_GB2312" w:cs="宋体"/>
      <w:kern w:val="0"/>
      <w:sz w:val="24"/>
    </w:rPr>
  </w:style>
  <w:style w:type="paragraph" w:customStyle="1" w:styleId="245">
    <w:name w:val="xl96"/>
    <w:basedOn w:val="1"/>
    <w:qFormat/>
    <w:uiPriority w:val="0"/>
    <w:pPr>
      <w:widowControl/>
      <w:pBdr>
        <w:left w:val="single" w:color="auto" w:sz="4" w:space="0"/>
        <w:bottom w:val="single" w:color="auto" w:sz="4" w:space="0"/>
        <w:right w:val="single" w:color="auto" w:sz="4" w:space="0"/>
      </w:pBdr>
      <w:spacing w:before="100" w:beforeAutospacing="1" w:after="100" w:afterAutospacing="1" w:line="440" w:lineRule="exact"/>
      <w:ind w:firstLine="200" w:firstLineChars="200"/>
      <w:jc w:val="center"/>
    </w:pPr>
    <w:rPr>
      <w:rFonts w:ascii="宋体" w:hAnsi="宋体" w:eastAsia="仿宋_GB2312" w:cs="宋体"/>
      <w:kern w:val="0"/>
      <w:sz w:val="24"/>
    </w:rPr>
  </w:style>
  <w:style w:type="paragraph" w:customStyle="1" w:styleId="246">
    <w:name w:val="xl97"/>
    <w:basedOn w:val="1"/>
    <w:qFormat/>
    <w:uiPriority w:val="0"/>
    <w:pPr>
      <w:widowControl/>
      <w:pBdr>
        <w:top w:val="single" w:color="auto" w:sz="4" w:space="0"/>
        <w:left w:val="single" w:color="auto" w:sz="4" w:space="0"/>
        <w:right w:val="single" w:color="auto" w:sz="4" w:space="0"/>
      </w:pBdr>
      <w:spacing w:before="100" w:beforeAutospacing="1" w:after="100" w:afterAutospacing="1" w:line="440" w:lineRule="exact"/>
      <w:ind w:firstLine="200" w:firstLineChars="200"/>
      <w:jc w:val="center"/>
    </w:pPr>
    <w:rPr>
      <w:rFonts w:ascii="宋体" w:hAnsi="宋体" w:eastAsia="仿宋_GB2312" w:cs="宋体"/>
      <w:kern w:val="0"/>
      <w:sz w:val="24"/>
    </w:rPr>
  </w:style>
  <w:style w:type="paragraph" w:customStyle="1" w:styleId="247">
    <w:name w:val="xl98"/>
    <w:basedOn w:val="1"/>
    <w:qFormat/>
    <w:uiPriority w:val="0"/>
    <w:pPr>
      <w:widowControl/>
      <w:pBdr>
        <w:left w:val="single" w:color="auto" w:sz="4" w:space="0"/>
        <w:right w:val="single" w:color="auto" w:sz="4" w:space="0"/>
      </w:pBdr>
      <w:spacing w:before="100" w:beforeAutospacing="1" w:after="100" w:afterAutospacing="1" w:line="440" w:lineRule="exact"/>
      <w:ind w:firstLine="200" w:firstLineChars="200"/>
      <w:jc w:val="center"/>
    </w:pPr>
    <w:rPr>
      <w:rFonts w:ascii="宋体" w:hAnsi="宋体" w:eastAsia="仿宋_GB2312" w:cs="宋体"/>
      <w:kern w:val="0"/>
      <w:sz w:val="24"/>
    </w:rPr>
  </w:style>
  <w:style w:type="paragraph" w:customStyle="1" w:styleId="248">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line="440" w:lineRule="exact"/>
      <w:ind w:firstLine="200" w:firstLineChars="200"/>
      <w:jc w:val="center"/>
    </w:pPr>
    <w:rPr>
      <w:rFonts w:ascii="宋体" w:hAnsi="宋体" w:eastAsia="仿宋_GB2312" w:cs="宋体"/>
      <w:kern w:val="0"/>
      <w:sz w:val="24"/>
    </w:rPr>
  </w:style>
  <w:style w:type="paragraph" w:customStyle="1" w:styleId="249">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440" w:lineRule="exact"/>
      <w:ind w:firstLine="200" w:firstLineChars="200"/>
      <w:jc w:val="center"/>
    </w:pPr>
    <w:rPr>
      <w:rFonts w:ascii="宋体" w:hAnsi="宋体" w:eastAsia="仿宋_GB2312" w:cs="宋体"/>
      <w:b/>
      <w:bCs/>
      <w:kern w:val="0"/>
      <w:sz w:val="24"/>
    </w:rPr>
  </w:style>
  <w:style w:type="paragraph" w:customStyle="1" w:styleId="250">
    <w:name w:val="xl101"/>
    <w:basedOn w:val="1"/>
    <w:qFormat/>
    <w:uiPriority w:val="0"/>
    <w:pPr>
      <w:widowControl/>
      <w:pBdr>
        <w:top w:val="single" w:color="auto" w:sz="4" w:space="0"/>
        <w:left w:val="single" w:color="auto" w:sz="4" w:space="0"/>
        <w:right w:val="single" w:color="auto" w:sz="4" w:space="0"/>
      </w:pBdr>
      <w:spacing w:before="100" w:beforeAutospacing="1" w:after="100" w:afterAutospacing="1" w:line="440" w:lineRule="exact"/>
      <w:ind w:firstLine="200" w:firstLineChars="200"/>
      <w:jc w:val="center"/>
    </w:pPr>
    <w:rPr>
      <w:rFonts w:ascii="宋体" w:hAnsi="宋体" w:eastAsia="仿宋_GB2312" w:cs="宋体"/>
      <w:kern w:val="0"/>
      <w:sz w:val="24"/>
    </w:rPr>
  </w:style>
  <w:style w:type="paragraph" w:customStyle="1" w:styleId="251">
    <w:name w:val="xl102"/>
    <w:basedOn w:val="1"/>
    <w:qFormat/>
    <w:uiPriority w:val="0"/>
    <w:pPr>
      <w:widowControl/>
      <w:pBdr>
        <w:left w:val="single" w:color="auto" w:sz="4" w:space="0"/>
        <w:right w:val="single" w:color="auto" w:sz="4" w:space="0"/>
      </w:pBdr>
      <w:spacing w:before="100" w:beforeAutospacing="1" w:after="100" w:afterAutospacing="1" w:line="440" w:lineRule="exact"/>
      <w:ind w:firstLine="200" w:firstLineChars="200"/>
      <w:jc w:val="center"/>
    </w:pPr>
    <w:rPr>
      <w:rFonts w:ascii="宋体" w:hAnsi="宋体" w:eastAsia="仿宋_GB2312" w:cs="宋体"/>
      <w:kern w:val="0"/>
      <w:sz w:val="24"/>
    </w:rPr>
  </w:style>
  <w:style w:type="paragraph" w:customStyle="1" w:styleId="252">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line="440" w:lineRule="exact"/>
      <w:ind w:firstLine="200" w:firstLineChars="200"/>
      <w:jc w:val="center"/>
    </w:pPr>
    <w:rPr>
      <w:rFonts w:ascii="宋体" w:hAnsi="宋体" w:eastAsia="仿宋_GB2312" w:cs="宋体"/>
      <w:kern w:val="0"/>
      <w:sz w:val="24"/>
    </w:rPr>
  </w:style>
  <w:style w:type="paragraph" w:customStyle="1" w:styleId="253">
    <w:name w:val="正文1级"/>
    <w:link w:val="254"/>
    <w:qFormat/>
    <w:uiPriority w:val="0"/>
    <w:pPr>
      <w:widowControl w:val="0"/>
      <w:tabs>
        <w:tab w:val="left" w:pos="0"/>
        <w:tab w:val="left" w:pos="420"/>
      </w:tabs>
      <w:spacing w:after="60" w:line="400" w:lineRule="exact"/>
      <w:ind w:left="839" w:hanging="419"/>
      <w:jc w:val="both"/>
    </w:pPr>
    <w:rPr>
      <w:rFonts w:ascii="Times New Roman" w:hAnsi="Times New Roman" w:eastAsia="宋体" w:cs="Times New Roman"/>
      <w:bCs/>
      <w:kern w:val="44"/>
      <w:sz w:val="24"/>
      <w:szCs w:val="44"/>
      <w:lang w:val="en-US" w:eastAsia="zh-CN" w:bidi="ar-SA"/>
    </w:rPr>
  </w:style>
  <w:style w:type="character" w:customStyle="1" w:styleId="254">
    <w:name w:val="正文1级 Char Char"/>
    <w:link w:val="253"/>
    <w:qFormat/>
    <w:uiPriority w:val="0"/>
    <w:rPr>
      <w:bCs/>
      <w:kern w:val="44"/>
      <w:sz w:val="24"/>
      <w:szCs w:val="44"/>
    </w:rPr>
  </w:style>
  <w:style w:type="character" w:customStyle="1" w:styleId="255">
    <w:name w:val="Char Char1"/>
    <w:qFormat/>
    <w:uiPriority w:val="0"/>
    <w:rPr>
      <w:rFonts w:ascii="宋体" w:hAnsi="Courier New" w:eastAsia="宋体"/>
      <w:kern w:val="2"/>
      <w:sz w:val="21"/>
      <w:lang w:val="en-US" w:eastAsia="zh-CN" w:bidi="ar-SA"/>
    </w:rPr>
  </w:style>
  <w:style w:type="paragraph" w:customStyle="1" w:styleId="256">
    <w:name w:val="列出段落2"/>
    <w:basedOn w:val="1"/>
    <w:qFormat/>
    <w:uiPriority w:val="0"/>
    <w:pPr>
      <w:spacing w:line="440" w:lineRule="exact"/>
      <w:ind w:firstLine="420" w:firstLineChars="200"/>
    </w:pPr>
    <w:rPr>
      <w:rFonts w:eastAsia="仿宋_GB2312"/>
      <w:sz w:val="24"/>
    </w:rPr>
  </w:style>
  <w:style w:type="paragraph" w:customStyle="1" w:styleId="257">
    <w:name w:val="TOC 标题2"/>
    <w:basedOn w:val="4"/>
    <w:next w:val="1"/>
    <w:qFormat/>
    <w:uiPriority w:val="0"/>
    <w:pPr>
      <w:widowControl/>
      <w:numPr>
        <w:numId w:val="0"/>
      </w:numPr>
      <w:spacing w:before="240" w:after="0" w:line="259" w:lineRule="auto"/>
      <w:jc w:val="left"/>
      <w:outlineLvl w:val="9"/>
    </w:pPr>
    <w:rPr>
      <w:rFonts w:ascii="Calibri Light" w:hAnsi="Calibri Light" w:eastAsia="宋体"/>
      <w:b w:val="0"/>
      <w:color w:val="2E74B5"/>
      <w:kern w:val="0"/>
      <w:sz w:val="32"/>
      <w:szCs w:val="32"/>
    </w:rPr>
  </w:style>
  <w:style w:type="paragraph" w:customStyle="1" w:styleId="258">
    <w:name w:val="reader-word-layer reader-word-s6-18"/>
    <w:basedOn w:val="1"/>
    <w:qFormat/>
    <w:uiPriority w:val="0"/>
    <w:pPr>
      <w:widowControl/>
      <w:spacing w:before="100" w:beforeAutospacing="1" w:after="100" w:afterAutospacing="1"/>
      <w:jc w:val="left"/>
    </w:pPr>
    <w:rPr>
      <w:rFonts w:ascii="宋体" w:hAnsi="宋体" w:cs="宋体"/>
      <w:kern w:val="0"/>
      <w:sz w:val="24"/>
    </w:rPr>
  </w:style>
  <w:style w:type="paragraph" w:customStyle="1" w:styleId="259">
    <w:name w:val="列出段落21"/>
    <w:basedOn w:val="1"/>
    <w:qFormat/>
    <w:uiPriority w:val="0"/>
    <w:pPr>
      <w:ind w:firstLine="420" w:firstLineChars="200"/>
    </w:pPr>
    <w:rPr>
      <w:rFonts w:ascii="Calibri" w:hAnsi="Calibri"/>
      <w:szCs w:val="22"/>
    </w:rPr>
  </w:style>
  <w:style w:type="paragraph" w:customStyle="1" w:styleId="260">
    <w:name w:val="reader-word-layer reader-word-s2-21"/>
    <w:basedOn w:val="1"/>
    <w:qFormat/>
    <w:uiPriority w:val="0"/>
    <w:pPr>
      <w:widowControl/>
      <w:spacing w:before="100" w:beforeAutospacing="1" w:after="100" w:afterAutospacing="1"/>
      <w:jc w:val="left"/>
    </w:pPr>
    <w:rPr>
      <w:rFonts w:ascii="宋体" w:hAnsi="宋体" w:cs="宋体"/>
      <w:kern w:val="0"/>
      <w:sz w:val="24"/>
    </w:rPr>
  </w:style>
  <w:style w:type="paragraph" w:customStyle="1" w:styleId="261">
    <w:name w:val="正文3"/>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262">
    <w:name w:val="reader-word-layer reader-word-s6-19"/>
    <w:basedOn w:val="1"/>
    <w:qFormat/>
    <w:uiPriority w:val="0"/>
    <w:pPr>
      <w:widowControl/>
      <w:spacing w:before="100" w:beforeAutospacing="1" w:after="100" w:afterAutospacing="1"/>
      <w:jc w:val="left"/>
    </w:pPr>
    <w:rPr>
      <w:rFonts w:ascii="宋体" w:hAnsi="宋体" w:cs="宋体"/>
      <w:kern w:val="0"/>
      <w:sz w:val="24"/>
    </w:rPr>
  </w:style>
  <w:style w:type="paragraph" w:customStyle="1" w:styleId="263">
    <w:name w:val="reader-word-layer reader-word-s6-1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4">
    <w:name w:val="reader-word-layer reader-word-s2-23"/>
    <w:basedOn w:val="1"/>
    <w:qFormat/>
    <w:uiPriority w:val="0"/>
    <w:pPr>
      <w:widowControl/>
      <w:spacing w:before="100" w:beforeAutospacing="1" w:after="100" w:afterAutospacing="1"/>
      <w:jc w:val="left"/>
    </w:pPr>
    <w:rPr>
      <w:rFonts w:ascii="宋体" w:hAnsi="宋体" w:cs="宋体"/>
      <w:kern w:val="0"/>
      <w:sz w:val="24"/>
    </w:rPr>
  </w:style>
  <w:style w:type="paragraph" w:customStyle="1" w:styleId="265">
    <w:name w:val="_Style 151"/>
    <w:basedOn w:val="1"/>
    <w:qFormat/>
    <w:uiPriority w:val="0"/>
    <w:rPr>
      <w:rFonts w:ascii="Tahoma" w:hAnsi="Tahoma"/>
      <w:sz w:val="24"/>
      <w:szCs w:val="20"/>
    </w:rPr>
  </w:style>
  <w:style w:type="paragraph" w:customStyle="1" w:styleId="266">
    <w:name w:val="p1"/>
    <w:basedOn w:val="1"/>
    <w:qFormat/>
    <w:uiPriority w:val="0"/>
    <w:pPr>
      <w:spacing w:line="380" w:lineRule="atLeast"/>
      <w:jc w:val="left"/>
    </w:pPr>
    <w:rPr>
      <w:rFonts w:ascii="Helvetica Neue" w:hAnsi="Helvetica Neue" w:eastAsia="Helvetica Neue"/>
      <w:kern w:val="0"/>
      <w:sz w:val="26"/>
      <w:szCs w:val="26"/>
    </w:rPr>
  </w:style>
  <w:style w:type="character" w:customStyle="1" w:styleId="267">
    <w:name w:val="font01"/>
    <w:basedOn w:val="46"/>
    <w:qFormat/>
    <w:uiPriority w:val="0"/>
    <w:rPr>
      <w:rFonts w:hint="eastAsia" w:ascii="宋体" w:hAnsi="宋体" w:eastAsia="宋体" w:cs="宋体"/>
      <w:color w:val="000000"/>
      <w:sz w:val="22"/>
      <w:szCs w:val="22"/>
      <w:u w:val="none"/>
    </w:rPr>
  </w:style>
  <w:style w:type="character" w:customStyle="1" w:styleId="268">
    <w:name w:val="font11"/>
    <w:basedOn w:val="46"/>
    <w:qFormat/>
    <w:uiPriority w:val="0"/>
    <w:rPr>
      <w:rFonts w:hint="eastAsia" w:ascii="宋体" w:hAnsi="宋体" w:eastAsia="宋体" w:cs="宋体"/>
      <w:color w:val="FF0000"/>
      <w:sz w:val="22"/>
      <w:szCs w:val="22"/>
      <w:u w:val="none"/>
    </w:rPr>
  </w:style>
  <w:style w:type="character" w:customStyle="1" w:styleId="269">
    <w:name w:val="font41"/>
    <w:basedOn w:val="46"/>
    <w:qFormat/>
    <w:uiPriority w:val="0"/>
    <w:rPr>
      <w:rFonts w:hint="default" w:ascii="等线" w:hAnsi="等线" w:eastAsia="等线" w:cs="等线"/>
      <w:color w:val="FF0000"/>
      <w:sz w:val="22"/>
      <w:szCs w:val="22"/>
      <w:u w:val="none"/>
    </w:rPr>
  </w:style>
  <w:style w:type="character" w:customStyle="1" w:styleId="270">
    <w:name w:val="font21"/>
    <w:basedOn w:val="46"/>
    <w:qFormat/>
    <w:uiPriority w:val="0"/>
    <w:rPr>
      <w:rFonts w:hint="default" w:ascii="等线" w:hAnsi="等线" w:eastAsia="等线" w:cs="等线"/>
      <w:color w:val="000000"/>
      <w:sz w:val="22"/>
      <w:szCs w:val="22"/>
      <w:u w:val="none"/>
    </w:rPr>
  </w:style>
  <w:style w:type="character" w:customStyle="1" w:styleId="271">
    <w:name w:val="font51"/>
    <w:basedOn w:val="46"/>
    <w:qFormat/>
    <w:uiPriority w:val="0"/>
    <w:rPr>
      <w:rFonts w:hint="default" w:ascii="等线" w:hAnsi="等线" w:eastAsia="等线" w:cs="等线"/>
      <w:color w:val="FF0000"/>
      <w:sz w:val="22"/>
      <w:szCs w:val="22"/>
      <w:u w:val="none"/>
    </w:rPr>
  </w:style>
  <w:style w:type="character" w:customStyle="1" w:styleId="272">
    <w:name w:val="font61"/>
    <w:basedOn w:val="46"/>
    <w:qFormat/>
    <w:uiPriority w:val="0"/>
    <w:rPr>
      <w:rFonts w:hint="default" w:ascii="等线" w:hAnsi="等线" w:eastAsia="等线" w:cs="等线"/>
      <w:color w:val="000000"/>
      <w:sz w:val="22"/>
      <w:szCs w:val="22"/>
      <w:u w:val="none"/>
    </w:rPr>
  </w:style>
  <w:style w:type="paragraph" w:customStyle="1" w:styleId="273">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kern w:val="0"/>
      <w:sz w:val="20"/>
      <w:szCs w:val="20"/>
    </w:rPr>
  </w:style>
  <w:style w:type="paragraph" w:customStyle="1" w:styleId="27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8"/>
      <w:szCs w:val="28"/>
    </w:rPr>
  </w:style>
  <w:style w:type="paragraph" w:customStyle="1" w:styleId="27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27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27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character" w:customStyle="1" w:styleId="278">
    <w:name w:val="未处理的提及1"/>
    <w:basedOn w:val="46"/>
    <w:unhideWhenUsed/>
    <w:qFormat/>
    <w:uiPriority w:val="99"/>
    <w:rPr>
      <w:color w:val="605E5C"/>
      <w:shd w:val="clear" w:color="auto" w:fill="E1DFDD"/>
    </w:rPr>
  </w:style>
  <w:style w:type="paragraph" w:customStyle="1" w:styleId="279">
    <w:name w:val="p15"/>
    <w:basedOn w:val="1"/>
    <w:qFormat/>
    <w:uiPriority w:val="0"/>
    <w:pPr>
      <w:widowControl/>
      <w:adjustRightInd w:val="0"/>
    </w:pPr>
    <w:rPr>
      <w:rFonts w:ascii="宋体" w:hAnsi="宋体" w:cs="宋体"/>
      <w:kern w:val="0"/>
      <w:sz w:val="20"/>
      <w:szCs w:val="20"/>
    </w:rPr>
  </w:style>
  <w:style w:type="character" w:customStyle="1" w:styleId="280">
    <w:name w:val="bookmark-item"/>
    <w:basedOn w:val="46"/>
    <w:qFormat/>
    <w:uiPriority w:val="0"/>
  </w:style>
  <w:style w:type="paragraph" w:customStyle="1" w:styleId="281">
    <w:name w:val="indent"/>
    <w:basedOn w:val="1"/>
    <w:qFormat/>
    <w:uiPriority w:val="0"/>
    <w:pPr>
      <w:widowControl/>
      <w:spacing w:before="100" w:beforeAutospacing="1" w:after="100" w:afterAutospacing="1"/>
      <w:jc w:val="left"/>
    </w:pPr>
    <w:rPr>
      <w:rFonts w:ascii="宋体" w:hAnsi="宋体" w:cs="宋体"/>
      <w:kern w:val="0"/>
      <w:sz w:val="24"/>
    </w:rPr>
  </w:style>
  <w:style w:type="character" w:customStyle="1" w:styleId="282">
    <w:name w:val="题注 字符"/>
    <w:link w:val="17"/>
    <w:qFormat/>
    <w:uiPriority w:val="0"/>
    <w:rPr>
      <w:rFonts w:ascii="Calibri" w:hAnsi="Calibri"/>
      <w:kern w:val="2"/>
    </w:rPr>
  </w:style>
  <w:style w:type="paragraph" w:customStyle="1" w:styleId="283">
    <w:name w:val="索引 11"/>
    <w:basedOn w:val="1"/>
    <w:next w:val="1"/>
    <w:qFormat/>
    <w:uiPriority w:val="99"/>
    <w:pPr>
      <w:spacing w:line="360" w:lineRule="auto"/>
    </w:pPr>
    <w:rPr>
      <w:rFonts w:ascii="仿宋_GB2312" w:eastAsia="仿宋_GB2312"/>
      <w:sz w:val="24"/>
      <w:szCs w:val="20"/>
    </w:rPr>
  </w:style>
  <w:style w:type="paragraph" w:customStyle="1" w:styleId="284">
    <w:name w:val="正文缩进1"/>
    <w:basedOn w:val="1"/>
    <w:next w:val="7"/>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85">
    <w:name w:val="text-tag"/>
    <w:basedOn w:val="1"/>
    <w:semiHidden/>
    <w:qFormat/>
    <w:uiPriority w:val="99"/>
    <w:pPr>
      <w:widowControl/>
      <w:spacing w:before="100" w:beforeAutospacing="1" w:after="100" w:afterAutospacing="1"/>
      <w:jc w:val="left"/>
    </w:pPr>
    <w:rPr>
      <w:rFonts w:ascii="宋体" w:hAnsi="宋体" w:cs="宋体"/>
      <w:kern w:val="0"/>
      <w:sz w:val="24"/>
    </w:rPr>
  </w:style>
  <w:style w:type="character" w:customStyle="1" w:styleId="286">
    <w:name w:val="页脚 Char2"/>
    <w:qFormat/>
    <w:locked/>
    <w:uiPriority w:val="99"/>
    <w:rPr>
      <w:kern w:val="2"/>
      <w:sz w:val="18"/>
      <w:szCs w:val="18"/>
    </w:rPr>
  </w:style>
  <w:style w:type="character" w:customStyle="1" w:styleId="287">
    <w:name w:val="页眉 Char2"/>
    <w:qFormat/>
    <w:uiPriority w:val="99"/>
    <w:rPr>
      <w:kern w:val="2"/>
      <w:sz w:val="18"/>
      <w:szCs w:val="18"/>
    </w:rPr>
  </w:style>
  <w:style w:type="paragraph" w:customStyle="1" w:styleId="288">
    <w:name w:val="TOC 标题112"/>
    <w:basedOn w:val="4"/>
    <w:next w:val="1"/>
    <w:qFormat/>
    <w:uiPriority w:val="0"/>
    <w:pPr>
      <w:widowControl/>
      <w:numPr>
        <w:numId w:val="0"/>
      </w:numPr>
      <w:spacing w:before="240" w:after="0" w:line="259" w:lineRule="auto"/>
      <w:jc w:val="left"/>
      <w:outlineLvl w:val="9"/>
    </w:pPr>
    <w:rPr>
      <w:rFonts w:ascii="Calibri Light" w:hAnsi="Calibri Light" w:eastAsia="宋体"/>
      <w:b w:val="0"/>
      <w:color w:val="2E74B5"/>
      <w:kern w:val="0"/>
      <w:sz w:val="32"/>
      <w:szCs w:val="32"/>
    </w:rPr>
  </w:style>
  <w:style w:type="paragraph" w:customStyle="1" w:styleId="289">
    <w:name w:val="TOC 标题111"/>
    <w:basedOn w:val="4"/>
    <w:next w:val="1"/>
    <w:qFormat/>
    <w:uiPriority w:val="0"/>
    <w:pPr>
      <w:widowControl/>
      <w:numPr>
        <w:numId w:val="0"/>
      </w:numPr>
      <w:spacing w:before="240" w:after="0" w:line="259" w:lineRule="auto"/>
      <w:jc w:val="left"/>
      <w:outlineLvl w:val="9"/>
    </w:pPr>
    <w:rPr>
      <w:rFonts w:ascii="Calibri Light" w:hAnsi="Calibri Light" w:eastAsia="宋体"/>
      <w:b w:val="0"/>
      <w:color w:val="2E74B5"/>
      <w:kern w:val="0"/>
      <w:sz w:val="32"/>
      <w:szCs w:val="32"/>
    </w:rPr>
  </w:style>
  <w:style w:type="character" w:customStyle="1" w:styleId="290">
    <w:name w:val="批注文字 字符1"/>
    <w:qFormat/>
    <w:uiPriority w:val="0"/>
    <w:rPr>
      <w:rFonts w:eastAsia="宋体"/>
      <w:kern w:val="2"/>
      <w:sz w:val="21"/>
      <w:szCs w:val="24"/>
      <w:lang w:val="en-US" w:eastAsia="zh-CN" w:bidi="ar-SA"/>
    </w:rPr>
  </w:style>
  <w:style w:type="paragraph" w:customStyle="1" w:styleId="291">
    <w:name w:val="标题B"/>
    <w:basedOn w:val="1"/>
    <w:qFormat/>
    <w:uiPriority w:val="0"/>
    <w:pPr>
      <w:numPr>
        <w:ilvl w:val="1"/>
        <w:numId w:val="5"/>
      </w:numPr>
      <w:tabs>
        <w:tab w:val="left" w:pos="360"/>
      </w:tabs>
      <w:adjustRightInd w:val="0"/>
      <w:snapToGrid w:val="0"/>
      <w:spacing w:line="360" w:lineRule="auto"/>
      <w:ind w:left="360" w:hanging="360"/>
    </w:pPr>
    <w:rPr>
      <w:rFonts w:ascii="微软雅黑" w:hAnsi="微软雅黑" w:eastAsia="微软雅黑"/>
      <w:b/>
      <w:bCs/>
      <w:sz w:val="30"/>
      <w:szCs w:val="30"/>
    </w:rPr>
  </w:style>
  <w:style w:type="paragraph" w:customStyle="1" w:styleId="292">
    <w:name w:val="标题A"/>
    <w:basedOn w:val="94"/>
    <w:qFormat/>
    <w:uiPriority w:val="0"/>
    <w:pPr>
      <w:numPr>
        <w:ilvl w:val="0"/>
        <w:numId w:val="5"/>
      </w:numPr>
      <w:tabs>
        <w:tab w:val="left" w:pos="360"/>
      </w:tabs>
      <w:adjustRightInd w:val="0"/>
      <w:snapToGrid w:val="0"/>
      <w:spacing w:line="360" w:lineRule="auto"/>
      <w:ind w:left="360" w:firstLine="0" w:firstLineChars="0"/>
    </w:pPr>
    <w:rPr>
      <w:rFonts w:ascii="微软雅黑" w:hAnsi="微软雅黑" w:eastAsia="微软雅黑"/>
      <w:b/>
      <w:bCs/>
      <w:sz w:val="32"/>
      <w:szCs w:val="32"/>
    </w:rPr>
  </w:style>
  <w:style w:type="paragraph" w:customStyle="1" w:styleId="293">
    <w:name w:val="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294">
    <w:name w:val="未处理的提及2"/>
    <w:basedOn w:val="46"/>
    <w:unhideWhenUsed/>
    <w:qFormat/>
    <w:uiPriority w:val="99"/>
    <w:rPr>
      <w:color w:val="605E5C"/>
      <w:shd w:val="clear" w:color="auto" w:fill="E1DFDD"/>
    </w:rPr>
  </w:style>
  <w:style w:type="paragraph" w:customStyle="1" w:styleId="295">
    <w:name w:val="xl63"/>
    <w:basedOn w:val="1"/>
    <w:qFormat/>
    <w:uiPriority w:val="0"/>
    <w:pPr>
      <w:widowControl/>
      <w:spacing w:before="100" w:beforeAutospacing="1" w:after="100" w:afterAutospacing="1"/>
      <w:jc w:val="left"/>
    </w:pPr>
    <w:rPr>
      <w:rFonts w:ascii="宋体" w:hAnsi="宋体" w:cs="宋体"/>
      <w:kern w:val="0"/>
      <w:sz w:val="24"/>
    </w:rPr>
  </w:style>
  <w:style w:type="paragraph" w:customStyle="1" w:styleId="29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styleId="297">
    <w:name w:val="No Spacing"/>
    <w:qFormat/>
    <w:uiPriority w:val="1"/>
    <w:pPr>
      <w:widowControl w:val="0"/>
      <w:ind w:firstLine="480" w:firstLineChars="200"/>
      <w:jc w:val="both"/>
    </w:pPr>
    <w:rPr>
      <w:rFonts w:ascii="Calibri" w:hAnsi="Calibri" w:eastAsia="宋体" w:cs="Times New Roman"/>
      <w:kern w:val="2"/>
      <w:sz w:val="24"/>
      <w:szCs w:val="22"/>
      <w:lang w:val="en-US" w:eastAsia="zh-CN" w:bidi="ar-SA"/>
    </w:rPr>
  </w:style>
  <w:style w:type="paragraph" w:customStyle="1" w:styleId="298">
    <w:name w:val="[Normal]"/>
    <w:qFormat/>
    <w:uiPriority w:val="0"/>
    <w:rPr>
      <w:rFonts w:ascii="宋体" w:hAnsi="宋体" w:eastAsia="宋体" w:cs="Times New Roman"/>
      <w:sz w:val="24"/>
      <w:szCs w:val="22"/>
      <w:lang w:val="zh-CN" w:eastAsia="zh-CN" w:bidi="ar-SA"/>
    </w:rPr>
  </w:style>
  <w:style w:type="paragraph" w:customStyle="1" w:styleId="299">
    <w:name w:val="Table Paragraph"/>
    <w:basedOn w:val="1"/>
    <w:qFormat/>
    <w:uiPriority w:val="1"/>
    <w:rPr>
      <w:rFonts w:ascii="宋体" w:hAnsi="宋体" w:cs="宋体"/>
      <w:lang w:val="zh-CN" w:bidi="zh-CN"/>
    </w:rPr>
  </w:style>
  <w:style w:type="paragraph" w:customStyle="1" w:styleId="300">
    <w:name w:val="__正文"/>
    <w:qFormat/>
    <w:uiPriority w:val="0"/>
    <w:pPr>
      <w:spacing w:line="360" w:lineRule="auto"/>
      <w:ind w:firstLine="200" w:firstLineChars="200"/>
    </w:pPr>
    <w:rPr>
      <w:rFonts w:ascii="Calibri" w:hAnsi="Calibri" w:eastAsia="宋体" w:cs="Times New Roman"/>
      <w:kern w:val="2"/>
      <w:sz w:val="21"/>
      <w:szCs w:val="21"/>
      <w:lang w:val="en-US" w:eastAsia="zh-CN" w:bidi="ar-SA"/>
    </w:rPr>
  </w:style>
  <w:style w:type="paragraph" w:customStyle="1" w:styleId="301">
    <w:name w:val="列出段落"/>
    <w:basedOn w:val="1"/>
    <w:qFormat/>
    <w:uiPriority w:val="34"/>
    <w:pPr>
      <w:ind w:firstLine="420" w:firstLineChars="200"/>
    </w:pPr>
  </w:style>
  <w:style w:type="paragraph" w:customStyle="1" w:styleId="30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EFB2D-5EA4-4C48-AF09-C23388147349}">
  <ds:schemaRefs/>
</ds:datastoreItem>
</file>

<file path=docProps/app.xml><?xml version="1.0" encoding="utf-8"?>
<Properties xmlns="http://schemas.openxmlformats.org/officeDocument/2006/extended-properties" xmlns:vt="http://schemas.openxmlformats.org/officeDocument/2006/docPropsVTypes">
  <Template>Normal</Template>
  <Pages>60</Pages>
  <Words>29598</Words>
  <Characters>31248</Characters>
  <Lines>399</Lines>
  <Paragraphs>112</Paragraphs>
  <TotalTime>5</TotalTime>
  <ScaleCrop>false</ScaleCrop>
  <LinksUpToDate>false</LinksUpToDate>
  <CharactersWithSpaces>35241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2022-11-04T09:21:00Z</dcterms:created>
  <dc:creator>Administrator</dc:creator>
  <cp:lastModifiedBy>kk</cp:lastModifiedBy>
  <cp:lastPrinted>2022-11-15T09:02:00Z</cp:lastPrinted>
  <dcterms:modified xsi:type="dcterms:W3CDTF">2026-04-27T02:42:11Z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woTemplateTypoMode" linkTarget="0">
    <vt:lpwstr>web</vt:lpwstr>
  </property>
  <property fmtid="{D5CDD505-2E9C-101B-9397-08002B2CF9AE}" pid="4" name="woTemplate" linkTarget="0">
    <vt:i4>1</vt:i4>
  </property>
  <property fmtid="{D5CDD505-2E9C-101B-9397-08002B2CF9AE}" pid="5" name="ICV">
    <vt:lpwstr>71E56E4DFC2F4E3D9239AD46D67D7E35</vt:lpwstr>
  </property>
  <property fmtid="{D5CDD505-2E9C-101B-9397-08002B2CF9AE}" pid="6" name="KSOTemplateDocerSaveRecord">
    <vt:lpwstr>eyJoZGlkIjoiZGE2Mjg2YTZkZTMyMTYwY2M1OTQ5YzJlN2MyYmRjOGEiLCJ1c2VySWQiOiIxMDA4ODU0MDcwIn0=</vt:lpwstr>
  </property>
</Properties>
</file>