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绍兴市中医院ROWA发药机维保项目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TYJZ2025031</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绍兴市中医院ROWA发药机维保项目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bookmarkStart w:id="169" w:name="_GoBack"/>
      <w:bookmarkEnd w:id="169"/>
      <w:r>
        <w:rPr>
          <w:rFonts w:hint="eastAsia" w:ascii="仿宋" w:hAnsi="仿宋" w:eastAsia="仿宋" w:cs="仿宋"/>
          <w:b w:val="0"/>
          <w:bCs/>
          <w:color w:val="auto"/>
          <w:sz w:val="24"/>
          <w:highlight w:val="none"/>
          <w:lang w:eastAsia="zh-CN"/>
        </w:rPr>
        <w:t>TYJZ2025031</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绍兴市中医院ROWA发药机维保项目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750000</w:t>
      </w:r>
      <w:r>
        <w:rPr>
          <w:rFonts w:hint="eastAsia" w:ascii="仿宋" w:hAnsi="仿宋" w:eastAsia="仿宋" w:cs="仿宋"/>
          <w:b w:val="0"/>
          <w:bCs/>
          <w:color w:val="auto"/>
          <w:sz w:val="24"/>
          <w:highlight w:val="none"/>
        </w:rPr>
        <w:t xml:space="preserve">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750000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标项名称：ROWA发药机维保项目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预算金额（元）：750000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35393806"/>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35393807"/>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101"/>
      <w:bookmarkEnd w:id="20"/>
      <w:bookmarkStart w:id="21" w:name="_Hlt68073093"/>
      <w:bookmarkEnd w:id="21"/>
      <w:bookmarkStart w:id="22" w:name="_Hlt74730295"/>
      <w:bookmarkEnd w:id="22"/>
      <w:bookmarkStart w:id="23" w:name="_Hlt75236290"/>
      <w:bookmarkEnd w:id="23"/>
      <w:bookmarkStart w:id="24" w:name="_Hlt74729768"/>
      <w:bookmarkEnd w:id="24"/>
      <w:bookmarkStart w:id="25" w:name="_Hlt68072990"/>
      <w:bookmarkEnd w:id="25"/>
      <w:bookmarkStart w:id="26" w:name="_Hlt74714665"/>
      <w:bookmarkEnd w:id="26"/>
      <w:bookmarkStart w:id="27" w:name="_Hlt68403820"/>
      <w:bookmarkEnd w:id="27"/>
      <w:bookmarkStart w:id="28" w:name="_Hlt68072998"/>
      <w:bookmarkEnd w:id="28"/>
      <w:bookmarkStart w:id="29" w:name="_Hlt75236011"/>
      <w:bookmarkEnd w:id="29"/>
      <w:bookmarkStart w:id="30" w:name="_Hlt68057669"/>
      <w:bookmarkEnd w:id="30"/>
      <w:bookmarkStart w:id="31" w:name="_Hlt74707468"/>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ROWA发药机维保项目，预算750000元/3年，合同期限：自合同签订之日起三年。</w:t>
      </w:r>
    </w:p>
    <w:p w14:paraId="09A6ACAE">
      <w:pPr>
        <w:spacing w:after="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sz w:val="24"/>
          <w:szCs w:val="24"/>
          <w:highlight w:val="none"/>
        </w:rPr>
        <w:t>技术</w:t>
      </w:r>
      <w:r>
        <w:rPr>
          <w:rFonts w:hint="eastAsia" w:ascii="仿宋" w:hAnsi="仿宋" w:eastAsia="仿宋" w:cs="仿宋"/>
          <w:b/>
          <w:sz w:val="24"/>
          <w:szCs w:val="24"/>
          <w:highlight w:val="none"/>
          <w:lang w:val="en-US" w:eastAsia="zh-CN"/>
        </w:rPr>
        <w:t>参数</w:t>
      </w:r>
      <w:r>
        <w:rPr>
          <w:rFonts w:hint="eastAsia" w:ascii="仿宋" w:hAnsi="仿宋" w:eastAsia="仿宋" w:cs="仿宋"/>
          <w:b/>
          <w:sz w:val="24"/>
          <w:szCs w:val="24"/>
          <w:highlight w:val="none"/>
        </w:rPr>
        <w:t>要求：</w:t>
      </w:r>
    </w:p>
    <w:tbl>
      <w:tblPr>
        <w:tblStyle w:val="62"/>
        <w:tblW w:w="9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8717"/>
      </w:tblGrid>
      <w:tr w14:paraId="7687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38" w:type="dxa"/>
            <w:noWrap w:val="0"/>
            <w:vAlign w:val="center"/>
          </w:tcPr>
          <w:p w14:paraId="1F26F5FE">
            <w:pPr>
              <w:spacing w:after="0" w:line="24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序号</w:t>
            </w:r>
          </w:p>
        </w:tc>
        <w:tc>
          <w:tcPr>
            <w:tcW w:w="8717" w:type="dxa"/>
            <w:noWrap w:val="0"/>
            <w:vAlign w:val="center"/>
          </w:tcPr>
          <w:p w14:paraId="18DB2354">
            <w:pPr>
              <w:spacing w:after="0" w:line="24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内容</w:t>
            </w:r>
          </w:p>
        </w:tc>
      </w:tr>
      <w:tr w14:paraId="4DD7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8" w:type="dxa"/>
            <w:noWrap w:val="0"/>
            <w:vAlign w:val="center"/>
          </w:tcPr>
          <w:p w14:paraId="6F955F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仿宋" w:hAnsi="仿宋" w:eastAsia="仿宋" w:cs="仿宋"/>
                <w:b/>
                <w:color w:val="000000"/>
                <w:sz w:val="24"/>
                <w:szCs w:val="24"/>
                <w:lang w:val="en-US" w:eastAsia="zh-CN" w:bidi="ar-SA"/>
              </w:rPr>
            </w:pPr>
            <w:r>
              <w:rPr>
                <w:rFonts w:hint="eastAsia" w:ascii="仿宋" w:hAnsi="仿宋" w:eastAsia="仿宋" w:cs="仿宋"/>
                <w:color w:val="auto"/>
                <w:kern w:val="0"/>
                <w:sz w:val="24"/>
                <w:szCs w:val="22"/>
                <w:lang w:val="en-US" w:eastAsia="zh-CN" w:bidi="ar-SA"/>
              </w:rPr>
              <w:t>1</w:t>
            </w:r>
          </w:p>
        </w:tc>
        <w:tc>
          <w:tcPr>
            <w:tcW w:w="8717" w:type="dxa"/>
            <w:noWrap w:val="0"/>
            <w:vAlign w:val="center"/>
          </w:tcPr>
          <w:p w14:paraId="3E7C1FAC">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rPr>
            </w:pPr>
            <w:r>
              <w:rPr>
                <w:rFonts w:hint="eastAsia" w:ascii="仿宋" w:hAnsi="仿宋" w:eastAsia="仿宋" w:cs="仿宋"/>
                <w:sz w:val="24"/>
              </w:rPr>
              <w:t>保修内容：</w:t>
            </w:r>
            <w:bookmarkStart w:id="38" w:name="OLE_LINK2"/>
            <w:r>
              <w:rPr>
                <w:rFonts w:hint="eastAsia" w:ascii="仿宋" w:hAnsi="仿宋" w:eastAsia="仿宋" w:cs="仿宋"/>
                <w:sz w:val="24"/>
                <w:szCs w:val="24"/>
                <w:vertAlign w:val="baseline"/>
                <w:lang w:val="en-US" w:eastAsia="zh-CN"/>
              </w:rPr>
              <w:t>ROWA Vmax160</w:t>
            </w:r>
            <w:bookmarkEnd w:id="38"/>
            <w:r>
              <w:rPr>
                <w:rFonts w:hint="eastAsia" w:ascii="仿宋" w:hAnsi="仿宋" w:eastAsia="仿宋" w:cs="仿宋"/>
                <w:sz w:val="24"/>
                <w:szCs w:val="24"/>
                <w:vertAlign w:val="baseline"/>
                <w:lang w:val="en-US" w:eastAsia="zh-CN"/>
              </w:rPr>
              <w:t>自动化药房系统1套、智能调配机1台、门诊药房药框传输系统1套，整机保修，包括定期保养和故障维修、损坏的零部件更换。</w:t>
            </w:r>
          </w:p>
        </w:tc>
      </w:tr>
      <w:tr w14:paraId="4C6E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390A3F8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000000"/>
                <w:sz w:val="24"/>
                <w:lang w:bidi="ar"/>
              </w:rPr>
              <w:t>▲</w:t>
            </w:r>
            <w:r>
              <w:rPr>
                <w:rFonts w:hint="eastAsia" w:ascii="仿宋" w:hAnsi="仿宋" w:eastAsia="仿宋" w:cs="仿宋"/>
                <w:color w:val="auto"/>
                <w:lang w:val="en-US" w:eastAsia="zh-CN"/>
              </w:rPr>
              <w:t>2</w:t>
            </w:r>
          </w:p>
        </w:tc>
        <w:tc>
          <w:tcPr>
            <w:tcW w:w="8717" w:type="dxa"/>
            <w:noWrap w:val="0"/>
            <w:vAlign w:val="center"/>
          </w:tcPr>
          <w:p w14:paraId="66FED9D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服务的供应商应确保用户的设备正常运行，设备的功能和技术指标达到投标文件和国家相关标准。合同期内，设备发生的</w:t>
            </w:r>
            <w:r>
              <w:rPr>
                <w:rFonts w:hint="eastAsia" w:ascii="仿宋" w:hAnsi="仿宋" w:eastAsia="仿宋" w:cs="仿宋"/>
                <w:sz w:val="24"/>
                <w:lang w:val="en-US" w:eastAsia="zh-CN"/>
              </w:rPr>
              <w:t>非人为误操作导致的</w:t>
            </w:r>
            <w:r>
              <w:rPr>
                <w:rFonts w:hint="eastAsia" w:ascii="仿宋" w:hAnsi="仿宋" w:eastAsia="仿宋" w:cs="仿宋"/>
                <w:sz w:val="24"/>
              </w:rPr>
              <w:t>各种故障应由服务供应商免费提供技术服务、维修及所需配件</w:t>
            </w:r>
            <w:r>
              <w:rPr>
                <w:rFonts w:hint="eastAsia" w:ascii="仿宋" w:hAnsi="仿宋" w:eastAsia="仿宋" w:cs="仿宋"/>
                <w:sz w:val="24"/>
                <w:lang w:val="en-US" w:eastAsia="zh-CN"/>
              </w:rPr>
              <w:t>的更换</w:t>
            </w:r>
            <w:r>
              <w:rPr>
                <w:rFonts w:hint="eastAsia" w:ascii="仿宋" w:hAnsi="仿宋" w:eastAsia="仿宋" w:cs="仿宋"/>
                <w:sz w:val="24"/>
              </w:rPr>
              <w:t>。</w:t>
            </w:r>
            <w:r>
              <w:rPr>
                <w:rFonts w:hint="eastAsia" w:ascii="仿宋" w:hAnsi="仿宋" w:eastAsia="仿宋" w:cs="仿宋"/>
                <w:sz w:val="24"/>
                <w:lang w:val="en-US" w:eastAsia="zh-CN"/>
              </w:rPr>
              <w:t>维修所需更换的设备零部件必须为原厂提供的部件。</w:t>
            </w:r>
          </w:p>
        </w:tc>
      </w:tr>
      <w:tr w14:paraId="6990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46EBD33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lang w:val="en-US" w:eastAsia="zh-CN"/>
              </w:rPr>
              <w:t>3</w:t>
            </w:r>
          </w:p>
        </w:tc>
        <w:tc>
          <w:tcPr>
            <w:tcW w:w="8717" w:type="dxa"/>
            <w:noWrap w:val="0"/>
            <w:vAlign w:val="center"/>
          </w:tcPr>
          <w:p w14:paraId="2D2E768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维修所需的相关辅助设备和材料均由服务供应商提供，服务供应商应建立配件库，并具备相关维修保养专用工具、设备及装置。</w:t>
            </w:r>
          </w:p>
        </w:tc>
      </w:tr>
      <w:tr w14:paraId="2C9A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611E7177">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000000"/>
                <w:sz w:val="24"/>
                <w:lang w:bidi="ar"/>
              </w:rPr>
              <w:t>▲</w:t>
            </w:r>
            <w:r>
              <w:rPr>
                <w:rFonts w:hint="eastAsia" w:ascii="仿宋" w:hAnsi="仿宋" w:eastAsia="仿宋" w:cs="仿宋"/>
                <w:color w:val="auto"/>
                <w:highlight w:val="none"/>
                <w:lang w:val="en-US" w:eastAsia="zh-CN"/>
              </w:rPr>
              <w:t>4</w:t>
            </w:r>
          </w:p>
        </w:tc>
        <w:tc>
          <w:tcPr>
            <w:tcW w:w="8717" w:type="dxa"/>
            <w:noWrap w:val="0"/>
            <w:vAlign w:val="center"/>
          </w:tcPr>
          <w:p w14:paraId="17E68E2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所有服务工程师必须经过自动化药房系统厂家的维修培训</w:t>
            </w:r>
            <w:r>
              <w:rPr>
                <w:rFonts w:hint="eastAsia" w:ascii="仿宋" w:hAnsi="仿宋" w:eastAsia="仿宋" w:cs="仿宋"/>
                <w:sz w:val="24"/>
                <w:lang w:eastAsia="zh-CN"/>
              </w:rPr>
              <w:t>（</w:t>
            </w:r>
            <w:r>
              <w:rPr>
                <w:rFonts w:hint="eastAsia" w:ascii="仿宋" w:hAnsi="仿宋" w:eastAsia="仿宋" w:cs="仿宋"/>
                <w:sz w:val="24"/>
              </w:rPr>
              <w:t>提供相关服务资格的人员培训合格证明</w:t>
            </w:r>
            <w:r>
              <w:rPr>
                <w:rFonts w:hint="eastAsia" w:ascii="仿宋" w:hAnsi="仿宋" w:eastAsia="仿宋" w:cs="仿宋"/>
                <w:sz w:val="24"/>
                <w:lang w:eastAsia="zh-CN"/>
              </w:rPr>
              <w:t>）</w:t>
            </w:r>
            <w:r>
              <w:rPr>
                <w:rFonts w:hint="eastAsia" w:ascii="仿宋" w:hAnsi="仿宋" w:eastAsia="仿宋" w:cs="仿宋"/>
                <w:sz w:val="24"/>
              </w:rPr>
              <w:t>。</w:t>
            </w:r>
          </w:p>
        </w:tc>
      </w:tr>
      <w:tr w14:paraId="09E0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320FB36C">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仿宋" w:hAnsi="仿宋" w:eastAsia="仿宋" w:cs="仿宋"/>
                <w:color w:val="000000"/>
                <w:sz w:val="24"/>
                <w:szCs w:val="22"/>
                <w:lang w:val="en-US" w:eastAsia="zh-CN" w:bidi="ar"/>
              </w:rPr>
            </w:pPr>
            <w:r>
              <w:rPr>
                <w:rFonts w:hint="eastAsia" w:ascii="仿宋" w:hAnsi="仿宋" w:eastAsia="仿宋" w:cs="仿宋"/>
                <w:color w:val="000000"/>
                <w:sz w:val="24"/>
                <w:szCs w:val="22"/>
                <w:lang w:val="en-US" w:eastAsia="zh-CN" w:bidi="ar"/>
              </w:rPr>
              <w:t>5</w:t>
            </w:r>
          </w:p>
        </w:tc>
        <w:tc>
          <w:tcPr>
            <w:tcW w:w="8717" w:type="dxa"/>
            <w:noWrap w:val="0"/>
            <w:vAlign w:val="center"/>
          </w:tcPr>
          <w:p w14:paraId="3443623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lang w:val="en-US" w:eastAsia="zh-CN"/>
              </w:rPr>
              <w:t>在保修服务期内提供24小时技术电话支持（</w:t>
            </w:r>
            <w:r>
              <w:rPr>
                <w:rFonts w:hint="eastAsia" w:ascii="仿宋" w:hAnsi="仿宋" w:eastAsia="仿宋" w:cs="仿宋"/>
                <w:sz w:val="24"/>
                <w:lang w:eastAsia="zh-CN"/>
              </w:rPr>
              <w:t>2</w:t>
            </w:r>
            <w:r>
              <w:rPr>
                <w:rFonts w:hint="eastAsia" w:ascii="仿宋" w:hAnsi="仿宋" w:eastAsia="仿宋" w:cs="仿宋"/>
                <w:sz w:val="24"/>
                <w:lang w:val="en-US" w:eastAsia="zh-CN"/>
              </w:rPr>
              <w:t>4小时×365天），客户服务中心技术支持专家支持工程师≥1人，并提供维修资质证明文件及社保缴纳证明。</w:t>
            </w:r>
          </w:p>
        </w:tc>
      </w:tr>
      <w:tr w14:paraId="56A9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475827CF">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仿宋" w:hAnsi="仿宋" w:eastAsia="仿宋" w:cs="仿宋"/>
                <w:color w:val="000000"/>
                <w:sz w:val="24"/>
                <w:szCs w:val="22"/>
                <w:lang w:val="en-US" w:eastAsia="zh-CN" w:bidi="ar"/>
              </w:rPr>
            </w:pPr>
            <w:r>
              <w:rPr>
                <w:rFonts w:hint="eastAsia" w:ascii="仿宋" w:hAnsi="仿宋" w:eastAsia="仿宋" w:cs="仿宋"/>
                <w:color w:val="000000"/>
                <w:sz w:val="24"/>
                <w:szCs w:val="22"/>
                <w:lang w:val="en-US" w:eastAsia="zh-CN" w:bidi="ar"/>
              </w:rPr>
              <w:t>6</w:t>
            </w:r>
          </w:p>
        </w:tc>
        <w:tc>
          <w:tcPr>
            <w:tcW w:w="8717" w:type="dxa"/>
            <w:noWrap w:val="0"/>
            <w:vAlign w:val="center"/>
          </w:tcPr>
          <w:p w14:paraId="53E4803F">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lang w:val="en-US" w:eastAsia="zh-CN"/>
              </w:rPr>
              <w:t>专职维修工程师数量≥2人，并提供维修资质证明文件及社保缴纳证明。</w:t>
            </w:r>
          </w:p>
        </w:tc>
      </w:tr>
      <w:tr w14:paraId="685D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3E1685C2">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sz w:val="22"/>
                <w:szCs w:val="22"/>
                <w:lang w:val="en-US" w:eastAsia="zh-CN" w:bidi="ar-SA"/>
              </w:rPr>
              <w:t>7</w:t>
            </w:r>
          </w:p>
        </w:tc>
        <w:tc>
          <w:tcPr>
            <w:tcW w:w="8717" w:type="dxa"/>
            <w:noWrap w:val="0"/>
            <w:vAlign w:val="center"/>
          </w:tcPr>
          <w:p w14:paraId="7438D1A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服务供应商在接到报修电话后，</w:t>
            </w:r>
            <w:r>
              <w:rPr>
                <w:rFonts w:hint="eastAsia" w:ascii="仿宋" w:hAnsi="仿宋" w:eastAsia="仿宋" w:cs="仿宋"/>
                <w:sz w:val="24"/>
                <w:lang w:val="en-US" w:eastAsia="zh-CN"/>
              </w:rPr>
              <w:t>应在1小时内提供远程服务，远程服务无法解决时，</w:t>
            </w:r>
            <w:r>
              <w:rPr>
                <w:rFonts w:hint="eastAsia" w:ascii="仿宋" w:hAnsi="仿宋" w:eastAsia="仿宋" w:cs="仿宋"/>
                <w:sz w:val="24"/>
              </w:rPr>
              <w:t>在6小时内派工程师到现场实施维修，维修备件在确认后24小时内送达维修现场。提供报修电话、委派的工程师姓名及联系方式。在合同期内，维修次数不受限制。</w:t>
            </w:r>
          </w:p>
        </w:tc>
      </w:tr>
      <w:tr w14:paraId="3EC3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74585E8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000000"/>
                <w:sz w:val="24"/>
                <w:lang w:bidi="ar"/>
              </w:rPr>
              <w:t>▲</w:t>
            </w:r>
            <w:r>
              <w:rPr>
                <w:rFonts w:hint="eastAsia" w:ascii="仿宋" w:hAnsi="仿宋" w:eastAsia="仿宋" w:cs="仿宋"/>
                <w:color w:val="000000"/>
                <w:sz w:val="24"/>
                <w:lang w:val="en-US" w:eastAsia="zh-CN" w:bidi="ar"/>
              </w:rPr>
              <w:t>8</w:t>
            </w:r>
          </w:p>
        </w:tc>
        <w:tc>
          <w:tcPr>
            <w:tcW w:w="8717" w:type="dxa"/>
            <w:noWrap w:val="0"/>
            <w:vAlign w:val="center"/>
          </w:tcPr>
          <w:p w14:paraId="1D54AF02">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lang w:val="en-US" w:eastAsia="zh-CN"/>
              </w:rPr>
              <w:t>在合同期内，</w:t>
            </w:r>
            <w:r>
              <w:rPr>
                <w:rFonts w:hint="eastAsia" w:ascii="仿宋" w:hAnsi="仿宋" w:eastAsia="仿宋" w:cs="仿宋"/>
                <w:sz w:val="24"/>
              </w:rPr>
              <w:t>服务供应商</w:t>
            </w:r>
            <w:r>
              <w:rPr>
                <w:rFonts w:hint="eastAsia" w:ascii="仿宋" w:hAnsi="仿宋" w:eastAsia="仿宋" w:cs="仿宋"/>
                <w:sz w:val="24"/>
                <w:lang w:val="en-US" w:eastAsia="zh-CN"/>
              </w:rPr>
              <w:t>具备</w:t>
            </w:r>
            <w:r>
              <w:rPr>
                <w:rFonts w:hint="eastAsia" w:ascii="仿宋" w:hAnsi="仿宋" w:eastAsia="仿宋" w:cs="仿宋"/>
                <w:sz w:val="24"/>
              </w:rPr>
              <w:t>提供</w:t>
            </w:r>
            <w:r>
              <w:rPr>
                <w:rFonts w:hint="eastAsia" w:ascii="仿宋" w:hAnsi="仿宋" w:eastAsia="仿宋" w:cs="仿宋"/>
                <w:sz w:val="24"/>
                <w:lang w:val="en-US" w:eastAsia="zh-CN"/>
              </w:rPr>
              <w:t>BD ROWA VMAX160发药机原厂</w:t>
            </w:r>
            <w:r>
              <w:rPr>
                <w:rFonts w:hint="eastAsia" w:ascii="仿宋" w:hAnsi="仿宋" w:eastAsia="仿宋" w:cs="仿宋"/>
                <w:sz w:val="24"/>
              </w:rPr>
              <w:t>设备的</w:t>
            </w:r>
            <w:r>
              <w:rPr>
                <w:rFonts w:hint="eastAsia" w:ascii="仿宋" w:hAnsi="仿宋" w:eastAsia="仿宋" w:cs="仿宋"/>
                <w:sz w:val="24"/>
                <w:lang w:val="en-US" w:eastAsia="zh-CN"/>
              </w:rPr>
              <w:t>软件版本的</w:t>
            </w:r>
            <w:r>
              <w:rPr>
                <w:rFonts w:hint="eastAsia" w:ascii="仿宋" w:hAnsi="仿宋" w:eastAsia="仿宋" w:cs="仿宋"/>
                <w:sz w:val="24"/>
              </w:rPr>
              <w:t>升级</w:t>
            </w:r>
            <w:r>
              <w:rPr>
                <w:rFonts w:hint="eastAsia" w:ascii="仿宋" w:hAnsi="仿宋" w:eastAsia="仿宋" w:cs="仿宋"/>
                <w:sz w:val="24"/>
                <w:lang w:eastAsia="zh-CN"/>
              </w:rPr>
              <w:t>（</w:t>
            </w:r>
            <w:r>
              <w:rPr>
                <w:rFonts w:hint="eastAsia" w:ascii="仿宋" w:hAnsi="仿宋" w:eastAsia="仿宋" w:cs="仿宋"/>
                <w:sz w:val="24"/>
                <w:lang w:val="en-US" w:eastAsia="zh-CN"/>
              </w:rPr>
              <w:t>德国）权限（提供设备软件升级的原厂授权书）</w:t>
            </w:r>
            <w:r>
              <w:rPr>
                <w:rFonts w:hint="eastAsia" w:ascii="仿宋" w:hAnsi="仿宋" w:eastAsia="仿宋" w:cs="仿宋"/>
                <w:sz w:val="24"/>
              </w:rPr>
              <w:t>。</w:t>
            </w:r>
          </w:p>
        </w:tc>
      </w:tr>
      <w:tr w14:paraId="3027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29B2A90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000000"/>
                <w:sz w:val="24"/>
                <w:lang w:bidi="ar"/>
              </w:rPr>
              <w:t>▲</w:t>
            </w:r>
            <w:r>
              <w:rPr>
                <w:rFonts w:hint="eastAsia" w:ascii="仿宋" w:hAnsi="仿宋" w:eastAsia="仿宋" w:cs="仿宋"/>
                <w:color w:val="000000"/>
                <w:sz w:val="24"/>
                <w:lang w:val="en-US" w:eastAsia="zh-CN" w:bidi="ar"/>
              </w:rPr>
              <w:t>9</w:t>
            </w:r>
          </w:p>
        </w:tc>
        <w:tc>
          <w:tcPr>
            <w:tcW w:w="8717" w:type="dxa"/>
            <w:noWrap w:val="0"/>
            <w:vAlign w:val="center"/>
          </w:tcPr>
          <w:p w14:paraId="0775A9A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lang w:val="en-US" w:eastAsia="zh-CN"/>
              </w:rPr>
              <w:t>根据客户的需求，提供BD ROWA设备的MDIS的软件的定期升级。有能力根据用户的需求进行软件功能的升级及改造（提供设备软件升级的原厂授权书）。</w:t>
            </w:r>
          </w:p>
        </w:tc>
      </w:tr>
      <w:tr w14:paraId="0D58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7E13ACA1">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sz w:val="22"/>
                <w:szCs w:val="22"/>
                <w:lang w:val="en-US" w:eastAsia="zh-CN" w:bidi="ar-SA"/>
              </w:rPr>
              <w:t>10</w:t>
            </w:r>
          </w:p>
        </w:tc>
        <w:tc>
          <w:tcPr>
            <w:tcW w:w="8717" w:type="dxa"/>
            <w:noWrap w:val="0"/>
            <w:vAlign w:val="center"/>
          </w:tcPr>
          <w:p w14:paraId="06F6F271">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服务供应商应提供每年度不少于4次的预防性保养，并提供保养时间计划表及维护保养清单。</w:t>
            </w:r>
          </w:p>
        </w:tc>
      </w:tr>
      <w:tr w14:paraId="3940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0DADA8BC">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sz w:val="22"/>
                <w:szCs w:val="22"/>
                <w:lang w:val="en-US" w:eastAsia="zh-CN" w:bidi="ar-SA"/>
              </w:rPr>
              <w:t>11</w:t>
            </w:r>
          </w:p>
        </w:tc>
        <w:tc>
          <w:tcPr>
            <w:tcW w:w="8717" w:type="dxa"/>
            <w:noWrap w:val="0"/>
            <w:vAlign w:val="center"/>
          </w:tcPr>
          <w:p w14:paraId="3D83863C">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服务供应商维修前应将用户的相关数据等备份，维修结束后恢复原状。</w:t>
            </w:r>
          </w:p>
        </w:tc>
      </w:tr>
      <w:tr w14:paraId="48AE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738" w:type="dxa"/>
            <w:noWrap w:val="0"/>
            <w:vAlign w:val="center"/>
          </w:tcPr>
          <w:p w14:paraId="1912324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sz w:val="22"/>
                <w:szCs w:val="22"/>
                <w:lang w:val="en-US" w:eastAsia="zh-CN" w:bidi="ar-SA"/>
              </w:rPr>
              <w:t>12</w:t>
            </w:r>
          </w:p>
        </w:tc>
        <w:tc>
          <w:tcPr>
            <w:tcW w:w="8717" w:type="dxa"/>
            <w:noWrap w:val="0"/>
            <w:vAlign w:val="center"/>
          </w:tcPr>
          <w:p w14:paraId="571EA9C7">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服务供应商须在每次完成设备维修、保养或升级等保修任务后，均应在7个工作日内向采购人提交详细工作报告单，报告单的内容将作为采购人对保修服务内容验收的依据。</w:t>
            </w:r>
          </w:p>
        </w:tc>
      </w:tr>
      <w:tr w14:paraId="7786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1621A3F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sz w:val="22"/>
                <w:szCs w:val="22"/>
                <w:lang w:val="en-US" w:eastAsia="zh-CN" w:bidi="ar-SA"/>
              </w:rPr>
              <w:t>13</w:t>
            </w:r>
          </w:p>
        </w:tc>
        <w:tc>
          <w:tcPr>
            <w:tcW w:w="8717" w:type="dxa"/>
            <w:noWrap w:val="0"/>
            <w:vAlign w:val="center"/>
          </w:tcPr>
          <w:p w14:paraId="6D88CEA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服务供应商在采购人提出培训申请时，应免费指派工程师上门进行培训，培训次数不限，培训完成后，提供详细的培训记录单包括培训内容、参加人员签字、培训时间、培训地点及操作人员考核情况。</w:t>
            </w:r>
          </w:p>
        </w:tc>
      </w:tr>
      <w:tr w14:paraId="26C0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1E78D7DB">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sz w:val="22"/>
                <w:szCs w:val="22"/>
                <w:lang w:val="en-US" w:eastAsia="zh-CN" w:bidi="ar-SA"/>
              </w:rPr>
              <w:t>14</w:t>
            </w:r>
          </w:p>
        </w:tc>
        <w:tc>
          <w:tcPr>
            <w:tcW w:w="8717" w:type="dxa"/>
            <w:noWrap w:val="0"/>
            <w:vAlign w:val="center"/>
          </w:tcPr>
          <w:p w14:paraId="6E453C0D">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rPr>
              <w:t>服务供应商应针对采购人的设备使用情况、售后服务情况进行定期上门回访，确保产品质量和服务质量。</w:t>
            </w:r>
          </w:p>
        </w:tc>
      </w:tr>
      <w:tr w14:paraId="6FDA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152AD312">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auto"/>
                <w:sz w:val="22"/>
                <w:szCs w:val="22"/>
                <w:lang w:val="en-US" w:eastAsia="zh-CN" w:bidi="ar-SA"/>
              </w:rPr>
              <w:t>15</w:t>
            </w:r>
          </w:p>
        </w:tc>
        <w:tc>
          <w:tcPr>
            <w:tcW w:w="8717" w:type="dxa"/>
            <w:noWrap w:val="0"/>
            <w:vAlign w:val="center"/>
          </w:tcPr>
          <w:p w14:paraId="4FEEB3E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lang w:val="en-US" w:eastAsia="zh-CN"/>
              </w:rPr>
              <w:t>每年提供年度的维修保养服务报告，包括</w:t>
            </w:r>
            <w:r>
              <w:rPr>
                <w:rFonts w:hint="eastAsia" w:ascii="仿宋" w:hAnsi="仿宋" w:eastAsia="仿宋" w:cs="仿宋"/>
                <w:sz w:val="24"/>
                <w:highlight w:val="green"/>
                <w:lang w:val="en-US" w:eastAsia="zh-CN"/>
              </w:rPr>
              <w:t>但不仅限于</w:t>
            </w:r>
            <w:r>
              <w:rPr>
                <w:rFonts w:hint="eastAsia" w:ascii="仿宋" w:hAnsi="仿宋" w:eastAsia="仿宋" w:cs="仿宋"/>
                <w:sz w:val="24"/>
                <w:lang w:val="en-US" w:eastAsia="zh-CN"/>
              </w:rPr>
              <w:t>维修次数，更换备件名称、数量、单价，保养记录，维修工单</w:t>
            </w:r>
            <w:r>
              <w:rPr>
                <w:rFonts w:hint="eastAsia" w:ascii="仿宋" w:hAnsi="仿宋" w:eastAsia="仿宋" w:cs="仿宋"/>
                <w:sz w:val="24"/>
                <w:highlight w:val="green"/>
                <w:lang w:val="en-US" w:eastAsia="zh-CN"/>
              </w:rPr>
              <w:t>及使用改进建议</w:t>
            </w:r>
            <w:r>
              <w:rPr>
                <w:rFonts w:hint="eastAsia" w:ascii="仿宋" w:hAnsi="仿宋" w:eastAsia="仿宋" w:cs="仿宋"/>
                <w:sz w:val="24"/>
                <w:lang w:val="en-US" w:eastAsia="zh-CN"/>
              </w:rPr>
              <w:t>等。</w:t>
            </w:r>
          </w:p>
        </w:tc>
      </w:tr>
      <w:tr w14:paraId="4AD3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0DA36A8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lang w:val="en-US" w:eastAsia="zh-CN" w:bidi="ar-SA"/>
              </w:rPr>
            </w:pPr>
            <w:r>
              <w:rPr>
                <w:rFonts w:hint="eastAsia" w:ascii="仿宋" w:hAnsi="仿宋" w:eastAsia="仿宋" w:cs="仿宋"/>
                <w:color w:val="000000"/>
                <w:sz w:val="24"/>
                <w:lang w:bidi="ar"/>
              </w:rPr>
              <w:t>▲</w:t>
            </w:r>
            <w:r>
              <w:rPr>
                <w:rFonts w:hint="eastAsia" w:ascii="仿宋" w:hAnsi="仿宋" w:eastAsia="仿宋" w:cs="仿宋"/>
                <w:color w:val="000000"/>
                <w:sz w:val="24"/>
                <w:lang w:val="en-US" w:eastAsia="zh-CN" w:bidi="ar"/>
              </w:rPr>
              <w:t>16</w:t>
            </w:r>
          </w:p>
        </w:tc>
        <w:tc>
          <w:tcPr>
            <w:tcW w:w="8717" w:type="dxa"/>
            <w:noWrap w:val="0"/>
            <w:vAlign w:val="center"/>
          </w:tcPr>
          <w:p w14:paraId="06F1E1A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lang w:val="en-US" w:eastAsia="zh-CN"/>
              </w:rPr>
              <w:t>需承诺具备提供原厂针对</w:t>
            </w:r>
            <w:r>
              <w:rPr>
                <w:rFonts w:hint="eastAsia" w:ascii="仿宋" w:hAnsi="仿宋" w:eastAsia="仿宋" w:cs="仿宋"/>
                <w:sz w:val="24"/>
              </w:rPr>
              <w:t>ROWA</w:t>
            </w:r>
            <w:r>
              <w:rPr>
                <w:rFonts w:hint="eastAsia" w:ascii="仿宋" w:hAnsi="仿宋" w:eastAsia="仿宋" w:cs="仿宋"/>
                <w:sz w:val="24"/>
                <w:lang w:val="en-US" w:eastAsia="zh-CN"/>
              </w:rPr>
              <w:t xml:space="preserve"> </w:t>
            </w:r>
            <w:r>
              <w:rPr>
                <w:rFonts w:hint="eastAsia" w:ascii="仿宋" w:hAnsi="仿宋" w:eastAsia="仿宋" w:cs="仿宋"/>
                <w:sz w:val="24"/>
              </w:rPr>
              <w:t>Vmax</w:t>
            </w:r>
            <w:r>
              <w:rPr>
                <w:rFonts w:hint="eastAsia" w:ascii="仿宋" w:hAnsi="仿宋" w:eastAsia="仿宋" w:cs="仿宋"/>
                <w:sz w:val="24"/>
                <w:lang w:val="en-US" w:eastAsia="zh-CN"/>
              </w:rPr>
              <w:t>设备的入药、出药实施药品追溯码管理，无需通过第三方设备实现药品追溯功能的能力（提供已实施项目的软件界面截图，并标注信息来源）。</w:t>
            </w:r>
          </w:p>
        </w:tc>
      </w:tr>
      <w:tr w14:paraId="1D03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36B114D8">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4"/>
                <w:szCs w:val="22"/>
                <w:lang w:val="en-US" w:eastAsia="zh-CN" w:bidi="ar"/>
              </w:rPr>
            </w:pPr>
            <w:r>
              <w:rPr>
                <w:rFonts w:hint="eastAsia" w:ascii="仿宋" w:hAnsi="仿宋" w:eastAsia="仿宋" w:cs="仿宋"/>
                <w:color w:val="auto"/>
                <w:sz w:val="24"/>
                <w:szCs w:val="22"/>
                <w:lang w:val="en-US" w:eastAsia="zh-CN" w:bidi="ar"/>
              </w:rPr>
              <w:t>17</w:t>
            </w:r>
          </w:p>
        </w:tc>
        <w:tc>
          <w:tcPr>
            <w:tcW w:w="8717" w:type="dxa"/>
            <w:noWrap w:val="0"/>
            <w:vAlign w:val="center"/>
          </w:tcPr>
          <w:p w14:paraId="0D348E30">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lang w:val="en-US" w:eastAsia="zh-CN"/>
              </w:rPr>
              <w:t>服务供应商具备完善的售后服务管理软件系统（提供软件界面截图，需体现用户名称、设备名称、设备类型）。</w:t>
            </w:r>
          </w:p>
        </w:tc>
      </w:tr>
      <w:tr w14:paraId="6F08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433855A0">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4"/>
                <w:szCs w:val="22"/>
                <w:lang w:val="en-US" w:eastAsia="zh-CN" w:bidi="ar"/>
              </w:rPr>
            </w:pPr>
            <w:r>
              <w:rPr>
                <w:rFonts w:hint="eastAsia" w:ascii="仿宋" w:hAnsi="仿宋" w:eastAsia="仿宋" w:cs="仿宋"/>
                <w:color w:val="auto"/>
                <w:sz w:val="24"/>
                <w:szCs w:val="22"/>
                <w:lang w:val="en-US" w:eastAsia="zh-CN" w:bidi="ar"/>
              </w:rPr>
              <w:t>18</w:t>
            </w:r>
          </w:p>
        </w:tc>
        <w:tc>
          <w:tcPr>
            <w:tcW w:w="8717" w:type="dxa"/>
            <w:noWrap w:val="0"/>
            <w:vAlign w:val="center"/>
          </w:tcPr>
          <w:p w14:paraId="50F5F1E6">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lang w:val="zh-CN" w:eastAsia="zh-CN"/>
              </w:rPr>
            </w:pPr>
            <w:r>
              <w:rPr>
                <w:rFonts w:hint="eastAsia" w:ascii="仿宋" w:hAnsi="仿宋" w:eastAsia="仿宋" w:cs="仿宋"/>
                <w:sz w:val="24"/>
                <w:lang w:val="en-US" w:eastAsia="zh-CN"/>
              </w:rPr>
              <w:t>服务供应商提供其他已实施的项目提升报告文件。</w:t>
            </w:r>
          </w:p>
        </w:tc>
      </w:tr>
    </w:tbl>
    <w:p w14:paraId="192A0033">
      <w:pPr>
        <w:spacing w:after="0"/>
        <w:rPr>
          <w:rFonts w:hint="eastAsia" w:ascii="仿宋" w:hAnsi="仿宋" w:eastAsia="仿宋" w:cs="仿宋"/>
          <w:b/>
          <w:sz w:val="24"/>
          <w:szCs w:val="24"/>
        </w:rPr>
      </w:pPr>
      <w:r>
        <w:rPr>
          <w:rFonts w:hint="eastAsia" w:ascii="仿宋" w:hAnsi="仿宋" w:eastAsia="仿宋" w:cs="仿宋"/>
          <w:b/>
        </w:rPr>
        <w:t>特别说明：</w:t>
      </w:r>
      <w:r>
        <w:rPr>
          <w:rFonts w:hint="eastAsia" w:ascii="仿宋" w:hAnsi="仿宋" w:eastAsia="仿宋" w:cs="仿宋"/>
          <w:b/>
          <w:lang w:val="zh-CN"/>
        </w:rPr>
        <w:t>标注</w:t>
      </w:r>
      <w:r>
        <w:rPr>
          <w:rFonts w:hint="eastAsia" w:ascii="仿宋" w:hAnsi="仿宋" w:eastAsia="仿宋" w:cs="仿宋"/>
          <w:b/>
        </w:rPr>
        <w:t>“★</w:t>
      </w:r>
      <w:r>
        <w:rPr>
          <w:rFonts w:hint="eastAsia" w:ascii="仿宋" w:hAnsi="仿宋" w:eastAsia="仿宋" w:cs="仿宋"/>
          <w:b/>
          <w:lang w:eastAsia="zh-CN"/>
        </w:rPr>
        <w:t>、</w:t>
      </w:r>
      <w:r>
        <w:rPr>
          <w:rFonts w:hint="eastAsia" w:ascii="仿宋" w:hAnsi="仿宋" w:eastAsia="仿宋" w:cs="仿宋"/>
          <w:b/>
          <w:lang w:val="en-US" w:eastAsia="zh-CN"/>
        </w:rPr>
        <w:t>▲</w:t>
      </w:r>
      <w:r>
        <w:rPr>
          <w:rFonts w:hint="eastAsia" w:ascii="仿宋" w:hAnsi="仿宋" w:eastAsia="仿宋" w:cs="仿宋"/>
          <w:b/>
        </w:rPr>
        <w:t>”</w:t>
      </w:r>
      <w:bookmarkStart w:id="39" w:name="OLE_LINK1"/>
      <w:r>
        <w:rPr>
          <w:rFonts w:hint="eastAsia" w:ascii="仿宋" w:hAnsi="仿宋" w:eastAsia="仿宋" w:cs="仿宋"/>
          <w:b/>
        </w:rPr>
        <w:t>要求条款</w:t>
      </w:r>
      <w:bookmarkEnd w:id="39"/>
      <w:r>
        <w:rPr>
          <w:rFonts w:hint="eastAsia" w:ascii="仿宋" w:hAnsi="仿宋" w:eastAsia="仿宋" w:cs="仿宋"/>
          <w:b/>
        </w:rPr>
        <w:t>，提供充分证明材料。</w:t>
      </w:r>
    </w:p>
    <w:p w14:paraId="1CDEE9CB">
      <w:pPr>
        <w:spacing w:after="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服务质量，服度态度进行全面考核，考核合格方可支付服务费用，考核标准参照附件：《绍兴市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2C3E42BC">
      <w:pPr>
        <w:spacing w:after="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4F139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rPr>
      </w:pPr>
    </w:p>
    <w:p w14:paraId="41ACDDDC">
      <w:pPr>
        <w:spacing w:after="0"/>
        <w:rPr>
          <w:rFonts w:hint="eastAsia" w:ascii="仿宋" w:hAnsi="仿宋" w:eastAsia="仿宋" w:cs="仿宋"/>
          <w:sz w:val="24"/>
          <w:szCs w:val="24"/>
          <w:highlight w:val="none"/>
        </w:rPr>
      </w:pPr>
    </w:p>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lang w:val="zh-CN"/>
        </w:rPr>
        <w:br w:type="page"/>
      </w:r>
      <w:r>
        <w:rPr>
          <w:rFonts w:hint="eastAsia" w:ascii="仿宋" w:hAnsi="仿宋" w:eastAsia="仿宋" w:cs="仿宋"/>
          <w:b/>
          <w:bCs/>
          <w:kern w:val="2"/>
          <w:sz w:val="24"/>
          <w:szCs w:val="24"/>
          <w:highlight w:val="none"/>
        </w:rPr>
        <w:t>绍兴市中医院  医疗设备维保服务考核管理办法</w:t>
      </w:r>
    </w:p>
    <w:p w14:paraId="658B87F9">
      <w:pPr>
        <w:pStyle w:val="33"/>
        <w:ind w:firstLine="480" w:firstLineChars="200"/>
        <w:rPr>
          <w:rFonts w:hint="eastAsia" w:ascii="仿宋" w:hAnsi="仿宋" w:eastAsia="仿宋" w:cs="仿宋"/>
          <w:sz w:val="24"/>
          <w:szCs w:val="24"/>
          <w:highlight w:val="none"/>
        </w:rPr>
      </w:pPr>
    </w:p>
    <w:p w14:paraId="39304031">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0" w:name="_Toc22967"/>
      <w:bookmarkStart w:id="41" w:name="_Toc15367"/>
      <w:bookmarkStart w:id="42" w:name="_Toc28855"/>
      <w:bookmarkStart w:id="43" w:name="_Toc19273"/>
      <w:bookmarkStart w:id="44" w:name="_Toc20421"/>
      <w:r>
        <w:rPr>
          <w:rFonts w:hint="eastAsia" w:ascii="仿宋" w:hAnsi="仿宋" w:eastAsia="仿宋" w:cs="仿宋"/>
          <w:b/>
          <w:color w:val="auto"/>
          <w:sz w:val="24"/>
          <w:highlight w:val="none"/>
        </w:rPr>
        <w:t>1.1 合同组成部分</w:t>
      </w:r>
      <w:bookmarkEnd w:id="40"/>
      <w:bookmarkEnd w:id="41"/>
      <w:bookmarkEnd w:id="42"/>
      <w:bookmarkEnd w:id="43"/>
      <w:bookmarkEnd w:id="44"/>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5" w:name="_Toc6773"/>
      <w:bookmarkStart w:id="46" w:name="_Toc2918"/>
      <w:bookmarkStart w:id="47" w:name="_Toc6311"/>
      <w:bookmarkStart w:id="48" w:name="_Toc18585"/>
      <w:bookmarkStart w:id="49" w:name="_Toc22185"/>
      <w:r>
        <w:rPr>
          <w:rFonts w:hint="eastAsia" w:ascii="仿宋" w:hAnsi="仿宋" w:eastAsia="仿宋" w:cs="仿宋"/>
          <w:b/>
          <w:color w:val="auto"/>
          <w:sz w:val="24"/>
          <w:highlight w:val="none"/>
        </w:rPr>
        <w:t>1.2 标的</w:t>
      </w:r>
      <w:bookmarkEnd w:id="45"/>
      <w:bookmarkEnd w:id="46"/>
      <w:bookmarkEnd w:id="47"/>
      <w:bookmarkEnd w:id="48"/>
      <w:bookmarkEnd w:id="49"/>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0" w:name="_Toc5635"/>
      <w:bookmarkStart w:id="51" w:name="_Toc4929"/>
      <w:bookmarkStart w:id="52" w:name="_Toc21124"/>
      <w:bookmarkStart w:id="53" w:name="_Toc1386"/>
      <w:bookmarkStart w:id="54"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5" w:name="_Toc30158"/>
      <w:bookmarkStart w:id="56" w:name="_Toc30506"/>
      <w:bookmarkStart w:id="57" w:name="_Toc26916"/>
      <w:bookmarkStart w:id="58" w:name="_Toc3654"/>
      <w:bookmarkStart w:id="59"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5"/>
    <w:bookmarkEnd w:id="56"/>
    <w:bookmarkEnd w:id="57"/>
    <w:bookmarkEnd w:id="58"/>
    <w:bookmarkEnd w:id="59"/>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0" w:name="_Toc1814"/>
      <w:bookmarkStart w:id="61" w:name="_Toc10340"/>
      <w:bookmarkStart w:id="62" w:name="_Toc22618"/>
      <w:bookmarkStart w:id="63" w:name="_Toc31421"/>
      <w:bookmarkStart w:id="64" w:name="_Toc3625"/>
      <w:bookmarkStart w:id="65" w:name="_Toc8772"/>
      <w:bookmarkStart w:id="66" w:name="_Toc11108"/>
      <w:bookmarkStart w:id="67" w:name="_Toc4760"/>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8" w:name="_Toc8586"/>
      <w:bookmarkStart w:id="69" w:name="_Toc24662"/>
      <w:bookmarkStart w:id="70" w:name="_Toc2375"/>
      <w:bookmarkStart w:id="71" w:name="_Toc3079"/>
      <w:bookmarkStart w:id="72" w:name="_Toc5698"/>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3" w:name="_Toc18683"/>
      <w:bookmarkStart w:id="74" w:name="_Toc30329"/>
      <w:bookmarkStart w:id="75" w:name="_Toc26807"/>
      <w:bookmarkStart w:id="76" w:name="_Toc9497"/>
      <w:bookmarkStart w:id="77"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15583"/>
      <w:bookmarkStart w:id="79" w:name="_Toc28375"/>
      <w:bookmarkStart w:id="80" w:name="_Toc16021"/>
      <w:r>
        <w:rPr>
          <w:rFonts w:hint="eastAsia" w:ascii="仿宋" w:hAnsi="仿宋" w:eastAsia="仿宋" w:cs="仿宋"/>
          <w:b/>
          <w:color w:val="auto"/>
          <w:sz w:val="24"/>
          <w:highlight w:val="none"/>
        </w:rPr>
        <w:t>1.9合同争议的解决</w:t>
      </w:r>
      <w:bookmarkEnd w:id="78"/>
      <w:bookmarkEnd w:id="79"/>
      <w:bookmarkEnd w:id="80"/>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11173"/>
      <w:bookmarkStart w:id="82" w:name="_Toc7245"/>
      <w:bookmarkStart w:id="83" w:name="_Toc15322"/>
      <w:r>
        <w:rPr>
          <w:rFonts w:hint="eastAsia" w:ascii="仿宋" w:hAnsi="仿宋" w:eastAsia="仿宋" w:cs="仿宋"/>
          <w:b/>
          <w:color w:val="auto"/>
          <w:sz w:val="24"/>
          <w:highlight w:val="none"/>
        </w:rPr>
        <w:t>2.0 合同生效</w:t>
      </w:r>
      <w:bookmarkEnd w:id="81"/>
      <w:bookmarkEnd w:id="82"/>
      <w:bookmarkEnd w:id="83"/>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4" w:name="_Toc5228"/>
      <w:bookmarkStart w:id="85" w:name="_Toc14021"/>
      <w:bookmarkStart w:id="86" w:name="_Toc19680"/>
      <w:bookmarkStart w:id="87" w:name="_Toc31297"/>
      <w:bookmarkStart w:id="88" w:name="_Toc25079"/>
      <w:r>
        <w:rPr>
          <w:rFonts w:hint="eastAsia" w:ascii="仿宋" w:hAnsi="仿宋" w:eastAsia="仿宋" w:cs="仿宋"/>
          <w:b/>
          <w:color w:val="auto"/>
          <w:sz w:val="24"/>
          <w:highlight w:val="none"/>
        </w:rPr>
        <w:t>2.1 定义</w:t>
      </w:r>
      <w:bookmarkEnd w:id="84"/>
      <w:bookmarkEnd w:id="85"/>
      <w:bookmarkEnd w:id="86"/>
      <w:bookmarkEnd w:id="87"/>
      <w:bookmarkEnd w:id="88"/>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9" w:name="_Toc19539"/>
      <w:bookmarkStart w:id="90" w:name="_Toc16752"/>
      <w:bookmarkStart w:id="91" w:name="_Toc31402"/>
      <w:bookmarkStart w:id="92" w:name="_Toc3769"/>
      <w:bookmarkStart w:id="93" w:name="_Toc23289"/>
      <w:r>
        <w:rPr>
          <w:rFonts w:hint="eastAsia" w:ascii="仿宋" w:hAnsi="仿宋" w:eastAsia="仿宋" w:cs="仿宋"/>
          <w:b/>
          <w:color w:val="auto"/>
          <w:sz w:val="24"/>
          <w:highlight w:val="none"/>
        </w:rPr>
        <w:t>2.2 技术规范</w:t>
      </w:r>
      <w:bookmarkEnd w:id="89"/>
      <w:bookmarkEnd w:id="90"/>
      <w:bookmarkEnd w:id="91"/>
      <w:bookmarkEnd w:id="92"/>
      <w:bookmarkEnd w:id="93"/>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4" w:name="_Toc4133"/>
      <w:bookmarkStart w:id="95" w:name="_Toc9161"/>
      <w:bookmarkStart w:id="96" w:name="_Toc13673"/>
      <w:bookmarkStart w:id="97" w:name="_Toc12412"/>
      <w:bookmarkStart w:id="98" w:name="_Toc27945"/>
      <w:r>
        <w:rPr>
          <w:rFonts w:hint="eastAsia" w:ascii="仿宋" w:hAnsi="仿宋" w:eastAsia="仿宋" w:cs="仿宋"/>
          <w:b/>
          <w:color w:val="auto"/>
          <w:sz w:val="24"/>
          <w:highlight w:val="none"/>
        </w:rPr>
        <w:t>2.3 知识产权</w:t>
      </w:r>
      <w:bookmarkEnd w:id="94"/>
      <w:bookmarkEnd w:id="95"/>
      <w:bookmarkEnd w:id="96"/>
      <w:bookmarkEnd w:id="97"/>
      <w:bookmarkEnd w:id="98"/>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9" w:name="_Toc31233"/>
      <w:bookmarkStart w:id="100" w:name="_Toc15447"/>
      <w:bookmarkStart w:id="101" w:name="_Toc22011"/>
      <w:bookmarkStart w:id="102" w:name="_Toc32670"/>
      <w:bookmarkStart w:id="103" w:name="_Toc26555"/>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4" w:name="_Toc13467"/>
      <w:bookmarkStart w:id="105" w:name="_Toc30507"/>
      <w:bookmarkStart w:id="106" w:name="_Toc16163"/>
      <w:bookmarkStart w:id="107" w:name="_Toc18990"/>
      <w:bookmarkStart w:id="108" w:name="_Toc13154"/>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2" w:name="_Toc10663"/>
      <w:bookmarkStart w:id="113" w:name="_Toc23368"/>
      <w:bookmarkStart w:id="114" w:name="_Toc42"/>
      <w:bookmarkStart w:id="115" w:name="_Toc21830"/>
      <w:bookmarkStart w:id="116" w:name="_Toc26689"/>
      <w:r>
        <w:rPr>
          <w:rFonts w:hint="eastAsia" w:ascii="仿宋" w:hAnsi="仿宋" w:eastAsia="仿宋" w:cs="仿宋"/>
          <w:b/>
          <w:color w:val="auto"/>
          <w:sz w:val="24"/>
          <w:highlight w:val="none"/>
        </w:rPr>
        <w:t>2.10 合同转让和分包</w:t>
      </w:r>
      <w:bookmarkEnd w:id="112"/>
      <w:bookmarkEnd w:id="113"/>
      <w:bookmarkEnd w:id="114"/>
      <w:bookmarkEnd w:id="115"/>
      <w:bookmarkEnd w:id="116"/>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7" w:name="_Toc32494"/>
      <w:bookmarkStart w:id="118" w:name="_Toc26633"/>
      <w:bookmarkStart w:id="119" w:name="_Toc25571"/>
      <w:bookmarkStart w:id="120" w:name="_Toc4720"/>
      <w:bookmarkStart w:id="121" w:name="_Toc14371"/>
      <w:r>
        <w:rPr>
          <w:rFonts w:hint="eastAsia" w:ascii="仿宋" w:hAnsi="仿宋" w:eastAsia="仿宋" w:cs="仿宋"/>
          <w:b/>
          <w:color w:val="auto"/>
          <w:sz w:val="24"/>
          <w:highlight w:val="none"/>
        </w:rPr>
        <w:t>2.11 不可抗力</w:t>
      </w:r>
      <w:bookmarkEnd w:id="117"/>
      <w:bookmarkEnd w:id="118"/>
      <w:bookmarkEnd w:id="119"/>
      <w:bookmarkEnd w:id="120"/>
      <w:bookmarkEnd w:id="121"/>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2" w:name="_Toc25783"/>
      <w:bookmarkStart w:id="123" w:name="_Toc3638"/>
      <w:bookmarkStart w:id="124" w:name="_Toc24465"/>
      <w:bookmarkStart w:id="125" w:name="_Toc23854"/>
      <w:bookmarkStart w:id="126" w:name="_Toc14115"/>
      <w:r>
        <w:rPr>
          <w:rFonts w:hint="eastAsia" w:ascii="仿宋" w:hAnsi="仿宋" w:eastAsia="仿宋" w:cs="仿宋"/>
          <w:b/>
          <w:color w:val="auto"/>
          <w:sz w:val="24"/>
          <w:highlight w:val="none"/>
        </w:rPr>
        <w:t>2.12 税费</w:t>
      </w:r>
      <w:bookmarkEnd w:id="122"/>
      <w:bookmarkEnd w:id="123"/>
      <w:bookmarkEnd w:id="124"/>
      <w:bookmarkEnd w:id="125"/>
      <w:bookmarkEnd w:id="126"/>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7" w:name="_Toc25525"/>
      <w:bookmarkStart w:id="128" w:name="_Toc14814"/>
      <w:bookmarkStart w:id="129" w:name="_Toc7315"/>
      <w:bookmarkStart w:id="130" w:name="_Toc26883"/>
      <w:bookmarkStart w:id="131" w:name="_Toc30105"/>
      <w:r>
        <w:rPr>
          <w:rFonts w:hint="eastAsia" w:ascii="仿宋" w:hAnsi="仿宋" w:eastAsia="仿宋" w:cs="仿宋"/>
          <w:b/>
          <w:color w:val="auto"/>
          <w:sz w:val="24"/>
          <w:highlight w:val="none"/>
        </w:rPr>
        <w:t>2.13 乙方破产</w:t>
      </w:r>
      <w:bookmarkEnd w:id="127"/>
      <w:bookmarkEnd w:id="128"/>
      <w:bookmarkEnd w:id="129"/>
      <w:bookmarkEnd w:id="130"/>
      <w:bookmarkEnd w:id="131"/>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2" w:name="_Toc2016"/>
      <w:bookmarkStart w:id="133" w:name="_Toc1123"/>
      <w:bookmarkStart w:id="134" w:name="_Toc23323"/>
      <w:r>
        <w:rPr>
          <w:rFonts w:hint="eastAsia" w:ascii="仿宋" w:hAnsi="仿宋" w:eastAsia="仿宋" w:cs="仿宋"/>
          <w:b/>
          <w:color w:val="auto"/>
          <w:sz w:val="24"/>
          <w:highlight w:val="none"/>
        </w:rPr>
        <w:t>2.14 合同中止、终止</w:t>
      </w:r>
      <w:bookmarkEnd w:id="132"/>
      <w:bookmarkEnd w:id="133"/>
      <w:bookmarkEnd w:id="134"/>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5" w:name="_Toc1969"/>
      <w:bookmarkStart w:id="136" w:name="_Toc17363"/>
      <w:bookmarkStart w:id="137" w:name="_Toc14525"/>
      <w:r>
        <w:rPr>
          <w:rFonts w:hint="eastAsia" w:ascii="仿宋" w:hAnsi="仿宋" w:eastAsia="仿宋" w:cs="仿宋"/>
          <w:b/>
          <w:color w:val="auto"/>
          <w:sz w:val="24"/>
          <w:highlight w:val="none"/>
        </w:rPr>
        <w:t>2.15 检验和验收</w:t>
      </w:r>
      <w:bookmarkEnd w:id="135"/>
      <w:bookmarkEnd w:id="136"/>
      <w:bookmarkEnd w:id="137"/>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8" w:name="_Toc31892"/>
      <w:bookmarkStart w:id="139" w:name="_Toc9808"/>
      <w:bookmarkStart w:id="140" w:name="_Toc2308"/>
      <w:bookmarkStart w:id="141" w:name="_Toc12666"/>
      <w:bookmarkStart w:id="142" w:name="_Toc25198"/>
      <w:r>
        <w:rPr>
          <w:rFonts w:hint="eastAsia" w:ascii="仿宋" w:hAnsi="仿宋" w:eastAsia="仿宋" w:cs="仿宋"/>
          <w:b/>
          <w:color w:val="auto"/>
          <w:sz w:val="24"/>
          <w:highlight w:val="none"/>
        </w:rPr>
        <w:t>2.16 通知和送达</w:t>
      </w:r>
      <w:bookmarkEnd w:id="138"/>
      <w:bookmarkEnd w:id="139"/>
      <w:bookmarkEnd w:id="140"/>
      <w:bookmarkEnd w:id="141"/>
      <w:bookmarkEnd w:id="142"/>
    </w:p>
    <w:p w14:paraId="1E0194DF">
      <w:pPr>
        <w:spacing w:line="560" w:lineRule="exact"/>
        <w:ind w:firstLine="480" w:firstLineChars="200"/>
        <w:rPr>
          <w:rFonts w:hint="eastAsia" w:ascii="仿宋" w:hAnsi="仿宋" w:eastAsia="仿宋" w:cs="仿宋"/>
          <w:color w:val="auto"/>
          <w:sz w:val="24"/>
          <w:highlight w:val="none"/>
        </w:rPr>
      </w:pPr>
      <w:bookmarkStart w:id="143" w:name="_Toc18401"/>
      <w:bookmarkStart w:id="144"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29262493">
      <w:pPr>
        <w:spacing w:line="560" w:lineRule="exact"/>
        <w:ind w:firstLine="482" w:firstLineChars="200"/>
        <w:outlineLvl w:val="0"/>
        <w:rPr>
          <w:rFonts w:hint="eastAsia" w:ascii="仿宋" w:hAnsi="仿宋" w:eastAsia="仿宋" w:cs="仿宋"/>
          <w:b/>
          <w:color w:val="auto"/>
          <w:sz w:val="24"/>
          <w:highlight w:val="none"/>
        </w:rPr>
      </w:pPr>
      <w:bookmarkStart w:id="145" w:name="_Toc20808"/>
      <w:bookmarkStart w:id="146" w:name="_Toc27644"/>
      <w:bookmarkStart w:id="147" w:name="_Toc5063"/>
      <w:bookmarkStart w:id="148" w:name="_Toc28906"/>
      <w:bookmarkStart w:id="149" w:name="_Toc12254"/>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50" w:name="_Toc18540"/>
      <w:bookmarkStart w:id="151" w:name="_Toc4355"/>
      <w:bookmarkStart w:id="152" w:name="_Toc30599"/>
      <w:r>
        <w:rPr>
          <w:rFonts w:hint="eastAsia" w:ascii="仿宋" w:hAnsi="仿宋" w:eastAsia="仿宋" w:cs="仿宋"/>
          <w:b/>
          <w:color w:val="auto"/>
          <w:sz w:val="24"/>
          <w:highlight w:val="none"/>
        </w:rPr>
        <w:t>2.18 计量单位</w:t>
      </w:r>
      <w:bookmarkEnd w:id="150"/>
      <w:bookmarkEnd w:id="151"/>
      <w:bookmarkEnd w:id="152"/>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3" w:name="_Toc279701263"/>
      <w:bookmarkStart w:id="154" w:name="_Toc487900373"/>
      <w:bookmarkStart w:id="155" w:name="_Toc12773"/>
      <w:bookmarkStart w:id="156" w:name="_Toc10330"/>
      <w:bookmarkStart w:id="157" w:name="_Toc259093692"/>
      <w:bookmarkStart w:id="158" w:name="_Toc18567"/>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9" w:name="_Toc331685784"/>
      <w:r>
        <w:rPr>
          <w:rFonts w:hint="eastAsia" w:ascii="仿宋" w:hAnsi="仿宋" w:eastAsia="仿宋" w:cs="仿宋"/>
          <w:b/>
          <w:color w:val="auto"/>
          <w:sz w:val="24"/>
          <w:highlight w:val="none"/>
        </w:rPr>
        <w:t xml:space="preserve"> </w:t>
      </w:r>
      <w:bookmarkEnd w:id="159"/>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rPr>
            </w:pPr>
            <w:r>
              <w:rPr>
                <w:rFonts w:hint="eastAsia" w:ascii="仿宋" w:hAnsi="仿宋" w:eastAsia="仿宋" w:cs="仿宋"/>
                <w:b/>
                <w:sz w:val="21"/>
                <w:szCs w:val="21"/>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1.满足招标文件要求的得38分，打“▲”号的指标为主要功能、配置，如出现负偏离每项扣4分；其他一般性指标每有一项负偏离的扣2分，扣完为止。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highlight w:val="green"/>
                <w:lang w:val="en-US" w:eastAsia="zh-CN"/>
              </w:rPr>
              <w:t>38</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投标人提供自2022年1月1日至今（以合同签订时间为准）承接过的同类产品维保合同，每有一份合同得1分，最高得2分，需提合同复印件加盖投标人公章，未提供不得分。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售后服务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维修技术力量：技术支持工程师≥1人,每增加1人得1分，最多得2分；专职维修工程师≥2人,每增加1人得1分，最多得3分。上述人员须提供最近的社保缴纳证明资料加盖投标人公章。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highlight w:val="none"/>
              </w:rPr>
              <w:t>根据投标人提出的针对本项目的维修响应速度服务承诺给分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本项分值设置为3,2,1,0分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702" w:type="dxa"/>
            <w:noWrap w:val="0"/>
            <w:vAlign w:val="center"/>
          </w:tcPr>
          <w:p w14:paraId="59837EB3">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3</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投标人在采购人当地有备货仓库（须提供相关证明材料）得4分，投标人承诺在中标后设立备货仓库得2分，没有或未提供相关证明材料不得分。</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投标人根据自身的能力，提供各种服务承诺（</w:t>
            </w:r>
            <w:r>
              <w:rPr>
                <w:rFonts w:hint="eastAsia" w:ascii="仿宋" w:hAnsi="仿宋" w:eastAsia="仿宋" w:cs="仿宋"/>
                <w:sz w:val="21"/>
                <w:szCs w:val="21"/>
                <w:highlight w:val="none"/>
              </w:rPr>
              <w:t>本项分值设置为5,4,3,2,1,0分</w:t>
            </w:r>
            <w:r>
              <w:rPr>
                <w:rFonts w:hint="eastAsia" w:ascii="仿宋" w:hAnsi="仿宋" w:eastAsia="仿宋" w:cs="仿宋"/>
                <w:sz w:val="21"/>
                <w:szCs w:val="21"/>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20101300">
      <w:pPr>
        <w:pStyle w:val="25"/>
        <w:snapToGrid w:val="0"/>
        <w:spacing w:line="360" w:lineRule="auto"/>
        <w:ind w:firstLine="0" w:firstLineChars="0"/>
        <w:rPr>
          <w:rFonts w:hint="eastAsia" w:ascii="仿宋" w:hAnsi="仿宋" w:eastAsia="仿宋" w:cs="仿宋"/>
          <w:color w:val="auto"/>
          <w:highlight w:val="none"/>
        </w:rPr>
      </w:pPr>
    </w:p>
    <w:p w14:paraId="427D6200">
      <w:pPr>
        <w:pStyle w:val="25"/>
        <w:snapToGrid w:val="0"/>
        <w:spacing w:line="360" w:lineRule="auto"/>
        <w:ind w:firstLine="0" w:firstLineChars="0"/>
        <w:rPr>
          <w:rFonts w:hint="eastAsia" w:ascii="仿宋" w:hAnsi="仿宋" w:eastAsia="仿宋" w:cs="仿宋"/>
          <w:color w:val="auto"/>
          <w:highlight w:val="none"/>
        </w:rPr>
      </w:pPr>
    </w:p>
    <w:p w14:paraId="763D844A">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0" w:name="_Hlk101131882"/>
      <w:r>
        <w:rPr>
          <w:rFonts w:hint="eastAsia" w:ascii="仿宋" w:hAnsi="仿宋" w:eastAsia="仿宋" w:cs="仿宋"/>
          <w:color w:val="auto"/>
          <w:kern w:val="0"/>
          <w:sz w:val="24"/>
          <w:highlight w:val="none"/>
          <w:u w:val="single"/>
        </w:rPr>
        <w:t>联合体成员X,……</w:t>
      </w:r>
      <w:bookmarkEnd w:id="16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1"/>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2"/>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3" w:name="OLE_LINK13"/>
      <w:bookmarkStart w:id="164" w:name="OLE_LINK14"/>
      <w:r>
        <w:rPr>
          <w:rFonts w:hint="eastAsia" w:ascii="仿宋" w:hAnsi="仿宋" w:eastAsia="仿宋" w:cs="仿宋"/>
          <w:b/>
          <w:color w:val="auto"/>
          <w:spacing w:val="6"/>
          <w:sz w:val="32"/>
          <w:szCs w:val="32"/>
          <w:highlight w:val="none"/>
        </w:rPr>
        <w:t>残疾人福利性单位声明函</w:t>
      </w:r>
    </w:p>
    <w:bookmarkEnd w:id="163"/>
    <w:bookmarkEnd w:id="164"/>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2"/>
      </w:rPr>
    </w:pPr>
    <w:r>
      <w:fldChar w:fldCharType="begin"/>
    </w:r>
    <w:r>
      <w:rPr>
        <w:rStyle w:val="72"/>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2"/>
      </w:rPr>
    </w:pPr>
    <w:r>
      <w:fldChar w:fldCharType="begin"/>
    </w:r>
    <w:r>
      <w:rPr>
        <w:rStyle w:val="72"/>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31845147"/>
    <w:bookmarkStart w:id="166" w:name="_Toc164085800"/>
    <w:bookmarkStart w:id="167" w:name="_Toc91899912"/>
    <w:bookmarkStart w:id="168" w:name="_Toc36110187"/>
    <w:r>
      <w:rPr>
        <w:rFonts w:hint="eastAsia" w:ascii="仿宋_GB2312" w:eastAsia="仿宋_GB2312"/>
        <w:kern w:val="0"/>
        <w:szCs w:val="21"/>
      </w:rPr>
      <w:t xml:space="preserve"> 页</w:t>
    </w:r>
    <w:bookmarkEnd w:id="165"/>
    <w:bookmarkEnd w:id="166"/>
    <w:bookmarkEnd w:id="167"/>
    <w:bookmarkEnd w:id="16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EC75C6E"/>
    <w:rsid w:val="0F096B8F"/>
    <w:rsid w:val="0F63063F"/>
    <w:rsid w:val="158F6E5B"/>
    <w:rsid w:val="17E6386F"/>
    <w:rsid w:val="18E60774"/>
    <w:rsid w:val="19EF674B"/>
    <w:rsid w:val="1AAD475A"/>
    <w:rsid w:val="1D2F1C3B"/>
    <w:rsid w:val="2335523F"/>
    <w:rsid w:val="26D112CD"/>
    <w:rsid w:val="29BC44BA"/>
    <w:rsid w:val="2CE61358"/>
    <w:rsid w:val="2EDB5A4F"/>
    <w:rsid w:val="30CD01D9"/>
    <w:rsid w:val="38872063"/>
    <w:rsid w:val="38E339B7"/>
    <w:rsid w:val="3F5E1222"/>
    <w:rsid w:val="40037E78"/>
    <w:rsid w:val="427E60E8"/>
    <w:rsid w:val="453F5652"/>
    <w:rsid w:val="490735E2"/>
    <w:rsid w:val="4A1C2405"/>
    <w:rsid w:val="4ACF7AD1"/>
    <w:rsid w:val="4CB0248B"/>
    <w:rsid w:val="4F4B3D85"/>
    <w:rsid w:val="505F7017"/>
    <w:rsid w:val="5C322266"/>
    <w:rsid w:val="5F561B6F"/>
    <w:rsid w:val="5F57E5CA"/>
    <w:rsid w:val="620B296D"/>
    <w:rsid w:val="65AA6490"/>
    <w:rsid w:val="669C35D3"/>
    <w:rsid w:val="6BD4147B"/>
    <w:rsid w:val="6F300D9A"/>
    <w:rsid w:val="6FC37AD4"/>
    <w:rsid w:val="70910BA8"/>
    <w:rsid w:val="70CC50B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21490</Words>
  <Characters>22881</Characters>
  <Paragraphs>1943</Paragraphs>
  <TotalTime>10</TotalTime>
  <ScaleCrop>false</ScaleCrop>
  <LinksUpToDate>false</LinksUpToDate>
  <CharactersWithSpaces>24842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2025-05-26T03:15:46Z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