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spacing w:line="360" w:lineRule="auto"/>
        <w:jc w:val="center"/>
        <w:rPr>
          <w:rFonts w:hint="eastAsia" w:ascii="隶书" w:hAnsi="隶书" w:eastAsia="隶书" w:cs="隶书"/>
          <w:b/>
          <w:color w:val="auto"/>
          <w:sz w:val="24"/>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lang w:eastAsia="zh-CN"/>
        </w:rPr>
      </w:pPr>
      <w:bookmarkStart w:id="0" w:name="_Hlt67893495"/>
      <w:bookmarkEnd w:id="0"/>
      <w:r>
        <w:rPr>
          <w:rFonts w:hint="eastAsia" w:ascii="隶书" w:hAnsi="隶书" w:eastAsia="隶书" w:cs="隶书"/>
          <w:b/>
          <w:color w:val="auto"/>
          <w:sz w:val="72"/>
          <w:szCs w:val="72"/>
          <w:highlight w:val="none"/>
          <w:lang w:eastAsia="zh-CN"/>
        </w:rPr>
        <w:t>绍兴市中医院</w:t>
      </w:r>
    </w:p>
    <w:p>
      <w:pPr>
        <w:kinsoku/>
        <w:wordWrap w:val="0"/>
        <w:overflowPunct/>
        <w:topLinePunct w:val="0"/>
        <w:bidi w:val="0"/>
        <w:jc w:val="center"/>
        <w:outlineLvl w:val="0"/>
        <w:rPr>
          <w:rFonts w:hint="eastAsia" w:ascii="隶书" w:hAnsi="隶书" w:eastAsia="隶书" w:cs="隶书"/>
          <w:b/>
          <w:color w:val="auto"/>
          <w:sz w:val="72"/>
          <w:szCs w:val="72"/>
          <w:highlight w:val="none"/>
          <w:lang w:eastAsia="zh-CN"/>
        </w:rPr>
      </w:pPr>
      <w:r>
        <w:rPr>
          <w:rFonts w:hint="eastAsia" w:ascii="隶书" w:hAnsi="隶书" w:eastAsia="隶书" w:cs="隶书"/>
          <w:b/>
          <w:color w:val="auto"/>
          <w:sz w:val="72"/>
          <w:szCs w:val="72"/>
          <w:highlight w:val="none"/>
          <w:lang w:eastAsia="zh-CN"/>
        </w:rPr>
        <w:t>超融合等采购项目</w:t>
      </w:r>
    </w:p>
    <w:p>
      <w:pPr>
        <w:kinsoku/>
        <w:wordWrap w:val="0"/>
        <w:overflowPunct/>
        <w:topLinePunct w:val="0"/>
        <w:bidi w:val="0"/>
        <w:jc w:val="center"/>
        <w:outlineLvl w:val="0"/>
        <w:rPr>
          <w:rFonts w:hint="eastAsia" w:ascii="隶书" w:hAnsi="隶书" w:eastAsia="隶书" w:cs="隶书"/>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kinsoku/>
        <w:wordWrap w:val="0"/>
        <w:overflowPunct/>
        <w:topLinePunct w:val="0"/>
        <w:bidi w:val="0"/>
        <w:spacing w:line="360" w:lineRule="auto"/>
        <w:jc w:val="both"/>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 xml:space="preserve"> </w:t>
      </w: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2025-05-0038</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368503609"/>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1"/>
              </w:rPr>
              <w:t>监督单</w:t>
            </w:r>
            <w:r>
              <w:rPr>
                <w:rFonts w:hint="eastAsia" w:ascii="隶书" w:hAnsi="隶书" w:eastAsia="隶书" w:cs="隶书"/>
                <w:color w:val="auto"/>
                <w:spacing w:val="1"/>
                <w:kern w:val="0"/>
                <w:sz w:val="28"/>
                <w:szCs w:val="28"/>
                <w:highlight w:val="none"/>
                <w:fitText w:val="1680" w:id="1"/>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月</w:t>
            </w:r>
          </w:p>
        </w:tc>
      </w:tr>
    </w:tbl>
    <w:p>
      <w:pPr>
        <w:pStyle w:val="637"/>
        <w:kinsoku/>
        <w:wordWrap w:val="0"/>
        <w:overflowPunct/>
        <w:topLinePunct w:val="0"/>
        <w:bidi w:val="0"/>
        <w:rPr>
          <w:rFonts w:hint="eastAsia" w:ascii="仿宋_GB2312" w:hAnsi="仿宋_GB2312" w:eastAsia="仿宋_GB2312" w:cs="仿宋_GB2312"/>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bookmarkStart w:id="1" w:name="_Hlt91233176"/>
      <w:bookmarkEnd w:id="1"/>
      <w:bookmarkStart w:id="2" w:name="_Toc91899869"/>
      <w:r>
        <w:rPr>
          <w:rFonts w:hint="eastAsia" w:ascii="仿宋_GB2312" w:hAnsi="仿宋_GB2312" w:eastAsia="仿宋_GB2312" w:cs="仿宋_GB2312"/>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_GB2312" w:hAnsi="仿宋_GB2312" w:eastAsia="仿宋_GB2312" w:cs="仿宋_GB2312"/>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549" w:firstLineChars="229"/>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bookmarkEnd w:id="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3" w:name="_Hlt74649545"/>
      <w:bookmarkEnd w:id="3"/>
      <w:bookmarkStart w:id="4" w:name="_Hlt74728647"/>
      <w:bookmarkEnd w:id="4"/>
      <w:bookmarkStart w:id="5" w:name="_Hlt74729822"/>
      <w:bookmarkEnd w:id="5"/>
      <w:bookmarkStart w:id="6" w:name="_Hlt74707423"/>
      <w:bookmarkEnd w:id="6"/>
      <w:bookmarkStart w:id="7" w:name="_Toc91899870"/>
      <w:bookmarkStart w:id="8" w:name="第二部分"/>
      <w:bookmarkStart w:id="9"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绍兴市中医院超融合等采购项目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 年 月 日 点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2025-05-0038</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绍兴市中医院超融合等采购项目</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 xml:space="preserve">预算金额（元）： </w:t>
      </w:r>
      <w:r>
        <w:rPr>
          <w:rFonts w:hint="eastAsia" w:ascii="仿宋_GB2312" w:hAnsi="仿宋_GB2312" w:eastAsia="仿宋_GB2312" w:cs="仿宋_GB2312"/>
          <w:b/>
          <w:color w:val="auto"/>
          <w:sz w:val="24"/>
          <w:highlight w:val="none"/>
          <w:lang w:eastAsia="zh-CN"/>
        </w:rPr>
        <w:t>600000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lang w:eastAsia="zh-CN"/>
        </w:rPr>
      </w:pPr>
      <w:r>
        <w:rPr>
          <w:rFonts w:hint="eastAsia" w:ascii="仿宋_GB2312" w:hAnsi="仿宋_GB2312" w:eastAsia="仿宋_GB2312" w:cs="仿宋_GB2312"/>
          <w:b/>
          <w:color w:val="auto"/>
          <w:sz w:val="24"/>
          <w:highlight w:val="none"/>
        </w:rPr>
        <w:t xml:space="preserve">最高限价（元）： </w:t>
      </w:r>
      <w:r>
        <w:rPr>
          <w:rFonts w:hint="eastAsia" w:ascii="仿宋_GB2312" w:hAnsi="仿宋_GB2312" w:eastAsia="仿宋_GB2312" w:cs="仿宋_GB2312"/>
          <w:b/>
          <w:color w:val="auto"/>
          <w:sz w:val="24"/>
          <w:highlight w:val="none"/>
          <w:lang w:eastAsia="zh-CN"/>
        </w:rPr>
        <w:t>600000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 w:val="0"/>
          <w:bCs/>
          <w:color w:val="auto"/>
          <w:sz w:val="24"/>
          <w:highlight w:val="none"/>
          <w:lang w:eastAsia="zh-CN"/>
        </w:rPr>
        <w:t>超融合等采购项目</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预算金额（元）：600000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A8"/>
          </w:r>
        </w:sdtContent>
      </w:sdt>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sdt>
        <w:sdtPr>
          <w:rPr>
            <w:rFonts w:hint="eastAsia" w:ascii="仿宋_GB2312" w:hAnsi="仿宋_GB2312" w:eastAsia="仿宋_GB2312" w:cs="仿宋_GB2312"/>
            <w:kern w:val="0"/>
            <w:sz w:val="24"/>
            <w:highlight w:val="none"/>
          </w:rPr>
          <w:id w:val="253497051"/>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A8"/>
          </w:r>
        </w:sdtContent>
      </w:sdt>
      <w:r>
        <w:rPr>
          <w:rFonts w:hint="eastAsia" w:ascii="仿宋_GB2312" w:hAnsi="仿宋_GB2312" w:eastAsia="仿宋_GB2312" w:cs="仿宋_GB2312"/>
          <w:color w:val="auto"/>
          <w:sz w:val="24"/>
          <w:highlight w:val="none"/>
        </w:rPr>
        <w:t>货物全部由符合政策要求的中小企业制造，提供中小企业声明函；</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p>
    <w:p>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r>
        <w:rPr>
          <w:rFonts w:hint="eastAsia" w:ascii="仿宋_GB2312" w:hAnsi="仿宋_GB2312" w:eastAsia="仿宋_GB2312" w:cs="仿宋_GB2312"/>
          <w:color w:val="auto"/>
          <w:sz w:val="24"/>
          <w:highlight w:val="none"/>
          <w:lang w:val="en"/>
        </w:rPr>
        <w:t>(</w:t>
      </w:r>
      <w:r>
        <w:rPr>
          <w:rFonts w:hint="eastAsia" w:ascii="仿宋_GB2312" w:hAnsi="仿宋_GB2312" w:eastAsia="仿宋_GB2312" w:cs="仿宋_GB2312"/>
          <w:color w:val="auto"/>
          <w:sz w:val="24"/>
          <w:highlight w:val="none"/>
          <w:lang w:val="en" w:eastAsia="zh-CN"/>
        </w:rPr>
        <w:t>政策落实根据财政部门要求更新）</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7"/>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11" w:name="_Toc35393806"/>
      <w:bookmarkStart w:id="12" w:name="_Toc35393637"/>
      <w:bookmarkStart w:id="13" w:name="_Toc28359019"/>
      <w:bookmarkStart w:id="14" w:name="_Toc28359096"/>
      <w:r>
        <w:rPr>
          <w:rFonts w:hint="eastAsia" w:ascii="仿宋_GB2312" w:hAnsi="仿宋_GB2312" w:eastAsia="仿宋_GB2312" w:cs="仿宋_GB2312"/>
          <w:color w:val="auto"/>
          <w:sz w:val="24"/>
          <w:szCs w:val="24"/>
          <w:highlight w:val="none"/>
        </w:rPr>
        <w:t>1.采购人信息</w:t>
      </w:r>
      <w:bookmarkEnd w:id="11"/>
      <w:bookmarkEnd w:id="12"/>
      <w:bookmarkEnd w:id="13"/>
      <w:bookmarkEnd w:id="14"/>
      <w:r>
        <w:rPr>
          <w:rFonts w:hint="eastAsia" w:ascii="仿宋_GB2312" w:hAnsi="仿宋_GB2312" w:eastAsia="仿宋_GB2312" w:cs="仿宋_GB2312"/>
          <w:color w:val="auto"/>
          <w:sz w:val="24"/>
          <w:szCs w:val="24"/>
          <w:highlight w:val="none"/>
        </w:rPr>
        <w:t>：</w:t>
      </w:r>
    </w:p>
    <w:p>
      <w:pPr>
        <w:pStyle w:val="7"/>
        <w:pageBreakBefore w:val="0"/>
        <w:widowControl w:val="0"/>
        <w:numPr>
          <w:ilvl w:val="0"/>
          <w:numId w:val="0"/>
        </w:numP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szCs w:val="24"/>
          <w:highlight w:val="none"/>
        </w:rPr>
      </w:pPr>
      <w:bookmarkStart w:id="15" w:name="_Toc35393807"/>
      <w:bookmarkStart w:id="16" w:name="_Toc35393638"/>
      <w:bookmarkStart w:id="17" w:name="_Toc28359020"/>
      <w:bookmarkStart w:id="18" w:name="_Toc28359097"/>
      <w:r>
        <w:rPr>
          <w:rFonts w:hint="eastAsia" w:ascii="仿宋_GB2312" w:hAnsi="仿宋_GB2312" w:eastAsia="仿宋_GB2312" w:cs="仿宋_GB2312"/>
          <w:b w:val="0"/>
          <w:bCs w:val="0"/>
          <w:color w:val="auto"/>
          <w:sz w:val="24"/>
          <w:szCs w:val="24"/>
          <w:highlight w:val="none"/>
        </w:rPr>
        <w:t>名    称：绍兴市中医院</w:t>
      </w:r>
    </w:p>
    <w:p>
      <w:pPr>
        <w:pStyle w:val="7"/>
        <w:pageBreakBefore w:val="0"/>
        <w:widowControl w:val="0"/>
        <w:numPr>
          <w:ilvl w:val="0"/>
          <w:numId w:val="0"/>
        </w:numP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地    址：绍兴市人民中路641号</w:t>
      </w:r>
    </w:p>
    <w:p>
      <w:pPr>
        <w:pStyle w:val="7"/>
        <w:pageBreakBefore w:val="0"/>
        <w:widowControl w:val="0"/>
        <w:numPr>
          <w:ilvl w:val="0"/>
          <w:numId w:val="0"/>
        </w:numP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传    真：/</w:t>
      </w:r>
    </w:p>
    <w:p>
      <w:pPr>
        <w:pStyle w:val="7"/>
        <w:pageBreakBefore w:val="0"/>
        <w:widowControl w:val="0"/>
        <w:numPr>
          <w:ilvl w:val="0"/>
          <w:numId w:val="0"/>
        </w:numP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项目联系人（询问）：王宁</w:t>
      </w:r>
    </w:p>
    <w:p>
      <w:pPr>
        <w:pStyle w:val="7"/>
        <w:pageBreakBefore w:val="0"/>
        <w:widowControl w:val="0"/>
        <w:numPr>
          <w:ilvl w:val="0"/>
          <w:numId w:val="0"/>
        </w:numP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项目联系方式（询问）：0575-89102270</w:t>
      </w:r>
    </w:p>
    <w:p>
      <w:pPr>
        <w:pStyle w:val="7"/>
        <w:pageBreakBefore w:val="0"/>
        <w:widowControl w:val="0"/>
        <w:numPr>
          <w:ilvl w:val="0"/>
          <w:numId w:val="0"/>
        </w:numP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质疑联系人：沈勇</w:t>
      </w:r>
    </w:p>
    <w:p>
      <w:pPr>
        <w:pStyle w:val="7"/>
        <w:pageBreakBefore w:val="0"/>
        <w:widowControl w:val="0"/>
        <w:numPr>
          <w:ilvl w:val="0"/>
          <w:numId w:val="0"/>
        </w:numP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质疑联系方式：0575-89107189 </w:t>
      </w:r>
    </w:p>
    <w:p>
      <w:pPr>
        <w:pStyle w:val="7"/>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2.采购代理机构信息</w:t>
      </w:r>
      <w:bookmarkEnd w:id="15"/>
      <w:bookmarkEnd w:id="16"/>
      <w:bookmarkEnd w:id="17"/>
      <w:bookmarkEnd w:id="1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19" w:name="_Toc28359021"/>
      <w:bookmarkStart w:id="20" w:name="_Toc35393808"/>
      <w:bookmarkStart w:id="21" w:name="_Toc28359098"/>
      <w:bookmarkStart w:id="22" w:name="_Toc35393639"/>
      <w:r>
        <w:rPr>
          <w:rFonts w:hint="eastAsia" w:ascii="仿宋_GB2312" w:hAnsi="仿宋_GB2312" w:eastAsia="仿宋_GB2312" w:cs="仿宋_GB2312"/>
          <w:b w:val="0"/>
          <w:bCs w:val="0"/>
          <w:color w:val="auto"/>
          <w:sz w:val="24"/>
          <w:highlight w:val="none"/>
        </w:rPr>
        <w:t>名称：绍兴市公共资源交易中心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地址：绍兴市越城区洋江西路699号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传真：0575-88307029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9"/>
    <w:bookmarkEnd w:id="20"/>
    <w:bookmarkEnd w:id="21"/>
    <w:bookmarkEnd w:id="22"/>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联系人 ：张婷婷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_GB2312" w:hAnsi="仿宋_GB2312" w:eastAsia="仿宋_GB2312" w:cs="仿宋_GB2312"/>
          <w:snapToGrid w:val="0"/>
          <w:color w:val="auto"/>
          <w:highlight w:val="none"/>
        </w:rPr>
      </w:pPr>
      <w:r>
        <w:rPr>
          <w:rFonts w:hint="eastAsia" w:ascii="仿宋_GB2312" w:hAnsi="仿宋_GB2312" w:eastAsia="仿宋_GB2312" w:cs="仿宋_GB2312"/>
          <w:b/>
          <w:color w:val="auto"/>
          <w:sz w:val="36"/>
          <w:szCs w:val="20"/>
          <w:highlight w:val="none"/>
        </w:rPr>
        <w:br w:type="page"/>
      </w:r>
    </w:p>
    <w:bookmarkEnd w:id="7"/>
    <w:bookmarkEnd w:id="8"/>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第二部分 投标须知</w:t>
      </w:r>
    </w:p>
    <w:p>
      <w:pPr>
        <w:kinsoku/>
        <w:wordWrap w:val="0"/>
        <w:overflowPunct/>
        <w:topLinePunct w:val="0"/>
        <w:bidi w:val="0"/>
        <w:adjustRightInd/>
        <w:spacing w:line="360" w:lineRule="auto"/>
        <w:ind w:firstLine="3845" w:firstLineChars="1197"/>
        <w:outlineLvl w:val="0"/>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color w:val="auto"/>
          <w:sz w:val="32"/>
          <w:szCs w:val="20"/>
          <w:highlight w:val="none"/>
        </w:rPr>
        <w:t>前附表</w:t>
      </w:r>
    </w:p>
    <w:tbl>
      <w:tblPr>
        <w:tblStyle w:val="63"/>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kinsoku/>
              <w:wordWrap w:val="0"/>
              <w:overflowPunct/>
              <w:topLinePunct w:val="0"/>
              <w:bidi w:val="0"/>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分包：</w:t>
            </w:r>
            <w:r>
              <w:rPr>
                <w:rFonts w:hint="eastAsia" w:ascii="仿宋_GB2312" w:hAnsi="仿宋_GB2312" w:eastAsia="仿宋_GB2312" w:cs="仿宋_GB2312"/>
                <w:kern w:val="0"/>
                <w:sz w:val="24"/>
                <w:highlight w:val="none"/>
              </w:rPr>
              <w:sym w:font="Wingdings" w:char="00A8"/>
            </w:r>
            <w:r>
              <w:rPr>
                <w:rFonts w:hint="eastAsia" w:ascii="仿宋_GB2312" w:hAnsi="仿宋_GB2312" w:eastAsia="仿宋_GB2312" w:cs="仿宋_GB2312"/>
                <w:kern w:val="0"/>
                <w:sz w:val="24"/>
                <w:highlight w:val="none"/>
              </w:rPr>
              <w:t xml:space="preserve"> A</w:t>
            </w:r>
            <w:r>
              <w:rPr>
                <w:rFonts w:hint="eastAsia" w:ascii="仿宋_GB2312" w:hAnsi="仿宋_GB2312" w:eastAsia="仿宋_GB2312" w:cs="仿宋_GB2312"/>
                <w:sz w:val="24"/>
                <w:highlight w:val="none"/>
              </w:rPr>
              <w:t>同意将非主体、非关键性的</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工作分包。</w:t>
            </w:r>
          </w:p>
          <w:p>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highlight w:val="none"/>
              </w:rPr>
              <w:sym w:font="Wingdings" w:char="00FE"/>
            </w:r>
            <w:r>
              <w:rPr>
                <w:rFonts w:hint="eastAsia" w:ascii="仿宋_GB2312" w:hAnsi="仿宋_GB2312" w:eastAsia="仿宋_GB2312" w:cs="仿宋_GB2312"/>
                <w:kern w:val="0"/>
                <w:sz w:val="24"/>
                <w:highlight w:val="none"/>
              </w:rPr>
              <w:t>B</w:t>
            </w:r>
            <w:r>
              <w:rPr>
                <w:rFonts w:hint="eastAsia" w:ascii="仿宋_GB2312" w:hAnsi="仿宋_GB2312" w:eastAsia="仿宋_GB2312" w:cs="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开标前答疑会或现场考察：</w:t>
            </w:r>
          </w:p>
          <w:p>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hint="eastAsia" w:ascii="仿宋_GB2312" w:hAnsi="仿宋_GB2312" w:eastAsia="仿宋_GB2312" w:cs="仿宋_GB2312"/>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kern w:val="0"/>
                <w:sz w:val="24"/>
                <w:highlight w:val="none"/>
              </w:rPr>
              <w:t>A</w:t>
            </w:r>
            <w:r>
              <w:rPr>
                <w:rFonts w:hint="eastAsia" w:ascii="仿宋_GB2312" w:hAnsi="仿宋_GB2312" w:eastAsia="仿宋_GB2312" w:cs="仿宋_GB2312"/>
                <w:sz w:val="24"/>
                <w:highlight w:val="none"/>
              </w:rPr>
              <w:t>不组织。</w:t>
            </w:r>
          </w:p>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_GB2312" w:eastAsia="仿宋_GB2312" w:cs="仿宋_GB2312"/>
                  <w:kern w:val="0"/>
                  <w:sz w:val="24"/>
                  <w:highlight w:val="none"/>
                </w:rPr>
                <w:id w:val="366665488"/>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t>☐</w:t>
                </w:r>
              </w:sdtContent>
            </w:sdt>
            <w:r>
              <w:rPr>
                <w:rFonts w:hint="eastAsia" w:ascii="仿宋_GB2312" w:hAnsi="仿宋_GB2312" w:eastAsia="仿宋_GB2312" w:cs="仿宋_GB2312"/>
                <w:kern w:val="0"/>
                <w:sz w:val="24"/>
                <w:highlight w:val="none"/>
              </w:rPr>
              <w:t>B组织，</w:t>
            </w:r>
            <w:r>
              <w:rPr>
                <w:rFonts w:hint="eastAsia" w:ascii="仿宋_GB2312" w:hAnsi="仿宋_GB2312" w:eastAsia="仿宋_GB2312" w:cs="仿宋_GB2312"/>
                <w:sz w:val="24"/>
                <w:highlight w:val="none"/>
              </w:rPr>
              <w:t>时间：</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,地点：</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，联系人：</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，联系方式：</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1"/>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sdt>
              <w:sdtPr>
                <w:rPr>
                  <w:rFonts w:hint="eastAsia" w:ascii="仿宋_GB2312" w:hAnsi="仿宋_GB2312" w:eastAsia="仿宋_GB2312" w:cs="仿宋_GB2312"/>
                  <w:kern w:val="0"/>
                  <w:sz w:val="24"/>
                  <w:highlight w:val="none"/>
                </w:rPr>
                <w:id w:val="366665487"/>
              </w:sdtPr>
              <w:sdtEndPr>
                <w:rPr>
                  <w:rFonts w:hint="eastAsia" w:ascii="仿宋_GB2312" w:hAnsi="仿宋_GB2312" w:eastAsia="仿宋_GB2312" w:cs="仿宋_GB2312"/>
                  <w:kern w:val="0"/>
                  <w:sz w:val="24"/>
                  <w:highlight w:val="none"/>
                </w:rPr>
              </w:sdtEndPr>
              <w:sdtContent>
                <w:r>
                  <w:rPr>
                    <w:rFonts w:hint="eastAsia" w:ascii="仿宋_GB2312" w:hAnsi="仿宋_GB2312" w:eastAsia="仿宋_GB2312" w:cs="仿宋_GB2312"/>
                    <w:kern w:val="0"/>
                    <w:sz w:val="24"/>
                    <w:highlight w:val="none"/>
                  </w:rPr>
                  <w:sym w:font="Wingdings" w:char="00FE"/>
                </w:r>
              </w:sdtContent>
            </w:sdt>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kern w:val="0"/>
                <w:sz w:val="24"/>
                <w:szCs w:val="24"/>
                <w:highlight w:val="none"/>
                <w:u w:val="single"/>
              </w:rPr>
              <w:t>超融合服务器</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01标</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bookmarkStart w:id="55" w:name="_GoBack"/>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bookmarkEnd w:id="55"/>
            <w:r>
              <w:rPr>
                <w:rFonts w:hint="eastAsia" w:ascii="仿宋_GB2312" w:hAnsi="仿宋_GB2312" w:eastAsia="仿宋_GB2312" w:cs="仿宋_GB2312"/>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3" w:name="_Hlt68072998"/>
      <w:bookmarkEnd w:id="23"/>
      <w:bookmarkStart w:id="24" w:name="_Hlt68072990"/>
      <w:bookmarkEnd w:id="24"/>
      <w:bookmarkStart w:id="25" w:name="_Hlt74714665"/>
      <w:bookmarkEnd w:id="25"/>
      <w:bookmarkStart w:id="26" w:name="_Hlt75236101"/>
      <w:bookmarkEnd w:id="26"/>
      <w:bookmarkStart w:id="27" w:name="_Hlt75236290"/>
      <w:bookmarkEnd w:id="27"/>
      <w:bookmarkStart w:id="28" w:name="_Hlt74729768"/>
      <w:bookmarkEnd w:id="28"/>
      <w:bookmarkStart w:id="29" w:name="_Hlt68073093"/>
      <w:bookmarkEnd w:id="29"/>
      <w:bookmarkStart w:id="30" w:name="_Hlt68403820"/>
      <w:bookmarkEnd w:id="30"/>
      <w:bookmarkStart w:id="31" w:name="_Hlt68057669"/>
      <w:bookmarkEnd w:id="31"/>
      <w:bookmarkStart w:id="32" w:name="_Hlt74707468"/>
      <w:bookmarkEnd w:id="32"/>
      <w:bookmarkStart w:id="33" w:name="_Hlt75236011"/>
      <w:bookmarkEnd w:id="33"/>
      <w:bookmarkStart w:id="34" w:name="_Hlt74730295"/>
      <w:bookmarkEnd w:id="34"/>
      <w:bookmarkStart w:id="35" w:name="_Toc164416483"/>
      <w:bookmarkStart w:id="36" w:name="第三部分"/>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按财库〔2022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19号文件规定执行</w:t>
      </w:r>
      <w:r>
        <w:rPr>
          <w:rFonts w:hint="eastAsia" w:ascii="仿宋_GB2312" w:hAnsi="仿宋_GB2312" w:eastAsia="仿宋_GB2312" w:cs="仿宋_GB2312"/>
          <w:color w:val="auto"/>
          <w:sz w:val="24"/>
          <w:highlight w:val="none"/>
          <w:lang w:eastAsia="zh-CN"/>
        </w:rPr>
        <w:t>）</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kinsoku/>
        <w:wordWrap w:val="0"/>
        <w:overflowPunct/>
        <w:topLinePunct w:val="0"/>
        <w:bidi w:val="0"/>
        <w:rPr>
          <w:rFonts w:hint="eastAsia" w:ascii="仿宋_GB2312" w:hAnsi="仿宋_GB2312" w:eastAsia="仿宋_GB2312" w:cs="仿宋_GB2312"/>
          <w:color w:val="auto"/>
          <w:highlight w:val="none"/>
        </w:rPr>
      </w:pPr>
    </w:p>
    <w:p>
      <w:pPr>
        <w:pStyle w:val="132"/>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3"/>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pPr>
        <w:pStyle w:val="132"/>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2"/>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2"/>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37"/>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8" w:name="_Toc84325929"/>
      <w:bookmarkStart w:id="39" w:name="_Toc81372953"/>
      <w:bookmarkStart w:id="40" w:name="_Toc81372776"/>
      <w:r>
        <w:rPr>
          <w:rFonts w:hint="eastAsia" w:ascii="仿宋_GB2312" w:hAnsi="仿宋_GB2312" w:eastAsia="仿宋_GB2312" w:cs="仿宋_GB2312"/>
          <w:b/>
          <w:color w:val="auto"/>
          <w:sz w:val="32"/>
          <w:szCs w:val="32"/>
          <w:highlight w:val="none"/>
        </w:rPr>
        <w:t>五、授予合同</w:t>
      </w:r>
    </w:p>
    <w:bookmarkEnd w:id="38"/>
    <w:bookmarkEnd w:id="39"/>
    <w:bookmarkEnd w:id="40"/>
    <w:p>
      <w:pPr>
        <w:pStyle w:val="19"/>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4"/>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35"/>
    <w:bookmarkEnd w:id="36"/>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_GB2312" w:hAnsi="仿宋_GB2312" w:eastAsia="仿宋_GB2312" w:cs="仿宋_GB2312"/>
          <w:b/>
          <w:color w:val="auto"/>
          <w:sz w:val="36"/>
          <w:szCs w:val="36"/>
          <w:highlight w:val="none"/>
        </w:rPr>
      </w:pPr>
      <w:bookmarkStart w:id="41" w:name="_Toc86217003"/>
      <w:bookmarkStart w:id="42" w:name="第五部分"/>
      <w:r>
        <w:rPr>
          <w:rFonts w:hint="eastAsia" w:ascii="仿宋_GB2312" w:hAnsi="仿宋_GB2312" w:eastAsia="仿宋_GB2312" w:cs="仿宋_GB2312"/>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spacing w:line="400" w:lineRule="exact"/>
        <w:ind w:left="0" w:leftChars="0" w:firstLine="0" w:firstLineChars="0"/>
        <w:jc w:val="left"/>
        <w:textAlignment w:val="auto"/>
        <w:outlineLvl w:val="0"/>
        <w:rPr>
          <w:rFonts w:hint="eastAsia" w:ascii="仿宋_GB2312" w:hAnsi="仿宋_GB2312" w:eastAsia="仿宋_GB2312" w:cs="仿宋_GB2312"/>
          <w:b/>
          <w:color w:val="auto"/>
          <w:sz w:val="24"/>
          <w:szCs w:val="24"/>
          <w:highlight w:val="none"/>
          <w:lang w:eastAsia="zh-CN"/>
        </w:rPr>
      </w:pPr>
      <w:r>
        <w:rPr>
          <w:rFonts w:hint="eastAsia" w:ascii="仿宋_GB2312" w:hAnsi="仿宋_GB2312" w:eastAsia="仿宋_GB2312" w:cs="仿宋_GB2312"/>
          <w:b/>
          <w:bCs/>
          <w:sz w:val="24"/>
          <w:szCs w:val="24"/>
          <w:bdr w:val="single" w:color="auto" w:sz="4" w:space="0"/>
        </w:rPr>
        <w:t>01标</w:t>
      </w:r>
      <w:r>
        <w:rPr>
          <w:rFonts w:hint="eastAsia" w:ascii="仿宋_GB2312" w:hAnsi="仿宋_GB2312" w:eastAsia="仿宋_GB2312" w:cs="仿宋_GB2312"/>
          <w:b/>
          <w:bCs/>
          <w:sz w:val="24"/>
          <w:szCs w:val="24"/>
          <w:lang w:eastAsia="zh-CN"/>
        </w:rPr>
        <w:t>超融合等采购项目</w:t>
      </w:r>
    </w:p>
    <w:p>
      <w:pPr>
        <w:keepNext/>
        <w:keepLines/>
        <w:pageBreakBefore w:val="0"/>
        <w:numPr>
          <w:ilvl w:val="0"/>
          <w:numId w:val="1"/>
        </w:numPr>
        <w:kinsoku/>
        <w:wordWrap/>
        <w:overflowPunct/>
        <w:topLinePunct w:val="0"/>
        <w:autoSpaceDE/>
        <w:autoSpaceDN/>
        <w:bidi w:val="0"/>
        <w:spacing w:line="400" w:lineRule="exact"/>
        <w:ind w:left="0" w:right="0" w:rightChars="0" w:firstLine="0" w:firstLineChars="0"/>
        <w:outlineLvl w:val="0"/>
        <w:rPr>
          <w:rFonts w:hint="eastAsia" w:ascii="仿宋_GB2312" w:hAnsi="仿宋_GB2312" w:eastAsia="仿宋_GB2312" w:cs="仿宋_GB2312"/>
          <w:sz w:val="24"/>
          <w:szCs w:val="24"/>
          <w:highlight w:val="none"/>
        </w:rPr>
      </w:pPr>
      <w:r>
        <w:rPr>
          <w:rFonts w:hint="eastAsia" w:ascii="仿宋_GB2312" w:hAnsi="仿宋_GB2312" w:eastAsia="仿宋_GB2312" w:cs="仿宋_GB2312"/>
          <w:b/>
          <w:kern w:val="44"/>
          <w:sz w:val="24"/>
          <w:szCs w:val="24"/>
          <w:highlight w:val="none"/>
        </w:rPr>
        <w:t>建设清单</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1"/>
        <w:gridCol w:w="3371"/>
        <w:gridCol w:w="2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88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序号</w:t>
            </w:r>
          </w:p>
        </w:tc>
        <w:tc>
          <w:tcPr>
            <w:tcW w:w="337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名称</w:t>
            </w:r>
          </w:p>
        </w:tc>
        <w:tc>
          <w:tcPr>
            <w:tcW w:w="2627"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8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w:t>
            </w:r>
          </w:p>
        </w:tc>
        <w:tc>
          <w:tcPr>
            <w:tcW w:w="337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超融合服务器</w:t>
            </w:r>
            <w:r>
              <w:rPr>
                <w:rFonts w:hint="eastAsia" w:ascii="仿宋_GB2312" w:hAnsi="仿宋_GB2312" w:eastAsia="仿宋_GB2312" w:cs="仿宋_GB2312"/>
                <w:b/>
                <w:bCs/>
                <w:kern w:val="0"/>
                <w:sz w:val="24"/>
                <w:szCs w:val="24"/>
                <w:highlight w:val="none"/>
              </w:rPr>
              <w:t>（核心产品）</w:t>
            </w:r>
          </w:p>
        </w:tc>
        <w:tc>
          <w:tcPr>
            <w:tcW w:w="2627"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8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w:t>
            </w:r>
          </w:p>
        </w:tc>
        <w:tc>
          <w:tcPr>
            <w:tcW w:w="337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超融合软件</w:t>
            </w:r>
          </w:p>
        </w:tc>
        <w:tc>
          <w:tcPr>
            <w:tcW w:w="2627"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88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3</w:t>
            </w:r>
          </w:p>
        </w:tc>
        <w:tc>
          <w:tcPr>
            <w:tcW w:w="337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仲裁节点</w:t>
            </w:r>
          </w:p>
        </w:tc>
        <w:tc>
          <w:tcPr>
            <w:tcW w:w="2627"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88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4</w:t>
            </w:r>
          </w:p>
        </w:tc>
        <w:tc>
          <w:tcPr>
            <w:tcW w:w="337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万兆交换机</w:t>
            </w:r>
          </w:p>
        </w:tc>
        <w:tc>
          <w:tcPr>
            <w:tcW w:w="2627"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88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5</w:t>
            </w:r>
          </w:p>
        </w:tc>
        <w:tc>
          <w:tcPr>
            <w:tcW w:w="337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国产化操作系统</w:t>
            </w:r>
          </w:p>
        </w:tc>
        <w:tc>
          <w:tcPr>
            <w:tcW w:w="2627"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88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6</w:t>
            </w:r>
          </w:p>
        </w:tc>
        <w:tc>
          <w:tcPr>
            <w:tcW w:w="337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国产化数据库</w:t>
            </w:r>
          </w:p>
        </w:tc>
        <w:tc>
          <w:tcPr>
            <w:tcW w:w="2627"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88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7</w:t>
            </w:r>
          </w:p>
        </w:tc>
        <w:tc>
          <w:tcPr>
            <w:tcW w:w="3371"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国产化中间件</w:t>
            </w:r>
          </w:p>
        </w:tc>
        <w:tc>
          <w:tcPr>
            <w:tcW w:w="2627" w:type="dxa"/>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color w:val="000000" w:themeColor="text1"/>
                <w:kern w:val="0"/>
                <w:sz w:val="24"/>
                <w:szCs w:val="24"/>
                <w:highlight w:val="none"/>
                <w:lang w:val="en-US" w:eastAsia="zh-CN"/>
                <w14:textFill>
                  <w14:solidFill>
                    <w14:schemeClr w14:val="tx1"/>
                  </w14:solidFill>
                </w14:textFill>
              </w:rPr>
              <w:t>2</w:t>
            </w:r>
            <w:r>
              <w:rPr>
                <w:rFonts w:hint="eastAsia" w:ascii="仿宋_GB2312" w:hAnsi="仿宋_GB2312" w:eastAsia="仿宋_GB2312" w:cs="仿宋_GB2312"/>
                <w:kern w:val="0"/>
                <w:sz w:val="24"/>
                <w:szCs w:val="24"/>
                <w:highlight w:val="none"/>
              </w:rPr>
              <w:t>套</w:t>
            </w:r>
          </w:p>
        </w:tc>
      </w:tr>
    </w:tbl>
    <w:p>
      <w:pPr>
        <w:keepNext/>
        <w:keepLines/>
        <w:pageBreakBefore w:val="0"/>
        <w:kinsoku/>
        <w:wordWrap/>
        <w:overflowPunct/>
        <w:topLinePunct w:val="0"/>
        <w:autoSpaceDE/>
        <w:autoSpaceDN/>
        <w:bidi w:val="0"/>
        <w:spacing w:line="400" w:lineRule="exact"/>
        <w:ind w:left="0" w:right="0" w:rightChars="0" w:firstLine="0" w:firstLineChars="0"/>
        <w:outlineLvl w:val="0"/>
        <w:rPr>
          <w:rFonts w:hint="eastAsia" w:ascii="仿宋_GB2312" w:hAnsi="仿宋_GB2312" w:eastAsia="仿宋_GB2312" w:cs="仿宋_GB2312"/>
          <w:b/>
          <w:kern w:val="44"/>
          <w:sz w:val="24"/>
          <w:szCs w:val="24"/>
          <w:highlight w:val="none"/>
        </w:rPr>
      </w:pPr>
      <w:r>
        <w:rPr>
          <w:rFonts w:hint="eastAsia" w:ascii="仿宋_GB2312" w:hAnsi="仿宋_GB2312" w:eastAsia="仿宋_GB2312" w:cs="仿宋_GB2312"/>
          <w:b/>
          <w:kern w:val="44"/>
          <w:sz w:val="24"/>
          <w:szCs w:val="24"/>
          <w:highlight w:val="none"/>
        </w:rPr>
        <w:t>二、技术参数</w:t>
      </w:r>
    </w:p>
    <w:p>
      <w:pPr>
        <w:keepNext/>
        <w:keepLines/>
        <w:pageBreakBefore w:val="0"/>
        <w:kinsoku/>
        <w:wordWrap/>
        <w:overflowPunct/>
        <w:topLinePunct w:val="0"/>
        <w:autoSpaceDE/>
        <w:autoSpaceDN/>
        <w:bidi w:val="0"/>
        <w:spacing w:line="400" w:lineRule="exact"/>
        <w:ind w:left="0" w:right="0" w:rightChars="0" w:firstLine="0" w:firstLineChars="0"/>
        <w:outlineLvl w:val="1"/>
        <w:rPr>
          <w:rFonts w:hint="eastAsia" w:ascii="仿宋_GB2312" w:hAnsi="仿宋_GB2312" w:eastAsia="仿宋_GB2312" w:cs="仿宋_GB2312"/>
          <w:b/>
          <w:sz w:val="24"/>
          <w:szCs w:val="24"/>
          <w:highlight w:val="none"/>
          <w:lang w:eastAsia="zh-CN"/>
        </w:rPr>
      </w:pPr>
      <w:r>
        <w:rPr>
          <w:rFonts w:hint="eastAsia" w:ascii="仿宋_GB2312" w:hAnsi="仿宋_GB2312" w:eastAsia="仿宋_GB2312" w:cs="仿宋_GB2312"/>
          <w:b/>
          <w:sz w:val="24"/>
          <w:szCs w:val="24"/>
          <w:highlight w:val="none"/>
        </w:rPr>
        <w:t>2.1超融合服务器</w:t>
      </w:r>
      <w:r>
        <w:rPr>
          <w:rFonts w:hint="eastAsia" w:ascii="仿宋_GB2312" w:hAnsi="仿宋_GB2312" w:eastAsia="仿宋_GB2312" w:cs="仿宋_GB2312"/>
          <w:b/>
          <w:sz w:val="24"/>
          <w:szCs w:val="24"/>
          <w:highlight w:val="none"/>
          <w:lang w:eastAsia="zh-CN"/>
        </w:rPr>
        <w:t>（</w:t>
      </w:r>
      <w:r>
        <w:rPr>
          <w:rFonts w:hint="eastAsia" w:ascii="仿宋_GB2312" w:hAnsi="仿宋_GB2312" w:eastAsia="仿宋_GB2312" w:cs="仿宋_GB2312"/>
          <w:b/>
          <w:sz w:val="24"/>
          <w:szCs w:val="24"/>
          <w:highlight w:val="none"/>
          <w:lang w:val="en-US" w:eastAsia="zh-CN"/>
        </w:rPr>
        <w:t>核心产品</w:t>
      </w:r>
      <w:r>
        <w:rPr>
          <w:rFonts w:hint="eastAsia" w:ascii="仿宋_GB2312" w:hAnsi="仿宋_GB2312" w:eastAsia="仿宋_GB2312" w:cs="仿宋_GB2312"/>
          <w:b/>
          <w:sz w:val="24"/>
          <w:szCs w:val="24"/>
          <w:highlight w:val="none"/>
          <w:lang w:eastAsia="zh-CN"/>
        </w:rPr>
        <w:t>）</w:t>
      </w:r>
    </w:p>
    <w:tbl>
      <w:tblPr>
        <w:tblStyle w:val="63"/>
        <w:tblW w:w="5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995"/>
        <w:gridCol w:w="1207"/>
        <w:gridCol w:w="1619"/>
        <w:gridCol w:w="5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51"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b/>
                <w:bCs/>
                <w:kern w:val="0"/>
                <w:sz w:val="24"/>
                <w:szCs w:val="24"/>
                <w:highlight w:val="none"/>
              </w:rPr>
              <w:t>序号</w:t>
            </w:r>
          </w:p>
        </w:tc>
        <w:tc>
          <w:tcPr>
            <w:tcW w:w="48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b/>
                <w:bCs/>
                <w:kern w:val="0"/>
                <w:sz w:val="24"/>
                <w:szCs w:val="24"/>
                <w:highlight w:val="none"/>
              </w:rPr>
              <w:t>指标分类</w:t>
            </w: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b/>
                <w:bCs/>
                <w:kern w:val="0"/>
                <w:sz w:val="24"/>
                <w:szCs w:val="24"/>
                <w:highlight w:val="none"/>
              </w:rPr>
              <w:t>一级指标</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b/>
                <w:bCs/>
                <w:kern w:val="0"/>
                <w:sz w:val="24"/>
                <w:szCs w:val="24"/>
                <w:highlight w:val="none"/>
              </w:rPr>
              <w:t>二级指标</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b/>
                <w:bCs/>
                <w:kern w:val="0"/>
                <w:sz w:val="24"/>
                <w:szCs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w:t>
            </w:r>
          </w:p>
        </w:tc>
        <w:tc>
          <w:tcPr>
            <w:tcW w:w="488"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产品规格</w:t>
            </w:r>
          </w:p>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主要参数</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★基本要求</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配置≥2*C86架构处理器(2.2GHz/24核处理器)；</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配置≥8*32GB DDR4-3200内存；</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配置≥2块480GB SSD系统盘，≥2块1.92TB NVME SSD缓存盘，≥8块6TB机械盘；</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配置双电源模块；</w:t>
            </w:r>
          </w:p>
          <w:p>
            <w:pPr>
              <w:pStyle w:val="4"/>
              <w:pageBreakBefore w:val="0"/>
              <w:kinsoku/>
              <w:wordWrap/>
              <w:overflowPunct/>
              <w:topLinePunct w:val="0"/>
              <w:autoSpaceDE/>
              <w:autoSpaceDN/>
              <w:bidi w:val="0"/>
              <w:spacing w:after="0" w:line="400" w:lineRule="exact"/>
              <w:ind w:left="0" w:right="0" w:rightChars="0"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配置≥4个千兆电口，≥4个万兆光口（含万兆多模光模块）；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CPU规格</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★CPU信息</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配置≥2颗C86架构处理器，支持多线程，单颗CPU物理核心数≥24核，主频≥2.2GHz、末级缓存容量≥64MB、TDP功耗≤180W、最高内存频率≥3200MHz、内存通道数≥8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主板规格</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★主板支持的CPU和内存情况</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主板支持C86架构CPU≥2颗、内存数量支持≥32个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主板内存槽数量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主板内存槽位数量≥16个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主板存储接口</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支持SATA、SAS、M.2、U.2</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kern w:val="0"/>
                <w:sz w:val="24"/>
                <w:szCs w:val="24"/>
                <w:highlight w:val="none"/>
              </w:rPr>
              <w:t>三种及以上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★PCIe插槽接口</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符合PCIe3.0插槽，可支持向下兼容</w:t>
            </w:r>
            <w:r>
              <w:rPr>
                <w:rFonts w:hint="eastAsia" w:ascii="仿宋_GB2312" w:hAnsi="仿宋_GB2312" w:eastAsia="仿宋_GB2312" w:cs="仿宋_GB2312"/>
                <w:sz w:val="24"/>
                <w:szCs w:val="24"/>
                <w:highlight w:val="none"/>
              </w:rPr>
              <w:t>至</w:t>
            </w:r>
            <w:r>
              <w:rPr>
                <w:rFonts w:hint="eastAsia" w:ascii="仿宋_GB2312" w:hAnsi="仿宋_GB2312" w:eastAsia="仿宋_GB2312" w:cs="仿宋_GB2312"/>
                <w:kern w:val="0"/>
                <w:sz w:val="24"/>
                <w:szCs w:val="24"/>
                <w:highlight w:val="none"/>
              </w:rPr>
              <w:t>PCIe2.0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主板PCIe插槽数量及规格</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PCIe3.0扩展插槽≥10个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板载网络接口</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若支持板载网络接口应不少于1个1GE网口；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主板OCP插槽数量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支持OCP2.0及以上插槽的数量不少于1个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内存规格</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★内存数量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 xml:space="preserve">配置内存≥8条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★内存规格</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 xml:space="preserve">配置单条内存≥32GB DDR4 3200MHz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内存通道</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支持多个内存接口通道，每个通道可支持1DPC或2DPC，当支持2DPC时，印制电路板上应具备插槽的序号标识，具体通道数应在随机文件中明确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存储规格</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硬盘类型</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可选SATA/NVMeM.2选件,DSD模块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硬磁盘实配容量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系统盘：</w:t>
            </w:r>
            <w:r>
              <w:rPr>
                <w:rFonts w:hint="eastAsia" w:ascii="仿宋_GB2312" w:hAnsi="仿宋_GB2312" w:eastAsia="仿宋_GB2312" w:cs="仿宋_GB2312"/>
                <w:kern w:val="0"/>
                <w:sz w:val="24"/>
                <w:szCs w:val="24"/>
                <w:highlight w:val="none"/>
              </w:rPr>
              <w:t>480GB SSD硬盘，</w:t>
            </w:r>
            <w:r>
              <w:rPr>
                <w:rFonts w:hint="eastAsia" w:ascii="仿宋_GB2312" w:hAnsi="仿宋_GB2312" w:eastAsia="仿宋_GB2312" w:cs="仿宋_GB2312"/>
                <w:kern w:val="0"/>
                <w:sz w:val="24"/>
                <w:szCs w:val="24"/>
                <w:highlight w:val="none"/>
                <w:lang w:val="en-US" w:eastAsia="zh-CN"/>
              </w:rPr>
              <w:t>缓存盘：</w:t>
            </w:r>
            <w:r>
              <w:rPr>
                <w:rFonts w:hint="eastAsia" w:ascii="仿宋_GB2312" w:hAnsi="仿宋_GB2312" w:eastAsia="仿宋_GB2312" w:cs="仿宋_GB2312"/>
                <w:kern w:val="0"/>
                <w:sz w:val="24"/>
                <w:szCs w:val="24"/>
                <w:highlight w:val="none"/>
              </w:rPr>
              <w:t>1.92TB NVME SSD硬盘，</w:t>
            </w:r>
            <w:r>
              <w:rPr>
                <w:rFonts w:hint="eastAsia" w:ascii="仿宋_GB2312" w:hAnsi="仿宋_GB2312" w:eastAsia="仿宋_GB2312" w:cs="仿宋_GB2312"/>
                <w:kern w:val="0"/>
                <w:sz w:val="24"/>
                <w:szCs w:val="24"/>
                <w:highlight w:val="none"/>
                <w:lang w:val="en-US" w:eastAsia="zh-CN"/>
              </w:rPr>
              <w:t>数据盘：</w:t>
            </w:r>
            <w:r>
              <w:rPr>
                <w:rFonts w:hint="eastAsia" w:ascii="仿宋_GB2312" w:hAnsi="仿宋_GB2312" w:eastAsia="仿宋_GB2312" w:cs="仿宋_GB2312"/>
                <w:kern w:val="0"/>
                <w:sz w:val="24"/>
                <w:szCs w:val="24"/>
                <w:highlight w:val="none"/>
              </w:rPr>
              <w:t>6TB机械盘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硬盘接口类型</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提供SATA3.0及以上接口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★硬盘实配数量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lang w:val="en-US" w:eastAsia="zh-CN"/>
              </w:rPr>
              <w:t>系统盘</w:t>
            </w:r>
            <w:r>
              <w:rPr>
                <w:rFonts w:hint="eastAsia" w:ascii="仿宋_GB2312" w:hAnsi="仿宋_GB2312" w:eastAsia="仿宋_GB2312" w:cs="仿宋_GB2312"/>
                <w:kern w:val="0"/>
                <w:sz w:val="24"/>
                <w:szCs w:val="24"/>
                <w:highlight w:val="none"/>
              </w:rPr>
              <w:t>≥2块，</w:t>
            </w:r>
            <w:r>
              <w:rPr>
                <w:rFonts w:hint="eastAsia" w:ascii="仿宋_GB2312" w:hAnsi="仿宋_GB2312" w:eastAsia="仿宋_GB2312" w:cs="仿宋_GB2312"/>
                <w:kern w:val="0"/>
                <w:sz w:val="24"/>
                <w:szCs w:val="24"/>
                <w:highlight w:val="none"/>
                <w:lang w:val="en-US" w:eastAsia="zh-CN"/>
              </w:rPr>
              <w:t>缓存盘</w:t>
            </w:r>
            <w:r>
              <w:rPr>
                <w:rFonts w:hint="eastAsia" w:ascii="仿宋_GB2312" w:hAnsi="仿宋_GB2312" w:eastAsia="仿宋_GB2312" w:cs="仿宋_GB2312"/>
                <w:kern w:val="0"/>
                <w:sz w:val="24"/>
                <w:szCs w:val="24"/>
                <w:highlight w:val="none"/>
              </w:rPr>
              <w:t>≥2块，</w:t>
            </w:r>
            <w:r>
              <w:rPr>
                <w:rFonts w:hint="eastAsia" w:ascii="仿宋_GB2312" w:hAnsi="仿宋_GB2312" w:eastAsia="仿宋_GB2312" w:cs="仿宋_GB2312"/>
                <w:kern w:val="0"/>
                <w:sz w:val="24"/>
                <w:szCs w:val="24"/>
                <w:highlight w:val="none"/>
                <w:lang w:val="en-US" w:eastAsia="zh-CN"/>
              </w:rPr>
              <w:t>数据盘</w:t>
            </w:r>
            <w:r>
              <w:rPr>
                <w:rFonts w:hint="eastAsia" w:ascii="仿宋_GB2312" w:hAnsi="仿宋_GB2312" w:eastAsia="仿宋_GB2312" w:cs="仿宋_GB2312"/>
                <w:kern w:val="0"/>
                <w:sz w:val="24"/>
                <w:szCs w:val="24"/>
                <w:highlight w:val="none"/>
              </w:rPr>
              <w:t>≥8块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★硬盘插槽数量及规格</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支持配置≥12块</w:t>
            </w:r>
            <w:r>
              <w:rPr>
                <w:rFonts w:hint="eastAsia" w:ascii="仿宋_GB2312" w:hAnsi="仿宋_GB2312" w:eastAsia="仿宋_GB2312" w:cs="仿宋_GB2312"/>
                <w:kern w:val="0"/>
                <w:sz w:val="24"/>
                <w:szCs w:val="24"/>
                <w:highlight w:val="none"/>
                <w:lang w:val="en-US" w:eastAsia="zh-CN"/>
              </w:rPr>
              <w:t>3.5寸</w:t>
            </w:r>
            <w:r>
              <w:rPr>
                <w:rFonts w:hint="eastAsia" w:ascii="仿宋_GB2312" w:hAnsi="仿宋_GB2312" w:eastAsia="仿宋_GB2312" w:cs="仿宋_GB2312"/>
                <w:kern w:val="0"/>
                <w:sz w:val="24"/>
                <w:szCs w:val="24"/>
                <w:highlight w:val="none"/>
              </w:rPr>
              <w:t>硬盘，支持配置SATA和PCIeM.2选件，支持双MicroSD卡套件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网络规格</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★网口速率和数量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配置≥4个千兆RJ45网口、≥4个万兆光口（带模块）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19</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独立网卡网口数量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配置≥1块四口千兆网卡、≥2块双口万兆网卡；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20</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外部接口规格</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★显示接口</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显示接口类型应不少于1种，如：VGA、DP、HDMI等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21</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★USB接口</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配备不少于2个USB3.0</w:t>
            </w:r>
            <w:r>
              <w:rPr>
                <w:rFonts w:hint="eastAsia" w:ascii="仿宋_GB2312" w:hAnsi="仿宋_GB2312" w:eastAsia="仿宋_GB2312" w:cs="仿宋_GB2312"/>
                <w:sz w:val="24"/>
                <w:szCs w:val="24"/>
                <w:highlight w:val="none"/>
                <w:lang w:val="en-US" w:eastAsia="zh-CN"/>
              </w:rPr>
              <w:t>及以上</w:t>
            </w:r>
            <w:r>
              <w:rPr>
                <w:rFonts w:hint="eastAsia" w:ascii="仿宋_GB2312" w:hAnsi="仿宋_GB2312" w:eastAsia="仿宋_GB2312" w:cs="仿宋_GB2312"/>
                <w:kern w:val="0"/>
                <w:sz w:val="24"/>
                <w:szCs w:val="24"/>
                <w:highlight w:val="none"/>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22</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电源规格</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电源冗余模式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整机电源模块按1+1冗余或N+1冗余配置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23</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★电源模块数量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配置≥2个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24</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★电源功率</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提供220VAC/240HVDC交直流兼容电源，根据机房环境提供电源线；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25</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电源指示灯</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配备电源指示灯，指示待机、工作异常等状态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26</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整机规格</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★外观和结构</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a）服务器的零部件应紧固无松动，可插拔部件应可靠连接，开关、按钮和其它控制部件应灵活可靠，布局应方便使用；</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b）产品表面不应有明显的凹痕、划伤、裂缝、变形和污染等。表面涂层均匀，不应起泡、龟裂、脱落和磨损，金属零部件无锈蚀及其它机械损伤；</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c）产品表面说明功能的文字、符号和标志应清晰、端正且牢固；</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d）应在服务器的显著位置提供运行状态的指示功能，并在随机文件中明确具体含义；</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e）机架、机箱的尺寸应符合通用机柜的安装要求，插入总线插座的电路板接口外形尺寸应符合有关总线标准的规定，将机箱固定在机柜上，机箱底面最大下垂变形不得干涉相邻机体；</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f）2U机架式</w:t>
            </w:r>
            <w:r>
              <w:rPr>
                <w:rFonts w:hint="eastAsia" w:ascii="仿宋_GB2312" w:hAnsi="仿宋_GB2312" w:eastAsia="仿宋_GB2312" w:cs="仿宋_GB2312"/>
                <w:kern w:val="0"/>
                <w:sz w:val="24"/>
                <w:szCs w:val="24"/>
                <w:highlight w:val="none"/>
                <w:lang w:val="en-US" w:eastAsia="zh-CN"/>
              </w:rPr>
              <w:t>双颗CPU</w:t>
            </w:r>
            <w:r>
              <w:rPr>
                <w:rFonts w:hint="eastAsia" w:ascii="仿宋_GB2312" w:hAnsi="仿宋_GB2312" w:eastAsia="仿宋_GB2312" w:cs="仿宋_GB2312"/>
                <w:kern w:val="0"/>
                <w:sz w:val="24"/>
                <w:szCs w:val="24"/>
                <w:highlight w:val="none"/>
              </w:rPr>
              <w:t>服务器;</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g）服务器尺寸具体要求在随机文件中明确。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27</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★尺寸（高×宽×深）</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lang w:eastAsia="zh-CN"/>
              </w:rPr>
            </w:pPr>
            <w:r>
              <w:rPr>
                <w:rFonts w:hint="eastAsia" w:ascii="仿宋_GB2312" w:hAnsi="仿宋_GB2312" w:eastAsia="仿宋_GB2312" w:cs="仿宋_GB2312"/>
                <w:kern w:val="0"/>
                <w:sz w:val="24"/>
                <w:szCs w:val="24"/>
                <w:highlight w:val="none"/>
              </w:rPr>
              <w:t>设计应遵循标准化、系列化的要求；机箱的内部结构符合通用部件的安装需要，尺寸要求</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高×宽×深</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lang w:val="en-US" w:eastAsia="zh-CN"/>
              </w:rPr>
              <w:t>100</w:t>
            </w:r>
            <w:r>
              <w:rPr>
                <w:rFonts w:hint="eastAsia" w:ascii="仿宋_GB2312" w:hAnsi="仿宋_GB2312" w:eastAsia="仿宋_GB2312" w:cs="仿宋_GB2312"/>
                <w:sz w:val="24"/>
                <w:szCs w:val="24"/>
                <w:highlight w:val="none"/>
              </w:rPr>
              <w:t xml:space="preserve">mm x </w:t>
            </w:r>
            <w:r>
              <w:rPr>
                <w:rFonts w:hint="eastAsia" w:ascii="仿宋_GB2312" w:hAnsi="仿宋_GB2312" w:eastAsia="仿宋_GB2312" w:cs="仿宋_GB2312"/>
                <w:sz w:val="24"/>
                <w:szCs w:val="24"/>
                <w:highlight w:val="none"/>
                <w:lang w:val="en-US" w:eastAsia="zh-CN"/>
              </w:rPr>
              <w:t>500</w:t>
            </w:r>
            <w:r>
              <w:rPr>
                <w:rFonts w:hint="eastAsia" w:ascii="仿宋_GB2312" w:hAnsi="仿宋_GB2312" w:eastAsia="仿宋_GB2312" w:cs="仿宋_GB2312"/>
                <w:sz w:val="24"/>
                <w:szCs w:val="24"/>
                <w:highlight w:val="none"/>
              </w:rPr>
              <w:t xml:space="preserve">mm x </w:t>
            </w:r>
            <w:r>
              <w:rPr>
                <w:rFonts w:hint="eastAsia" w:ascii="仿宋_GB2312" w:hAnsi="仿宋_GB2312" w:eastAsia="仿宋_GB2312" w:cs="仿宋_GB2312"/>
                <w:sz w:val="24"/>
                <w:szCs w:val="24"/>
                <w:highlight w:val="none"/>
                <w:lang w:val="en-US" w:eastAsia="zh-CN"/>
              </w:rPr>
              <w:t>900</w:t>
            </w:r>
            <w:r>
              <w:rPr>
                <w:rFonts w:hint="eastAsia" w:ascii="仿宋_GB2312" w:hAnsi="仿宋_GB2312" w:eastAsia="仿宋_GB2312" w:cs="仿宋_GB2312"/>
                <w:sz w:val="24"/>
                <w:szCs w:val="24"/>
                <w:highlight w:val="none"/>
              </w:rPr>
              <w:t>mm</w:t>
            </w:r>
            <w:r>
              <w:rPr>
                <w:rFonts w:hint="eastAsia" w:ascii="仿宋_GB2312" w:hAnsi="仿宋_GB2312" w:eastAsia="仿宋_GB2312" w:cs="仿宋_GB231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28</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★环境适应性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气候环境适应性应符合GB/T 9813.3的有关规定，工作温度10～35℃，贮存运输温度-40～55℃；工作相对湿度35％～80％，贮存运输相对湿度20％～93％（40℃）；大气压86～106kPa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29</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★机械环境适应性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机械环境适应性应符合GB/T 9813.3的有关规定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30</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★噪声</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符合GB/T 9813.3的有关规定，在产品说明中给出具体测试值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31</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机柜规格</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★机柜尺寸</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lang w:val="en-US" w:eastAsia="zh-CN"/>
              </w:rPr>
              <w:t>高</w:t>
            </w:r>
            <w:r>
              <w:rPr>
                <w:rFonts w:hint="eastAsia" w:ascii="仿宋_GB2312" w:hAnsi="仿宋_GB2312" w:eastAsia="仿宋_GB2312" w:cs="仿宋_GB2312"/>
                <w:sz w:val="24"/>
                <w:szCs w:val="24"/>
                <w:highlight w:val="none"/>
                <w:lang w:val="en-US" w:eastAsia="zh-CN"/>
              </w:rPr>
              <w:t xml:space="preserve">2000mm </w:t>
            </w:r>
            <w:r>
              <w:rPr>
                <w:rFonts w:hint="eastAsia" w:ascii="仿宋_GB2312" w:hAnsi="仿宋_GB2312" w:eastAsia="仿宋_GB2312" w:cs="仿宋_GB2312"/>
                <w:sz w:val="24"/>
                <w:szCs w:val="24"/>
                <w:highlight w:val="none"/>
              </w:rPr>
              <w:t>x</w:t>
            </w:r>
            <w:r>
              <w:rPr>
                <w:rFonts w:hint="eastAsia" w:ascii="仿宋_GB2312" w:hAnsi="仿宋_GB2312" w:eastAsia="仿宋_GB2312" w:cs="仿宋_GB2312"/>
                <w:sz w:val="24"/>
                <w:szCs w:val="24"/>
                <w:highlight w:val="none"/>
                <w:lang w:val="en-US" w:eastAsia="zh-CN"/>
              </w:rPr>
              <w:t xml:space="preserve"> 宽600mm </w:t>
            </w:r>
            <w:r>
              <w:rPr>
                <w:rFonts w:hint="eastAsia" w:ascii="仿宋_GB2312" w:hAnsi="仿宋_GB2312" w:eastAsia="仿宋_GB2312" w:cs="仿宋_GB2312"/>
                <w:sz w:val="24"/>
                <w:szCs w:val="24"/>
                <w:highlight w:val="none"/>
              </w:rPr>
              <w:t>x</w:t>
            </w:r>
            <w:r>
              <w:rPr>
                <w:rFonts w:hint="eastAsia" w:ascii="仿宋_GB2312" w:hAnsi="仿宋_GB2312" w:eastAsia="仿宋_GB2312" w:cs="仿宋_GB2312"/>
                <w:sz w:val="24"/>
                <w:szCs w:val="24"/>
                <w:highlight w:val="none"/>
                <w:lang w:val="en-US" w:eastAsia="zh-CN"/>
              </w:rPr>
              <w:t xml:space="preserve"> 深1200mm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32</w:t>
            </w:r>
          </w:p>
        </w:tc>
        <w:tc>
          <w:tcPr>
            <w:tcW w:w="488"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功能要求</w:t>
            </w:r>
          </w:p>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主板功能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★主板外部接口种类</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支持USB、显示、管理等接口，如：VGA、DP、HDMI、USB3.0、PS/2接口、BMC管理端口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33</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主板防烧板设计</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支持主板防烧板设计，需保证电源故障后不扩散；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34</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网络功能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★网络功能</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支持网络连接、网络访问、数据交换和网络管控功能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35</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CPU功能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★计算处理</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支持通用计算及虚拟化功能。处理器需集成整型计算单元、浮点计算单元、内存控制器、I/O模块等，处理器与存储部件、网络部件、I/O部件等组成计算系统，提供数据处理、网络接入等计算相关功能。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36</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★密码算法实现</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CPU芯片应符合GM/T 0008的相关规定，或芯片密码模块应符合GB/T 37092或GM/T 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37</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RAID卡功能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RAID卡RAID级别支持</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支持RAID0/1/10/5/6/50/60/1E/SimpleVolume等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38</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电源功能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★电源热插拔</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整机电源模块应具备热插拔功能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39</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★电源过流保护</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支持过流及短路保护的功能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40</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整机功能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★散热方式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支持风冷或液冷等散热方式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41</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其他功能</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a）支持关键部件冗余（包括电源、风扇等）；</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b）支持熔断保护与恢复功能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vMerge w:val="restart"/>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42</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管理系统功能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★BMC固件基础功能</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1）支持DHCP设置网络功能；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2）支持静态IP设置网络功能；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3）支持设备日志记录，包括但不限于登录日志、操作日志和报警日志等功能；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4）支持日志信息导出和记录删除功能；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5）支持通过管理接口向外输出准确的报警信息功能；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6）设备的BMC管理软件应能够按报警的严重程度进行区分；</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7）支持IPMI2.0、SNMP或Redfish等接口功能；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8）支持键盘、鼠标和视频的重定向、文本控制台的重定向、远程虚拟媒体、高可靠的硬件监控和管理功能；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9）支持基于网络开启、关闭和重启设备的功能，并查询当前设备开机运行状态；</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10）支持故障提示功能，并可通过接口读取服务器故障信息；</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11）支持基于网络的固件更新功能，包括BMC和BIOS等；</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12）支持基于网络安装操作系统的功能，并可通过网络控制台访问设备；</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13）支持通过本地的硬盘或光驱等存储设备，基于网络完成设备的操作系统安装功能；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14）支持通过浏览器打开管理界面并登录功能；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15）支持设置口令策略功能；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16）支持访问权限设置功能，并通过日志记录访问事件；</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17）支持对出厂默认的用户名及口令进行安全保护功能，并提供默认口令修改提示；</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18）支持读取设备主板的工作环境温度功能；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19）支持读取服务器CPU等核心器件的温度功能；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20）支持通过外部管理工具进行BMC参数设置的功能，并可基于网络通过外部管理工具对BMC进行管理；</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21）应支持固件版本查询、固件升级</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22）支持基于网络实现开关机和复位控制的功能；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23）BMC启动时间应不超过180s，实现功能包括网络、IPMI、散热、传感器服务可用；</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24）支持BMC固件设置的恢复出厂功能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51" w:type="pct"/>
            <w:vMerge w:val="continue"/>
            <w:vAlign w:val="center"/>
          </w:tcPr>
          <w:p>
            <w:pPr>
              <w:pStyle w:val="258"/>
              <w:pageBreakBefore w:val="0"/>
              <w:widowControl/>
              <w:numPr>
                <w:ilvl w:val="0"/>
                <w:numId w:val="2"/>
              </w:numPr>
              <w:kinsoku/>
              <w:wordWrap/>
              <w:overflowPunct/>
              <w:topLinePunct w:val="0"/>
              <w:autoSpaceDE/>
              <w:autoSpaceDN/>
              <w:bidi w:val="0"/>
              <w:spacing w:line="400" w:lineRule="exact"/>
              <w:ind w:left="0" w:right="0" w:rightChars="0" w:firstLine="0" w:firstLineChars="0"/>
              <w:contextualSpacing w:val="0"/>
              <w:jc w:val="center"/>
              <w:rPr>
                <w:rFonts w:hint="eastAsia" w:ascii="仿宋_GB2312" w:hAnsi="仿宋_GB2312" w:eastAsia="仿宋_GB2312" w:cs="仿宋_GB2312"/>
                <w:kern w:val="0"/>
                <w:sz w:val="24"/>
                <w:szCs w:val="24"/>
                <w:highlight w:val="none"/>
              </w:rPr>
            </w:pPr>
          </w:p>
        </w:tc>
        <w:tc>
          <w:tcPr>
            <w:tcW w:w="488"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BMC固件增强功能</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a）网络控制、安装提供图形访问界面网络；</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b）设备的BMC 管理软件界面显示报警信息，且能够按报警的严重程度进行区分；</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c）Web GUI 采用BMC 端口直连，平均响应时间为不大于1s</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lang w:val="en-US" w:eastAsia="zh-CN"/>
              </w:rPr>
              <w:t>d</w:t>
            </w:r>
            <w:r>
              <w:rPr>
                <w:rFonts w:hint="eastAsia" w:ascii="仿宋_GB2312" w:hAnsi="仿宋_GB2312" w:eastAsia="仿宋_GB2312" w:cs="仿宋_GB2312"/>
                <w:kern w:val="0"/>
                <w:sz w:val="24"/>
                <w:szCs w:val="24"/>
                <w:highlight w:val="none"/>
              </w:rPr>
              <w:t xml:space="preserve">）支持智能管理能力，具备支持3D形式展示各组件温度传感器的分布图，可直观体现服务器整体温感状态，如发生温度告警可快速定位到具体区域； </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lang w:val="en-US" w:eastAsia="zh-CN"/>
              </w:rPr>
              <w:t>e</w:t>
            </w:r>
            <w:r>
              <w:rPr>
                <w:rFonts w:hint="eastAsia" w:ascii="仿宋_GB2312" w:hAnsi="仿宋_GB2312" w:eastAsia="仿宋_GB2312" w:cs="仿宋_GB2312"/>
                <w:kern w:val="0"/>
                <w:sz w:val="24"/>
                <w:szCs w:val="24"/>
                <w:highlight w:val="none"/>
              </w:rPr>
              <w:t xml:space="preserve">）USBWIFI：服务器支持外接USBWIFI模块，管理员可使用手机或PC通过无线登录BMC </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lang w:val="en-US" w:eastAsia="zh-CN"/>
              </w:rPr>
              <w:t>f</w:t>
            </w:r>
            <w:r>
              <w:rPr>
                <w:rFonts w:hint="eastAsia" w:ascii="仿宋_GB2312" w:hAnsi="仿宋_GB2312" w:eastAsia="仿宋_GB2312" w:cs="仿宋_GB2312"/>
                <w:kern w:val="0"/>
                <w:sz w:val="24"/>
                <w:szCs w:val="24"/>
                <w:highlight w:val="none"/>
              </w:rPr>
              <w:t xml:space="preserve">）联合管理：BMC管理软件联合管理支持对周边伙伴设备的直接管理，简化服务器的统一管理，联合管理数量不低于200台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43</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★BIOS固件基础功能</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a）支持查看固件版本、内存信息、主板信息、处理器信息和系统时间信息功能；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b）支持上电初始化界面显示CPU信息、内存信息、固件版本和部分快捷键信息功能；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c）支持设置界面中英文显示切换功能；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d）支持查看PCIe设备信息，SATA设备信息功能；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e）支持操作系统安装和引导功能，应并向操作系统提供计算机主板信息和服务接口；</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f）支持设置启动顺序，并按照设置的启动顺序启动功能；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g）支持安全启动功能；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h）支持设置口令、修改口令、验证口令功能；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i）支持板载显示控制或独立显卡的显示控制功能；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j）支持RAID识别和启动功能；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k）支持串口重定向功能；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l）支持固件更新功能；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m）支持BIOS固件设置的恢复出厂功能；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n）支持网络引导启用和关闭功能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44</w:t>
            </w:r>
          </w:p>
        </w:tc>
        <w:tc>
          <w:tcPr>
            <w:tcW w:w="488"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BIOS固件增强功能</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BMC可以根据主机系统工作负载的特性，自动推荐和场景匹配的性能模板。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45</w:t>
            </w:r>
          </w:p>
        </w:tc>
        <w:tc>
          <w:tcPr>
            <w:tcW w:w="488"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可通过BMC配置BIOS性能模板，实现利用预配置的配置文件，自动调优内部服务器资源，系统内置10种以上场景模板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46</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★远程控制</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支持远程关机和重新启动功能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47</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操作系统及驱动功能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★操作系统及驱动的升级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支持通过网络、闪存盘对操作系统、驱动进行升级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48</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★操作系统功能</w:t>
            </w:r>
          </w:p>
        </w:tc>
        <w:tc>
          <w:tcPr>
            <w:tcW w:w="2774" w:type="pct"/>
            <w:shd w:val="clear" w:color="auto" w:fill="auto"/>
            <w:vAlign w:val="center"/>
          </w:tcPr>
          <w:p>
            <w:pPr>
              <w:pageBreakBefore w:val="0"/>
              <w:widowControl/>
              <w:numPr>
                <w:ilvl w:val="0"/>
                <w:numId w:val="3"/>
              </w:numPr>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 xml:space="preserve">支持访问控制、安全审计、网络接入鉴别等功能； </w:t>
            </w:r>
          </w:p>
          <w:p>
            <w:pPr>
              <w:pageBreakBefore w:val="0"/>
              <w:widowControl/>
              <w:numPr>
                <w:ilvl w:val="-1"/>
                <w:numId w:val="0"/>
              </w:numPr>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b)操作系统其他功能应满足操作系统政府采购需求标准中加*的指标要求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49</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中文信息处理功能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★中文信息处理</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符合GB 18030的有关规定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50</w:t>
            </w:r>
          </w:p>
        </w:tc>
        <w:tc>
          <w:tcPr>
            <w:tcW w:w="488"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安全要求</w:t>
            </w:r>
          </w:p>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关键部件安全要求</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★关键部件安全要求</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CPU和操作系统等关键部件应当符合安全可靠测评要求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51</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固件安全要求</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★故障检测</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支持故障检测功能，可以检测到具体的FRU（内存、硬盘等）的故障并发出告警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52</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系统安全要求</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★弱口令字典检查</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支持弱口令字典检查功能，出现在弱口令字典中的字符串不能被设置为用户口令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53</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★白名单访问控制</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支持基于时间、IP或MAC白名单访问控制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54</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★二次鉴别</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支持二次鉴别功能。对于用户配置、权限配置、公钥导入等重要的管理操作，已登录用户应通过二次鉴别后，才能执行操作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55</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★密码证书安全加密存储</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支持对带外管理系统中的用户口令和证书等敏感信息进行加密存储，禁止使用私有的和业界已知不安全的密码算法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56</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★敏感信息安全加密传输</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支持使用安全的传输加密协议（如SSH或HTTPS等）传输用户的敏感信息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57</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信息安全要求</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★研发过程安全</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供应商承诺，生产商已建立从需求、设计、开发、测试、维护端到端的开发流程管理机制，输出和保存开发流程中每个阶段的产品需求清单、设计文档、开发文档、测试记录等材料，保证各个流程可追溯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58</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物理安全</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★物理安全</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安全要求应符合GB 4943.1的规定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59</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限用物质的限量要求</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★限用物质的限量要求</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限用物质的限量应符合GB/T 26572的要求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60</w:t>
            </w:r>
          </w:p>
        </w:tc>
        <w:tc>
          <w:tcPr>
            <w:tcW w:w="488"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性能要求</w:t>
            </w:r>
          </w:p>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CPU性能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★CPU主频</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≥2.2GHz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61</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★单CPU核数</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62</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单CPU末级缓存容量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≥64MB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63</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内存性能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单内存模块容量</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单内存模块容量≥32GB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64</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内存速率</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65</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网络性能</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独立网卡速率</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≥10GE;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66</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板载网卡速率</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67</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电源能耗</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★电源能耗</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符合GB/T 9813.3的有关规定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68</w:t>
            </w:r>
          </w:p>
        </w:tc>
        <w:tc>
          <w:tcPr>
            <w:tcW w:w="488"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兼容要求</w:t>
            </w:r>
          </w:p>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部件兼容性要求</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内存兼容性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适配3种及以上厂商的内存产品，且均不低于产品支持的内存规格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69</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固态存储兼容性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适配3种或以上厂商的固态存储产品，且均不低于产品支持的固态存储设备规格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70</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FC HBA卡兼容性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FC HBA应适配2种或以上厂商产品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71</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RAID卡兼容性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RAID卡应适配2种或以上厂商产品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72</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网卡兼容性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网卡应适配2种或以上厂商产品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73</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★功能卡兼容性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内置或适配符合PCIe的功能卡，如：网络功能卡、存储功能卡及图形显示功能卡。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74</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外设兼容性</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外设兼容性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兼容多种主流生产商的外部设备，包括显示器、键盘、鼠标、闪存盘、移动硬盘、USB光驱及KVM等，要求使用不同厂商的外部设备时，系统均能正常识别和安装驱动。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75</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软件兼容性</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数据库兼容</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76</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中间件兼容</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兼容3个及以上厂商的中间件产品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77</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平台软件兼容</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兼容3个及以上厂商的大数据平台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78</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虚拟化软件兼容</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兼容2款及以上虚拟化软件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79</w:t>
            </w:r>
          </w:p>
        </w:tc>
        <w:tc>
          <w:tcPr>
            <w:tcW w:w="488"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可靠性要求</w:t>
            </w:r>
          </w:p>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整机可靠性要求</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整机可靠性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m1值（MTBF的不可接受值）不得低于30000h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80</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风扇可靠性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风扇寿命应不低于40000h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81</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★部件可靠性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支持硬盘、电源、风扇热插拔(内置风扇除外)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82</w:t>
            </w:r>
          </w:p>
        </w:tc>
        <w:tc>
          <w:tcPr>
            <w:tcW w:w="48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包装及运输要求</w:t>
            </w: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包装及运输要求</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★标志、包装、运输和贮存</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符合GB/T 9813.3和商品包装政府采购需求标准的相关规定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83</w:t>
            </w:r>
          </w:p>
        </w:tc>
        <w:tc>
          <w:tcPr>
            <w:tcW w:w="488"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服务要求</w:t>
            </w:r>
          </w:p>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服务响应</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服务响应</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a）提供电话、电子邮件、远程连接等多种形式服务；</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b）提供同城4h、异地12h技术响应服务，2个工作日解决问题，对于未能解决的问题和故障应提供可行的升级方案，并提供周转设备；</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c）建立全国技术服务体系和服务团体，符合专业服务体系标准要求，提供原厂中文服务；</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d）服务周期内提供产品的维修、换件和升级服务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84</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★培训服务</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85</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服务周期</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服务周期</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a）产品整机免费服务周期3年（含换件和维修）；</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b）设备停产后继续提供质量保障服务（含备品备件），服务终止时间与最后一批设备交付时间间隔不低于3年；</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c)产品停止服务时间应提前1年告知客户；</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d)产品发布日期需在随机文件中明确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86</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服务工具要求</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★工具要求</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供应商提供设置服务器硬件、辅助操作系统安装等功能的辅助工具和管理软件。且随附软件应具有合法授权或版权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87</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辅助工具</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支持如下功能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a）本地的数据备份和还原功能；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b）网络的数据备份和还原功能；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c）服务器操作系统的自动安装功能；</w:t>
            </w:r>
          </w:p>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d）服务器所配硬件需要的驱动程序和系统补丁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88</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★驱动安装升级指引</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供应商提供出厂安装的配件所需的驱动程序，形式包括但不限于驱动光盘、驱动下载链接等。其他配件应提供指引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89</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随机附开盖工具</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随服务器打包提供开机箱工具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90</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★管理软件</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具备资源管理、系统管理、性能监控、健康监控、基于网络控制、报警设置功能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91</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增值服务</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厂家升级产品软件与扩容服务</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供应商提供原厂级的部件/软件产品升级和扩容能力3年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92</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服务保障升级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供应商提供远程技术支持、软件授权服务、备件更换服务、现场支持服务3年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93</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提供上门服务</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提供3年</w:t>
            </w:r>
            <w:r>
              <w:rPr>
                <w:rFonts w:hint="eastAsia" w:ascii="仿宋_GB2312" w:hAnsi="仿宋_GB2312" w:eastAsia="仿宋_GB2312" w:cs="仿宋_GB2312"/>
                <w:kern w:val="0"/>
                <w:sz w:val="24"/>
                <w:szCs w:val="24"/>
                <w:highlight w:val="none"/>
                <w:lang w:val="en-US" w:eastAsia="zh-CN"/>
              </w:rPr>
              <w:t>免费</w:t>
            </w:r>
            <w:r>
              <w:rPr>
                <w:rFonts w:hint="eastAsia" w:ascii="仿宋_GB2312" w:hAnsi="仿宋_GB2312" w:eastAsia="仿宋_GB2312" w:cs="仿宋_GB2312"/>
                <w:kern w:val="0"/>
                <w:sz w:val="24"/>
                <w:szCs w:val="24"/>
                <w:highlight w:val="none"/>
              </w:rPr>
              <w:t>上门保修</w:t>
            </w:r>
            <w:r>
              <w:rPr>
                <w:rFonts w:hint="eastAsia" w:ascii="仿宋_GB2312" w:hAnsi="仿宋_GB2312" w:eastAsia="仿宋_GB2312" w:cs="仿宋_GB2312"/>
                <w:kern w:val="0"/>
                <w:sz w:val="24"/>
                <w:szCs w:val="24"/>
                <w:highlight w:val="none"/>
                <w:lang w:val="en-US" w:eastAsia="zh-CN"/>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94</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业务场景性能优化服务及整体架构升级服务</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供应商提供针对特定业务场景性能优化服务及整体架构升级服务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95</w:t>
            </w:r>
          </w:p>
        </w:tc>
        <w:tc>
          <w:tcPr>
            <w:tcW w:w="488"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供保要求</w:t>
            </w:r>
          </w:p>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供应链质量</w:t>
            </w: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★抗干扰性</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当产品部件出现供应风险时，应通知客户并提供风险应对方案确保产品的服务保障，必要时应停止相关受影响产品的销售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96</w:t>
            </w:r>
          </w:p>
        </w:tc>
        <w:tc>
          <w:tcPr>
            <w:tcW w:w="488" w:type="pct"/>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592"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79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★供应能力证明</w:t>
            </w:r>
          </w:p>
        </w:tc>
        <w:tc>
          <w:tcPr>
            <w:tcW w:w="2774"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供应商提供供应链稳定承诺书，确保产品的部件在产品服务周期内稳定供货</w:t>
            </w:r>
          </w:p>
        </w:tc>
      </w:tr>
    </w:tbl>
    <w:p>
      <w:pPr>
        <w:keepNext/>
        <w:keepLines/>
        <w:pageBreakBefore w:val="0"/>
        <w:kinsoku/>
        <w:wordWrap/>
        <w:overflowPunct/>
        <w:topLinePunct w:val="0"/>
        <w:autoSpaceDE/>
        <w:autoSpaceDN/>
        <w:bidi w:val="0"/>
        <w:spacing w:line="400" w:lineRule="exact"/>
        <w:ind w:left="0" w:right="0" w:rightChars="0" w:firstLine="0" w:firstLineChars="0"/>
        <w:outlineLvl w:val="1"/>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2.2超融合软件</w:t>
      </w:r>
    </w:p>
    <w:tbl>
      <w:tblPr>
        <w:tblStyle w:val="63"/>
        <w:tblW w:w="58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74"/>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363" w:type="pct"/>
            <w:shd w:val="clear" w:color="auto" w:fill="auto"/>
            <w:noWrap/>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序号</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指标分类</w:t>
            </w: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代码自主可控</w:t>
            </w: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lang w:eastAsia="zh-CN"/>
              </w:rPr>
            </w:pPr>
            <w:r>
              <w:rPr>
                <w:rFonts w:hint="eastAsia" w:ascii="仿宋_GB2312" w:hAnsi="仿宋_GB2312" w:eastAsia="仿宋_GB2312" w:cs="仿宋_GB2312"/>
                <w:kern w:val="0"/>
                <w:sz w:val="24"/>
                <w:szCs w:val="24"/>
                <w:highlight w:val="none"/>
              </w:rPr>
              <w:t>投标产品代码自主率（“自研代码量比例”）大于95%。要求代码检测量在100万以上，非特殊裁剪版本</w:t>
            </w:r>
            <w:r>
              <w:rPr>
                <w:rFonts w:hint="eastAsia" w:ascii="仿宋_GB2312" w:hAnsi="仿宋_GB2312" w:eastAsia="仿宋_GB2312" w:cs="仿宋_GB2312"/>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多芯片支持</w:t>
            </w: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lang w:eastAsia="zh-CN"/>
              </w:rPr>
            </w:pPr>
            <w:r>
              <w:rPr>
                <w:rFonts w:hint="eastAsia" w:ascii="仿宋_GB2312" w:hAnsi="仿宋_GB2312" w:eastAsia="仿宋_GB2312" w:cs="仿宋_GB2312"/>
                <w:kern w:val="0"/>
                <w:sz w:val="24"/>
                <w:szCs w:val="24"/>
                <w:highlight w:val="none"/>
              </w:rPr>
              <w:t>支持在通用的X86、arm架构服务器上安装超融合软件，支持飞腾、鲲鹏等业界主流的ARM平台，并且可以与原有的X86系统混合部署、统一管理</w:t>
            </w:r>
            <w:r>
              <w:rPr>
                <w:rFonts w:hint="eastAsia" w:ascii="仿宋_GB2312" w:hAnsi="仿宋_GB2312" w:eastAsia="仿宋_GB2312" w:cs="仿宋_GB2312"/>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功能要求</w:t>
            </w:r>
          </w:p>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lang w:eastAsia="zh-CN"/>
              </w:rPr>
            </w:pPr>
            <w:r>
              <w:rPr>
                <w:rFonts w:hint="eastAsia" w:ascii="仿宋_GB2312" w:hAnsi="仿宋_GB2312" w:eastAsia="仿宋_GB2312" w:cs="仿宋_GB2312"/>
                <w:kern w:val="0"/>
                <w:sz w:val="24"/>
                <w:szCs w:val="24"/>
                <w:highlight w:val="none"/>
              </w:rPr>
              <w:t>虚拟化平台内置虚拟化系统健康度评价模型，基于多维度的性能监控指标及告警等信息，支持对虚拟化系统及主机进行健康评测，并能够以直观的数字呈现系统及主机健康程度</w:t>
            </w:r>
            <w:r>
              <w:rPr>
                <w:rFonts w:hint="eastAsia" w:ascii="仿宋_GB2312" w:hAnsi="仿宋_GB2312" w:eastAsia="仿宋_GB2312" w:cs="仿宋_GB2312"/>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rPr>
              <w:t>一键资源分析</w:t>
            </w: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kern w:val="0"/>
                <w:sz w:val="24"/>
                <w:szCs w:val="24"/>
                <w:highlight w:val="none"/>
              </w:rPr>
              <w:t>支持使用一键鼠标按钮分析虚拟机、主机历史资源使用情况，提供规划决策数据支撑</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sz w:val="24"/>
                <w:szCs w:val="24"/>
                <w:highlight w:val="none"/>
                <w:lang w:val="en-US" w:eastAsia="zh-CN"/>
              </w:rPr>
              <w:t>提供相关功能界面截图</w:t>
            </w:r>
            <w:r>
              <w:rPr>
                <w:rFonts w:hint="eastAsia" w:ascii="仿宋_GB2312" w:hAnsi="仿宋_GB2312" w:eastAsia="仿宋_GB2312" w:cs="仿宋_GB2312"/>
                <w:b/>
                <w:bCs/>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rPr>
              <w:t>一键无效文件分析</w:t>
            </w: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支持使用一键鼠标按钮分析后端存储上的无效镜像文件，并提供一键清理和释放存储空间能力。</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val="0"/>
                <w:bCs w:val="0"/>
                <w:kern w:val="0"/>
                <w:sz w:val="24"/>
                <w:szCs w:val="24"/>
                <w:highlight w:val="none"/>
                <w:lang w:val="en-US" w:eastAsia="zh-CN"/>
              </w:rPr>
              <w:t>2、</w:t>
            </w:r>
            <w:r>
              <w:rPr>
                <w:rFonts w:hint="eastAsia" w:ascii="仿宋_GB2312" w:hAnsi="仿宋_GB2312" w:eastAsia="仿宋_GB2312" w:cs="仿宋_GB2312"/>
                <w:kern w:val="0"/>
                <w:sz w:val="24"/>
                <w:szCs w:val="24"/>
                <w:highlight w:val="none"/>
                <w:lang w:val="en-US" w:eastAsia="zh-CN"/>
              </w:rPr>
              <w:t>上述</w:t>
            </w:r>
            <w:r>
              <w:rPr>
                <w:rFonts w:hint="eastAsia" w:ascii="仿宋_GB2312" w:hAnsi="仿宋_GB2312" w:eastAsia="仿宋_GB2312" w:cs="仿宋_GB2312"/>
                <w:kern w:val="0"/>
                <w:sz w:val="24"/>
                <w:szCs w:val="24"/>
                <w:highlight w:val="none"/>
              </w:rPr>
              <w:t>第</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项</w:t>
            </w:r>
            <w:r>
              <w:rPr>
                <w:rFonts w:hint="eastAsia" w:ascii="仿宋_GB2312" w:hAnsi="仿宋_GB2312" w:eastAsia="仿宋_GB2312" w:cs="仿宋_GB2312"/>
                <w:kern w:val="0"/>
                <w:sz w:val="24"/>
                <w:szCs w:val="24"/>
                <w:highlight w:val="none"/>
                <w:lang w:val="en-US" w:eastAsia="zh-CN"/>
              </w:rPr>
              <w:t>参数</w:t>
            </w:r>
            <w:r>
              <w:rPr>
                <w:rFonts w:hint="eastAsia" w:ascii="仿宋_GB2312" w:hAnsi="仿宋_GB2312" w:eastAsia="仿宋_GB2312" w:cs="仿宋_GB2312"/>
                <w:kern w:val="0"/>
                <w:sz w:val="24"/>
                <w:szCs w:val="24"/>
                <w:highlight w:val="none"/>
                <w:lang w:eastAsia="zh-CN"/>
              </w:rPr>
              <w:t>需提供带有CMA或CNAS标识的第三方检测报告复印件。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rPr>
              <w:t>一键僵尸虚拟机清理</w:t>
            </w: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支持使用一键鼠标按钮快速查看、启动、删除、批量启动和批量删除长时间未使用且处于关闭状态的虚拟机，进行资源利用率统计。</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lang w:val="en-US" w:eastAsia="zh-CN"/>
              </w:rPr>
              <w:t>2、</w:t>
            </w:r>
            <w:r>
              <w:rPr>
                <w:rFonts w:hint="eastAsia" w:ascii="仿宋_GB2312" w:hAnsi="仿宋_GB2312" w:eastAsia="仿宋_GB2312" w:cs="仿宋_GB2312"/>
                <w:kern w:val="0"/>
                <w:sz w:val="24"/>
                <w:szCs w:val="24"/>
                <w:highlight w:val="none"/>
                <w:lang w:val="en-US" w:eastAsia="zh-CN"/>
              </w:rPr>
              <w:t>上述</w:t>
            </w:r>
            <w:r>
              <w:rPr>
                <w:rFonts w:hint="eastAsia" w:ascii="仿宋_GB2312" w:hAnsi="仿宋_GB2312" w:eastAsia="仿宋_GB2312" w:cs="仿宋_GB2312"/>
                <w:kern w:val="0"/>
                <w:sz w:val="24"/>
                <w:szCs w:val="24"/>
                <w:highlight w:val="none"/>
              </w:rPr>
              <w:t>第</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项</w:t>
            </w:r>
            <w:r>
              <w:rPr>
                <w:rFonts w:hint="eastAsia" w:ascii="仿宋_GB2312" w:hAnsi="仿宋_GB2312" w:eastAsia="仿宋_GB2312" w:cs="仿宋_GB2312"/>
                <w:kern w:val="0"/>
                <w:sz w:val="24"/>
                <w:szCs w:val="24"/>
                <w:highlight w:val="none"/>
                <w:lang w:val="en-US" w:eastAsia="zh-CN"/>
              </w:rPr>
              <w:t>参数</w:t>
            </w:r>
            <w:r>
              <w:rPr>
                <w:rFonts w:hint="eastAsia" w:ascii="仿宋_GB2312" w:hAnsi="仿宋_GB2312" w:eastAsia="仿宋_GB2312" w:cs="仿宋_GB2312"/>
                <w:kern w:val="0"/>
                <w:sz w:val="24"/>
                <w:szCs w:val="24"/>
                <w:highlight w:val="none"/>
                <w:lang w:eastAsia="zh-CN"/>
              </w:rPr>
              <w:t>需提供带有CMA或CNAS标识的第三方检测报告复印件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rPr>
              <w:t>网络拓扑可视</w:t>
            </w: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支持对整个平台实现网络拓扑管理，支持在网络拓扑页面查看当前网络配置、增删虚拟交换机、增删虚拟网卡、增删虚拟防火墙、操作虚拟机、防火墙关联虚拟机网卡。</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kern w:val="0"/>
                <w:sz w:val="24"/>
                <w:szCs w:val="24"/>
                <w:highlight w:val="none"/>
                <w:lang w:val="en-US" w:eastAsia="zh-CN"/>
              </w:rPr>
              <w:t>2、上述</w:t>
            </w:r>
            <w:r>
              <w:rPr>
                <w:rFonts w:hint="eastAsia" w:ascii="仿宋_GB2312" w:hAnsi="仿宋_GB2312" w:eastAsia="仿宋_GB2312" w:cs="仿宋_GB2312"/>
                <w:kern w:val="0"/>
                <w:sz w:val="24"/>
                <w:szCs w:val="24"/>
                <w:highlight w:val="none"/>
              </w:rPr>
              <w:t>第</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项</w:t>
            </w:r>
            <w:r>
              <w:rPr>
                <w:rFonts w:hint="eastAsia" w:ascii="仿宋_GB2312" w:hAnsi="仿宋_GB2312" w:eastAsia="仿宋_GB2312" w:cs="仿宋_GB2312"/>
                <w:kern w:val="0"/>
                <w:sz w:val="24"/>
                <w:szCs w:val="24"/>
                <w:highlight w:val="none"/>
                <w:lang w:val="en-US" w:eastAsia="zh-CN"/>
              </w:rPr>
              <w:t>参数</w:t>
            </w:r>
            <w:r>
              <w:rPr>
                <w:rFonts w:hint="eastAsia" w:ascii="仿宋_GB2312" w:hAnsi="仿宋_GB2312" w:eastAsia="仿宋_GB2312" w:cs="仿宋_GB2312"/>
                <w:kern w:val="0"/>
                <w:sz w:val="24"/>
                <w:szCs w:val="24"/>
                <w:highlight w:val="none"/>
                <w:lang w:eastAsia="zh-CN"/>
              </w:rPr>
              <w:t>需提供带有CMA或CNAS标识的第三方检测报告复印件。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rPr>
              <w:t>融合</w:t>
            </w:r>
            <w:r>
              <w:rPr>
                <w:rFonts w:hint="eastAsia" w:ascii="仿宋_GB2312" w:hAnsi="仿宋_GB2312" w:eastAsia="仿宋_GB2312" w:cs="仿宋_GB2312"/>
                <w:kern w:val="0"/>
                <w:sz w:val="24"/>
                <w:szCs w:val="24"/>
                <w:highlight w:val="none"/>
                <w:lang w:val="en-US" w:eastAsia="zh-CN"/>
              </w:rPr>
              <w:t>存储</w:t>
            </w: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同一节点同时支持虚拟化和3种存储功能，最少只需3个节点集群即可同时提供虚拟化、分布式块、对象、文件存储服务。其中对象和文件服务必须在宿主机上提供，和超融合自研同品牌，不能以应用跑在虚拟机上的形式提供。</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lang w:val="en-US" w:eastAsia="zh-CN"/>
              </w:rPr>
              <w:t>2、上述</w:t>
            </w:r>
            <w:r>
              <w:rPr>
                <w:rFonts w:hint="eastAsia" w:ascii="仿宋_GB2312" w:hAnsi="仿宋_GB2312" w:eastAsia="仿宋_GB2312" w:cs="仿宋_GB2312"/>
                <w:kern w:val="0"/>
                <w:sz w:val="24"/>
                <w:szCs w:val="24"/>
                <w:highlight w:val="none"/>
              </w:rPr>
              <w:t>第</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项</w:t>
            </w:r>
            <w:r>
              <w:rPr>
                <w:rFonts w:hint="eastAsia" w:ascii="仿宋_GB2312" w:hAnsi="仿宋_GB2312" w:eastAsia="仿宋_GB2312" w:cs="仿宋_GB2312"/>
                <w:kern w:val="0"/>
                <w:sz w:val="24"/>
                <w:szCs w:val="24"/>
                <w:highlight w:val="none"/>
                <w:lang w:val="en-US" w:eastAsia="zh-CN"/>
              </w:rPr>
              <w:t>参数</w:t>
            </w:r>
            <w:r>
              <w:rPr>
                <w:rFonts w:hint="eastAsia" w:ascii="仿宋_GB2312" w:hAnsi="仿宋_GB2312" w:eastAsia="仿宋_GB2312" w:cs="仿宋_GB2312"/>
                <w:kern w:val="0"/>
                <w:sz w:val="24"/>
                <w:szCs w:val="24"/>
                <w:highlight w:val="none"/>
                <w:lang w:eastAsia="zh-CN"/>
              </w:rPr>
              <w:t>需提供带有CMA或CNAS标识的第三方检测报告复印件。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rPr>
              <w:t>反磨损均衡</w:t>
            </w: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kern w:val="0"/>
                <w:sz w:val="24"/>
                <w:szCs w:val="24"/>
                <w:highlight w:val="none"/>
              </w:rPr>
              <w:t>对系统中的盘磨损度进行检测，当盘达到设计的磨损度后增大到该盘的IO数量，使其提前磨损并重构，避免系统中多个盘寿命同时到达后同时故障。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rPr>
              <w:t>网卡检测隔离</w:t>
            </w: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kern w:val="0"/>
                <w:sz w:val="24"/>
                <w:szCs w:val="24"/>
                <w:highlight w:val="none"/>
              </w:rPr>
              <w:t>支持物理网卡至物理交换机端到端的物理网络故障检测与隔离功能，支持网络物理亚健康故障检测、故障告警，支持故障发生后自动隔离从而不会对集群的正常工作造成影响，支持自定义配置阈值，支持IP冲突自动检测与告警</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sz w:val="24"/>
                <w:szCs w:val="24"/>
                <w:highlight w:val="none"/>
                <w:lang w:val="en-US" w:eastAsia="zh-CN"/>
              </w:rPr>
              <w:t>提供相关功能界面截图。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兼容性要求</w:t>
            </w:r>
          </w:p>
        </w:tc>
        <w:tc>
          <w:tcPr>
            <w:tcW w:w="3950" w:type="pct"/>
            <w:shd w:val="clear" w:color="auto" w:fill="auto"/>
            <w:vAlign w:val="center"/>
          </w:tcPr>
          <w:p>
            <w:pPr>
              <w:pStyle w:val="4"/>
              <w:pageBreakBefore w:val="0"/>
              <w:kinsoku/>
              <w:wordWrap/>
              <w:overflowPunct/>
              <w:topLinePunct w:val="0"/>
              <w:autoSpaceDE/>
              <w:autoSpaceDN/>
              <w:bidi w:val="0"/>
              <w:spacing w:after="0" w:line="400" w:lineRule="exact"/>
              <w:ind w:left="0" w:right="0" w:rightChars="0" w:firstLine="0" w:firstLineChars="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kern w:val="0"/>
                <w:sz w:val="24"/>
                <w:szCs w:val="24"/>
                <w:highlight w:val="none"/>
              </w:rPr>
              <w:t>▲支持超融合集群无缝兼容及纳管现网H3C S7506交换机及超融合配套交换机，实现在超融合界面完成对交换机的配置管理，提升运维效率，降低运维复杂度</w:t>
            </w:r>
            <w:r>
              <w:rPr>
                <w:rFonts w:hint="eastAsia" w:ascii="仿宋_GB2312" w:hAnsi="仿宋_GB2312" w:eastAsia="仿宋_GB2312" w:cs="仿宋_GB2312"/>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8"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w:t>
            </w:r>
          </w:p>
        </w:tc>
        <w:tc>
          <w:tcPr>
            <w:tcW w:w="68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可靠性要求</w:t>
            </w:r>
          </w:p>
        </w:tc>
        <w:tc>
          <w:tcPr>
            <w:tcW w:w="3950"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kern w:val="0"/>
                <w:sz w:val="24"/>
                <w:szCs w:val="24"/>
                <w:highlight w:val="none"/>
              </w:rPr>
              <w:t>采用仲裁机制预防脑裂风险；要求平台可从2节点在线平滑扩容至3节点及以上，不需要重新开局，不需要迁移数据。</w:t>
            </w:r>
          </w:p>
        </w:tc>
      </w:tr>
    </w:tbl>
    <w:p>
      <w:pPr>
        <w:keepNext/>
        <w:keepLines/>
        <w:pageBreakBefore w:val="0"/>
        <w:kinsoku/>
        <w:wordWrap/>
        <w:overflowPunct/>
        <w:topLinePunct w:val="0"/>
        <w:autoSpaceDE/>
        <w:autoSpaceDN/>
        <w:bidi w:val="0"/>
        <w:spacing w:line="400" w:lineRule="exact"/>
        <w:ind w:left="0" w:right="0" w:rightChars="0" w:firstLine="0" w:firstLineChars="0"/>
        <w:outlineLvl w:val="1"/>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2.3仲裁节点</w:t>
      </w:r>
    </w:p>
    <w:tbl>
      <w:tblPr>
        <w:tblStyle w:val="63"/>
        <w:tblW w:w="5820" w:type="pct"/>
        <w:jc w:val="center"/>
        <w:tblLayout w:type="autofit"/>
        <w:tblCellMar>
          <w:top w:w="0" w:type="dxa"/>
          <w:left w:w="108" w:type="dxa"/>
          <w:bottom w:w="0" w:type="dxa"/>
          <w:right w:w="108" w:type="dxa"/>
        </w:tblCellMar>
      </w:tblPr>
      <w:tblGrid>
        <w:gridCol w:w="717"/>
        <w:gridCol w:w="1143"/>
        <w:gridCol w:w="1465"/>
        <w:gridCol w:w="2044"/>
        <w:gridCol w:w="4551"/>
      </w:tblGrid>
      <w:tr>
        <w:tblPrEx>
          <w:tblCellMar>
            <w:top w:w="0" w:type="dxa"/>
            <w:left w:w="108" w:type="dxa"/>
            <w:bottom w:w="0" w:type="dxa"/>
            <w:right w:w="108" w:type="dxa"/>
          </w:tblCellMar>
        </w:tblPrEx>
        <w:trPr>
          <w:cantSplit/>
          <w:trHeight w:val="20" w:hRule="atLeast"/>
          <w:tblHeader/>
          <w:jc w:val="center"/>
        </w:trPr>
        <w:tc>
          <w:tcPr>
            <w:tcW w:w="361" w:type="pct"/>
            <w:tcBorders>
              <w:top w:val="single" w:color="000000" w:sz="4" w:space="0"/>
              <w:left w:val="single" w:color="000000" w:sz="4" w:space="0"/>
              <w:bottom w:val="single" w:color="000000" w:sz="4" w:space="0"/>
              <w:right w:val="single" w:color="auto"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序号</w:t>
            </w:r>
          </w:p>
        </w:tc>
        <w:tc>
          <w:tcPr>
            <w:tcW w:w="576" w:type="pc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b/>
                <w:bCs/>
                <w:kern w:val="0"/>
                <w:sz w:val="24"/>
                <w:szCs w:val="24"/>
                <w:highlight w:val="none"/>
                <w:lang w:bidi="ar"/>
              </w:rPr>
            </w:pPr>
            <w:r>
              <w:rPr>
                <w:rFonts w:hint="eastAsia" w:ascii="仿宋_GB2312" w:hAnsi="仿宋_GB2312" w:eastAsia="仿宋_GB2312" w:cs="仿宋_GB2312"/>
                <w:b/>
                <w:bCs/>
                <w:kern w:val="0"/>
                <w:sz w:val="24"/>
                <w:szCs w:val="24"/>
                <w:highlight w:val="none"/>
                <w:lang w:bidi="ar"/>
              </w:rPr>
              <w:t>指标分类</w:t>
            </w:r>
          </w:p>
        </w:tc>
        <w:tc>
          <w:tcPr>
            <w:tcW w:w="738" w:type="pc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kern w:val="0"/>
                <w:sz w:val="24"/>
                <w:szCs w:val="24"/>
                <w:highlight w:val="none"/>
                <w:lang w:bidi="ar"/>
              </w:rPr>
              <w:t>一级指标</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kern w:val="0"/>
                <w:sz w:val="24"/>
                <w:szCs w:val="24"/>
                <w:highlight w:val="none"/>
                <w:lang w:bidi="ar"/>
              </w:rPr>
              <w:t>二级指标</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kern w:val="0"/>
                <w:sz w:val="24"/>
                <w:szCs w:val="24"/>
                <w:highlight w:val="none"/>
                <w:lang w:bidi="ar"/>
              </w:rPr>
              <w:t>指标要求</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w:t>
            </w:r>
          </w:p>
        </w:tc>
        <w:tc>
          <w:tcPr>
            <w:tcW w:w="576" w:type="pct"/>
            <w:vMerge w:val="restart"/>
            <w:tcBorders>
              <w:top w:val="single" w:color="auto" w:sz="4" w:space="0"/>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产品规格</w:t>
            </w:r>
          </w:p>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主要参数</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★基本要求</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处理器≥4核，主频≥3.0GHz</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内存≥8GB DDR4</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硬盘≥256GB SSD</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内存规格</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内存配置容量</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配置≥1条8GB DDR4内存</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内存类型</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支持DDR4及以上内存类型</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主板规格</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主板集成模块</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集成资源扩展模块、计算处理模块、音频扩展模块等，主板的互联拓扑可通过处理器或交换电路实现</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主板支持的CPU和内存情况</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支持X86架构CPU和DDR4及以上内存</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主板内置PCle插槽数量</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支持PCIe插槽数量不少于1个</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主板其他内置接口</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供应商给出相关SATA、M.2、USB接口数量及占用状态</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存储设备规格</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固态盘数量</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≥1个</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固态存储容量</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≥256GB</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固态存储形态</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采用插卡或板载等形态，可选用符合M.2或2.5寸SATA或mSATA等标准的插卡形态</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存储设备其他参数要求</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固态盘应符合SJ/T 11654相关规定；</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网络设备规格</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有线网卡数量</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≥1</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外部接口规格</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USB接口数量</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≥3</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视频接口数量</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≥1</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kern w:val="0"/>
                <w:sz w:val="24"/>
                <w:szCs w:val="24"/>
                <w:highlight w:val="none"/>
                <w:lang w:bidi="ar"/>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音频接口数量</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≥1</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整机基础规格</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整机外观</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a)产品表面不应有凹痕、划伤、裂缝、变形和污染等。表面涂层均匀，不应起泡、龟裂、脱落和磨损，金属零部件无锈蚀及其它机械损伤；</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b)产品表面说明功能的文字、符号、标志，应清晰、端正、牢固；</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状态指示灯</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在产品显著位置提供状态指示功能，如运行状态，并由供应商提供详细参数</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整机结构</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a)机箱应符合GB/T4208、GB/T26246的相关规定；</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b)产品内部结构应符合通用部件的安装需求；</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c)所有输入输出接口应符合相关国家或行业标准；</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d)产品零部件应紧固无松动，可插拔部件应可靠连接，开关、按钮和其它控制部件应灵活可靠，布局应方便使用；</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e)所有I/O连接器及需插接线缆的部位应预留采购人操作空间，方便插拔解锁与插拔线缆；</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f)可插拔板卡插槽部位应预留安装、拆卸或更换板卡空间；</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g)拆装可能接触到的金属剪口或金属尖角部位应做防划伤处理，以保证安全；</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h)整机内部走线应规整，固线结构和位置要合理可靠并做防割线处理，需便于理线和插拔操作，走线应不影响系统各主要部件组装和拆卸；</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i)如需通过孔走线，过线孔应做防割线处理；</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j)各插头位置和插拔方向应合理，应做到插拔无障碍设计，具备防呆设计，有效避免误操作；</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k)各主要部件拆装无障碍，使用常规工具拆装，无特殊拆装工具需求；</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l)各主要部件拆装步骤要少，各自拆装需避免相互干扰；</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m)对于整机或零部件外表面为高亮面的，应粘贴保护膜，保护膜需粘贴牢固，运输、组装等过程不易脱落，撕下无残留；</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n)其它要求应符合GB/T 9813.1的相关规定</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19</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机箱防护要求</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机箱应符合GB/T4208中IP20防护要求</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20</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整机噪音</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产品工作在空闲状态下，产品的声功率级应不超过20dB(A)</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21</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整机散热</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在环境温度25℃及处理器满载情况下，产品表面温度应符合如下要求：</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a)出风口在机箱后面板情况下，出风口温度不高于55℃；</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b)可触及面温度不高于45℃；</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c)显示器表面温度：显示屏不高于38℃，显示屏上下灯带位置温度（如涉及）不高于40℃，出风口温度不高于45℃</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22</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整机能效限定值</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产品能效限定值应达到GB28380-2012标准中能效等级2级及以上</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23</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机身材质</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金属</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24</w:t>
            </w:r>
          </w:p>
        </w:tc>
        <w:tc>
          <w:tcPr>
            <w:tcW w:w="576" w:type="pct"/>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机身颜色</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黑色</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25</w:t>
            </w:r>
          </w:p>
        </w:tc>
        <w:tc>
          <w:tcPr>
            <w:tcW w:w="576" w:type="pct"/>
            <w:vMerge w:val="restart"/>
            <w:tcBorders>
              <w:top w:val="single" w:color="auto" w:sz="4" w:space="0"/>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性能要求</w:t>
            </w:r>
          </w:p>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CPU性能</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CPU物理核数</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≥4</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26</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CPU主频</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≥3GHz</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27</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CPU支持的内存最高速率</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≥3200MT/s</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28</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内存性能</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内存读写速率</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≥3200MT/s</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29</w:t>
            </w:r>
          </w:p>
        </w:tc>
        <w:tc>
          <w:tcPr>
            <w:tcW w:w="576" w:type="pct"/>
            <w:vMerge w:val="continue"/>
            <w:tcBorders>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网络设备性能</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有线网卡速率</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最高速率应不低于1000Mbps，应支持10Mbps、100Mbps、1000Mbps速率自适应</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30</w:t>
            </w:r>
          </w:p>
        </w:tc>
        <w:tc>
          <w:tcPr>
            <w:tcW w:w="576" w:type="pct"/>
            <w:vMerge w:val="restart"/>
            <w:tcBorders>
              <w:top w:val="single" w:color="auto" w:sz="4" w:space="0"/>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功能要求</w:t>
            </w:r>
          </w:p>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主板功能</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内存扩展接口(板载内存不涉及)</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≥1个</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31</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存储扩展接口(板载存储不涉及)</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供应商给出主板支持存储扩展接口类型，如UFS3.0、SATA3.0、SAS3.0、M.2等类型接口</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32</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主板USB瞬间过流保护</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支持有瞬间过流保护功能</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33</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主板防静电保护</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支持防静电保护功能</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34</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I/O接口功能</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35</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存储功能</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存储功能</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通过SATA固态存储/PCIe固态存储/UFS固态存储/SATA硬磁盘等存储部件提供存储功能</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36</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网络设备功能</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网络功能</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a)支持网络连接、网络开启/关闭功能；</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b)支持访问网络和数据交换功能</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37</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数据传输</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支持数据传输能力，并提供数据流量和异常日志记录功能</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38</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有线网卡接口类型</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支持RJ45接口</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39</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网络设备拆装</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网络设备支持物理拆装，包括无线网卡和蓝牙模块等（若配置无线网卡和蓝牙模块）</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40</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外部接口功能</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音频接口类型</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支持3.5mm孔径3段式或4段式接口</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41</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视频接口类型</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至少支持VGA、HDMI、DVI、DP、Type-C中1种显示接口</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42</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HDMI、DP、Type-C显示接口要求</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若提供HDMI或DP或Type-C作为显示接口，应支持音频和视频同步输出</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43</w:t>
            </w:r>
          </w:p>
        </w:tc>
        <w:tc>
          <w:tcPr>
            <w:tcW w:w="576" w:type="pct"/>
            <w:vMerge w:val="continue"/>
            <w:tcBorders>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电源功能</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电源线适配能力</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电源适配器电线组件应符合GB/T 15934的要求，可拆线的插头和连接器可以不做要求</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44</w:t>
            </w:r>
          </w:p>
        </w:tc>
        <w:tc>
          <w:tcPr>
            <w:tcW w:w="576" w:type="pct"/>
            <w:vMerge w:val="restart"/>
            <w:tcBorders>
              <w:top w:val="single" w:color="auto" w:sz="4" w:space="0"/>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可靠性要求</w:t>
            </w:r>
          </w:p>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存储设备可靠性</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固态存储寿命</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TBW≥80TB</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45</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机械硬盘寿命</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通电时间≥5万小时</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46</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显示设备可靠性</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显示屏屏幕失效点</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符合GB/T 9813.2的要求</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47</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整机可靠性要求</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电磁兼容性要求的抗扰度</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符合GB/T 9254.2的规定</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48</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环境条件要求的气候环境适应性</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符合GB/T 9813.1中规定</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49</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环境条件要求的振动适应性</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符合GB/T 9813.1中规定</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50</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环境条件要求的冲击适应性</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符合GB/T 9813.1中规定</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51</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环境条件要求的碰撞适应性</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符合GB/T 9813.1中规定</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52</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环境条件要求的运输包装件跌落适应性</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符合GB/T 9813.1中规定</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53</w:t>
            </w:r>
          </w:p>
        </w:tc>
        <w:tc>
          <w:tcPr>
            <w:tcW w:w="576" w:type="pct"/>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MTBF测试</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MTBF(m1)≥50万小时</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54</w:t>
            </w:r>
          </w:p>
        </w:tc>
        <w:tc>
          <w:tcPr>
            <w:tcW w:w="576" w:type="pct"/>
            <w:vMerge w:val="restart"/>
            <w:tcBorders>
              <w:top w:val="single" w:color="auto" w:sz="4" w:space="0"/>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兼容要求</w:t>
            </w:r>
          </w:p>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兼容要求</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常用软件兼容</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支持流式软件、版式软件、浏览器、邮件采购人端、解压软件、多媒体、图形图像处理等常用软件</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55</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数据库兼容</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兼容3个及以上厂商的数据库产品</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56</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中间件兼容</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兼容3个及以上厂商中间件产品</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57</w:t>
            </w:r>
          </w:p>
        </w:tc>
        <w:tc>
          <w:tcPr>
            <w:tcW w:w="576" w:type="pct"/>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平台软件兼容</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兼容3个及以上厂商云计算及大数据平台</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58</w:t>
            </w:r>
          </w:p>
        </w:tc>
        <w:tc>
          <w:tcPr>
            <w:tcW w:w="576" w:type="pct"/>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包装及运输要求</w:t>
            </w:r>
          </w:p>
        </w:tc>
        <w:tc>
          <w:tcPr>
            <w:tcW w:w="738" w:type="pc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包装及运输要求</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标志、包装、运输和贮存</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符合GB/T 9813.1和商品包装政府采购需求标准的相关规定</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59</w:t>
            </w:r>
          </w:p>
        </w:tc>
        <w:tc>
          <w:tcPr>
            <w:tcW w:w="576" w:type="pct"/>
            <w:vMerge w:val="restart"/>
            <w:tcBorders>
              <w:top w:val="single" w:color="auto" w:sz="4" w:space="0"/>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服务要求</w:t>
            </w:r>
          </w:p>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服务要求</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配置检查工具</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供应商提供自检测试工具</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60</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服务响应</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a)供应商提供电话、电子邮件、远程连接等多种形式服务；</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b)供应商应提供7×24小时的免费技术服务，对故障在1小时内响应，2小时以内到现场，4小时以内解决问题；12小时内不能解决问题的，必须提供周转设备或更换设备，以保证采购单位的正常使用。</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c)建立全国技术服务体系和服务团体，符合专业服务体系标准要求，提供原厂中文服务；</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d)服务周期内提供产品的维修、换件和升级服务</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61</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服务周期</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a)设备停产后应继续提供质量保障服务（含备品备件），服务终止时间与最后一批设备交付时间间隔不低于3年；</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b)产品停止服务时间应提前1年告知；</w:t>
            </w:r>
          </w:p>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c)应明确产品发布日期</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62</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培训服务</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供应商提供培训材料、产品手册、培训视频等培训相关内容</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63</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典型问题解决手册</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供应商提供典型问题解决说明文档或视频</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64</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厂家升级软件与扩容服务</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供应商提供上门升级部件/软件与扩容的增值服务</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65</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整机质量服务要求</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免费服务周期（含换件和维修）应不小于3年</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66</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开箱组装/使用指导要求</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供应商提供开箱组装/使用指导</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67</w:t>
            </w:r>
          </w:p>
        </w:tc>
        <w:tc>
          <w:tcPr>
            <w:tcW w:w="576" w:type="pct"/>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驱动下载服务要求</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供应商提供驱动光盘或下载方式</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68</w:t>
            </w:r>
          </w:p>
        </w:tc>
        <w:tc>
          <w:tcPr>
            <w:tcW w:w="576" w:type="pct"/>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兼容适配软件下载服务要求</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供应商提供兼容适配软件下载渠道（光盘、网站）</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69</w:t>
            </w:r>
          </w:p>
        </w:tc>
        <w:tc>
          <w:tcPr>
            <w:tcW w:w="576" w:type="pct"/>
            <w:vMerge w:val="restart"/>
            <w:tcBorders>
              <w:top w:val="single" w:color="auto" w:sz="4" w:space="0"/>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供应保障要求</w:t>
            </w:r>
          </w:p>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供应链合规性</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产品部件保障</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供应商保障产品主要部件，提供3年的备件服务能力（自购买之日起），或提供可兼容原设备的升级换代产品</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70</w:t>
            </w:r>
          </w:p>
        </w:tc>
        <w:tc>
          <w:tcPr>
            <w:tcW w:w="576" w:type="pct"/>
            <w:vMerge w:val="continue"/>
            <w:tcBorders>
              <w:left w:val="single" w:color="auto" w:sz="4" w:space="0"/>
              <w:right w:val="single" w:color="auto" w:sz="4" w:space="0"/>
            </w:tcBorders>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738"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供应链质量</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抗干扰性</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当产品部件出现供应风险时，供应商应通知采购人并提供风险应对方案确保产品的服务保障</w:t>
            </w:r>
          </w:p>
        </w:tc>
      </w:tr>
      <w:tr>
        <w:tblPrEx>
          <w:tblCellMar>
            <w:top w:w="0" w:type="dxa"/>
            <w:left w:w="108" w:type="dxa"/>
            <w:bottom w:w="0" w:type="dxa"/>
            <w:right w:w="108" w:type="dxa"/>
          </w:tblCellMar>
        </w:tblPrEx>
        <w:trPr>
          <w:cantSplit/>
          <w:trHeight w:val="20" w:hRule="atLeast"/>
          <w:jc w:val="center"/>
        </w:trPr>
        <w:tc>
          <w:tcPr>
            <w:tcW w:w="717"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71</w:t>
            </w:r>
          </w:p>
        </w:tc>
        <w:tc>
          <w:tcPr>
            <w:tcW w:w="576" w:type="pct"/>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738"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供应能力证明</w:t>
            </w:r>
          </w:p>
        </w:tc>
        <w:tc>
          <w:tcPr>
            <w:tcW w:w="2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bidi="ar"/>
              </w:rPr>
              <w:t>供应商提供供应链稳定承诺书，确保产品的部件在产品服务周期内稳定供货</w:t>
            </w:r>
          </w:p>
        </w:tc>
      </w:tr>
    </w:tbl>
    <w:p>
      <w:pPr>
        <w:pageBreakBefore w:val="0"/>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sz w:val="24"/>
          <w:szCs w:val="24"/>
          <w:highlight w:val="none"/>
        </w:rPr>
      </w:pPr>
    </w:p>
    <w:p>
      <w:pPr>
        <w:keepNext/>
        <w:keepLines/>
        <w:pageBreakBefore w:val="0"/>
        <w:kinsoku/>
        <w:wordWrap/>
        <w:overflowPunct/>
        <w:topLinePunct w:val="0"/>
        <w:autoSpaceDE/>
        <w:autoSpaceDN/>
        <w:bidi w:val="0"/>
        <w:spacing w:line="400" w:lineRule="exact"/>
        <w:ind w:left="0" w:right="0" w:rightChars="0" w:firstLine="0" w:firstLineChars="0"/>
        <w:outlineLvl w:val="1"/>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2.4万兆交换机</w:t>
      </w:r>
    </w:p>
    <w:tbl>
      <w:tblPr>
        <w:tblStyle w:val="63"/>
        <w:tblW w:w="56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577"/>
        <w:gridCol w:w="7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75"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kern w:val="0"/>
                <w:sz w:val="24"/>
                <w:szCs w:val="24"/>
                <w:highlight w:val="none"/>
              </w:rPr>
              <w:t>序号</w:t>
            </w:r>
          </w:p>
        </w:tc>
        <w:tc>
          <w:tcPr>
            <w:tcW w:w="81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b/>
                <w:bCs/>
                <w:kern w:val="0"/>
                <w:sz w:val="24"/>
                <w:szCs w:val="24"/>
                <w:highlight w:val="none"/>
                <w:lang w:bidi="ar"/>
              </w:rPr>
            </w:pPr>
            <w:r>
              <w:rPr>
                <w:rFonts w:hint="eastAsia" w:ascii="仿宋_GB2312" w:hAnsi="仿宋_GB2312" w:eastAsia="仿宋_GB2312" w:cs="仿宋_GB2312"/>
                <w:b/>
                <w:bCs/>
                <w:kern w:val="0"/>
                <w:sz w:val="24"/>
                <w:szCs w:val="24"/>
                <w:highlight w:val="none"/>
              </w:rPr>
              <w:t>指标分类</w:t>
            </w:r>
          </w:p>
        </w:tc>
        <w:tc>
          <w:tcPr>
            <w:tcW w:w="380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kern w:val="0"/>
                <w:sz w:val="24"/>
                <w:szCs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72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w:t>
            </w:r>
          </w:p>
        </w:tc>
        <w:tc>
          <w:tcPr>
            <w:tcW w:w="816" w:type="pct"/>
            <w:vMerge w:val="restart"/>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设备性能</w:t>
            </w:r>
          </w:p>
        </w:tc>
        <w:tc>
          <w:tcPr>
            <w:tcW w:w="380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b/>
                <w:bCs/>
                <w:kern w:val="0"/>
                <w:sz w:val="24"/>
                <w:szCs w:val="24"/>
                <w:highlight w:val="none"/>
                <w:lang w:eastAsia="zh-CN" w:bidi="ar"/>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交换容量≥4.8Tbps，包转发率≥2000Mpps，以官网所列最低参数为准</w:t>
            </w:r>
            <w:r>
              <w:rPr>
                <w:rFonts w:hint="eastAsia" w:ascii="仿宋_GB2312" w:hAnsi="仿宋_GB2312" w:eastAsia="仿宋_GB2312" w:cs="仿宋_GB2312"/>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w:t>
            </w:r>
          </w:p>
        </w:tc>
        <w:tc>
          <w:tcPr>
            <w:tcW w:w="816" w:type="pct"/>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p>
        </w:tc>
        <w:tc>
          <w:tcPr>
            <w:tcW w:w="380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b/>
                <w:bCs/>
                <w:kern w:val="0"/>
                <w:sz w:val="24"/>
                <w:szCs w:val="24"/>
                <w:highlight w:val="none"/>
                <w:lang w:bidi="ar"/>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lang w:val="en-US" w:eastAsia="zh-CN"/>
              </w:rPr>
              <w:t>2、</w:t>
            </w:r>
            <w:r>
              <w:rPr>
                <w:rFonts w:hint="eastAsia" w:ascii="仿宋_GB2312" w:hAnsi="仿宋_GB2312" w:eastAsia="仿宋_GB2312" w:cs="仿宋_GB2312"/>
                <w:kern w:val="0"/>
                <w:sz w:val="24"/>
                <w:szCs w:val="24"/>
                <w:highlight w:val="none"/>
              </w:rPr>
              <w:t>≥48个1/10GESFP+光接口，≥2个QSFP+光接口,≥4个QSFP28光接口；模块化双电源四风扇；≥10个万兆多模光模块；≥1条万兆堆叠线；≥4个千兆电模块。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w:t>
            </w:r>
          </w:p>
        </w:tc>
        <w:tc>
          <w:tcPr>
            <w:tcW w:w="81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kern w:val="0"/>
                <w:sz w:val="24"/>
                <w:szCs w:val="24"/>
                <w:highlight w:val="none"/>
                <w:lang w:bidi="ar"/>
              </w:rPr>
              <w:t>国产化</w:t>
            </w:r>
          </w:p>
        </w:tc>
        <w:tc>
          <w:tcPr>
            <w:tcW w:w="380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b/>
                <w:bCs/>
                <w:kern w:val="0"/>
                <w:sz w:val="24"/>
                <w:szCs w:val="24"/>
                <w:highlight w:val="none"/>
                <w:lang w:bidi="ar"/>
              </w:rPr>
            </w:pPr>
            <w:r>
              <w:rPr>
                <w:rFonts w:hint="eastAsia" w:ascii="仿宋_GB2312" w:hAnsi="仿宋_GB2312" w:eastAsia="仿宋_GB2312" w:cs="仿宋_GB2312"/>
                <w:kern w:val="0"/>
                <w:sz w:val="24"/>
                <w:szCs w:val="24"/>
                <w:highlight w:val="none"/>
              </w:rPr>
              <w:t>CPU和LSW要求国产化，</w:t>
            </w:r>
            <w:r>
              <w:rPr>
                <w:rFonts w:hint="eastAsia" w:ascii="仿宋_GB2312" w:hAnsi="仿宋_GB2312" w:eastAsia="仿宋_GB2312" w:cs="仿宋_GB2312"/>
                <w:kern w:val="0"/>
                <w:sz w:val="24"/>
                <w:szCs w:val="24"/>
                <w:highlight w:val="none"/>
                <w:lang w:val="en-US" w:eastAsia="zh-CN"/>
              </w:rPr>
              <w:t>需</w:t>
            </w:r>
            <w:r>
              <w:rPr>
                <w:rFonts w:hint="eastAsia" w:ascii="仿宋_GB2312" w:hAnsi="仿宋_GB2312" w:eastAsia="仿宋_GB2312" w:cs="仿宋_GB2312"/>
                <w:kern w:val="0"/>
                <w:sz w:val="24"/>
                <w:szCs w:val="24"/>
                <w:highlight w:val="none"/>
                <w:lang w:eastAsia="zh-CN"/>
              </w:rPr>
              <w:t>提供带有CMA或CNAS标识的第三方检测报告复印件。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w:t>
            </w:r>
          </w:p>
        </w:tc>
        <w:tc>
          <w:tcPr>
            <w:tcW w:w="81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路由</w:t>
            </w:r>
          </w:p>
        </w:tc>
        <w:tc>
          <w:tcPr>
            <w:tcW w:w="380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b/>
                <w:bCs/>
                <w:kern w:val="0"/>
                <w:sz w:val="24"/>
                <w:szCs w:val="24"/>
                <w:highlight w:val="none"/>
                <w:lang w:eastAsia="zh-CN" w:bidi="ar"/>
              </w:rPr>
            </w:pPr>
            <w:r>
              <w:rPr>
                <w:rFonts w:hint="eastAsia" w:ascii="仿宋_GB2312" w:hAnsi="仿宋_GB2312" w:eastAsia="仿宋_GB2312" w:cs="仿宋_GB2312"/>
                <w:kern w:val="0"/>
                <w:sz w:val="24"/>
                <w:szCs w:val="24"/>
                <w:highlight w:val="none"/>
              </w:rPr>
              <w:t>支持静态路由、RIP，OSPF，ISISv4，BGP4、IPv6静态路由、RIPng、OSPFv3、BGP4+、等价路由、MSTP、VRRP等协议；支持IPv4和IPv6环境下的策略路由；支持IPv6手动隧道、6to4隧道和ISATAP隧道</w:t>
            </w:r>
            <w:r>
              <w:rPr>
                <w:rFonts w:hint="eastAsia" w:ascii="仿宋_GB2312" w:hAnsi="仿宋_GB2312" w:eastAsia="仿宋_GB2312" w:cs="仿宋_GB2312"/>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w:t>
            </w:r>
          </w:p>
        </w:tc>
        <w:tc>
          <w:tcPr>
            <w:tcW w:w="81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PTP</w:t>
            </w:r>
          </w:p>
        </w:tc>
        <w:tc>
          <w:tcPr>
            <w:tcW w:w="380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b/>
                <w:bCs/>
                <w:kern w:val="0"/>
                <w:sz w:val="24"/>
                <w:szCs w:val="24"/>
                <w:highlight w:val="none"/>
                <w:lang w:eastAsia="zh-CN" w:bidi="ar"/>
              </w:rPr>
            </w:pPr>
            <w:r>
              <w:rPr>
                <w:rFonts w:hint="eastAsia" w:ascii="仿宋_GB2312" w:hAnsi="仿宋_GB2312" w:eastAsia="仿宋_GB2312" w:cs="仿宋_GB2312"/>
                <w:kern w:val="0"/>
                <w:sz w:val="24"/>
                <w:szCs w:val="24"/>
                <w:highlight w:val="none"/>
              </w:rPr>
              <w:t>PTP支持4种profile：1588v2\802.1AS\ST2059-2\AES67-2015</w:t>
            </w:r>
            <w:r>
              <w:rPr>
                <w:rFonts w:hint="eastAsia" w:ascii="仿宋_GB2312" w:hAnsi="仿宋_GB2312" w:eastAsia="仿宋_GB2312" w:cs="仿宋_GB2312"/>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w:t>
            </w:r>
          </w:p>
        </w:tc>
        <w:tc>
          <w:tcPr>
            <w:tcW w:w="81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虚拟化</w:t>
            </w:r>
          </w:p>
        </w:tc>
        <w:tc>
          <w:tcPr>
            <w:tcW w:w="380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b/>
                <w:bCs/>
                <w:kern w:val="0"/>
                <w:sz w:val="24"/>
                <w:szCs w:val="24"/>
                <w:highlight w:val="none"/>
                <w:lang w:eastAsia="zh-CN" w:bidi="ar"/>
              </w:rPr>
            </w:pPr>
            <w:r>
              <w:rPr>
                <w:rFonts w:hint="eastAsia" w:ascii="仿宋_GB2312" w:hAnsi="仿宋_GB2312" w:eastAsia="仿宋_GB2312" w:cs="仿宋_GB2312"/>
                <w:kern w:val="0"/>
                <w:sz w:val="24"/>
                <w:szCs w:val="24"/>
                <w:highlight w:val="none"/>
              </w:rPr>
              <w:t>支持集群或堆叠多虚一技术，实现单一界面管理多台设备，IRF成员数4</w:t>
            </w:r>
            <w:r>
              <w:rPr>
                <w:rFonts w:hint="eastAsia" w:ascii="仿宋_GB2312" w:hAnsi="仿宋_GB2312" w:eastAsia="仿宋_GB2312" w:cs="仿宋_GB2312"/>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w:t>
            </w:r>
          </w:p>
        </w:tc>
        <w:tc>
          <w:tcPr>
            <w:tcW w:w="81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端口镜像</w:t>
            </w:r>
          </w:p>
        </w:tc>
        <w:tc>
          <w:tcPr>
            <w:tcW w:w="380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b/>
                <w:bCs/>
                <w:kern w:val="0"/>
                <w:sz w:val="24"/>
                <w:szCs w:val="24"/>
                <w:highlight w:val="none"/>
                <w:lang w:eastAsia="zh-CN" w:bidi="ar"/>
              </w:rPr>
            </w:pPr>
            <w:r>
              <w:rPr>
                <w:rFonts w:hint="eastAsia" w:ascii="仿宋_GB2312" w:hAnsi="仿宋_GB2312" w:eastAsia="仿宋_GB2312" w:cs="仿宋_GB2312"/>
                <w:kern w:val="0"/>
                <w:sz w:val="24"/>
                <w:szCs w:val="24"/>
                <w:highlight w:val="none"/>
              </w:rPr>
              <w:t>支持本地端口镜像和远程端口镜,支持流镜像</w:t>
            </w:r>
            <w:r>
              <w:rPr>
                <w:rFonts w:hint="eastAsia" w:ascii="仿宋_GB2312" w:hAnsi="仿宋_GB2312" w:eastAsia="仿宋_GB2312" w:cs="仿宋_GB2312"/>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w:t>
            </w:r>
          </w:p>
        </w:tc>
        <w:tc>
          <w:tcPr>
            <w:tcW w:w="81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GRE隧道剥离封装</w:t>
            </w:r>
          </w:p>
        </w:tc>
        <w:tc>
          <w:tcPr>
            <w:tcW w:w="380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kern w:val="0"/>
                <w:sz w:val="24"/>
                <w:szCs w:val="24"/>
                <w:highlight w:val="none"/>
                <w:lang w:eastAsia="zh-CN"/>
              </w:rPr>
            </w:pPr>
            <w:r>
              <w:rPr>
                <w:rFonts w:hint="eastAsia" w:ascii="仿宋_GB2312" w:hAnsi="仿宋_GB2312" w:eastAsia="仿宋_GB2312" w:cs="仿宋_GB2312"/>
                <w:kern w:val="0"/>
                <w:sz w:val="24"/>
                <w:szCs w:val="24"/>
                <w:highlight w:val="none"/>
                <w:lang w:bidi="ar"/>
              </w:rPr>
              <w:t>▲</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支持GRE隧道剥离封装，支持同源同宿，支持报文截断</w:t>
            </w:r>
            <w:r>
              <w:rPr>
                <w:rFonts w:hint="eastAsia" w:ascii="仿宋_GB2312" w:hAnsi="仿宋_GB2312" w:eastAsia="仿宋_GB2312" w:cs="仿宋_GB2312"/>
                <w:kern w:val="0"/>
                <w:sz w:val="24"/>
                <w:szCs w:val="24"/>
                <w:highlight w:val="none"/>
                <w:lang w:eastAsia="zh-CN"/>
              </w:rPr>
              <w:t>。</w:t>
            </w:r>
          </w:p>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b/>
                <w:bCs/>
                <w:kern w:val="0"/>
                <w:sz w:val="24"/>
                <w:szCs w:val="24"/>
                <w:highlight w:val="none"/>
                <w:lang w:bidi="ar"/>
              </w:rPr>
            </w:pPr>
            <w:r>
              <w:rPr>
                <w:rFonts w:hint="eastAsia" w:ascii="仿宋_GB2312" w:hAnsi="仿宋_GB2312" w:eastAsia="仿宋_GB2312" w:cs="仿宋_GB2312"/>
                <w:b/>
                <w:bCs/>
                <w:kern w:val="0"/>
                <w:sz w:val="24"/>
                <w:szCs w:val="24"/>
                <w:highlight w:val="none"/>
                <w:lang w:val="en-US" w:eastAsia="zh-CN"/>
              </w:rPr>
              <w:t>2、</w:t>
            </w:r>
            <w:r>
              <w:rPr>
                <w:rFonts w:hint="eastAsia" w:ascii="仿宋_GB2312" w:hAnsi="仿宋_GB2312" w:eastAsia="仿宋_GB2312" w:cs="仿宋_GB2312"/>
                <w:kern w:val="0"/>
                <w:sz w:val="24"/>
                <w:szCs w:val="24"/>
                <w:highlight w:val="none"/>
                <w:lang w:val="en-US" w:eastAsia="zh-CN"/>
              </w:rPr>
              <w:t>上述</w:t>
            </w:r>
            <w:r>
              <w:rPr>
                <w:rFonts w:hint="eastAsia" w:ascii="仿宋_GB2312" w:hAnsi="仿宋_GB2312" w:eastAsia="仿宋_GB2312" w:cs="仿宋_GB2312"/>
                <w:kern w:val="0"/>
                <w:sz w:val="24"/>
                <w:szCs w:val="24"/>
                <w:highlight w:val="none"/>
              </w:rPr>
              <w:t>第</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项</w:t>
            </w:r>
            <w:r>
              <w:rPr>
                <w:rFonts w:hint="eastAsia" w:ascii="仿宋_GB2312" w:hAnsi="仿宋_GB2312" w:eastAsia="仿宋_GB2312" w:cs="仿宋_GB2312"/>
                <w:kern w:val="0"/>
                <w:sz w:val="24"/>
                <w:szCs w:val="24"/>
                <w:highlight w:val="none"/>
                <w:lang w:val="en-US" w:eastAsia="zh-CN"/>
              </w:rPr>
              <w:t>参数</w:t>
            </w:r>
            <w:r>
              <w:rPr>
                <w:rFonts w:hint="eastAsia" w:ascii="仿宋_GB2312" w:hAnsi="仿宋_GB2312" w:eastAsia="仿宋_GB2312" w:cs="仿宋_GB2312"/>
                <w:kern w:val="0"/>
                <w:sz w:val="24"/>
                <w:szCs w:val="24"/>
                <w:highlight w:val="none"/>
                <w:lang w:eastAsia="zh-CN"/>
              </w:rPr>
              <w:t>需提供带有CMA或CNAS标识的第三方检测报告复印件。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5"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w:t>
            </w:r>
          </w:p>
        </w:tc>
        <w:tc>
          <w:tcPr>
            <w:tcW w:w="816" w:type="pct"/>
            <w:vAlign w:val="center"/>
          </w:tcPr>
          <w:p>
            <w:pPr>
              <w:pageBreakBefore w:val="0"/>
              <w:widowControl/>
              <w:kinsoku/>
              <w:wordWrap/>
              <w:overflowPunct/>
              <w:topLinePunct w:val="0"/>
              <w:autoSpaceDE/>
              <w:autoSpaceDN/>
              <w:bidi w:val="0"/>
              <w:spacing w:line="400" w:lineRule="exact"/>
              <w:ind w:left="0" w:right="0" w:rightChars="0" w:firstLine="0" w:firstLineChars="0"/>
              <w:jc w:val="center"/>
              <w:textAlignment w:val="center"/>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bidi="ar"/>
              </w:rPr>
              <w:t>TAP功能</w:t>
            </w:r>
          </w:p>
        </w:tc>
        <w:tc>
          <w:tcPr>
            <w:tcW w:w="3808" w:type="pc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kern w:val="0"/>
                <w:sz w:val="24"/>
                <w:szCs w:val="24"/>
                <w:highlight w:val="none"/>
                <w:lang w:eastAsia="zh-CN"/>
              </w:rPr>
            </w:pPr>
            <w:r>
              <w:rPr>
                <w:rFonts w:hint="eastAsia" w:ascii="仿宋_GB2312" w:hAnsi="仿宋_GB2312" w:eastAsia="仿宋_GB2312" w:cs="仿宋_GB2312"/>
                <w:kern w:val="0"/>
                <w:sz w:val="24"/>
                <w:szCs w:val="24"/>
                <w:highlight w:val="none"/>
                <w:lang w:bidi="ar"/>
              </w:rPr>
              <w:t>▲</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支持</w:t>
            </w:r>
            <w:r>
              <w:rPr>
                <w:rFonts w:hint="eastAsia" w:ascii="仿宋_GB2312" w:hAnsi="仿宋_GB2312" w:eastAsia="仿宋_GB2312" w:cs="仿宋_GB2312"/>
                <w:kern w:val="0"/>
                <w:sz w:val="24"/>
                <w:szCs w:val="24"/>
                <w:highlight w:val="none"/>
                <w:lang w:val="en-US" w:eastAsia="zh-CN"/>
              </w:rPr>
              <w:t>TAP功能</w:t>
            </w:r>
            <w:r>
              <w:rPr>
                <w:rFonts w:hint="eastAsia" w:ascii="仿宋_GB2312" w:hAnsi="仿宋_GB2312" w:eastAsia="仿宋_GB2312" w:cs="仿宋_GB2312"/>
                <w:kern w:val="0"/>
                <w:sz w:val="24"/>
                <w:szCs w:val="24"/>
                <w:highlight w:val="none"/>
              </w:rPr>
              <w:t>增加时间戳及以太网头</w:t>
            </w:r>
            <w:r>
              <w:rPr>
                <w:rFonts w:hint="eastAsia" w:ascii="仿宋_GB2312" w:hAnsi="仿宋_GB2312" w:eastAsia="仿宋_GB2312" w:cs="仿宋_GB2312"/>
                <w:kern w:val="0"/>
                <w:sz w:val="24"/>
                <w:szCs w:val="24"/>
                <w:highlight w:val="none"/>
                <w:lang w:eastAsia="zh-CN"/>
              </w:rPr>
              <w:t>。</w:t>
            </w:r>
          </w:p>
          <w:p>
            <w:pPr>
              <w:pageBreakBefore w:val="0"/>
              <w:widowControl/>
              <w:kinsoku/>
              <w:wordWrap/>
              <w:overflowPunct/>
              <w:topLinePunct w:val="0"/>
              <w:autoSpaceDE/>
              <w:autoSpaceDN/>
              <w:bidi w:val="0"/>
              <w:spacing w:line="400" w:lineRule="exact"/>
              <w:ind w:left="0" w:right="0" w:rightChars="0" w:firstLine="0" w:firstLineChars="0"/>
              <w:jc w:val="left"/>
              <w:textAlignment w:val="center"/>
              <w:rPr>
                <w:rFonts w:hint="eastAsia" w:ascii="仿宋_GB2312" w:hAnsi="仿宋_GB2312" w:eastAsia="仿宋_GB2312" w:cs="仿宋_GB2312"/>
                <w:b/>
                <w:bCs/>
                <w:kern w:val="0"/>
                <w:sz w:val="24"/>
                <w:szCs w:val="24"/>
                <w:highlight w:val="none"/>
                <w:lang w:bidi="ar"/>
              </w:rPr>
            </w:pPr>
            <w:r>
              <w:rPr>
                <w:rFonts w:hint="eastAsia" w:ascii="仿宋_GB2312" w:hAnsi="仿宋_GB2312" w:eastAsia="仿宋_GB2312" w:cs="仿宋_GB2312"/>
                <w:kern w:val="0"/>
                <w:sz w:val="24"/>
                <w:szCs w:val="24"/>
                <w:highlight w:val="none"/>
                <w:lang w:val="en-US" w:eastAsia="zh-CN"/>
              </w:rPr>
              <w:t>2、上述</w:t>
            </w:r>
            <w:r>
              <w:rPr>
                <w:rFonts w:hint="eastAsia" w:ascii="仿宋_GB2312" w:hAnsi="仿宋_GB2312" w:eastAsia="仿宋_GB2312" w:cs="仿宋_GB2312"/>
                <w:kern w:val="0"/>
                <w:sz w:val="24"/>
                <w:szCs w:val="24"/>
                <w:highlight w:val="none"/>
              </w:rPr>
              <w:t>第</w:t>
            </w:r>
            <w:r>
              <w:rPr>
                <w:rFonts w:hint="eastAsia" w:ascii="仿宋_GB2312" w:hAnsi="仿宋_GB2312" w:eastAsia="仿宋_GB2312" w:cs="仿宋_GB2312"/>
                <w:kern w:val="0"/>
                <w:sz w:val="24"/>
                <w:szCs w:val="24"/>
                <w:highlight w:val="none"/>
                <w:lang w:val="en-US" w:eastAsia="zh-CN"/>
              </w:rPr>
              <w:t>1</w:t>
            </w:r>
            <w:r>
              <w:rPr>
                <w:rFonts w:hint="eastAsia" w:ascii="仿宋_GB2312" w:hAnsi="仿宋_GB2312" w:eastAsia="仿宋_GB2312" w:cs="仿宋_GB2312"/>
                <w:kern w:val="0"/>
                <w:sz w:val="24"/>
                <w:szCs w:val="24"/>
                <w:highlight w:val="none"/>
              </w:rPr>
              <w:t>项</w:t>
            </w:r>
            <w:r>
              <w:rPr>
                <w:rFonts w:hint="eastAsia" w:ascii="仿宋_GB2312" w:hAnsi="仿宋_GB2312" w:eastAsia="仿宋_GB2312" w:cs="仿宋_GB2312"/>
                <w:kern w:val="0"/>
                <w:sz w:val="24"/>
                <w:szCs w:val="24"/>
                <w:highlight w:val="none"/>
                <w:lang w:val="en-US" w:eastAsia="zh-CN"/>
              </w:rPr>
              <w:t>参数</w:t>
            </w:r>
            <w:r>
              <w:rPr>
                <w:rFonts w:hint="eastAsia" w:ascii="仿宋_GB2312" w:hAnsi="仿宋_GB2312" w:eastAsia="仿宋_GB2312" w:cs="仿宋_GB2312"/>
                <w:kern w:val="0"/>
                <w:sz w:val="24"/>
                <w:szCs w:val="24"/>
                <w:highlight w:val="none"/>
                <w:lang w:eastAsia="zh-CN"/>
              </w:rPr>
              <w:t>需提供带有CMA或CNAS标识的第三方检测报告复印件。</w:t>
            </w:r>
          </w:p>
        </w:tc>
      </w:tr>
    </w:tbl>
    <w:p>
      <w:pPr>
        <w:keepNext/>
        <w:keepLines/>
        <w:pageBreakBefore w:val="0"/>
        <w:kinsoku/>
        <w:wordWrap/>
        <w:overflowPunct/>
        <w:topLinePunct w:val="0"/>
        <w:autoSpaceDE/>
        <w:autoSpaceDN/>
        <w:bidi w:val="0"/>
        <w:spacing w:line="400" w:lineRule="exact"/>
        <w:ind w:left="0" w:right="0" w:rightChars="0" w:firstLine="0" w:firstLineChars="0"/>
        <w:outlineLvl w:val="1"/>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2.5国产化操作系统</w:t>
      </w:r>
    </w:p>
    <w:tbl>
      <w:tblPr>
        <w:tblStyle w:val="63"/>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288"/>
        <w:gridCol w:w="1270"/>
        <w:gridCol w:w="1985"/>
        <w:gridCol w:w="4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02"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序号</w:t>
            </w:r>
          </w:p>
        </w:tc>
        <w:tc>
          <w:tcPr>
            <w:tcW w:w="1288"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指标分类</w:t>
            </w: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一级指标</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二级指标</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w:t>
            </w:r>
          </w:p>
        </w:tc>
        <w:tc>
          <w:tcPr>
            <w:tcW w:w="1288"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功能要求</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操作系统支持多CPU架构</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★同源兼容多CPU平台架构</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操作系统支持同源兼容ARM、LoongArch、MIPS、SW64、x86架构的CPU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操作系统支持CPU内置功能</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★多核支持</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操作系统支持双核及多核处理器，包括核间负载均衡、线程绑定等，并提供接口，通过访问接口获取运行状态和控制多核调度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★CPU虚拟化支持</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操作系统支持CPU虚拟化技术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★动态调节CPU运行频率</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操作系统根据负载情况，自动调节CPU的运行频率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★支持多CPU</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支持跨路内存访问，支持CPU间负载均衡，支持并优化NUMA体系架构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★支持CPU内置安全功能</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操作系统支持CPU硬件密码运算与随机数生成等功能；提供编程接口供应用程序调用；支持通过硬件指令判别临界区冲突；支持调用CPU指令，实现自旋锁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安装部署</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★安装方式</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操作系统支持光盘安装、USB闪存盘安装、网络安装和无人值守安装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★安装模式</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操作系统支持图形或文本安装模式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★安装过程配置</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安装界面文种设置、逻辑分区配置（如LVM）、自定义分区设置、安装组件设置、时区设置、键盘布局设置、初始用户设置、计算机名设置和网络设置，支持通过USB闪存盘等方式加载硬件驱动、支持设置加密文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★系统引导</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a)操作系统应支持UEFI2.0及以上规范固件引导，当计算机以UEFI模式启动安装时，安装程序应分配ESP，并在ESP中放置启动引导文件，使系统能以UEFI模式引导；b)支持bootloader引导，支持MBR及GPT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★引导修复</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操作系统安装媒体提供系统引导修复功能，当已安装的系统引导被破坏时，可重建系统引导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★引导参数编辑</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操作系统支持用户编辑引导参数，支持GRUB口令保护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★数据保护</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安装程序在安装执行前明确提示用户可能会删除已有数据，并提供退出/取消功能，当用户取消安装时，不改变硬盘上已有数据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★分辨率自适应</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操作系统安装完成后应自动适配显示器最佳分辨率(文本模式除外)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★安装配置正确性校验</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操作系统安装和配置过程中，如用户自定义的某些配置可能会影响系统启动或正常使用，予以明确提示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系统内核</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★内核要求</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a)若操作系统是基于Linux内核的服务器操作系统应兼容4.19版内核</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b)若操作系统属于其他类型内核不做要求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进程、线程调度</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★NUMA</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操作系统支持基于NUMA的亲和调度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★多核轮询</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操作系统支持CPU多核轮询调度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★进程调度</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操作系统具备进程优先级动态调整能力，允许在进程运行时对优先级进行调整；区分实时进程与非实时进程，分别进行调度；支持进程运行状态检查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内存管理</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★内存容量</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操作系统支持最大内存不小于4TB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★内存大页管理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操作系统允许应用申请内存大页降低页表转换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★NUMA</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操作系统支持NUMA近节点优化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★内存超分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操作系统支持虚拟内存超分，提升内存的使用率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存储管理</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★RAID支持</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操作系统支持硬RAID和软RAID，支持软RAID级别0、1、5、6、10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★虚拟文件系统</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操作系统支持将不同功能的外部设备抽象为统一的文件操作接口，包括存储、输入输出设备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★文件管理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操作系统支持文件存储、检索和共享；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文件保护</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操作系统提供自研文件保护箱，提供用户间数据隔离和加密保护功能，支持创建多个密码不同的加密文件夹；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★可移动存储</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操作系统支持对可移动外部存储的管理，包括启停、禁用、恢复等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★外部独立存储</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操作系统支持使用外部独立存储设备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★多路径聚合</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操作系统支持存储多路径聚合及I/O动态负载均衡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★故障检测</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操作系统支持硬盘损坏或老化检测及信息收集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★虚拟内存</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操作系统支持将硬盘的特定分区或文件作为虚拟扩展内存用于存放内存数据，支持虚拟内存压缩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★网络块设备挂载</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操作系统支持FCoE、iSCSI，支持将Ceph块设备视为常规存储设备挂载到某个目录并作为标准文件系统使用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★存储缓存</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操作系统支持快速块设备作为慢速块设备缓存以加速I/O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网络管理</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★网络链路检测</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操作系统支持网络链路故障检测、链路事件通知和链路状态查询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★TCP卸载引擎</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操作系统支持运行TCP协议卸载引擎的网卡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★网络协议</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操作系统支持IPv4、IPv6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★多网卡绑定</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操作系统支持多网卡绑定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★用户态TCP/IP协议栈</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操作系统支持用户态TCP/IP协议栈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文件系统</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★文件系统支持</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操作系统支持XFS、EXT3、EXT4、NTFS、FAT32等文件系统，支持相应格式分区创建、删除、格式化等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★日志式文件系统</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操作系统支持日志式文件系统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★文件处理能力</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操作系统支持最大文件不小于4TB，最大分区与文件系统不小于10PB，最大文件名长度不小于255字节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★分区大小调整</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操作系统支持动态调整分区大小，对系统分区容量进行改变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授权激活</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产品许可机制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a)操作系统支持序列号授权、批量激活服务、场地授权等方式；未激活期间，系统不得频繁提示干扰用户正常使用；未激活系统不得影响用户数据安全与完整性；</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b)免激活的系统不适用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应用开发运行环境</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★集成开发环境/开发框架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操作系统通过内置、软件仓库或附加光盘等方式提供开发环境，包括Qt、Eclipse、VSCode等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★开发工具库</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操作系统通过内置、软件仓库或附加光盘等方式提供开发库，包括GNUC、GNUC++、Java、Qt、Gtk+、Cairo、OpenGL、Perl、Python、Ruby、Rust、Golang、JS等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★编译器开发工具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操作系统通过内置、软件仓库或附加光盘等方式提供编译开发工具，包括GCC、G++、Binutils、GDB、Make、CMake等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★文本编辑工具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操作系统通过内置、软件仓库或附加光盘等方式提供文本编辑工具，包括Emacs、Vim等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★软件包管理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操作系统支持查询软件包描述和包含文件，以及软件包依赖；支持在安装时自动提示并下载安装缺失的依赖软件包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★开发文档</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供应商应提供软件开发参考文档、驱动开发参考文档、应用移植开发文档、API文档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服务支持</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操作系统支持TCP/UDP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★网络共享</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操作系统支持基于NFS、SMB、FTP、CIFS等协议的数据网络共享服务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★WEB服务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操作系统支持基于HTTP、HTTPS、FastCGI等协议WEB服务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★加密传输服务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操作系统支持基于IPSec和SSL协议的隧道加密传输服务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★数字证书服务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操作系统支持基于PKI体系的数字证书服务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★访问控制服务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操作系统支持基于RBAC(基于角色的访问控制)机制的访问控制服务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★网络管理服务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操作系统支持基于SNMP、NETCONF、RESTCONF等协议的网络管理服务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★时间同步服务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操作系统支持基于NTP协议网络时间同步服务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★远程连接服务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操作系统支持RPC、rsync、SSH等远程服务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★邮件服务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操作系统支持基于SMTP、POP3、IMAP等的邮件服务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★身份鉴别服务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操作系统支持基于轻量级目录访问协议的统一身份鉴别服务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★数据存储和查询服务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操作系统支持结构化和非结构化格式数据的存储和查询服务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操作系统支持块、文件、对象等类型的数据存储服务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操作系统支持SQL、NoSQL、键值等类型的数据库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★存储服务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操作系统支持多种传输速率和存储协议的SAN和NAS存储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★集群支持</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操作系统支持服务基于主备机制的分布式集群、高可用集群的部署模式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操作系统支持服务基于分布式通信协议的分布式集群、高可用集群的部署模式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操作系统支持基于虚拟路由器冗余协议的高可用集群部署模式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★分布式服务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操作系统支持基于同步、异步请求处理机制的分布式服务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★负载均衡模式</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操作系统支持基于OSI模型的4/7层和链路层的负载均衡模式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操作系统支持基于不同调度算法的负载均衡模式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★高可用服务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操作系统提供对HA的支持，支持多种集群配置模式，包括主主模式、主备模式、N+1模式和N+M模式，支持资源及节点故障检测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开源组件</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开源数据库</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供应商可通过安装镜像内置、软件仓库或附加光盘等方式提供开源数据库，并对提供的开源组件进行签名认证，确保组件的安全性、稳定性、可靠性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开源中间件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供应商可通过安装镜像内置、软件仓库或附加光盘等方式提供开源中间件，并对提供的开源组件进行签名认证，确保组件的安全性、稳定性、可靠性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单机虚拟化管理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供应商可通过安装镜像内置、软件仓库或附加光盘等方式提供开源单机虚拟化管理软件，并对提供的开源组件进行签名认证，确保组件的安全性、稳定性、可靠性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容器虚拟化软件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供应商可通过安装镜像内置、软件仓库或附加光盘等方式提供开源容器虚拟化软件，并对提供的开源组件进行签名认证，确保组件的安全性、稳定性、可靠性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容器管理工具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供应商可通过安装镜像内置、软件仓库或附加光盘等方式提供开源容器管理工具，并对提供的开源组件进行签名认证，确保组件的安全性、稳定性、可靠性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分布式存储软件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供应商可通过安装镜像内置、软件仓库或附加光盘等方式提供开源分布式存储软件，并对提供的开源组件进行签名认证，确保组件的安全性、稳定性、可靠性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云计算管理平台</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供应商可通过安装镜像内置、软件仓库或附加光盘等方式提供开源云计算管理平台，并对提供的开源组件进行签名认证，确保组件的安全性、稳定性、可靠性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虚拟化</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★虚拟化部署</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操作系统支持在KVM、Xen、Hyper-V虚拟机上安装部署操作系统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★内核虚拟化(KVM)</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KVM虚拟化：对虚拟机进行启、停等管理操作；对虚拟机硬盘做快照并从快照恢复；兼容qemu、libvirt标准接口；支持UEFI或legacyBIOS方式启动；支持虚拟时钟arch-timer；支持虚拟鼠标、键盘、触控板、声卡、显卡、硬盘、CDROM、串口pty/pipe/file等设备；支持Virtio协议下的虚拟设备，包括串口、blk驱动硬盘、SCSI驱动硬盘、不同后端控制器类型的Virtio网卡(包括内核态、用户态、qemu)、GPU、vsock设备等；支持硬盘和网卡选择类型VFIO设备；支持虚拟机CPU、内存、网卡、硬盘等离线调整；支持虚拟机网卡、硬盘、USB设备热插拔；支持PCI/PCIE设备直通；支持虚拟机热迁移和加密传输；支持虚拟机远程访问；支持虚拟机CPU和I/O线程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★KVM虚拟机管理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虚拟机对主机的访问控制；虚拟机可以拥有独立的物理资源，且各个虚拟机之间严格隔离；支持大页内存运行虚拟机；支持三种CPU型号模拟模式，包括直通、宿主模型、自定义；支持虚拟机资源调配控制，包括Numa、CPU、内存、I/O、网卡；支持CPU拓扑模拟和透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容器</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★容器虚拟化</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OCI；支持进程命名空间隔离技术包括不限于mnt、pid、ipc、uts、user、network等；支持在同CPU指令架构下的不同规格硬件上无缝分发，保障运行兼容性；支持沙箱扩展；支持面向容器的独立逻辑文件管理，具备在容器创建时指定专用根文件夹，容器内进程文件访问重定向等功能；支持日志查询功能；支持通过控制终端对容器内主进程的标准输入输出对接交互；支持通过控制终端对容器内新建进程的标准输入输出对接交互；支持容器存储卷管理（新增、删除、卷容量配置、自动回收）、卷共享；支持面向容器的网络设备资源分配和使用；支持CNI；支持容器获取物理节点资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★容器镜像和存储管理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操作系统支持容器镜像导入、导出；支持容器镜像分层保存、导入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★容器资源隔离和调配</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容器资源在线调整，包括CPU资源、内存资源、I/O资源等；支持文件配额分配、存储带宽资源使用量监控等机制，实现容器级I/O控制能力；支持面向容器的网络带宽调度策略，实现容器级网络带宽分配、使用量监控等机制；支持面向容器的存储空间使用监控、分配机制；支持容器CPU核独占；支持面向容器的CPU时间片资源按需划分机制；支持面向容器的内存分配和回收机制，实现内存使用量跟踪和管理；支持同一集群在线、离线业务混合部署；支持对容器的编排、负载均衡、调度等能力；支持根据容器在线与离线混合部署状态进行资源优先调度，提高计算机资源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86</w:t>
            </w:r>
          </w:p>
        </w:tc>
        <w:tc>
          <w:tcPr>
            <w:tcW w:w="1288"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易用性要求</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中文支持</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★字符编码集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操作系统应符合GB18030的要求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★中文帮助文档</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操作系统内置中文帮助文档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多语言图形界面</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操作系统的多文种图形用户界面应支持GB18030规定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中文图形界面</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操作系统支持中文图形操作界面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管理工具</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★系统信息查看工具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操作系统支持查看系统版本、内核版本、内存容量、CPU型号等信息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★网络管理工具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操作系统支持多网口自动连接、网络地址（常被称为“IP地址”）设置、DNS设置、路由设置；支持多网卡链路聚合，模式类型包括但不仅限于轮询、主备、802.3AD动态链路聚合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★日期和时间管理工具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操作系统可设置时间同步服务器地址，支持局域网和广域网的同步设置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★日志服务管理工具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操作系统支持收集系统日志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★帐户管理工具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操作系统支持帐户添加、删除、属性修改等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★用户操作审计工具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操作系统支持用户操作痕迹查询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★存储管理工具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操作系统支持EXT、XFS、NTFS、FAT、SWAP等多种格式的分区管理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★SNMP协议工具包</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操作系统支持SNMP设备和操作信息检索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★文本终端连接工具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操作系统支持多终端协同管理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★服务管理工具集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操作系统支持服务启动与停止，查看服务状态及日志，查询服务启动顺序及依赖关系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★配置管理工具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操作系统提供配置管理工具，可以简化任务配置及服务管理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★监控管理工具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操作系统支持监控系统资源使用情况，包含CPU、内存、存储I/O、网络I/O等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★守护进程</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操作系统支持按需启动守护进程，用户可自定义设定需求守护的进程，如遇异常可重新加载，实现应用持续运行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103</w:t>
            </w:r>
          </w:p>
        </w:tc>
        <w:tc>
          <w:tcPr>
            <w:tcW w:w="1288"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兼容性要求</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基础组件兼容</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★版本兼容</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操作系统基础运行库或开发环境向后（向下）兼容，即系统版本升级后，能兼容上一版本所运行的软件与设备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★兼容周期</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操作系统主版本兼容维护时间自发布之日起不低于3年，包括但不限于安全修复、功能升级、新硬件支持等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兼容方式</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操作系统支持以增量升级包的方式实现版本更新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运行环境</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★文件系统层次结构</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供应商应给出长期兼容支持的文件系统层次结构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★运行库</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供应商应给出长期兼容支持的运行库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★命令</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供应商应给出长期兼容支持的常用命令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桌面运行环境</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系统使用自研UKUI桌面环境，支持登录界面查看明文密码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软件包格式</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软件包格式转换</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操作系统支持RPM或DEB格式的软件包，当系统不支持RPM或DEB格式的软件包时，提供工具对软件包格式进行转换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软件兼容</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集群软件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供应商提供兼容的集群软件清单，且至少兼容一款产品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虚拟化云平台</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供应商提供兼容的虚拟化平台软件清单，且至少兼容三款产品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容器云</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供应商提供兼容的容器云软件清单，且至少兼容三款产品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存储软件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供应商提供兼容的存储软件清单，且至少兼容一款产品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数据库管理系统</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供应商提供兼容的数据库软件清单，且至少兼容三款产品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中间件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供应商提供兼容的中间件软件清单，且至少兼容三款产品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运维平台</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供应商提供兼容的运维平台软件清单，且至少兼容一款产品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备份软件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供应商提供兼容的备份恢复软件清单，且至少兼容一款产品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大数据平台</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供应商提供兼容的大数据平台软件清单，且至少兼容一款产品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终端防护及杀毒</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供应商提供兼容的终端防护及杀毒软件清单，且至少兼容一款产品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网络防护</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供应商提供兼容的网络防护软件清单，且至少兼容一款产品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身份认证</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供应商提供兼容的身份认证软件清单，且至少兼容一款产品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硬件兼容</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★服务器整机</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供应商提供兼容的服务器整机品牌及型号清单，且至少兼容一款产品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★AI服务器</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供应商提供兼容的AI服务器整机品牌及型号清单，且至少兼容一款产品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★存储</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供应商提供兼容的存储服务器整机品牌及型号清单，且至少兼容一款产品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★部件兼容</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供应商提供兼容的系统总线、HBA卡、RAID卡、网卡、光纤卡、AI加速卡、GPU、NPU等品牌及型号清单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127</w:t>
            </w:r>
          </w:p>
        </w:tc>
        <w:tc>
          <w:tcPr>
            <w:tcW w:w="1288"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可靠性要求</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稳定性</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★操作系统连续运行168小时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操作系统高负载下连续常态运行168小时无故障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备份还原</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★备份还原</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操作系统提供备份还原功能，支持生成系统状态快照及恢复系统状态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内存纠错</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★内存纠错</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操作系统支持DDR3、DDR4等内存上的ECC查错、纠错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热插拔</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★CPU热插拔</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硬件支持时，操作系统支持CPU热插拔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★内存热插拔</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硬件支持时，操作系统支持内存热插拔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★硬盘热插拔</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硬件支持时，操作系统支持硬盘热插拔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133</w:t>
            </w:r>
          </w:p>
        </w:tc>
        <w:tc>
          <w:tcPr>
            <w:tcW w:w="1288"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可维护性要求</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维护工具</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★远程维护</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操作系统提供远程控制管理工具，支持RDP、SSH、SPICE、VNC等协议，方便用户进行文本或图形化形式的远程连接及维护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安全授权管理工具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为保障操作系统高安全性，供应商所投操作系统的安全授权管理工具、安全白名单共享库、系统安全配置修改工具、安全模块等组件功能开源率为0%。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★文件完整检查</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操作系统提供文件系统检查工具，对文件系统完整性进行检测和修复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★内核分析</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操作系统提供内核性能分析工具，提供性能分析框架，支持对内核函数层面进行分析；提供内核探测工具，支持对内核及用户态程序动态追踪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★集中管可控</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操作系统提供集中管控工具，支持对区域内服务器操作系统进行集中管理维护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★兼容性评价</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操作系统提供软硬件兼容性检查工具，自动分析应用软件、硬件兼容性，定位兼容性问题；提供操作系统跨版本兼容性分析工具，在迁移前检查分析软硬件，定位兼容性问题。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★性能调优</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操作系统提供性能测试调优工具，按系统工作特点（如计算为主、存储为主等）自动优化系统配置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日志管理</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★日志记录与存储</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对安全事件的日志记录，包括帐户增删改、成功登录、失败登录、敏感服务开启关闭、配置修改等，日志信息详实，包括所属用户、访问时间、访问地址等；支持内核异常日志信息的记录和存储；支持内核崩溃转储机制，系统崩溃时可收集整个内存信息；支持配置远程日志功能，可将指定日志内容归档到日志服务器；支持对日志功能进行访问控制，防止未经授权的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★日志处理与分析</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操作系统提供系统错误问题回溯分析工具，对系统崩溃问题及错误问题进行回溯；支持日志切分、一键收集、转储、同步机制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脆弱性管理</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★脆弱性管理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故障管理框架，内置故障分析专家系统，可与外部同类型系统互联；具备故障响应、故障警告功能，提供用户接口，支持故障响应、警告信息分发；支持故障管理守护进程，使用统一的传输信道或机制上报故障信息；具备硬件故障信息捕获、紧急处理功能，包括CPU、内存及PCIe设备等硬件的故障；支持诊断/响应组件动态加载机制；提供或支持第三方远程诊断框架及调测工具集，实现远程诊断及调试断点功能；</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支持物理机、虚拟机中操作系统的故障恢复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热补丁</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★热补丁</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对内核热补丁进行编号，每个热补丁拥有独立编号；支持增量修复以及回滚机制；提供热补丁合法性和一致性校验功能；提供热补丁管理机制和工具，功能至少覆盖补丁查询、安装、移除；提供热补丁升级和回滚系统日志，便于查询或回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系统升级</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★升级内容</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操作系统支持系统增量升级功能，对系统部件、安全补丁等升级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★升级方式</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操作系统支持在线升级和离线升级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★数据保护</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操作系统升级不得修改破坏用户数据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★兼容性</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操作系统升级不得影响原有软硬件兼容性，如有影响应显式的提示告知用户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★回退</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操作系统提供升级回退机制，能卸载已升级的软件包，恢复系统原有状态，如升级为不可回退，则系统升级前以显式的提示告知用户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149</w:t>
            </w:r>
          </w:p>
        </w:tc>
        <w:tc>
          <w:tcPr>
            <w:tcW w:w="1288"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服务要求</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交付方式</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★交付方式</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供应商提供光盘、USB闪存盘、镜像文件（下载）等交付方式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服务周期</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★产品维护周期</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产品自发布之日起至产品停止功能升级（包含不限于新特性、新硬件支持、问题修复、安全补丁等）之日止≥5年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产品延伸服务周期</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产品停止功能升级之日起至产品停止功能维护（包括问题修复、安全补丁等）之日止≥5年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★产品延伸安全服务周期</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★售后服务最小保障期</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售后服务</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★原厂服务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服务由操作系统厂商的正式员工提供，不由代理商提供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服务热线电话</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操作系统厂商为最终用户提供工作日每日不少于8h（覆盖一般工作时间，具体时间由企业标准给出）中文技术服务热线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技术服务标准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操作系统厂商提供工作日每日不少于8h技术支持服务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★定制优化增值服务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操作系统厂商提供代码级定制优化服务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技术服务时效</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操作系统厂商满足同城4h、异地12h响要求，两个工作日解决问题，对于未能解决的问题和故障提供可行的升级方案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★技术服务保障</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发生非人为因素故障，在七日内由操作系统厂商原厂人员免费对产品进行补充或更换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现场交付与安装调试</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★现场安装调试</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操作系统厂商提供产品安装与现场调试，并提供安装与调试所需的工具和设备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★配套资料</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交付产品时操作系统厂商提供配套的技术资料，包括但不限于系统说明文件、用户手册（用户安装、操作、维护、故障排除）等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系统更换</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★系统更换</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服务期内，操作系统厂商支持版本免费更换（注：更换后不延长服务期）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厂商能力要求</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★服务团队</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操作系统厂商建立全国技术服务体系和服务团队，为客户提供专业的原厂中文服务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164</w:t>
            </w:r>
          </w:p>
        </w:tc>
        <w:tc>
          <w:tcPr>
            <w:tcW w:w="1288"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供应保障要求</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数据安全保障</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★数据收集安全保障</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除用户授权采集的信息外不采集其他数据，相关信息采集无安全风险，相关数据存储在大陆境内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★数据供给安全保障</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涉及数据下载的线上服务物理服务器不出境，包括代码仓库、系统补丁、安全补丁、服务网站等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代码无风险</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★代码无风险</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操作系统厂商提供源代码，源代码可供第三方机构审查，开源许可合规，代码知识产权无风险，无恶意安全漏洞或后门，代码可追溯、可重构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工程构建体系</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工程构建体系</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操作系统厂商具备统一的工程构建体系，能用一套操作系统源码构建用于云侧计算、边侧计算场景中部署运行的操作系统，降低部署后系统维护、使用复杂度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168</w:t>
            </w:r>
          </w:p>
        </w:tc>
        <w:tc>
          <w:tcPr>
            <w:tcW w:w="1288"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安全要求</w:t>
            </w:r>
          </w:p>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基本要求</w:t>
            </w:r>
          </w:p>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★基本要求</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网络安全专用产品安全检测</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操作系统产品通过公安部计算机信息系统安全产品质量监督检验中心的测评，获得”网络安全专用产品安全检测证书”，且具备有效期内的检测证书。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软件供应链安全能力</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 xml:space="preserve">国产服务器操作系统具备软件供应链安全能力，产品符合CCID-Gz70736-2023《软件供应链安全能力认证实施规则》的要求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密码算法支持</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★密码算法实现</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操作系统支持GM/T0002、GM/T0003和GM/T0004规定的密码算法运算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★随机数生成</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操作系统随机数质量符合GM/T0005《随机性检测规范》或GB/T32915《信息安全技术二元序列随机性检测方法》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★内置数字证书</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操作系统内置国家电子认证根CA的根证书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★密码协议实现</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操作系统支持符合GB/T38636—2020的TLCP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安全管理</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★防火墙</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操作系统提供防火墙配置管理工具，支持基于协议、网络地址、端口的访问控制规则配置，规则修改后立即生效；支持关闭指定服务和端口，包括但不限于关闭远程访问、共享访问等；支持防止ARP欺骗攻击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★安全框架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操作系统提供统一访问控制安全框架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177</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三员管理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操作系统支持系统管理员、安全管理员、审计管理员分权管理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178</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文件完整性</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操作系统支持静态文件度量（如IMA）和动态内存度量，保障特定文件及内存中运行程序的完整性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179</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可信计算</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操作系统支持机密计算框架，提供机密计算SDK，能接入1种以上可信执行环境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180</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内核保护</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操作系统支持内核完整性保护，保障内核不被非授权改变；提供内核模块加载黑名单机制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181</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身份鉴别</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★身份鉴别服务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用户标识使用帐户名和帐户ID，在操作系统的整个生存周期内用户标识具有唯一性；支持用户口令复杂度校验及强口令管理；支持用户口令有效期配置；支持口令鉴别失败控制；支持口令加密算法配置，用户口令进行加密后以不可逆的密文形式保存；支持禁止根帐户（root）远程登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182</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restart"/>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访问控制</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★自主访问控制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允许客体拥有者以普通帐户决定并控制对客体的访问，并阻止非授权用户对客体的访问；普通用户缺省拥有新建、读写和删除私有目录下文件的权限；支持细粒度的自主访问控制，将访问控制的粒度控制在单个用户，对系统中的每一个客体，实现由客体拥有者以指定用户方式确定其对该客体的访问权限，而其他同组用户或非同组的用户和用户组对该客体的访问权则由客体拥有者授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183</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★强制访问控制</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操作系统支持对应用程序的访问控制与资源限制，包括对文件、网络等客体的访问控制；支持应用安装控制、应用执行控制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184</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多种强制访问控制联合加载</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 xml:space="preserve">提供多种强制访问控制联合加载，包括SELINUX、APPARMOR等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185</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vMerge w:val="continue"/>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★安全审计</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能对身份鉴别的使用、自主访问控制、标记和强制访问控制策略的修改等生成审计日志；审计记录包括：事件类型、事件发生的日期、触发事件的用户、事件成功或失败等字段；支持审计日志查询和导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186</w:t>
            </w:r>
          </w:p>
        </w:tc>
        <w:tc>
          <w:tcPr>
            <w:tcW w:w="1288" w:type="dxa"/>
            <w:vMerge w:val="continue"/>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p>
        </w:tc>
        <w:tc>
          <w:tcPr>
            <w:tcW w:w="1270"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漏洞管理</w:t>
            </w:r>
          </w:p>
        </w:tc>
        <w:tc>
          <w:tcPr>
            <w:tcW w:w="1985"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★漏洞管理</w:t>
            </w:r>
          </w:p>
        </w:tc>
        <w:tc>
          <w:tcPr>
            <w:tcW w:w="4393" w:type="dxa"/>
            <w:shd w:val="clear" w:color="auto" w:fill="auto"/>
            <w:vAlign w:val="center"/>
          </w:tcPr>
          <w:p>
            <w:pPr>
              <w:pageBreakBefore w:val="0"/>
              <w:widowControl/>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操作系统支持漏洞编号，每个漏洞独立编号，可直接使用NVDB、CNVD或CVE编号；漏洞提醒，发现或获悉漏洞信息时，通过系统推送、电子邮件或官方网站等方式通知用户；漏洞修复，对已发现的安全漏洞通过补丁等方式对系统漏洞进行修复；漏洞列表，提供每个版本已修复的漏洞列表，提供命令或网页等方式方便用户查询漏洞及其修复情况</w:t>
            </w:r>
          </w:p>
        </w:tc>
      </w:tr>
    </w:tbl>
    <w:p>
      <w:pPr>
        <w:keepNext/>
        <w:keepLines/>
        <w:pageBreakBefore w:val="0"/>
        <w:kinsoku/>
        <w:wordWrap/>
        <w:overflowPunct/>
        <w:topLinePunct w:val="0"/>
        <w:autoSpaceDE/>
        <w:autoSpaceDN/>
        <w:bidi w:val="0"/>
        <w:spacing w:line="400" w:lineRule="exact"/>
        <w:ind w:left="0" w:right="0" w:rightChars="0" w:firstLine="0" w:firstLineChars="0"/>
        <w:outlineLvl w:val="1"/>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2.6国产化数据库</w:t>
      </w:r>
    </w:p>
    <w:tbl>
      <w:tblPr>
        <w:tblStyle w:val="63"/>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33"/>
        <w:gridCol w:w="1402"/>
        <w:gridCol w:w="1856"/>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72"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序号</w:t>
            </w:r>
          </w:p>
        </w:tc>
        <w:tc>
          <w:tcPr>
            <w:tcW w:w="587"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指标分类</w:t>
            </w:r>
          </w:p>
        </w:tc>
        <w:tc>
          <w:tcPr>
            <w:tcW w:w="727"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一级指标</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二级指标</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w:t>
            </w:r>
          </w:p>
        </w:tc>
        <w:tc>
          <w:tcPr>
            <w:tcW w:w="58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功能要求</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安装与升级</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数据库安装</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a)支持命令行或图形化的安装；</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b)支持命令行或图形化的可配置安装能力；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c)依据安装环境提供相应的初始化参数配置值；</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d)提供图形化软件组件管理向导工具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数据库重启</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a)支持命令行或图形化的方式关闭和启动服务；</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b)关闭服务后，再启动服务，服务正常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安装配置日志</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a)提供软件安装的日志记录功能；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b)记录的软件安装信息完整正确；</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c)提供安装配置操作的日志记录功能；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d)记录的配置操作信息完整正确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升级维护</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a)支持版本升级，保证版本间功能和数据的兼容性；</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b)厂商提供当前版本与历史版本的差异说明文档，包含新版本对软件和硬件的支持情况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安装和升级的兼容性</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支持在不同CPU架构的节点上安装配置、升级，且安装配置、升级数据库的命令行或图形界面相同或相似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节点部署</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a)支持节点安装配置；</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b)支持通过单一节点发起并将数据库部署在多个节点上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数据配置</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参数配置</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a)依据工作负载和运行环境，提供配置参数修改的能力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b)修改数据库配置参数后，配置参数立即生效或数据库重新启动生效，立即生效的配置参数和需要数据库重新启动方可生效的配置参数在相关文档中明确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存储配置</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a)提供数据库级物理存储位置、逻辑存储参数配置功能；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b)在数据库初始化阶段，提供数据库物理读写块大小的配置功能；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c)提供数据库存储对象空间使用参数的配置功能；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d)提供索引数据存储参数管理功能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内存配置</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提供数据库内存规划和配置建议；</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b)依据物理内存规划数据库可用内存；</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c)依据可用内存或负载情况，自动设置或向用户建议不同数据缓存区大小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SQL功能</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基础数据类型</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a)支持数值类型；b)支持字符类型；</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c)支持二进制类型；</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d)支持日期和时间类型；</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e)支持布尔类型；</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f)支持（大）文本类型；</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g)支持大对象类型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扩展数据类型</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支持间隔、XML、JSON等数据类型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自定义数据类型</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具备用户自定义数据类型的能力，可支持不同应用场景的数据类型需求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数据存储基础功能</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支持基础数据类型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数据存储增强功能</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a)支持扩展数据类型；</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b)支持自定义数据类型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数据检索基础功能</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支持基础数据类型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数据检索增强功能</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a)支持扩展数据类型；</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b)支持自定义数据类型；</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c)支持中文检索功能，如使用中国纪年历法进行检索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核心SQL能力</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a)支持左外连接；</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b)支持右外连接；</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c)支持内连接；</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d)支持全连接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字符集</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中文字符集符合GB18030的要求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19</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常用操作符</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a)支持逻辑操作符及相关运算；</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b)支持比较操作符及相关运算；</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c)支持算术运算符及相关运算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20</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条件表达式</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a)支持对比条件表达式；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b)支持逻辑条件表达式；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c)支持空值条件表达式；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d)支持等于条件表达式；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e)支持模式匹配条件表达式；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f)支持区间条件表达式；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g)支持IN条件表达式；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h)支持存在条件表达式；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i)支持以上条件表达式的复合表达式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21</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SQL执行计划</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支持SQL计划，使SQL按照指定的语句执行，并实现预期结果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22</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数据库对象</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基础对象类型</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a)支持用户的创建、删除、修改；</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b)支持角色的创建、删除、修改；</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c)支持存储过程的创建、删除、修改；</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d)支持表操作功能；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e)支持自增序列；</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f)支持主键约束、外键约束、唯一性约束、检查约束和联合主键约束；</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g)支持游标功能；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h)支持视图的创建、删除、修改；</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i)支持数值计算函数、字符处理函数、日期时间值函数、间隔函数、类型转换函数、位运算函数、聚合函数、格式化、系统信息等常用函数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23</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扩展对象类型</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a)支持包的创建、删除、修改；</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b)支持触发器的创建、删除、修改；</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c)支持外部链接的创建、删除，并可以通过外部链接进行外部访问；</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d)支持作业的创建、删除、修改；</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e)支持全局唯一的自增序列；</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f)支持创建函数索引；</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g)支持定义同义词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24</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基础表分区管理</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a)哈希分区方式；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b)范围分区方式；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c)列表分区方式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25</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扩展表分区管理</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a)支持数据库表分区及二级分区能力；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b)支持建立分区索引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26</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查看对象</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a)支持查看数据库信息；</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b)支持查看表对象信息；</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c)支持查看索引对象信息；</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d)支持查看字段对象信息；</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e）支持查看约束对象信息；</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f）支持查看数据库实例信息；</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g）支持查看表空间信息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27</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查看日志、系统信息</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a)支持查看日志文件的能力；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b）厂商提供查看实例数据缓存的视图或图形化管理工具；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c）厂商提供查看日志缓存的视图或图形化管理工具；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d）厂商提供查看数据字典的视图或图形化管理工具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28</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对象变更</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a)支持数据库的创建、删除、更新以及数据库属性的查询；</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b)支持在线变更表结构、索引；</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c)支持数据的增加、删除、修改和查询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29</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查看会话系统表/视图</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a)提供查看会话标识的视图或图形化管理工具；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b)提供查看进程/线程标识的视图或图形化管理工具；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c)提供查看用户标识的视图或图形化管理工具；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d)提供查看最近的用户请求命令的视图或图形化管理工具；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e)提供查看缺省模式的视图或图形化管理工具；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f)提供查看登录时间/会话状态的视图或图形化管理工具；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g)提供查看会话状态的视图或图形化管理工具；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h)提供查看等待会话的锁信息的视图或图形化管理工具；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i)提供查看等待时间统计信息的视图或图形化管理工具；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j)提供查看使用时间统计信息的视图或图形化管理工具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30</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查看监控连接系统表/视图</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a)提供查看连接标识的视图或图形化管理工具；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b)提供查看连接状态的视图或图形化管理工具；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c)提供查看连接用户的视图或图形化管理工具；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d)提供查看连接类型的视图或图形化管理工具；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e)提供查看当前事务信息的视图或图形化管理工具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31</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异构数据库联机访问</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提供异构数据库数据联机访问功能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32</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完整性管理</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a)支持验证表存储完整性；</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b)支持验证索引存储完整性；</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c)支持验证数据库存储结构完整性；</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d)支持查看视图定义完整性；</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e)支持查看存储过程/函数定义完整性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33</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事务能力</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事务基础特性</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支持事务的ACID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34</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死锁检测与处理</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a)在并发执行过程中，能检测到死锁；</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b)提供解决全局死锁的机制；</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c)具备死锁处理能力；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d)具备死锁超时回滚的能力；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e)具备死锁检测与处理记录功能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35</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运维</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运行时统计信息基础功能</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a)数据库慢SQL统计：</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1）支持统计SQL语句；</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2）支持统计用户名；</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3）支持统计数据库名；</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4）支持统计执行时长；</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b）数据库性能状态统计：</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1）支持统计每秒事务数和查询数；</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2）支持统计SQL平均响应时间；</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3）支持统计高频SQL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36</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运维</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运行时统计信息增强功能</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a)支持统计集群节点CPU使用情况；</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b)支持统计集群节点内存使用情况；</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c)支持统计集群节点磁盘使用情况；</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d)支持统计集群节点网络使用情况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37</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日志</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a)具备对各类事件进行日志记录的功能，可通过日志查看操作内容、执行过程和结果；</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b)具备提示和警告功能，提示或警告数据库结构修改、数据库运行配置修改等重要操作；</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c)日志完整正确，并且提供可读文本的形式；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d)支持中文日志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38</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远程运维</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具备远程维护功能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39</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报警</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a)厂商提供通知管理员的方法或工具；</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b)支持设置报警基线，数据库运行中遇到重要事件、异常事件和状态、超过报警阈值等情况时，通知管理员；</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c)提供报警API；</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d)报警发生时，支持报警信息的实时展示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40</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SQL监测与优化建议</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a)实时监测SQL执行过程中资源使用情况；</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b)提供查询计划的缓存管理功能；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c)提供SQL改写的优化建议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41</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迁移</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应用迁移</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a)提供SQL、存储过程等价语法转换，并将转换后的语法在目标库进行校验，转换后语法可编译可执行；</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b)对转换出错或校验出错的语法进行定位，引导用户进行错误校正后再次编译校验；</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c)尽量减少应用的修改，从源数据库迁移到目标数据库，并可运行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42</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数据迁移</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a)提供元数据、数据库、数据库对象、表数据快速迁移的功能；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b)支持数据迁移工具实现同构或异构数据库之间的数据迁移；</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c)支持全量数据迁移、增量数据持续同步等迁移模式；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d)在数据迁移过程中具备应对传输异</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常的能力，保障数据迁移的稳定性、连续性和一致性；</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e)支持存量数据的一次性迁移和增量数据库的持续同步；</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f)支持多种不同类型的源数据库和目标数据库之间的数据迁移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43</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数据比对基础功能</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对源数据库和目标数据库之间的数据进行比对，支持数据一致性，并提供一致性比对报告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44</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数据比对增强功能</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数据比对规模是可配置的，用户可根据业务需求，进行库级、表级等级别的比对，提供数据修复功能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45</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备份恢复</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数据备份</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a)运行状态下支持对数据库进行全库备份；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b)运行状态下支持对数据库进行部分备份；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c)运行状态下支持对数据库进行增量备份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46</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备份数据管理</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a)支持备份数据的加密；</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b)支持备份数据的压缩；</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c)支持备份数据的存储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47</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用户/模式备份、恢复</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a)支持对数据库的所有或指定用户/模式下的数据进行备份；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b)支持对数据库的所有或指定用户/模式下的数据备份进行恢复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48</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多种存储媒体备份、还原</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支持多种备份存储媒体，支持多种存储媒体的部分、完整数据库数据还原处理能力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49</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备份还原的一致性校验</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提供数据库备份数据一致性校验的命令或工具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50</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集群管理</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集群构建与管理</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a)支持集群的运行环境；</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b)支持创建并配置数据库集群；</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c)配置信息至少包括日常运维管理、容灾管理、日志管理、备份管理、监控等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51</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集群构建与管理扩展要求</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在读写操作负载差距较大时，提供读写分离能力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52</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共享存储架构下的集群要求</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在共享存储集群架构的基础上：</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a)支持管理硬件存储资源，包括为共享存储扩展存储容量；</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b)支持集群多个节点同时写入或一写多读，事务支持ACID特性；</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c)支持节点间的缓存一致性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53</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工具</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数据库开发调试工具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a)具备图形化功能，提高易用性；</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b)具备导入、编辑、保存、执行SQL语句和SQL脚本功能；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c)具备复制、编辑现有数据库对象功能；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d)具备关键词显示标记、动态语法提示的SQL编辑器功能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54</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数据库预编译工具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厂商提供预编译工具，支持嵌入式SQL编程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55</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网络配置工具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a)提供客户端、服务器端网络配置向导；</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b)支持配置网络连接参数、主机、端口、协议等内容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56</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创建、修改、删除工具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a)支持数据库的创建、修改和删除；</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b)支持配置数据库数据文件、日志文件、归档文件的存储位置、逻辑空间（如表空间）等参数；</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c)支持配置数据库属性相关参数（如最大连接数等）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57</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用户、角色管理工具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a)支持创建、修改、删除用户的功能；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b）提供定义用户的功能；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c)支持创建、修改、删除角色的功能，且提供用户自定义角色的功能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58</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SQL执行计划查看工具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a)提供与数据库管理系统进行SQL交互的工具，方便运维工作；</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b)支持查看SQL语句查询执行计划与统计信息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59</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数据库对象工具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a)支持创建、修改、删除表的功能，支持定义表结构、约束、存储配置管理的功能；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b)支持创建、修改、删除索引的功能，支持定义索引结构、类型、存储配置管理的功能；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c)支持创建、修改、删除视图的功能，支持视图定义的功能；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d)支持创建、修改、删除约束的功能，支持约束定义的功能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60</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导入导出工具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a)支持导出不同格式，可以将不同格</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式数据导入到数据库中；</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b)支持不同级别和不同数据库对象的导入/导出功能；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c)支持从文本文件或者其他上游数据源将数据导入；</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d)支持SQL脚本进行导入导出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61</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触发器、存储过程/函数工具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a)支持创建、修改、删除触发器的功</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能，支持触发条件、事件的设置；</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b)支持创建、修改、删除存储过程/函数的功能，提供定义存储过程/函数的工具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62</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数据库运维工具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a)支持数据库、数据库存储对象结构、</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数据、统计信息更新维护；</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b)支持数据库创建、数据库修改、数据库删除、数据库模板维护；</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c)支持数据库任务自动化调度作业管理；</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d)支持图形化展示数据库管理的各种元数据界面，展示的内容具有层次性，包括模式、非模式数据字典信息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63</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监控跟踪工具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a)收集和统计数据库某时间段的运行</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状态及性能信息，判断该时间的数据库运行性能瓶颈；</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b)支持系统状态监控能力，包括对集</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群、服务器和数据库状态的监控等；</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c)支持性能瓶颈跟踪、运行过程监测与调优；</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d)提供数据库实例、网络通信、数据库对象的跟踪日志，日志数据准确、完整；</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e)支持特定事件或事务发生时收集监控数据库活动事务数据；</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f)支持跟踪数据库等待事件；</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g)提供捕获并记录实例、数据库在特定时间点的状态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64</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图形化管理</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图形化远程启动、关闭数据库</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a)提供数据库资源配置向导；</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b)提供远程数据库服务启动、关闭功能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65</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图形化的开发工具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厂商提供图形化的开发工具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66</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图形化运维工具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厂商提供图形化的运维工具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67</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图形化展示工具</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厂商提供图形化数据展示工具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68</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图形界面配置参数基础功能</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a）基本配置参数：</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1）配置资源使用限额；</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2）配置连接数；</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3）配置白名单；</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b）逻辑存储配置：</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1）图形界面支持逻辑存储配置；</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2）提供图形化界面管理数据库对象逻辑空间分配功能；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c）提供图形界面配置参数功能，支持图形界面配置用户口令；</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d）配置审计：</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1）支持图形化界面配置审计策略；</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2）支持查看审计数据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69</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图形化管理数据库对象</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图形化管理统一的数据库实例、数据库日志文件、数据库运行模式、表对象、表数据存储空间、索引定义类型、视图、触发器、存储过程/函数、角色/用户权限、同义词、序列、外部表、物化视图、作业调度、数据库链接、分区表数据、服务器资源分配、自增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70</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图形化监控</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a)支持多实例集成监控与管理；</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b）支持操作系统和网络资源集成监控与管理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71</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图形化管理归档</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支持对归档模式、归档文件位置、归档启用/停用进行管理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72</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图形化管理数据的备份、还原/恢复</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提供图形化管理数据的备份、还原/恢复的功能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73</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图形化界面易用性</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a)支持浏览器图形界面管理；</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b)图形化管理工具界面窗口、选单、图标、文字、快捷键统一并易于理解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74</w:t>
            </w:r>
          </w:p>
        </w:tc>
        <w:tc>
          <w:tcPr>
            <w:tcW w:w="58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可靠性要求</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稳定运行</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稳定运行</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a)支持连续稳定运行；</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b)支持数据库管理系统运行风险的报警能力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75</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故障切换</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快速切换</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支持快速切换，在主数据库出现故障时，能够快速切换到备用数据库，保障业务正常运行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76</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恢复无断点</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支持无断点恢复能力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77</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容灾能力</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主备备份</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a)支持多副本，支持主副本与从副本之间的数据同步，最低时延由生产厂商提供；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b)提供基于主机的数据库复制技术，包括基于日志的备用数据库远程数据库备份技术，并具备数据副本间的复制能力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78</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实例容灾</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a)在任意数据库实例出现故障时，集群内服务正常运行，数据不丢失，集群整体业务可用；</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b)在实例故障、节点故障等单数据库实例故障时，RPO时间等于0，RTO时间小于30s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79</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容灾部署</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a)提供远程容灾部署与管理功能；</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b)提供生产中心与备份中心之间的容灾部署与管理功能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80</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同城容灾</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a)支持同城双中心部署，当主中心故障时，业务切换到备中心；</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b)由于网络、供电等原因造成的可用区级故障，触发集群计划外停机，在同城多可用区场景下，RPO时间等于0，RTO时间小于1分钟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81</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异地容灾</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a)城市级故障，比如地震，业务可以切换到异地；</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b)异地灾备场景支持两地三中心部署架构，在本地建立同城灾备中心，在异地建立异地灾备中心，RPO时间小于1分钟，RTO时间小于10分钟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82</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容错性</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服务端编程稳定性</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支持当用户自定义的存储过程、函数运行异常时，数据库稳定运行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83</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网络容错</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支持网络中断时，保障事务一致性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84</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检测报警</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a)支持数据库实例启动时错误检测能力；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b)支持加载不同文件格式、不同大小数据出现错误时的故障检测和处理能力；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c)支持数据库备份执行过程中发生故障时报错或者报警能力；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d)支持数据库恢复发生故障时报错或者报警能力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85</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故障恢复</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a)系统故障重启后能正常运行且支持数据一致性；</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b)支持完全媒体故障恢复的能力；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c)提供基于时间点故障恢复功能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86</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不同级别故障可恢复</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支持数据库事务故障、系统故障、存储媒体故障不同级别的可恢复能力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87</w:t>
            </w:r>
          </w:p>
        </w:tc>
        <w:tc>
          <w:tcPr>
            <w:tcW w:w="58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兼容要求</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软件兼容</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云化部署</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持虚拟化部署或容器化部署等云化部署方式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88</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硬件兼容</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硬件平台兼容</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a)同源支持以下至少三种CPU平台架</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构：</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1)ARM；</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2)LoongArch；</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3)MIPS；</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4)SW64；</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5)x86；</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b)支持SMP和NUMA的运行环境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89</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标准兼容</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ODBC</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支持ODBC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90</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JDBC</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支持JDBC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91</w:t>
            </w:r>
          </w:p>
        </w:tc>
        <w:tc>
          <w:tcPr>
            <w:tcW w:w="58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服务要求</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交付方式</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交付方式</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以光盘、便携式移动设备、镜像文件、在线下载等交付方式提供产品交付物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92</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服务周期</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产品维护周期</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产品自发布之日起至产品停止功能升级（包含不限于新特性、新硬件支持、问题修复、安全补丁等）之日止≥5年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93</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产品延伸服务周期</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产品停止功能升级之日起至产品停止功能维护（包括问题修复、安全补丁等）之日止≥4年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94</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产品延伸安全服务周期</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产品功能维护停止之日起至产品停止安全维护（包括中高风险漏洞修复）之日止≥2年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95</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售后服务最小保障期</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自销售之日起，产品售后服务周期≥6年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96</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供应链与服务保障</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供应链与服务保障基础要求</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a)提供多种形式支持服务，包含电话、电子邮件、远程连接等；</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b)提供技术支持服务，支持同城4h、异地12h响应要求，两个工作日解决问题，对于未能解决的问题和故障提供可行的升级方案；</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c)提供培训材料、产品手册、培训视频等培训相关内容；</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d)建立全国技术服务体系和服务团队，符合专业服务体系标准要求，提供原厂中文服务；</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e)服务周期内支持版本免费升级；</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f)开源产品对获得的社区源代码进行安全性和知识产权审查与管理；</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g)提供数据库参数、慢SQL语句的性能优化指南，包含性能优化的具体措施、技巧、案例及建议等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97</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定制服务</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针对关键客户提供代码级定制优化服务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98</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驻场服务</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提供原厂团队驻场服务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99</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在线反馈</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支持在线问题反馈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100</w:t>
            </w:r>
          </w:p>
        </w:tc>
        <w:tc>
          <w:tcPr>
            <w:tcW w:w="58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安全要求</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基本要求</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基本要求</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数据库应当符合安全可靠测评要求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101</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基础安全</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安全架构</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将系统管理员分为数据库管理员、数据库安全员和数据库审计员三种类型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102</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漏洞管理</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建立漏洞管理机制，及时通过邮件、网站等方式将安全漏洞告知用户，并提供安全补丁对漏洞进行修复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103</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rPr>
              <w:t>★</w:t>
            </w:r>
            <w:r>
              <w:rPr>
                <w:rFonts w:hint="eastAsia" w:ascii="仿宋_GB2312" w:hAnsi="仿宋_GB2312" w:eastAsia="仿宋_GB2312" w:cs="仿宋_GB2312"/>
                <w:sz w:val="24"/>
                <w:szCs w:val="24"/>
                <w:highlight w:val="none"/>
              </w:rPr>
              <w:t>身份鉴别及访问控制</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提供身份鉴别及访问控制，加解密的密码要求符合GM/T0028的相关规定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104</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restar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增强安全</w:t>
            </w: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防篡改</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a)支持对指定的表开启防篡改能力，开启后，对重要数据的增、删、改操作，记录篡改校验信息，并提供篡改校验能力；</w:t>
            </w:r>
          </w:p>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b)支持对指定的表开启追溯能力，开启后，对数据的变更具有全向追溯能力，能够记录数据变更的历史信息以及相应的操作记录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105</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全密态</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支持全密态的等值、非等值查询能力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106</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安全扩展要求</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支持自身数据的动态脱敏和透明加密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107</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闪回查询</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支持数据库闪回查询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19" w:type="dxa"/>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108</w:t>
            </w:r>
          </w:p>
        </w:tc>
        <w:tc>
          <w:tcPr>
            <w:tcW w:w="58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727" w:type="pct"/>
            <w:vMerge w:val="continue"/>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p>
        </w:tc>
        <w:tc>
          <w:tcPr>
            <w:tcW w:w="961"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闪回恢复</w:t>
            </w:r>
          </w:p>
        </w:tc>
        <w:tc>
          <w:tcPr>
            <w:tcW w:w="2350" w:type="pct"/>
            <w:vAlign w:val="center"/>
          </w:tcPr>
          <w:p>
            <w:pPr>
              <w:pageBreakBefore w:val="0"/>
              <w:tabs>
                <w:tab w:val="left" w:pos="1106"/>
                <w:tab w:val="left" w:pos="2211"/>
                <w:tab w:val="left" w:pos="3317"/>
                <w:tab w:val="left" w:pos="4423"/>
                <w:tab w:val="left" w:pos="5528"/>
                <w:tab w:val="left" w:pos="6634"/>
                <w:tab w:val="left" w:pos="7740"/>
              </w:tabs>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支持闪回查询实时恢复数据，支持不同级别（如库级、表级等）的闪回恢复</w:t>
            </w:r>
          </w:p>
        </w:tc>
      </w:tr>
    </w:tbl>
    <w:p>
      <w:pPr>
        <w:keepNext/>
        <w:keepLines/>
        <w:pageBreakBefore w:val="0"/>
        <w:widowControl w:val="0"/>
        <w:kinsoku/>
        <w:wordWrap/>
        <w:overflowPunct/>
        <w:topLinePunct w:val="0"/>
        <w:autoSpaceDE/>
        <w:autoSpaceDN/>
        <w:bidi w:val="0"/>
        <w:adjustRightInd/>
        <w:snapToGrid/>
        <w:spacing w:line="400" w:lineRule="exact"/>
        <w:ind w:left="0" w:right="0" w:rightChars="0" w:firstLine="0" w:firstLineChars="0"/>
        <w:textAlignment w:val="auto"/>
        <w:outlineLvl w:val="1"/>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2.7国产化中间件</w:t>
      </w:r>
    </w:p>
    <w:tbl>
      <w:tblPr>
        <w:tblStyle w:val="63"/>
        <w:tblW w:w="55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168"/>
        <w:gridCol w:w="7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kern w:val="0"/>
                <w:sz w:val="24"/>
                <w:szCs w:val="24"/>
                <w:highlight w:val="none"/>
              </w:rPr>
              <w:t>序号</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kern w:val="0"/>
                <w:sz w:val="24"/>
                <w:szCs w:val="24"/>
                <w:highlight w:val="none"/>
              </w:rPr>
              <w:t>指标分类</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kern w:val="0"/>
                <w:sz w:val="24"/>
                <w:szCs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kern w:val="0"/>
                <w:sz w:val="24"/>
                <w:szCs w:val="24"/>
                <w:highlight w:val="none"/>
              </w:rPr>
              <w:t>软件部署</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kern w:val="0"/>
                <w:sz w:val="24"/>
                <w:szCs w:val="24"/>
                <w:highlight w:val="none"/>
              </w:rPr>
              <w:t>国产化中间件支持Web服务器软件中间件及应用服务器中间件，两者二选一，可根据部署的业务软件选择其中一种作为数据库中间件。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功能要求</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为适应业务需求，Web中间件产品需通过Q/KXY EDCC-XC/A-003-2024《信息技术应用创新 兼容适配测试方法》的检验</w:t>
            </w:r>
            <w:r>
              <w:rPr>
                <w:rFonts w:hint="eastAsia" w:ascii="仿宋_GB2312" w:hAnsi="仿宋_GB2312" w:eastAsia="仿宋_GB2312" w:cs="仿宋_GB231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3</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代码自研率</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产品为自研产品，核心代码自主率满足99%代码自研率自主要求</w:t>
            </w:r>
            <w:r>
              <w:rPr>
                <w:rFonts w:hint="eastAsia" w:ascii="仿宋_GB2312" w:hAnsi="仿宋_GB2312" w:eastAsia="仿宋_GB2312" w:cs="仿宋_GB231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信息系统安全测评</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确保产品安全可靠，规避中间件产品的安全漏洞威胁</w:t>
            </w:r>
            <w:r>
              <w:rPr>
                <w:rFonts w:hint="eastAsia" w:ascii="仿宋_GB2312" w:hAnsi="仿宋_GB2312" w:eastAsia="仿宋_GB2312" w:cs="仿宋_GB231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产品安全性</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为确保Web中间件产品的安全性，产品需通过产品安全检验。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权限控制机制</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支持提供权限控制机制，限制不同用户的权限。提供审计日志功能，完整的记录用户的操作，包含时间、操作人员、操作类型、操作内容等，审计追溯违规行为，有效保护系统的安全性</w:t>
            </w:r>
            <w:r>
              <w:rPr>
                <w:rFonts w:hint="eastAsia" w:ascii="仿宋_GB2312" w:hAnsi="仿宋_GB2312" w:eastAsia="仿宋_GB2312" w:cs="仿宋_GB231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7</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健康检查</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支持动态脚本语言LUA实现高级特性，支持对后端实例节点做健康检查，包括主动和被动检查方式。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8</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可视化集中管理</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提供可视化集中管理控制台，支持负载服务跨节点安装、部署、主备模式、多实例模式搭建、参数设置等生命周期管理，提升运维管理效率。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9</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代理模式</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支持正向代理、反向代理；支持HTTP Connect方法做正向代理；支持组合多个请求的反向代理策略。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熔断限流</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支持熔断限流，基于监控内存、CPU和请求的响应时间，达到设定的阈值时拒绝所有请求，支持自定义熔断后续动作</w:t>
            </w:r>
            <w:r>
              <w:rPr>
                <w:rFonts w:hint="eastAsia" w:ascii="仿宋_GB2312" w:hAnsi="仿宋_GB2312" w:eastAsia="仿宋_GB2312" w:cs="仿宋_GB2312"/>
                <w:b/>
                <w:bCs/>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11</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流量控制策略</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支持多种流量控制策略包括不限于请求数、传输速率、系统保护、并发连接数等参数做流量限制，允许对单个IP请求处理速率、请求连接数量进行控制，支持针对每个请求限制下载速度</w:t>
            </w:r>
            <w:r>
              <w:rPr>
                <w:rFonts w:hint="eastAsia" w:ascii="仿宋_GB2312" w:hAnsi="仿宋_GB2312" w:eastAsia="仿宋_GB2312" w:cs="仿宋_GB231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模块管理</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支持动态模块编译加载及模块在线管理，在运行时动态选择加载或卸载某些模块，扩展起来更加方便快捷，对业务零影响。</w:t>
            </w:r>
          </w:p>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2、上述第1点参数提供相关功能界面截图</w:t>
            </w:r>
            <w:r>
              <w:rPr>
                <w:rFonts w:hint="eastAsia" w:ascii="仿宋_GB2312" w:hAnsi="仿宋_GB2312" w:eastAsia="仿宋_GB2312" w:cs="仿宋_GB2312"/>
                <w:b/>
                <w:bCs/>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云原生能力成熟度</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为适应业务需求，产品需通过Q/KXY MI002-2022《云原生能力成熟度模型 第五部分：中间件》的检验，并获得云原生中间件能力成熟度4级认证。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14</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服务器应用场景测试</w:t>
            </w:r>
          </w:p>
        </w:tc>
        <w:tc>
          <w:tcPr>
            <w:tcW w:w="7587"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为适应信创需求。产品需通过《GCC 7004-2020-服务器应用场景测试方法 Web应用》性能评测</w:t>
            </w:r>
            <w:r>
              <w:rPr>
                <w:rFonts w:hint="eastAsia" w:ascii="仿宋_GB2312" w:hAnsi="仿宋_GB2312" w:eastAsia="仿宋_GB2312" w:cs="仿宋_GB231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bookmarkStart w:id="43" w:name="_Hlk192173554"/>
            <w:r>
              <w:rPr>
                <w:rFonts w:hint="eastAsia" w:ascii="仿宋_GB2312" w:hAnsi="仿宋_GB2312" w:eastAsia="仿宋_GB2312" w:cs="仿宋_GB2312"/>
                <w:sz w:val="24"/>
                <w:szCs w:val="24"/>
                <w:highlight w:val="none"/>
              </w:rPr>
              <w:t>JAVA认证</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通过JavaEE 7、JavaEE 8、JakartaEE 9.0、JakartaEE 9.1标准认证</w:t>
            </w:r>
            <w:r>
              <w:rPr>
                <w:rFonts w:hint="eastAsia" w:ascii="仿宋_GB2312" w:hAnsi="仿宋_GB2312" w:eastAsia="仿宋_GB2312" w:cs="仿宋_GB231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16</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轻量级</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中间件产品提供适合PaaS平台部署的轻量级产品，提供支持SpringBoot内嵌中间件版本，支持SpringBoot1.x版本、SpringBoot2.x版本、SpringBoot3.x版本。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17</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兼容互认</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支持国产化环境，如飞腾、龙芯、鲲鹏、海光、申威、兆芯等平台及麒麟、统信、中科方德等国产操作系统。支持国产数据库，如：神州通用、达梦、人大金仓、华为GaussDB、瀚高数据库等国产数据库</w:t>
            </w:r>
            <w:r>
              <w:rPr>
                <w:rFonts w:hint="eastAsia" w:ascii="仿宋_GB2312" w:hAnsi="仿宋_GB2312" w:eastAsia="仿宋_GB2312" w:cs="仿宋_GB2312"/>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商用密码产品认证</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产品标准和技术要求符合GM/T 0028《密码模块安全技术要求》第二级或以上要求</w:t>
            </w:r>
            <w:r>
              <w:rPr>
                <w:rFonts w:hint="eastAsia" w:ascii="仿宋_GB2312" w:hAnsi="仿宋_GB2312" w:eastAsia="仿宋_GB2312" w:cs="仿宋_GB2312"/>
                <w:b/>
                <w:bCs/>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19</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应用Web接口</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支持通过应用Web接口的QPS、并发数等指标对应用请求进行限流，限流包括快速失败、预热启动、排队等待等；支持通过应用Web接口的慢请求比例、异常比例、异常数等阈值，熔断Web接口请求。</w:t>
            </w:r>
          </w:p>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2、上述第1点参数提供相关功能界面截图</w:t>
            </w:r>
            <w:r>
              <w:rPr>
                <w:rFonts w:hint="eastAsia" w:ascii="仿宋_GB2312" w:hAnsi="仿宋_GB2312" w:eastAsia="仿宋_GB2312" w:cs="仿宋_GB2312"/>
                <w:b/>
                <w:bCs/>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20</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标准功能完善成熟</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为证明中间件所有标准功能完善并且成熟，</w:t>
            </w:r>
            <w:r>
              <w:rPr>
                <w:rFonts w:hint="eastAsia" w:ascii="仿宋_GB2312" w:hAnsi="仿宋_GB2312" w:eastAsia="仿宋_GB2312" w:cs="仿宋_GB2312"/>
                <w:sz w:val="24"/>
                <w:szCs w:val="24"/>
                <w:highlight w:val="none"/>
                <w:lang w:val="en-US" w:eastAsia="zh-CN"/>
              </w:rPr>
              <w:t>需通过</w:t>
            </w:r>
            <w:r>
              <w:rPr>
                <w:rFonts w:hint="eastAsia" w:ascii="仿宋_GB2312" w:hAnsi="仿宋_GB2312" w:eastAsia="仿宋_GB2312" w:cs="仿宋_GB2312"/>
                <w:sz w:val="24"/>
                <w:szCs w:val="24"/>
                <w:highlight w:val="none"/>
              </w:rPr>
              <w:t>软件产品单项功能测试</w:t>
            </w:r>
            <w:r>
              <w:rPr>
                <w:rFonts w:hint="eastAsia" w:ascii="仿宋_GB2312" w:hAnsi="仿宋_GB2312" w:eastAsia="仿宋_GB2312" w:cs="仿宋_GB231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21</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高可用</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支持EJB集群，EJB集群需要支持多种负载管理算法（支持简单轮转、加权轮转、随机、备份等负载均衡策略等）和故障EJB自动隔离功能；EJB容器支持除了IIOP之外的自主序列化协议。</w:t>
            </w:r>
          </w:p>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2、上述第1点参数提供相关功能界面截图</w:t>
            </w:r>
            <w:r>
              <w:rPr>
                <w:rFonts w:hint="eastAsia" w:ascii="仿宋_GB2312" w:hAnsi="仿宋_GB2312" w:eastAsia="仿宋_GB2312" w:cs="仿宋_GB2312"/>
                <w:b/>
                <w:bCs/>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22</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集群管理</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提供完善的集群技术与 Session 管理，内置分布式会话管理方案，支持 Sesison 数据配置接入分布式缓存实现 Sesison 数据的独立管理</w:t>
            </w:r>
            <w:r>
              <w:rPr>
                <w:rFonts w:hint="eastAsia" w:ascii="仿宋_GB2312" w:hAnsi="仿宋_GB2312" w:eastAsia="仿宋_GB2312" w:cs="仿宋_GB2312"/>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23</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自我保护安全防御</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产品具备应用运行时自我保护安全防御机制，支持依据上下文及关键函数的参数等信息动态判断恶意攻击，实时进行安全阻断，内置常见安全漏洞防御选项，灵活配置防御策略，实现对多种攻击手段如SQL注入、命令注入、文件目录列表等进行检测和拦截，并记录攻击的细节信息备查，同时根据攻击事件，发现应用存在的安全漏洞，并提出修复意见。确保产品安全可靠，规避中间件产品的安全漏洞威胁，需支持用户认证、授权；三员分立；国密算法等。</w:t>
            </w:r>
          </w:p>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2、上述第1点参数提供相关功能界面截图</w:t>
            </w:r>
            <w:r>
              <w:rPr>
                <w:rFonts w:hint="eastAsia" w:ascii="仿宋_GB2312" w:hAnsi="仿宋_GB2312" w:eastAsia="仿宋_GB2312" w:cs="仿宋_GB2312"/>
                <w:b/>
                <w:bCs/>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24</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安全攻击防护</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支持拦截多种web安全攻击，包括命令注入、SQL注入、任意文件下载和读取、文件目录列出、任意文件上传、SSRF、文件包含、Struts OGNL代码执行、远程命令执行、XXE、反序列化漏洞、反射型XSS、WebShell等。支持安全防护统计功能。包含攻击次数、攻击类型、Top10攻击来源、Top10被攻击URL等信息。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25</w:t>
            </w:r>
          </w:p>
        </w:tc>
        <w:tc>
          <w:tcPr>
            <w:tcW w:w="1168" w:type="dxa"/>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产品安全性</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为保障产品安全性，应对产品进行安全功能测试和渗透测试，为确保测试全面，安全检测应覆盖SQL注入、XSS跨站、访问控制、身份验证、逻辑型漏洞、敏感信息泄漏、文件操作、安全配置漏洞、会话管理、接口参数、端口测试等几个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26</w:t>
            </w:r>
          </w:p>
        </w:tc>
        <w:tc>
          <w:tcPr>
            <w:tcW w:w="1168" w:type="dxa"/>
            <w:tcBorders>
              <w:bottom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用户访问能力</w:t>
            </w:r>
          </w:p>
        </w:tc>
        <w:tc>
          <w:tcPr>
            <w:tcW w:w="7587"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为保证系统稳定运行，提供在全国产环境下满足至少五十万在线用户访问能力，平均响应时间低于300毫秒，事务通过率≥98%。</w:t>
            </w:r>
          </w:p>
        </w:tc>
      </w:tr>
      <w:bookmarkEnd w:id="43"/>
    </w:tbl>
    <w:p>
      <w:pPr>
        <w:keepNext/>
        <w:keepLines/>
        <w:pageBreakBefore w:val="0"/>
        <w:kinsoku/>
        <w:wordWrap/>
        <w:overflowPunct/>
        <w:topLinePunct w:val="0"/>
        <w:autoSpaceDE/>
        <w:autoSpaceDN/>
        <w:bidi w:val="0"/>
        <w:spacing w:line="400" w:lineRule="exact"/>
        <w:ind w:left="0" w:right="0" w:rightChars="0" w:firstLine="0" w:firstLineChars="0"/>
        <w:outlineLvl w:val="0"/>
        <w:rPr>
          <w:rFonts w:hint="eastAsia" w:ascii="仿宋_GB2312" w:hAnsi="仿宋_GB2312" w:eastAsia="仿宋_GB2312" w:cs="仿宋_GB2312"/>
          <w:b/>
          <w:kern w:val="44"/>
          <w:sz w:val="24"/>
          <w:szCs w:val="24"/>
          <w:highlight w:val="none"/>
        </w:rPr>
      </w:pPr>
      <w:r>
        <w:rPr>
          <w:rFonts w:hint="eastAsia" w:ascii="仿宋_GB2312" w:hAnsi="仿宋_GB2312" w:eastAsia="仿宋_GB2312" w:cs="仿宋_GB2312"/>
          <w:b/>
          <w:kern w:val="44"/>
          <w:sz w:val="24"/>
          <w:szCs w:val="24"/>
          <w:highlight w:val="none"/>
        </w:rPr>
        <w:t>三、商务要求</w:t>
      </w:r>
    </w:p>
    <w:p>
      <w:pPr>
        <w:keepNext w:val="0"/>
        <w:keepLines w:val="0"/>
        <w:pageBreakBefore w:val="0"/>
        <w:kinsoku/>
        <w:wordWrap/>
        <w:overflowPunct/>
        <w:topLinePunct w:val="0"/>
        <w:autoSpaceDE/>
        <w:autoSpaceDN/>
        <w:bidi w:val="0"/>
        <w:adjustRightInd/>
        <w:snapToGrid/>
        <w:spacing w:line="400" w:lineRule="exact"/>
        <w:ind w:left="0" w:right="0" w:rightChars="0"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1、</w:t>
      </w:r>
      <w:r>
        <w:rPr>
          <w:rFonts w:hint="eastAsia" w:ascii="仿宋_GB2312" w:hAnsi="仿宋_GB2312" w:eastAsia="仿宋_GB2312" w:cs="仿宋_GB2312"/>
          <w:b/>
          <w:bCs/>
          <w:sz w:val="24"/>
          <w:szCs w:val="24"/>
          <w:highlight w:val="none"/>
          <w:lang w:val="en-US" w:eastAsia="zh-CN"/>
        </w:rPr>
        <w:t>供货及安装</w:t>
      </w:r>
      <w:r>
        <w:rPr>
          <w:rFonts w:hint="eastAsia" w:ascii="仿宋_GB2312" w:hAnsi="仿宋_GB2312" w:eastAsia="仿宋_GB2312" w:cs="仿宋_GB2312"/>
          <w:b/>
          <w:bCs/>
          <w:sz w:val="24"/>
          <w:szCs w:val="24"/>
          <w:highlight w:val="none"/>
        </w:rPr>
        <w:t>工期：</w:t>
      </w:r>
    </w:p>
    <w:p>
      <w:pPr>
        <w:keepNext w:val="0"/>
        <w:keepLines w:val="0"/>
        <w:pageBreakBefore w:val="0"/>
        <w:kinsoku/>
        <w:wordWrap/>
        <w:overflowPunct/>
        <w:topLinePunct w:val="0"/>
        <w:autoSpaceDE/>
        <w:autoSpaceDN/>
        <w:bidi w:val="0"/>
        <w:adjustRightInd/>
        <w:snapToGrid/>
        <w:spacing w:line="400" w:lineRule="exact"/>
        <w:ind w:left="0" w:right="0" w:rightChars="0"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合同签订之日起3个月内完成供货、安装调试完毕，具体</w:t>
      </w:r>
      <w:r>
        <w:rPr>
          <w:rFonts w:hint="eastAsia" w:ascii="仿宋_GB2312" w:hAnsi="仿宋_GB2312" w:eastAsia="仿宋_GB2312" w:cs="仿宋_GB2312"/>
          <w:sz w:val="24"/>
          <w:szCs w:val="24"/>
          <w:highlight w:val="none"/>
          <w:lang w:val="en-US" w:eastAsia="zh-CN"/>
        </w:rPr>
        <w:t>供货</w:t>
      </w:r>
      <w:r>
        <w:rPr>
          <w:rFonts w:hint="eastAsia" w:ascii="仿宋_GB2312" w:hAnsi="仿宋_GB2312" w:eastAsia="仿宋_GB2312" w:cs="仿宋_GB2312"/>
          <w:sz w:val="24"/>
          <w:szCs w:val="24"/>
          <w:highlight w:val="none"/>
        </w:rPr>
        <w:t>时间根据采购人通知。</w:t>
      </w:r>
    </w:p>
    <w:p>
      <w:pPr>
        <w:keepNext w:val="0"/>
        <w:keepLines w:val="0"/>
        <w:pageBreakBefore w:val="0"/>
        <w:kinsoku/>
        <w:wordWrap/>
        <w:overflowPunct/>
        <w:topLinePunct w:val="0"/>
        <w:autoSpaceDE/>
        <w:autoSpaceDN/>
        <w:bidi w:val="0"/>
        <w:adjustRightInd/>
        <w:snapToGrid/>
        <w:spacing w:line="400" w:lineRule="exact"/>
        <w:ind w:left="0" w:right="0" w:rightChars="0"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2、售后服务：</w:t>
      </w:r>
    </w:p>
    <w:p>
      <w:pPr>
        <w:keepNext w:val="0"/>
        <w:keepLines w:val="0"/>
        <w:pageBreakBefore w:val="0"/>
        <w:kinsoku/>
        <w:wordWrap/>
        <w:overflowPunct/>
        <w:topLinePunct w:val="0"/>
        <w:autoSpaceDE/>
        <w:autoSpaceDN/>
        <w:bidi w:val="0"/>
        <w:adjustRightInd/>
        <w:snapToGrid/>
        <w:spacing w:line="400" w:lineRule="exact"/>
        <w:ind w:left="0" w:right="0" w:rightChars="0"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（1）供应商应具有较强的服务能力，并配有较强的专业技术队伍，有安装、调试、检测设备的售后服务机构，提供快速的售后服务响应，对故障能即时响应。</w:t>
      </w:r>
    </w:p>
    <w:p>
      <w:pPr>
        <w:keepNext w:val="0"/>
        <w:keepLines w:val="0"/>
        <w:pageBreakBefore w:val="0"/>
        <w:kinsoku/>
        <w:wordWrap/>
        <w:overflowPunct/>
        <w:topLinePunct w:val="0"/>
        <w:autoSpaceDE/>
        <w:autoSpaceDN/>
        <w:bidi w:val="0"/>
        <w:adjustRightInd/>
        <w:snapToGrid/>
        <w:spacing w:line="400" w:lineRule="exact"/>
        <w:ind w:left="0" w:right="0" w:rightChars="0"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（2）服务响应时间：在质保期内，发生故障，在1小时响应，8小时内修复，如电话邮件等无法解决的问题，将在4小时内指派技术人员到达现场进行解决。</w:t>
      </w:r>
    </w:p>
    <w:p>
      <w:pPr>
        <w:keepNext w:val="0"/>
        <w:keepLines w:val="0"/>
        <w:pageBreakBefore w:val="0"/>
        <w:kinsoku/>
        <w:wordWrap/>
        <w:overflowPunct/>
        <w:topLinePunct w:val="0"/>
        <w:autoSpaceDE/>
        <w:autoSpaceDN/>
        <w:bidi w:val="0"/>
        <w:adjustRightInd/>
        <w:snapToGrid/>
        <w:spacing w:line="400" w:lineRule="exact"/>
        <w:ind w:left="0" w:right="0" w:rightChars="0"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（3）提供不少于三年的原厂整体质保服务。</w:t>
      </w:r>
    </w:p>
    <w:p>
      <w:pPr>
        <w:keepNext w:val="0"/>
        <w:keepLines w:val="0"/>
        <w:pageBreakBefore w:val="0"/>
        <w:kinsoku/>
        <w:wordWrap/>
        <w:overflowPunct/>
        <w:topLinePunct w:val="0"/>
        <w:autoSpaceDE/>
        <w:autoSpaceDN/>
        <w:bidi w:val="0"/>
        <w:adjustRightInd/>
        <w:snapToGrid/>
        <w:spacing w:line="400" w:lineRule="exact"/>
        <w:ind w:left="0" w:right="0" w:rightChars="0"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w:t>
      </w:r>
      <w:r>
        <w:rPr>
          <w:rFonts w:hint="eastAsia" w:ascii="仿宋_GB2312" w:hAnsi="仿宋_GB2312" w:eastAsia="仿宋_GB2312" w:cs="仿宋_GB2312"/>
          <w:b/>
          <w:bCs/>
          <w:sz w:val="24"/>
          <w:szCs w:val="24"/>
          <w:highlight w:val="none"/>
          <w:lang w:val="en-US" w:eastAsia="zh-CN"/>
        </w:rPr>
        <w:t>质量标准</w:t>
      </w:r>
      <w:r>
        <w:rPr>
          <w:rFonts w:hint="eastAsia" w:ascii="仿宋_GB2312" w:hAnsi="仿宋_GB2312" w:eastAsia="仿宋_GB2312" w:cs="仿宋_GB2312"/>
          <w:b/>
          <w:bCs/>
          <w:sz w:val="24"/>
          <w:szCs w:val="24"/>
          <w:highlight w:val="none"/>
        </w:rPr>
        <w:t>：</w:t>
      </w:r>
    </w:p>
    <w:p>
      <w:pPr>
        <w:keepNext w:val="0"/>
        <w:keepLines w:val="0"/>
        <w:pageBreakBefore w:val="0"/>
        <w:kinsoku/>
        <w:wordWrap/>
        <w:overflowPunct/>
        <w:topLinePunct w:val="0"/>
        <w:autoSpaceDE/>
        <w:autoSpaceDN/>
        <w:bidi w:val="0"/>
        <w:adjustRightInd/>
        <w:snapToGrid/>
        <w:spacing w:line="400" w:lineRule="exact"/>
        <w:ind w:left="0" w:right="0" w:rightChars="0"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（1）供应商</w:t>
      </w:r>
      <w:r>
        <w:rPr>
          <w:rFonts w:hint="eastAsia" w:ascii="仿宋_GB2312" w:hAnsi="仿宋_GB2312" w:eastAsia="仿宋_GB2312" w:cs="仿宋_GB2312"/>
          <w:sz w:val="24"/>
          <w:szCs w:val="24"/>
          <w:highlight w:val="none"/>
        </w:rPr>
        <w:t>提供的产品及服务必须是经合法途径取得的，同时提供的产品必须是20</w:t>
      </w:r>
      <w:r>
        <w:rPr>
          <w:rFonts w:hint="eastAsia" w:ascii="仿宋_GB2312" w:hAnsi="仿宋_GB2312" w:eastAsia="仿宋_GB2312" w:cs="仿宋_GB2312"/>
          <w:sz w:val="24"/>
          <w:szCs w:val="24"/>
          <w:highlight w:val="none"/>
          <w:lang w:val="en-US" w:eastAsia="zh-CN"/>
        </w:rPr>
        <w:t>24</w:t>
      </w:r>
      <w:r>
        <w:rPr>
          <w:rFonts w:hint="eastAsia" w:ascii="仿宋_GB2312" w:hAnsi="仿宋_GB2312" w:eastAsia="仿宋_GB2312" w:cs="仿宋_GB2312"/>
          <w:sz w:val="24"/>
          <w:szCs w:val="24"/>
          <w:highlight w:val="none"/>
        </w:rPr>
        <w:t>年8月1日后出厂的合格品牌。</w:t>
      </w:r>
    </w:p>
    <w:p>
      <w:pPr>
        <w:keepNext w:val="0"/>
        <w:keepLines w:val="0"/>
        <w:pageBreakBefore w:val="0"/>
        <w:kinsoku/>
        <w:wordWrap/>
        <w:overflowPunct/>
        <w:topLinePunct w:val="0"/>
        <w:autoSpaceDE/>
        <w:autoSpaceDN/>
        <w:bidi w:val="0"/>
        <w:adjustRightInd/>
        <w:snapToGrid/>
        <w:spacing w:line="400" w:lineRule="exact"/>
        <w:ind w:left="0" w:right="0" w:rightChars="0"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（2）供应商</w:t>
      </w:r>
      <w:r>
        <w:rPr>
          <w:rFonts w:hint="eastAsia" w:ascii="仿宋_GB2312" w:hAnsi="仿宋_GB2312" w:eastAsia="仿宋_GB2312" w:cs="仿宋_GB2312"/>
          <w:sz w:val="24"/>
          <w:szCs w:val="24"/>
          <w:highlight w:val="none"/>
        </w:rPr>
        <w:t>应按现行的国家或行业技术及验收标准和</w:t>
      </w:r>
      <w:r>
        <w:rPr>
          <w:rFonts w:hint="eastAsia" w:ascii="仿宋_GB2312" w:hAnsi="仿宋_GB2312" w:eastAsia="仿宋_GB2312" w:cs="仿宋_GB2312"/>
          <w:sz w:val="24"/>
          <w:szCs w:val="24"/>
          <w:highlight w:val="none"/>
          <w:lang w:eastAsia="zh-CN"/>
        </w:rPr>
        <w:t>招标</w:t>
      </w:r>
      <w:r>
        <w:rPr>
          <w:rFonts w:hint="eastAsia" w:ascii="仿宋_GB2312" w:hAnsi="仿宋_GB2312" w:eastAsia="仿宋_GB2312" w:cs="仿宋_GB2312"/>
          <w:sz w:val="24"/>
          <w:szCs w:val="24"/>
          <w:highlight w:val="none"/>
        </w:rPr>
        <w:t>文件的规定提供工程、</w:t>
      </w:r>
      <w:r>
        <w:rPr>
          <w:rFonts w:hint="eastAsia" w:ascii="仿宋_GB2312" w:hAnsi="仿宋_GB2312" w:eastAsia="仿宋_GB2312" w:cs="仿宋_GB2312"/>
          <w:sz w:val="24"/>
          <w:szCs w:val="24"/>
          <w:highlight w:val="none"/>
          <w:lang w:eastAsia="zh-CN"/>
        </w:rPr>
        <w:t>设备</w:t>
      </w:r>
      <w:r>
        <w:rPr>
          <w:rFonts w:hint="eastAsia" w:ascii="仿宋_GB2312" w:hAnsi="仿宋_GB2312" w:eastAsia="仿宋_GB2312" w:cs="仿宋_GB2312"/>
          <w:sz w:val="24"/>
          <w:szCs w:val="24"/>
          <w:highlight w:val="none"/>
        </w:rPr>
        <w:t>或服务，因</w:t>
      </w:r>
      <w:r>
        <w:rPr>
          <w:rFonts w:hint="eastAsia" w:ascii="仿宋_GB2312" w:hAnsi="仿宋_GB2312" w:eastAsia="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rPr>
        <w:t>提供的工程、</w:t>
      </w:r>
      <w:r>
        <w:rPr>
          <w:rFonts w:hint="eastAsia" w:ascii="仿宋_GB2312" w:hAnsi="仿宋_GB2312" w:eastAsia="仿宋_GB2312" w:cs="仿宋_GB2312"/>
          <w:sz w:val="24"/>
          <w:szCs w:val="24"/>
          <w:highlight w:val="none"/>
          <w:lang w:eastAsia="zh-CN"/>
        </w:rPr>
        <w:t>设备</w:t>
      </w:r>
      <w:r>
        <w:rPr>
          <w:rFonts w:hint="eastAsia" w:ascii="仿宋_GB2312" w:hAnsi="仿宋_GB2312" w:eastAsia="仿宋_GB2312" w:cs="仿宋_GB2312"/>
          <w:sz w:val="24"/>
          <w:szCs w:val="24"/>
          <w:highlight w:val="none"/>
        </w:rPr>
        <w:t>或服务达不到约定的质量标准，</w:t>
      </w:r>
      <w:r>
        <w:rPr>
          <w:rFonts w:hint="eastAsia" w:ascii="仿宋_GB2312" w:hAnsi="仿宋_GB2312" w:eastAsia="仿宋_GB2312" w:cs="仿宋_GB2312"/>
          <w:sz w:val="24"/>
          <w:szCs w:val="24"/>
          <w:highlight w:val="none"/>
          <w:lang w:val="en-US" w:eastAsia="zh-CN"/>
        </w:rPr>
        <w:t>供应商</w:t>
      </w:r>
      <w:r>
        <w:rPr>
          <w:rFonts w:hint="eastAsia" w:ascii="仿宋_GB2312" w:hAnsi="仿宋_GB2312" w:eastAsia="仿宋_GB2312" w:cs="仿宋_GB2312"/>
          <w:sz w:val="24"/>
          <w:szCs w:val="24"/>
          <w:highlight w:val="none"/>
        </w:rPr>
        <w:t>承担违约责任。</w:t>
      </w:r>
    </w:p>
    <w:p>
      <w:pPr>
        <w:keepNext w:val="0"/>
        <w:keepLines w:val="0"/>
        <w:pageBreakBefore w:val="0"/>
        <w:kinsoku/>
        <w:wordWrap/>
        <w:overflowPunct/>
        <w:topLinePunct w:val="0"/>
        <w:autoSpaceDE/>
        <w:autoSpaceDN/>
        <w:bidi w:val="0"/>
        <w:adjustRightInd/>
        <w:snapToGrid/>
        <w:spacing w:line="400" w:lineRule="exact"/>
        <w:ind w:left="0" w:right="0" w:rightChars="0"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4、培训：</w:t>
      </w:r>
    </w:p>
    <w:p>
      <w:pPr>
        <w:keepNext w:val="0"/>
        <w:keepLines w:val="0"/>
        <w:pageBreakBefore w:val="0"/>
        <w:kinsoku/>
        <w:wordWrap/>
        <w:overflowPunct/>
        <w:topLinePunct w:val="0"/>
        <w:autoSpaceDE/>
        <w:autoSpaceDN/>
        <w:bidi w:val="0"/>
        <w:adjustRightInd/>
        <w:snapToGrid/>
        <w:spacing w:line="400" w:lineRule="exact"/>
        <w:ind w:left="0" w:right="0" w:rightChars="0"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供应商提供针对系统管理人员和日常维护人员的管理和使用培训，不少于1次上门培训，产生的费用包含在投标报价内，参与培训的人员由采购人安排。</w:t>
      </w:r>
    </w:p>
    <w:p>
      <w:pPr>
        <w:keepNext w:val="0"/>
        <w:keepLines w:val="0"/>
        <w:pageBreakBefore w:val="0"/>
        <w:kinsoku/>
        <w:wordWrap/>
        <w:overflowPunct/>
        <w:topLinePunct w:val="0"/>
        <w:autoSpaceDE/>
        <w:autoSpaceDN/>
        <w:bidi w:val="0"/>
        <w:adjustRightInd/>
        <w:snapToGrid/>
        <w:spacing w:line="400" w:lineRule="exact"/>
        <w:ind w:left="0" w:right="0" w:rightChars="0"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5、付款方式：</w:t>
      </w:r>
    </w:p>
    <w:p>
      <w:pPr>
        <w:keepNext w:val="0"/>
        <w:keepLines w:val="0"/>
        <w:pageBreakBefore w:val="0"/>
        <w:kinsoku/>
        <w:wordWrap/>
        <w:overflowPunct/>
        <w:topLinePunct w:val="0"/>
        <w:autoSpaceDE/>
        <w:autoSpaceDN/>
        <w:bidi w:val="0"/>
        <w:adjustRightInd/>
        <w:snapToGrid/>
        <w:spacing w:line="400" w:lineRule="exact"/>
        <w:ind w:left="0" w:right="0" w:rightChars="0"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按《浙江省财政厅关于进一步发挥政府采购政策 功能全力推动经济稳进提质的通知》（浙财采监〔2022〕3号）等文件要求执行，具体付款方式由双方协商后在合同中明确。</w:t>
      </w:r>
    </w:p>
    <w:p>
      <w:pPr>
        <w:pStyle w:val="4"/>
        <w:keepNext w:val="0"/>
        <w:keepLines w:val="0"/>
        <w:pageBreakBefore w:val="0"/>
        <w:kinsoku/>
        <w:wordWrap/>
        <w:overflowPunct/>
        <w:topLinePunct w:val="0"/>
        <w:autoSpaceDE/>
        <w:autoSpaceDN/>
        <w:bidi w:val="0"/>
        <w:adjustRightInd/>
        <w:snapToGrid/>
        <w:spacing w:after="0" w:line="400" w:lineRule="exact"/>
        <w:ind w:left="0" w:right="0" w:rightChars="0" w:firstLine="482"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6、供货地址：</w:t>
      </w:r>
      <w:r>
        <w:rPr>
          <w:rFonts w:hint="eastAsia" w:ascii="仿宋_GB2312" w:hAnsi="仿宋_GB2312" w:eastAsia="仿宋_GB2312" w:cs="仿宋_GB2312"/>
          <w:i w:val="0"/>
          <w:iCs w:val="0"/>
          <w:caps w:val="0"/>
          <w:spacing w:val="0"/>
          <w:sz w:val="24"/>
          <w:szCs w:val="24"/>
          <w:highlight w:val="none"/>
          <w:shd w:val="clear"/>
        </w:rPr>
        <w:t>浙江省绍兴市越城区人民中路641号</w:t>
      </w:r>
      <w:r>
        <w:rPr>
          <w:rFonts w:hint="eastAsia" w:ascii="仿宋_GB2312" w:hAnsi="仿宋_GB2312" w:eastAsia="仿宋_GB2312" w:cs="仿宋_GB2312"/>
          <w:sz w:val="24"/>
          <w:szCs w:val="24"/>
          <w:highlight w:val="none"/>
        </w:rPr>
        <w:t>绍兴市中医院</w:t>
      </w:r>
    </w:p>
    <w:p>
      <w:pPr>
        <w:kinsoku/>
        <w:wordWrap w:val="0"/>
        <w:overflowPunct/>
        <w:topLinePunct w:val="0"/>
        <w:bidi w:val="0"/>
        <w:spacing w:line="360" w:lineRule="auto"/>
        <w:ind w:left="720" w:leftChars="343" w:firstLine="1084" w:firstLineChars="300"/>
        <w:outlineLvl w:val="0"/>
        <w:rPr>
          <w:rFonts w:hint="eastAsia" w:ascii="仿宋_GB2312" w:hAnsi="仿宋_GB2312" w:eastAsia="仿宋_GB2312" w:cs="仿宋_GB2312"/>
          <w:b/>
          <w:color w:val="auto"/>
          <w:sz w:val="36"/>
          <w:szCs w:val="36"/>
          <w:highlight w:val="none"/>
        </w:r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eastAsia" w:ascii="仿宋_GB2312" w:hAnsi="仿宋_GB2312" w:eastAsia="仿宋_GB2312" w:cs="仿宋_GB2312"/>
          <w:b/>
          <w:color w:val="auto"/>
          <w:kern w:val="0"/>
          <w:sz w:val="36"/>
          <w:szCs w:val="36"/>
          <w:highlight w:val="none"/>
          <w:lang w:val="en"/>
        </w:rPr>
      </w:pPr>
      <w:r>
        <w:rPr>
          <w:rFonts w:hint="eastAsia" w:ascii="仿宋_GB2312" w:hAnsi="仿宋_GB2312" w:eastAsia="仿宋_GB2312" w:cs="仿宋_GB2312"/>
          <w:b/>
          <w:color w:val="auto"/>
          <w:kern w:val="0"/>
          <w:sz w:val="36"/>
          <w:szCs w:val="36"/>
          <w:highlight w:val="none"/>
        </w:rPr>
        <w:t>第四部分 拟签订的合同文本</w:t>
      </w:r>
    </w:p>
    <w:p>
      <w:pPr>
        <w:kinsoku/>
        <w:wordWrap w:val="0"/>
        <w:overflowPunct/>
        <w:topLinePunct w:val="0"/>
        <w:bidi w:val="0"/>
        <w:adjustRightInd/>
        <w:snapToGrid w:val="0"/>
        <w:spacing w:beforeAutospacing="0" w:afterAutospacing="0" w:line="440" w:lineRule="exact"/>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28"/>
          <w:szCs w:val="28"/>
          <w:highlight w:val="none"/>
        </w:rPr>
      </w:pPr>
    </w:p>
    <w:p>
      <w:pPr>
        <w:pStyle w:val="7"/>
        <w:kinsoku/>
        <w:wordWrap w:val="0"/>
        <w:overflowPunct/>
        <w:topLinePunct w:val="0"/>
        <w:bidi w:val="0"/>
        <w:rPr>
          <w:rFonts w:hint="eastAsia" w:ascii="仿宋_GB2312" w:hAnsi="仿宋_GB2312" w:eastAsia="仿宋_GB2312" w:cs="仿宋_GB2312"/>
          <w:b/>
          <w:color w:val="auto"/>
          <w:kern w:val="2"/>
          <w:sz w:val="32"/>
          <w:szCs w:val="32"/>
          <w:highlight w:val="none"/>
        </w:rPr>
      </w:pPr>
    </w:p>
    <w:p>
      <w:pPr>
        <w:kinsoku/>
        <w:wordWrap w:val="0"/>
        <w:overflowPunct/>
        <w:topLinePunct w:val="0"/>
        <w:bidi w:val="0"/>
        <w:adjustRightInd/>
        <w:spacing w:beforeAutospacing="0" w:afterAutospacing="0" w:line="440" w:lineRule="exact"/>
        <w:rPr>
          <w:rFonts w:hint="eastAsia" w:ascii="仿宋_GB2312" w:hAnsi="仿宋_GB2312" w:eastAsia="仿宋_GB2312" w:cs="仿宋_GB2312"/>
          <w:b/>
          <w:color w:val="auto"/>
          <w:kern w:val="0"/>
          <w:sz w:val="24"/>
          <w:szCs w:val="20"/>
          <w:highlight w:val="none"/>
        </w:rPr>
      </w:pPr>
    </w:p>
    <w:p>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政府采购合同参考范本</w:t>
      </w:r>
    </w:p>
    <w:p>
      <w:pPr>
        <w:kinsoku/>
        <w:wordWrap w:val="0"/>
        <w:overflowPunct/>
        <w:topLinePunct w:val="0"/>
        <w:bidi w:val="0"/>
        <w:adjustRightInd/>
        <w:spacing w:beforeAutospacing="0" w:afterAutospacing="0" w:line="440" w:lineRule="exact"/>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（货物类）</w:t>
      </w: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_GB2312" w:hAnsi="仿宋_GB2312" w:eastAsia="仿宋_GB2312" w:cs="仿宋_GB2312"/>
          <w:color w:val="auto"/>
          <w:sz w:val="24"/>
          <w:szCs w:val="24"/>
          <w:highlight w:val="none"/>
          <w:lang w:val="en-US" w:eastAsia="zh-CN" w:bidi="ar-SA"/>
        </w:rPr>
      </w:pP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_GB2312" w:hAnsi="仿宋_GB2312" w:eastAsia="仿宋_GB2312" w:cs="仿宋_GB2312"/>
          <w:color w:val="auto"/>
          <w:sz w:val="24"/>
          <w:szCs w:val="24"/>
          <w:highlight w:val="none"/>
          <w:lang w:val="en-US" w:eastAsia="zh-CN" w:bidi="ar-SA"/>
        </w:rPr>
      </w:pP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项目名称：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合同编号：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甲    方：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乙    方：                             </w:t>
      </w:r>
    </w:p>
    <w:p>
      <w:pPr>
        <w:kinsoku/>
        <w:wordWrap w:val="0"/>
        <w:overflowPunct/>
        <w:topLinePunct w:val="0"/>
        <w:bidi w:val="0"/>
        <w:adjustRightInd/>
        <w:spacing w:beforeAutospacing="0" w:afterAutospacing="0" w:line="440" w:lineRule="exact"/>
        <w:ind w:firstLine="1800" w:firstLineChars="750"/>
        <w:rPr>
          <w:rFonts w:hint="eastAsia" w:ascii="仿宋_GB2312" w:hAnsi="仿宋_GB2312" w:eastAsia="仿宋_GB2312" w:cs="仿宋_GB2312"/>
          <w:color w:val="auto"/>
          <w:kern w:val="0"/>
          <w:sz w:val="24"/>
          <w:szCs w:val="20"/>
          <w:highlight w:val="none"/>
          <w:u w:val="single"/>
          <w:lang w:val="zh-CN"/>
        </w:rPr>
      </w:pPr>
      <w:r>
        <w:rPr>
          <w:rFonts w:hint="eastAsia" w:ascii="仿宋_GB2312" w:hAnsi="仿宋_GB2312" w:eastAsia="仿宋_GB2312" w:cs="仿宋_GB2312"/>
          <w:color w:val="auto"/>
          <w:kern w:val="0"/>
          <w:sz w:val="24"/>
          <w:szCs w:val="20"/>
          <w:highlight w:val="none"/>
          <w:u w:val="single"/>
          <w:lang w:val="zh-CN"/>
        </w:rPr>
        <w:t xml:space="preserve">签订时间：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b/>
          <w:bCs/>
          <w:color w:val="auto"/>
          <w:kern w:val="0"/>
          <w:sz w:val="24"/>
          <w:szCs w:val="20"/>
          <w:highlight w:val="none"/>
          <w:lang w:eastAsia="zh-CN"/>
        </w:rPr>
        <w:t>使</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用</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说</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lang w:eastAsia="zh-CN"/>
        </w:rPr>
        <w:t>明</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1.本合同标准文本适用于购买现成货物的采购项目，不包括需要供应商定制开发、创新研发的货物采购项目。</w:t>
      </w: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2.本合同标准文本为政府采购货物买卖合同编制提供参考，可以结合采购项目具体情况，对文本作必要的调整修订后使用。</w:t>
      </w:r>
    </w:p>
    <w:p>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pPr>
        <w:kinsoku/>
        <w:wordWrap w:val="0"/>
        <w:overflowPunct/>
        <w:topLinePunct w:val="0"/>
        <w:bidi w:val="0"/>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sz w:val="24"/>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_GB2312" w:hAnsi="仿宋_GB2312" w:eastAsia="仿宋_GB2312" w:cs="仿宋_GB2312"/>
          <w:color w:val="auto"/>
          <w:kern w:val="0"/>
          <w:sz w:val="24"/>
          <w:szCs w:val="20"/>
          <w:highlight w:val="none"/>
        </w:rPr>
      </w:pPr>
      <w:bookmarkStart w:id="44" w:name="_Toc22209"/>
      <w:r>
        <w:rPr>
          <w:rFonts w:hint="eastAsia" w:ascii="仿宋_GB2312" w:hAnsi="仿宋_GB2312" w:eastAsia="仿宋_GB2312" w:cs="仿宋_GB2312"/>
          <w:b/>
          <w:bCs/>
          <w:color w:val="auto"/>
          <w:kern w:val="0"/>
          <w:sz w:val="24"/>
          <w:szCs w:val="20"/>
          <w:highlight w:val="none"/>
        </w:rPr>
        <w:t>第一节 政府采购合同协议书</w:t>
      </w:r>
      <w:bookmarkEnd w:id="44"/>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甲方（全称）：                   </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（采购人</w:t>
      </w:r>
      <w:r>
        <w:rPr>
          <w:rFonts w:hint="eastAsia" w:ascii="仿宋_GB2312" w:hAnsi="仿宋_GB2312" w:eastAsia="仿宋_GB2312" w:cs="仿宋_GB2312"/>
          <w:color w:val="auto"/>
          <w:kern w:val="0"/>
          <w:sz w:val="24"/>
          <w:szCs w:val="20"/>
          <w:highlight w:val="none"/>
          <w:lang w:eastAsia="zh-CN"/>
        </w:rPr>
        <w:t>、受采购人委托签订合同的单位</w:t>
      </w:r>
      <w:r>
        <w:rPr>
          <w:rFonts w:hint="eastAsia" w:ascii="仿宋_GB2312" w:hAnsi="仿宋_GB2312" w:eastAsia="仿宋_GB2312" w:cs="仿宋_GB2312"/>
          <w:color w:val="auto"/>
          <w:kern w:val="0"/>
          <w:sz w:val="24"/>
          <w:szCs w:val="20"/>
          <w:highlight w:val="none"/>
        </w:rPr>
        <w:t>或采购</w:t>
      </w:r>
    </w:p>
    <w:p>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文件约定的合同甲方）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 xml:space="preserve">（全称）：                </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 xml:space="preserve"> （供应商）</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乙方2（全称）：                  （联合体成员供应商或其他合同主体）（如有）</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lang w:val="en-US" w:eastAsia="zh-CN"/>
        </w:rPr>
        <w:t>3（全称）：</w:t>
      </w:r>
      <w:r>
        <w:rPr>
          <w:rFonts w:hint="eastAsia" w:ascii="仿宋_GB2312" w:hAnsi="仿宋_GB2312" w:eastAsia="仿宋_GB2312" w:cs="仿宋_GB2312"/>
          <w:color w:val="auto"/>
          <w:kern w:val="0"/>
          <w:sz w:val="24"/>
          <w:szCs w:val="20"/>
          <w:highlight w:val="none"/>
        </w:rPr>
        <w:t xml:space="preserve">                  （联合体成员供应商或其他合同主体）（如有）</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p>
    <w:p>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依据《中华人民共和国民法典》</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《中华人民共和国政府采购法》等有关的法律法规，以及</w:t>
      </w:r>
      <w:r>
        <w:rPr>
          <w:rFonts w:hint="eastAsia" w:ascii="仿宋_GB2312" w:hAnsi="仿宋_GB2312" w:eastAsia="仿宋_GB2312" w:cs="仿宋_GB2312"/>
          <w:color w:val="auto"/>
          <w:kern w:val="0"/>
          <w:sz w:val="24"/>
          <w:szCs w:val="20"/>
          <w:highlight w:val="none"/>
          <w:lang w:eastAsia="zh-CN"/>
        </w:rPr>
        <w:t>本采购项目</w:t>
      </w:r>
      <w:r>
        <w:rPr>
          <w:rFonts w:hint="eastAsia" w:ascii="仿宋_GB2312" w:hAnsi="仿宋_GB2312" w:eastAsia="仿宋_GB2312" w:cs="仿宋_GB2312"/>
          <w:color w:val="auto"/>
          <w:kern w:val="0"/>
          <w:sz w:val="24"/>
          <w:szCs w:val="20"/>
          <w:highlight w:val="none"/>
        </w:rPr>
        <w:t>的</w:t>
      </w:r>
      <w:r>
        <w:rPr>
          <w:rFonts w:hint="eastAsia" w:ascii="仿宋_GB2312" w:hAnsi="仿宋_GB2312" w:eastAsia="仿宋_GB2312" w:cs="仿宋_GB2312"/>
          <w:color w:val="auto"/>
          <w:kern w:val="0"/>
          <w:sz w:val="24"/>
          <w:szCs w:val="20"/>
          <w:highlight w:val="none"/>
          <w:lang w:eastAsia="zh-CN"/>
        </w:rPr>
        <w:t>招标</w:t>
      </w:r>
      <w:r>
        <w:rPr>
          <w:rFonts w:hint="eastAsia" w:ascii="仿宋_GB2312" w:hAnsi="仿宋_GB2312" w:eastAsia="仿宋_GB2312" w:cs="仿宋_GB2312"/>
          <w:color w:val="auto"/>
          <w:kern w:val="0"/>
          <w:sz w:val="24"/>
          <w:szCs w:val="20"/>
          <w:highlight w:val="none"/>
          <w:lang w:val="en-US" w:eastAsia="zh-CN"/>
        </w:rPr>
        <w:t>/谈判</w:t>
      </w:r>
      <w:r>
        <w:rPr>
          <w:rFonts w:hint="eastAsia" w:ascii="仿宋_GB2312" w:hAnsi="仿宋_GB2312" w:eastAsia="仿宋_GB2312" w:cs="仿宋_GB2312"/>
          <w:color w:val="auto"/>
          <w:kern w:val="0"/>
          <w:sz w:val="24"/>
          <w:szCs w:val="20"/>
          <w:highlight w:val="none"/>
          <w:lang w:eastAsia="zh-CN"/>
        </w:rPr>
        <w:t>文件等</w:t>
      </w:r>
      <w:r>
        <w:rPr>
          <w:rFonts w:hint="eastAsia" w:ascii="仿宋_GB2312" w:hAnsi="仿宋_GB2312" w:eastAsia="仿宋_GB2312" w:cs="仿宋_GB2312"/>
          <w:color w:val="auto"/>
          <w:kern w:val="0"/>
          <w:sz w:val="24"/>
          <w:szCs w:val="20"/>
          <w:highlight w:val="none"/>
        </w:rPr>
        <w:t>采购文件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 xml:space="preserve">乙方的《投标（响应）文件》及《中标（成交）通知书》，甲乙双方同意签订本合同。具体情况及要求如下：     </w:t>
      </w:r>
    </w:p>
    <w:p>
      <w:pPr>
        <w:numPr>
          <w:ilvl w:val="0"/>
          <w:numId w:val="4"/>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项目信息</w:t>
      </w:r>
    </w:p>
    <w:p>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rPr>
        <w:t>1</w:t>
      </w:r>
      <w:r>
        <w:rPr>
          <w:rFonts w:hint="eastAsia" w:ascii="仿宋_GB2312" w:hAnsi="仿宋_GB2312" w:eastAsia="仿宋_GB2312" w:cs="仿宋_GB2312"/>
          <w:color w:val="auto"/>
          <w:kern w:val="0"/>
          <w:sz w:val="24"/>
          <w:szCs w:val="20"/>
          <w:highlight w:val="none"/>
        </w:rPr>
        <w:t>）采购项目名称：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采购项目编号：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numPr>
          <w:ilvl w:val="0"/>
          <w:numId w:val="5"/>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采购计划编号：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numPr>
          <w:ilvl w:val="0"/>
          <w:numId w:val="5"/>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项目内容：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采购标的及数量</w:t>
      </w:r>
      <w:r>
        <w:rPr>
          <w:rFonts w:hint="eastAsia" w:ascii="仿宋_GB2312" w:hAnsi="仿宋_GB2312" w:eastAsia="仿宋_GB2312" w:cs="仿宋_GB2312"/>
          <w:color w:val="auto"/>
          <w:kern w:val="0"/>
          <w:sz w:val="24"/>
          <w:szCs w:val="20"/>
          <w:highlight w:val="none"/>
          <w:lang w:val="en-US" w:eastAsia="zh-CN"/>
        </w:rPr>
        <w:t>（台/套</w:t>
      </w:r>
      <w:r>
        <w:rPr>
          <w:rFonts w:hint="eastAsia" w:ascii="仿宋_GB2312" w:hAnsi="仿宋_GB2312" w:eastAsia="仿宋_GB2312" w:cs="仿宋_GB2312"/>
          <w:color w:val="auto"/>
          <w:kern w:val="0"/>
          <w:sz w:val="24"/>
          <w:szCs w:val="20"/>
          <w:highlight w:val="none"/>
          <w:lang w:val="en" w:eastAsia="zh-CN"/>
        </w:rPr>
        <w:t>/个/架/组等</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 w:eastAsia="zh-CN"/>
        </w:rPr>
        <w:t xml:space="preserve">   </w:t>
      </w:r>
      <w:r>
        <w:rPr>
          <w:rFonts w:hint="eastAsia" w:ascii="仿宋_GB2312" w:hAnsi="仿宋_GB2312" w:eastAsia="仿宋_GB2312" w:cs="仿宋_GB2312"/>
          <w:color w:val="auto"/>
          <w:kern w:val="0"/>
          <w:sz w:val="24"/>
          <w:szCs w:val="20"/>
          <w:highlight w:val="none"/>
          <w:lang w:val="en-US" w:eastAsia="zh-CN"/>
        </w:rPr>
        <w:t>规格型号：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采购标的的技术要求、商务要求具体见附件。</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①涉及信息类产品，请填写该产品关键部件的品牌、型号：</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标的名称：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lang w:val="en-US" w:eastAsia="zh-CN"/>
        </w:rPr>
        <w:t xml:space="preserve">        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关键部件：</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型号：</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②涉及车辆采购，请填写是否属于新能源汽车：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，《政府采购品目分类目录》底级品目名称</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数量：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val="en" w:eastAsia="zh-CN"/>
        </w:rPr>
        <w:t>4</w:t>
      </w:r>
      <w:r>
        <w:rPr>
          <w:rFonts w:hint="eastAsia" w:ascii="仿宋_GB2312" w:hAnsi="仿宋_GB2312" w:eastAsia="仿宋_GB2312" w:cs="仿宋_GB2312"/>
          <w:color w:val="auto"/>
          <w:kern w:val="0"/>
          <w:sz w:val="24"/>
          <w:szCs w:val="20"/>
          <w:highlight w:val="none"/>
          <w:lang w:val="en-US" w:eastAsia="zh-CN"/>
        </w:rPr>
        <w:t>）政府采购组织形式：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政府集中采购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 xml:space="preserve">部门集中采购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分散采购</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5</w:t>
      </w:r>
      <w:r>
        <w:rPr>
          <w:rFonts w:hint="eastAsia" w:ascii="仿宋_GB2312" w:hAnsi="仿宋_GB2312" w:eastAsia="仿宋_GB2312" w:cs="仿宋_GB2312"/>
          <w:color w:val="auto"/>
          <w:kern w:val="0"/>
          <w:sz w:val="24"/>
          <w:szCs w:val="20"/>
          <w:highlight w:val="none"/>
          <w:lang w:val="en-US" w:eastAsia="zh-CN"/>
        </w:rPr>
        <w:t>）政府采购方式：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公开招标</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邀请招标</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竞争性谈判</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竞争性磋商</w:t>
      </w:r>
    </w:p>
    <w:p>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询价</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单一来源</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框架协议</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（注：在框架协议采购的第二阶段，可选择使用该合同文本）</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6</w:t>
      </w:r>
      <w:r>
        <w:rPr>
          <w:rFonts w:hint="eastAsia" w:ascii="仿宋_GB2312" w:hAnsi="仿宋_GB2312" w:eastAsia="仿宋_GB2312" w:cs="仿宋_GB2312"/>
          <w:color w:val="auto"/>
          <w:kern w:val="0"/>
          <w:sz w:val="24"/>
          <w:szCs w:val="20"/>
          <w:highlight w:val="none"/>
          <w:lang w:val="en-US" w:eastAsia="zh-CN"/>
        </w:rPr>
        <w:t>）中标（成交）采购标的制造商是否为中小企业：</w:t>
      </w:r>
      <w:r>
        <w:rPr>
          <w:rFonts w:hint="eastAsia" w:ascii="仿宋_GB2312" w:hAnsi="仿宋_GB2312" w:eastAsia="仿宋_GB2312" w:cs="仿宋_GB2312"/>
          <w:color w:val="auto"/>
          <w:kern w:val="0"/>
          <w:sz w:val="24"/>
          <w:szCs w:val="20"/>
          <w:highlight w:val="none"/>
          <w:lang w:val="en-US" w:eastAsia="zh-CN"/>
        </w:rPr>
        <w:sym w:font="Wingdings" w:char="00A8"/>
      </w:r>
      <w:r>
        <w:rPr>
          <w:rFonts w:hint="eastAsia" w:ascii="仿宋_GB2312" w:hAnsi="仿宋_GB2312" w:eastAsia="仿宋_GB2312" w:cs="仿宋_GB2312"/>
          <w:color w:val="auto"/>
          <w:kern w:val="0"/>
          <w:sz w:val="24"/>
          <w:szCs w:val="20"/>
          <w:highlight w:val="none"/>
          <w:lang w:val="en-US" w:eastAsia="zh-CN"/>
        </w:rPr>
        <w:t xml:space="preserve">是      </w:t>
      </w:r>
      <w:r>
        <w:rPr>
          <w:rFonts w:hint="eastAsia" w:ascii="仿宋_GB2312" w:hAnsi="仿宋_GB2312" w:eastAsia="仿宋_GB2312" w:cs="仿宋_GB2312"/>
          <w:color w:val="auto"/>
          <w:kern w:val="0"/>
          <w:sz w:val="24"/>
          <w:szCs w:val="20"/>
          <w:highlight w:val="none"/>
          <w:lang w:val="en-US" w:eastAsia="zh-CN"/>
        </w:rPr>
        <w:sym w:font="Wingdings" w:char="00A8"/>
      </w:r>
      <w:r>
        <w:rPr>
          <w:rFonts w:hint="eastAsia" w:ascii="仿宋_GB2312" w:hAnsi="仿宋_GB2312" w:eastAsia="仿宋_GB2312" w:cs="仿宋_GB2312"/>
          <w:color w:val="auto"/>
          <w:kern w:val="0"/>
          <w:sz w:val="24"/>
          <w:szCs w:val="20"/>
          <w:highlight w:val="none"/>
          <w:lang w:val="en-US"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本合同</w:t>
      </w:r>
      <w:r>
        <w:rPr>
          <w:rFonts w:hint="eastAsia" w:ascii="仿宋_GB2312" w:hAnsi="仿宋_GB2312" w:eastAsia="仿宋_GB2312" w:cs="仿宋_GB2312"/>
          <w:color w:val="auto"/>
          <w:kern w:val="0"/>
          <w:sz w:val="24"/>
          <w:szCs w:val="20"/>
          <w:highlight w:val="none"/>
        </w:rPr>
        <w:t>是否</w:t>
      </w:r>
      <w:r>
        <w:rPr>
          <w:rFonts w:hint="eastAsia" w:ascii="仿宋_GB2312" w:hAnsi="仿宋_GB2312" w:eastAsia="仿宋_GB2312" w:cs="仿宋_GB2312"/>
          <w:color w:val="auto"/>
          <w:kern w:val="0"/>
          <w:sz w:val="24"/>
          <w:szCs w:val="20"/>
          <w:highlight w:val="none"/>
          <w:lang w:eastAsia="zh-CN"/>
        </w:rPr>
        <w:t>为专门面向</w:t>
      </w:r>
      <w:r>
        <w:rPr>
          <w:rFonts w:hint="eastAsia" w:ascii="仿宋_GB2312" w:hAnsi="仿宋_GB2312" w:eastAsia="仿宋_GB2312" w:cs="仿宋_GB2312"/>
          <w:color w:val="auto"/>
          <w:kern w:val="0"/>
          <w:sz w:val="24"/>
          <w:szCs w:val="20"/>
          <w:highlight w:val="none"/>
        </w:rPr>
        <w:t>中小企业</w:t>
      </w:r>
      <w:r>
        <w:rPr>
          <w:rFonts w:hint="eastAsia" w:ascii="仿宋_GB2312" w:hAnsi="仿宋_GB2312" w:eastAsia="仿宋_GB2312" w:cs="仿宋_GB2312"/>
          <w:color w:val="auto"/>
          <w:kern w:val="0"/>
          <w:sz w:val="24"/>
          <w:szCs w:val="20"/>
          <w:highlight w:val="none"/>
          <w:lang w:eastAsia="zh-CN"/>
        </w:rPr>
        <w:t>的采购</w:t>
      </w:r>
      <w:r>
        <w:rPr>
          <w:rFonts w:hint="eastAsia" w:ascii="仿宋_GB2312" w:hAnsi="仿宋_GB2312" w:eastAsia="仿宋_GB2312" w:cs="仿宋_GB2312"/>
          <w:color w:val="auto"/>
          <w:kern w:val="0"/>
          <w:sz w:val="24"/>
          <w:szCs w:val="20"/>
          <w:highlight w:val="none"/>
        </w:rPr>
        <w:t>合同</w:t>
      </w:r>
      <w:r>
        <w:rPr>
          <w:rFonts w:hint="eastAsia" w:ascii="仿宋_GB2312" w:hAnsi="仿宋_GB2312" w:eastAsia="仿宋_GB2312" w:cs="仿宋_GB2312"/>
          <w:color w:val="auto"/>
          <w:kern w:val="0"/>
          <w:sz w:val="24"/>
          <w:szCs w:val="20"/>
          <w:highlight w:val="none"/>
          <w:lang w:eastAsia="zh-CN"/>
        </w:rPr>
        <w:t>（中小企业预留合同）</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若本项目不专门面向中小企业采购，是否给予小微企业评审优惠：</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中标（成交）采购标的制造商是否为残疾人福利性单位：</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中标（成交）采购标的制造商是否为监狱企业：</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 w:eastAsia="zh-CN"/>
        </w:rPr>
        <w:t>7</w:t>
      </w:r>
      <w:r>
        <w:rPr>
          <w:rFonts w:hint="eastAsia" w:ascii="仿宋_GB2312" w:hAnsi="仿宋_GB2312" w:eastAsia="仿宋_GB2312" w:cs="仿宋_GB2312"/>
          <w:color w:val="auto"/>
          <w:kern w:val="0"/>
          <w:sz w:val="24"/>
          <w:szCs w:val="20"/>
          <w:highlight w:val="none"/>
        </w:rPr>
        <w:t>）合同是否分包：</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分包主要内容：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分包供应商</w:t>
      </w:r>
      <w:r>
        <w:rPr>
          <w:rFonts w:hint="eastAsia" w:ascii="仿宋_GB2312" w:hAnsi="仿宋_GB2312" w:eastAsia="仿宋_GB2312" w:cs="仿宋_GB2312"/>
          <w:color w:val="auto"/>
          <w:kern w:val="0"/>
          <w:sz w:val="24"/>
          <w:szCs w:val="20"/>
          <w:highlight w:val="none"/>
          <w:lang w:eastAsia="zh-CN"/>
        </w:rPr>
        <w:t>/制造商</w:t>
      </w:r>
      <w:r>
        <w:rPr>
          <w:rFonts w:hint="eastAsia" w:ascii="仿宋_GB2312" w:hAnsi="仿宋_GB2312" w:eastAsia="仿宋_GB2312" w:cs="仿宋_GB2312"/>
          <w:color w:val="auto"/>
          <w:kern w:val="0"/>
          <w:sz w:val="24"/>
          <w:szCs w:val="20"/>
          <w:highlight w:val="none"/>
        </w:rPr>
        <w:t>名称</w:t>
      </w:r>
      <w:r>
        <w:rPr>
          <w:rFonts w:hint="eastAsia" w:ascii="仿宋_GB2312" w:hAnsi="仿宋_GB2312" w:eastAsia="仿宋_GB2312" w:cs="仿宋_GB2312"/>
          <w:color w:val="auto"/>
          <w:kern w:val="0"/>
          <w:sz w:val="24"/>
          <w:szCs w:val="20"/>
          <w:highlight w:val="none"/>
          <w:lang w:eastAsia="zh-CN"/>
        </w:rPr>
        <w:t>（如供应商和制造商不同，请分别填写）</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分包供应商</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eastAsia="zh-CN"/>
        </w:rPr>
        <w:t>制造商</w:t>
      </w:r>
      <w:r>
        <w:rPr>
          <w:rFonts w:hint="eastAsia" w:ascii="仿宋_GB2312" w:hAnsi="仿宋_GB2312" w:eastAsia="仿宋_GB2312" w:cs="仿宋_GB2312"/>
          <w:color w:val="auto"/>
          <w:kern w:val="0"/>
          <w:sz w:val="24"/>
          <w:szCs w:val="20"/>
          <w:highlight w:val="none"/>
        </w:rPr>
        <w:t>类型</w:t>
      </w:r>
      <w:r>
        <w:rPr>
          <w:rFonts w:hint="eastAsia" w:ascii="仿宋_GB2312" w:hAnsi="仿宋_GB2312" w:eastAsia="仿宋_GB2312" w:cs="仿宋_GB2312"/>
          <w:color w:val="auto"/>
          <w:kern w:val="0"/>
          <w:sz w:val="24"/>
          <w:szCs w:val="20"/>
          <w:highlight w:val="none"/>
          <w:lang w:eastAsia="zh-CN"/>
        </w:rPr>
        <w:t>（如果供应商和制造商不同，只填写制造商类型）</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大型企业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中型企业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小微型企业</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残疾人福利性单位</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监狱</w:t>
      </w:r>
      <w:r>
        <w:rPr>
          <w:rFonts w:hint="eastAsia" w:ascii="仿宋_GB2312" w:hAnsi="仿宋_GB2312" w:eastAsia="仿宋_GB2312" w:cs="仿宋_GB2312"/>
          <w:color w:val="auto"/>
          <w:kern w:val="0"/>
          <w:sz w:val="24"/>
          <w:szCs w:val="20"/>
          <w:highlight w:val="none"/>
        </w:rPr>
        <w:t>企业</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val="en" w:eastAsia="zh-CN"/>
        </w:rPr>
        <w:t>8</w:t>
      </w:r>
      <w:r>
        <w:rPr>
          <w:rFonts w:hint="eastAsia" w:ascii="仿宋_GB2312" w:hAnsi="仿宋_GB2312" w:eastAsia="仿宋_GB2312" w:cs="仿宋_GB2312"/>
          <w:color w:val="auto"/>
          <w:kern w:val="0"/>
          <w:sz w:val="24"/>
          <w:szCs w:val="20"/>
          <w:highlight w:val="none"/>
          <w:lang w:val="en-US" w:eastAsia="zh-CN"/>
        </w:rPr>
        <w:t>）中标（成交）供应商是否为外商投资企业：</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外商投资企业类型：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 xml:space="preserve">全部由外国投资者投资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val="en-US" w:eastAsia="zh-CN"/>
        </w:rPr>
        <w:t>部分由外国投资者投资</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24"/>
          <w:szCs w:val="20"/>
          <w:highlight w:val="none"/>
          <w:lang w:val="en" w:eastAsia="zh-CN"/>
        </w:rPr>
        <w:t>9</w:t>
      </w:r>
      <w:r>
        <w:rPr>
          <w:rFonts w:hint="eastAsia" w:ascii="仿宋_GB2312" w:hAnsi="仿宋_GB2312" w:eastAsia="仿宋_GB2312" w:cs="仿宋_GB2312"/>
          <w:color w:val="auto"/>
          <w:kern w:val="0"/>
          <w:sz w:val="24"/>
          <w:szCs w:val="20"/>
          <w:highlight w:val="none"/>
          <w:lang w:val="en-US" w:eastAsia="zh-CN"/>
        </w:rPr>
        <w:t>）是否涉及进口产品：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，《政府采购品目分类目录》底级品目名称</w:t>
      </w:r>
      <w:r>
        <w:rPr>
          <w:rFonts w:hint="eastAsia" w:ascii="仿宋_GB2312" w:hAnsi="仿宋_GB2312" w:eastAsia="仿宋_GB2312" w:cs="仿宋_GB2312"/>
          <w:color w:val="auto"/>
          <w:kern w:val="0"/>
          <w:sz w:val="24"/>
          <w:szCs w:val="20"/>
          <w:highlight w:val="none"/>
          <w:lang w:val="en-US"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国别：</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品牌：</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规格型号：</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（1</w:t>
      </w:r>
      <w:r>
        <w:rPr>
          <w:rFonts w:hint="eastAsia" w:ascii="仿宋_GB2312" w:hAnsi="仿宋_GB2312" w:eastAsia="仿宋_GB2312" w:cs="仿宋_GB2312"/>
          <w:color w:val="auto"/>
          <w:kern w:val="0"/>
          <w:sz w:val="24"/>
          <w:szCs w:val="20"/>
          <w:highlight w:val="none"/>
          <w:lang w:val="en" w:eastAsia="zh-CN"/>
        </w:rPr>
        <w:t>0</w:t>
      </w:r>
      <w:r>
        <w:rPr>
          <w:rFonts w:hint="eastAsia" w:ascii="仿宋_GB2312" w:hAnsi="仿宋_GB2312" w:eastAsia="仿宋_GB2312" w:cs="仿宋_GB2312"/>
          <w:color w:val="auto"/>
          <w:kern w:val="0"/>
          <w:sz w:val="24"/>
          <w:szCs w:val="20"/>
          <w:highlight w:val="none"/>
          <w:lang w:val="en-US" w:eastAsia="zh-CN"/>
        </w:rPr>
        <w:t>）是否涉及节能产品：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，《节能产品政府采购品目清单》的底级品目名称：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是否涉及环境标志产品：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，《环境标志产品政府采购品目清单》的底级品目名称：</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是否涉及绿色产品：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，绿色产品政府采购相关政策确定的底级品目名称：</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强制采购</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优先采购</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lang w:val="en" w:eastAsia="zh-CN"/>
        </w:rPr>
        <w:t>1</w:t>
      </w:r>
      <w:r>
        <w:rPr>
          <w:rFonts w:hint="eastAsia" w:ascii="仿宋_GB2312" w:hAnsi="仿宋_GB2312" w:eastAsia="仿宋_GB2312" w:cs="仿宋_GB2312"/>
          <w:color w:val="auto"/>
          <w:kern w:val="0"/>
          <w:sz w:val="24"/>
          <w:szCs w:val="20"/>
          <w:highlight w:val="none"/>
          <w:lang w:val="en-US" w:eastAsia="zh-CN"/>
        </w:rPr>
        <w:t>）涉及商品包装和快递包装的，是否参考</w:t>
      </w:r>
      <w:r>
        <w:rPr>
          <w:rFonts w:hint="eastAsia" w:ascii="仿宋_GB2312" w:hAnsi="仿宋_GB2312" w:eastAsia="仿宋_GB2312" w:cs="仿宋_GB2312"/>
          <w:color w:val="auto"/>
          <w:kern w:val="0"/>
          <w:sz w:val="24"/>
          <w:szCs w:val="20"/>
          <w:highlight w:val="none"/>
        </w:rPr>
        <w:t>《商品包装政府采购需求标准（试行）》、《快递包装政府采购需求标准（试行）》</w:t>
      </w:r>
      <w:r>
        <w:rPr>
          <w:rFonts w:hint="eastAsia" w:ascii="仿宋_GB2312" w:hAnsi="仿宋_GB2312" w:eastAsia="仿宋_GB2312" w:cs="仿宋_GB2312"/>
          <w:color w:val="auto"/>
          <w:kern w:val="0"/>
          <w:sz w:val="24"/>
          <w:szCs w:val="20"/>
          <w:highlight w:val="none"/>
          <w:lang w:eastAsia="zh-CN"/>
        </w:rPr>
        <w:t>明确产品及相关快递服务的具体包装要求：</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不涉及</w:t>
      </w:r>
    </w:p>
    <w:p>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w:t>
      </w:r>
      <w:r>
        <w:rPr>
          <w:rFonts w:hint="eastAsia" w:ascii="仿宋_GB2312" w:hAnsi="仿宋_GB2312" w:eastAsia="仿宋_GB2312" w:cs="仿宋_GB2312"/>
          <w:b/>
          <w:bCs/>
          <w:color w:val="auto"/>
          <w:kern w:val="0"/>
          <w:sz w:val="24"/>
          <w:szCs w:val="20"/>
          <w:highlight w:val="none"/>
        </w:rPr>
        <w:t>合同金额</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（1）合同金额小写：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大写：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34"/>
          <w:szCs w:val="21"/>
          <w:highlight w:val="none"/>
          <w:u w:val="single"/>
          <w:lang w:val="en-US"/>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分包金额</w:t>
      </w:r>
      <w:r>
        <w:rPr>
          <w:rFonts w:hint="eastAsia" w:ascii="仿宋_GB2312" w:hAnsi="仿宋_GB2312" w:eastAsia="仿宋_GB2312" w:cs="仿宋_GB2312"/>
          <w:color w:val="auto"/>
          <w:kern w:val="0"/>
          <w:sz w:val="24"/>
          <w:szCs w:val="20"/>
          <w:highlight w:val="none"/>
          <w:lang w:eastAsia="zh-CN"/>
        </w:rPr>
        <w:t>（如有）</w:t>
      </w:r>
      <w:r>
        <w:rPr>
          <w:rFonts w:hint="eastAsia" w:ascii="仿宋_GB2312" w:hAnsi="仿宋_GB2312" w:eastAsia="仿宋_GB2312" w:cs="仿宋_GB2312"/>
          <w:color w:val="auto"/>
          <w:kern w:val="0"/>
          <w:sz w:val="24"/>
          <w:szCs w:val="20"/>
          <w:highlight w:val="none"/>
        </w:rPr>
        <w:t>小写：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大写：</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（注：固定单价合同应填写单价和最高限价）</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合同定价方式</w:t>
      </w:r>
      <w:r>
        <w:rPr>
          <w:rFonts w:hint="eastAsia" w:ascii="仿宋_GB2312" w:hAnsi="仿宋_GB2312" w:eastAsia="仿宋_GB2312" w:cs="仿宋_GB2312"/>
          <w:color w:val="auto"/>
          <w:kern w:val="0"/>
          <w:sz w:val="24"/>
          <w:szCs w:val="20"/>
          <w:highlight w:val="none"/>
          <w:lang w:eastAsia="zh-CN"/>
        </w:rPr>
        <w:t>（采用组合定价方式的，可以勾选多项）</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固定总价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固定单价</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固定费率</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成本补偿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绩效激励</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其他</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）付款方式（按项目实际勾选填写）：</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34"/>
          <w:szCs w:val="21"/>
          <w:highlight w:val="none"/>
          <w:u w:val="singl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全额付款：</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4"/>
          <w:highlight w:val="none"/>
          <w:u w:val="single"/>
        </w:rPr>
        <w:t>（应</w:t>
      </w:r>
      <w:r>
        <w:rPr>
          <w:rFonts w:hint="eastAsia" w:ascii="仿宋_GB2312" w:hAnsi="仿宋_GB2312" w:eastAsia="仿宋_GB2312" w:cs="仿宋_GB2312"/>
          <w:color w:val="auto"/>
          <w:kern w:val="0"/>
          <w:sz w:val="24"/>
          <w:szCs w:val="24"/>
          <w:highlight w:val="none"/>
          <w:u w:val="single"/>
          <w:lang w:eastAsia="zh-CN"/>
        </w:rPr>
        <w:t>明确</w:t>
      </w:r>
      <w:r>
        <w:rPr>
          <w:rFonts w:hint="eastAsia" w:ascii="仿宋_GB2312" w:hAnsi="仿宋_GB2312" w:eastAsia="仿宋_GB2312" w:cs="仿宋_GB2312"/>
          <w:color w:val="auto"/>
          <w:kern w:val="0"/>
          <w:sz w:val="24"/>
          <w:szCs w:val="24"/>
          <w:highlight w:val="none"/>
          <w:u w:val="single"/>
        </w:rPr>
        <w:t>一次性支付合同款项</w:t>
      </w:r>
      <w:r>
        <w:rPr>
          <w:rFonts w:hint="eastAsia" w:ascii="仿宋_GB2312" w:hAnsi="仿宋_GB2312" w:eastAsia="仿宋_GB2312" w:cs="仿宋_GB2312"/>
          <w:color w:val="auto"/>
          <w:kern w:val="0"/>
          <w:sz w:val="24"/>
          <w:szCs w:val="24"/>
          <w:highlight w:val="none"/>
          <w:u w:val="single"/>
          <w:lang w:eastAsia="zh-CN"/>
        </w:rPr>
        <w:t>的条件</w:t>
      </w:r>
      <w:r>
        <w:rPr>
          <w:rFonts w:hint="eastAsia" w:ascii="仿宋_GB2312" w:hAnsi="仿宋_GB2312" w:eastAsia="仿宋_GB2312" w:cs="仿宋_GB2312"/>
          <w:color w:val="auto"/>
          <w:kern w:val="0"/>
          <w:sz w:val="24"/>
          <w:szCs w:val="24"/>
          <w:highlight w:val="none"/>
          <w:u w:val="single"/>
        </w:rPr>
        <w:t>）</w:t>
      </w:r>
      <w:r>
        <w:rPr>
          <w:rFonts w:hint="eastAsia" w:ascii="仿宋_GB2312" w:hAnsi="仿宋_GB2312" w:eastAsia="仿宋_GB2312" w:cs="仿宋_GB2312"/>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4"/>
          <w:highlight w:val="none"/>
          <w:u w:val="single"/>
          <w:lang w:eastAsia="zh-CN"/>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分期付款：</w:t>
      </w:r>
      <w:r>
        <w:rPr>
          <w:rFonts w:hint="eastAsia" w:ascii="仿宋_GB2312" w:hAnsi="仿宋_GB2312" w:eastAsia="仿宋_GB2312" w:cs="仿宋_GB2312"/>
          <w:color w:val="auto"/>
          <w:kern w:val="0"/>
          <w:sz w:val="24"/>
          <w:szCs w:val="24"/>
          <w:highlight w:val="none"/>
          <w:u w:val="single"/>
        </w:rPr>
        <w:t xml:space="preserve">  （应明确分期支付合同款项的各期比例和支付条件</w:t>
      </w:r>
      <w:r>
        <w:rPr>
          <w:rFonts w:hint="eastAsia" w:ascii="仿宋_GB2312" w:hAnsi="仿宋_GB2312" w:eastAsia="仿宋_GB2312" w:cs="仿宋_GB2312"/>
          <w:color w:val="auto"/>
          <w:kern w:val="0"/>
          <w:sz w:val="24"/>
          <w:szCs w:val="24"/>
          <w:highlight w:val="none"/>
          <w:u w:val="single"/>
          <w:lang w:eastAsia="zh-CN"/>
        </w:rPr>
        <w:t>，各期支付条件</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4"/>
          <w:highlight w:val="none"/>
          <w:u w:val="single"/>
        </w:rPr>
      </w:pPr>
      <w:r>
        <w:rPr>
          <w:rFonts w:hint="eastAsia" w:ascii="仿宋_GB2312" w:hAnsi="仿宋_GB2312" w:eastAsia="仿宋_GB2312" w:cs="仿宋_GB2312"/>
          <w:color w:val="auto"/>
          <w:kern w:val="0"/>
          <w:sz w:val="24"/>
          <w:szCs w:val="24"/>
          <w:highlight w:val="none"/>
          <w:u w:val="single"/>
          <w:lang w:eastAsia="zh-CN"/>
        </w:rPr>
        <w:t>应与分期履约验收情况挂钩</w:t>
      </w:r>
      <w:r>
        <w:rPr>
          <w:rFonts w:hint="eastAsia" w:ascii="仿宋_GB2312" w:hAnsi="仿宋_GB2312" w:eastAsia="仿宋_GB2312" w:cs="仿宋_GB2312"/>
          <w:color w:val="auto"/>
          <w:kern w:val="0"/>
          <w:sz w:val="24"/>
          <w:szCs w:val="24"/>
          <w:highlight w:val="none"/>
          <w:u w:val="single"/>
        </w:rPr>
        <w:t xml:space="preserve">） </w:t>
      </w:r>
      <w:r>
        <w:rPr>
          <w:rFonts w:hint="eastAsia" w:ascii="仿宋_GB2312" w:hAnsi="仿宋_GB2312" w:eastAsia="仿宋_GB2312" w:cs="仿宋_GB2312"/>
          <w:color w:val="auto"/>
          <w:kern w:val="0"/>
          <w:sz w:val="24"/>
          <w:szCs w:val="20"/>
          <w:highlight w:val="none"/>
          <w:u w:val="none"/>
          <w:lang w:eastAsia="zh-CN"/>
        </w:rPr>
        <w:t>，</w:t>
      </w:r>
      <w:r>
        <w:rPr>
          <w:rFonts w:hint="eastAsia" w:ascii="仿宋_GB2312" w:hAnsi="仿宋_GB2312" w:eastAsia="仿宋_GB2312" w:cs="仿宋_GB2312"/>
          <w:color w:val="auto"/>
          <w:kern w:val="0"/>
          <w:sz w:val="24"/>
          <w:szCs w:val="20"/>
          <w:highlight w:val="none"/>
          <w:lang w:eastAsia="zh-CN"/>
        </w:rPr>
        <w:t>其中涉及预付款的</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4"/>
          <w:highlight w:val="none"/>
          <w:u w:val="single"/>
        </w:rPr>
        <w:t xml:space="preserve"> （应明确预付款的支付比例和支付条件）</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成本补偿：      （应明确按照成本补偿方式的支付方式和支付条件）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绩效激励：      （应明确按照绩效激励方式的支付方式和支付条件）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3.</w:t>
      </w:r>
      <w:r>
        <w:rPr>
          <w:rFonts w:hint="eastAsia" w:ascii="仿宋_GB2312" w:hAnsi="仿宋_GB2312" w:eastAsia="仿宋_GB2312" w:cs="仿宋_GB2312"/>
          <w:b/>
          <w:bCs/>
          <w:color w:val="auto"/>
          <w:kern w:val="0"/>
          <w:sz w:val="24"/>
          <w:szCs w:val="20"/>
          <w:highlight w:val="none"/>
        </w:rPr>
        <w:t>合同履行</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（1）起始日期：</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月</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日，完成日期：</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月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eastAsia="zh-CN"/>
        </w:rPr>
        <w:t>履约</w:t>
      </w:r>
      <w:r>
        <w:rPr>
          <w:rFonts w:hint="eastAsia" w:ascii="仿宋_GB2312" w:hAnsi="仿宋_GB2312" w:eastAsia="仿宋_GB2312" w:cs="仿宋_GB2312"/>
          <w:color w:val="auto"/>
          <w:kern w:val="0"/>
          <w:sz w:val="24"/>
          <w:szCs w:val="20"/>
          <w:highlight w:val="none"/>
        </w:rPr>
        <w:t>地点：</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（3）履约担保：</w:t>
      </w:r>
      <w:r>
        <w:rPr>
          <w:rFonts w:hint="eastAsia" w:ascii="仿宋_GB2312" w:hAnsi="仿宋_GB2312" w:eastAsia="仿宋_GB2312" w:cs="仿宋_GB2312"/>
          <w:color w:val="auto"/>
          <w:kern w:val="0"/>
          <w:sz w:val="24"/>
          <w:szCs w:val="20"/>
          <w:highlight w:val="none"/>
          <w:lang w:val="en-US" w:eastAsia="zh-CN"/>
        </w:rPr>
        <w:t>是否收取履约保证金：</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是</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收取履约保证金形式：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收取履约保证金金额：</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履约担保期限</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（4）分期履行要求：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w:t>
      </w:r>
      <w:r>
        <w:rPr>
          <w:rFonts w:hint="eastAsia" w:ascii="仿宋_GB2312" w:hAnsi="仿宋_GB2312" w:eastAsia="仿宋_GB2312" w:cs="仿宋_GB2312"/>
          <w:color w:val="auto"/>
          <w:kern w:val="0"/>
          <w:sz w:val="24"/>
          <w:szCs w:val="20"/>
          <w:highlight w:val="none"/>
          <w:lang w:eastAsia="zh-CN"/>
        </w:rPr>
        <w:t>风险处置措施和替代方案</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4.</w:t>
      </w:r>
      <w:r>
        <w:rPr>
          <w:rFonts w:hint="eastAsia" w:ascii="仿宋_GB2312" w:hAnsi="仿宋_GB2312" w:eastAsia="仿宋_GB2312" w:cs="仿宋_GB2312"/>
          <w:b/>
          <w:bCs/>
          <w:color w:val="auto"/>
          <w:kern w:val="0"/>
          <w:sz w:val="24"/>
          <w:szCs w:val="20"/>
          <w:highlight w:val="none"/>
        </w:rPr>
        <w:t>合同验收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（1）验收组织方式：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自行组织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委托第三方组织</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_GB2312" w:hAnsi="仿宋_GB2312" w:eastAsia="仿宋_GB2312" w:cs="仿宋_GB2312"/>
          <w:color w:val="auto"/>
          <w:kern w:val="0"/>
          <w:sz w:val="34"/>
          <w:szCs w:val="21"/>
          <w:highlight w:val="none"/>
          <w:u w:val="single"/>
          <w:lang w:val="en-US"/>
        </w:rPr>
      </w:pPr>
      <w:r>
        <w:rPr>
          <w:rFonts w:hint="eastAsia" w:ascii="仿宋_GB2312" w:hAnsi="仿宋_GB2312" w:eastAsia="仿宋_GB2312" w:cs="仿宋_GB2312"/>
          <w:color w:val="auto"/>
          <w:kern w:val="0"/>
          <w:sz w:val="24"/>
          <w:szCs w:val="20"/>
          <w:highlight w:val="none"/>
        </w:rPr>
        <w:t>验收主体：</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是否邀请本项目的其他供应商</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是否邀请专家</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是否邀请服务对象</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是否邀请第三方检测机构</w:t>
      </w:r>
      <w:r>
        <w:rPr>
          <w:rFonts w:hint="eastAsia" w:ascii="仿宋_GB2312" w:hAnsi="仿宋_GB2312" w:eastAsia="仿宋_GB2312" w:cs="仿宋_GB2312"/>
          <w:color w:val="auto"/>
          <w:kern w:val="0"/>
          <w:sz w:val="24"/>
          <w:szCs w:val="20"/>
          <w:highlight w:val="none"/>
          <w:lang w:eastAsia="zh-CN"/>
        </w:rPr>
        <w:t>参加验收</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是否进行抽查检测：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，抽查比例：</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是否存在破坏性检测：</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是</w:t>
      </w:r>
      <w:r>
        <w:rPr>
          <w:rFonts w:hint="eastAsia" w:ascii="仿宋_GB2312" w:hAnsi="仿宋_GB2312" w:eastAsia="仿宋_GB2312" w:cs="仿宋_GB2312"/>
          <w:color w:val="auto"/>
          <w:kern w:val="0"/>
          <w:sz w:val="24"/>
          <w:szCs w:val="20"/>
          <w:highlight w:val="none"/>
          <w:lang w:eastAsia="zh-CN"/>
        </w:rPr>
        <w:t>，（应明确对被破坏的检测产品的处理方式）</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验收组织的其他事项：</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rPr>
        <w:t>2</w:t>
      </w:r>
      <w:r>
        <w:rPr>
          <w:rFonts w:hint="eastAsia" w:ascii="仿宋_GB2312" w:hAnsi="仿宋_GB2312" w:eastAsia="仿宋_GB2312" w:cs="仿宋_GB2312"/>
          <w:color w:val="auto"/>
          <w:kern w:val="0"/>
          <w:sz w:val="24"/>
          <w:szCs w:val="20"/>
          <w:highlight w:val="none"/>
        </w:rPr>
        <w:t>）履约验收时间：</w:t>
      </w:r>
      <w:r>
        <w:rPr>
          <w:rFonts w:hint="eastAsia" w:ascii="仿宋_GB2312" w:hAnsi="仿宋_GB2312" w:eastAsia="仿宋_GB2312" w:cs="仿宋_GB2312"/>
          <w:bCs/>
          <w:color w:val="auto"/>
          <w:kern w:val="0"/>
          <w:sz w:val="24"/>
          <w:szCs w:val="24"/>
          <w:highlight w:val="none"/>
          <w:u w:val="single"/>
        </w:rPr>
        <w:t>（计划于何时验收/供应商提出验收申请之日起   日内组织验收）</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（3）履约验收方式：</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一次性验收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分期/分项验收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eastAsia="zh-CN"/>
        </w:rPr>
        <w:t>（应明确分期</w:t>
      </w:r>
      <w:r>
        <w:rPr>
          <w:rFonts w:hint="eastAsia" w:ascii="仿宋_GB2312" w:hAnsi="仿宋_GB2312" w:eastAsia="仿宋_GB2312" w:cs="仿宋_GB2312"/>
          <w:bCs/>
          <w:color w:val="auto"/>
          <w:kern w:val="0"/>
          <w:sz w:val="24"/>
          <w:szCs w:val="24"/>
          <w:highlight w:val="none"/>
          <w:u w:val="single"/>
          <w:lang w:val="en" w:eastAsia="zh-CN"/>
        </w:rPr>
        <w:t>/分项验收的工作安排</w:t>
      </w:r>
      <w:r>
        <w:rPr>
          <w:rFonts w:hint="eastAsia" w:ascii="仿宋_GB2312" w:hAnsi="仿宋_GB2312" w:eastAsia="仿宋_GB2312" w:cs="仿宋_GB2312"/>
          <w:bCs/>
          <w:color w:val="auto"/>
          <w:kern w:val="0"/>
          <w:sz w:val="24"/>
          <w:szCs w:val="24"/>
          <w:highlight w:val="none"/>
          <w:u w:val="single"/>
          <w:lang w:eastAsia="zh-CN"/>
        </w:rPr>
        <w:t>）</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（4）履约验收程序：</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（5）履约验收的内容：</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 xml:space="preserve">（6）履约验收标准：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34"/>
          <w:szCs w:val="21"/>
          <w:highlight w:val="none"/>
          <w:u w:val="single"/>
          <w:lang w:val="en-US"/>
        </w:rPr>
        <w:t xml:space="preserve">         </w:t>
      </w:r>
      <w:r>
        <w:rPr>
          <w:rFonts w:hint="eastAsia" w:ascii="仿宋_GB2312" w:hAnsi="仿宋_GB2312" w:eastAsia="仿宋_GB2312" w:cs="仿宋_GB2312"/>
          <w:color w:val="auto"/>
          <w:kern w:val="0"/>
          <w:sz w:val="34"/>
          <w:szCs w:val="21"/>
          <w:highlight w:val="none"/>
          <w:u w:val="single"/>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lang w:eastAsia="zh-CN"/>
        </w:rPr>
        <w:t>）是否以采购活动中供应商提供的样品作为参考：</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 xml:space="preserve">是  </w:t>
      </w:r>
      <w:r>
        <w:rPr>
          <w:rFonts w:hint="eastAsia" w:ascii="仿宋_GB2312" w:hAnsi="仿宋_GB2312" w:eastAsia="仿宋_GB2312" w:cs="仿宋_GB2312"/>
          <w:color w:val="auto"/>
          <w:kern w:val="0"/>
          <w:sz w:val="24"/>
          <w:szCs w:val="20"/>
          <w:highlight w:val="none"/>
        </w:rPr>
        <w:sym w:font="Wingdings" w:char="00A8"/>
      </w:r>
      <w:r>
        <w:rPr>
          <w:rFonts w:hint="eastAsia" w:ascii="仿宋_GB2312" w:hAnsi="仿宋_GB2312" w:eastAsia="仿宋_GB2312" w:cs="仿宋_GB2312"/>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（8）履约验收其他事项：</w:t>
      </w:r>
      <w:r>
        <w:rPr>
          <w:rFonts w:hint="eastAsia" w:ascii="仿宋_GB2312" w:hAnsi="仿宋_GB2312" w:eastAsia="仿宋_GB2312" w:cs="仿宋_GB2312"/>
          <w:bCs/>
          <w:color w:val="auto"/>
          <w:kern w:val="0"/>
          <w:sz w:val="24"/>
          <w:szCs w:val="24"/>
          <w:highlight w:val="none"/>
          <w:u w:val="single"/>
        </w:rPr>
        <w:t xml:space="preserve">      （产权过户登记等）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5.</w:t>
      </w:r>
      <w:r>
        <w:rPr>
          <w:rFonts w:hint="eastAsia" w:ascii="仿宋_GB2312" w:hAnsi="仿宋_GB2312" w:eastAsia="仿宋_GB2312" w:cs="仿宋_GB2312"/>
          <w:b/>
          <w:bCs/>
          <w:color w:val="auto"/>
          <w:kern w:val="0"/>
          <w:sz w:val="24"/>
          <w:szCs w:val="20"/>
          <w:highlight w:val="none"/>
        </w:rPr>
        <w:t>组成合同的文件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本协议书与下列文件一起构成合同文件，如下述文件之间有任何抵触、矛盾或歧义，应按以下顺序解释：</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政府采购</w:t>
      </w:r>
      <w:r>
        <w:rPr>
          <w:rFonts w:hint="eastAsia" w:ascii="仿宋_GB2312" w:hAnsi="仿宋_GB2312" w:eastAsia="仿宋_GB2312" w:cs="仿宋_GB2312"/>
          <w:color w:val="auto"/>
          <w:kern w:val="0"/>
          <w:sz w:val="24"/>
          <w:szCs w:val="20"/>
          <w:highlight w:val="none"/>
        </w:rPr>
        <w:t>合同协议书及其变更、补充</w:t>
      </w:r>
      <w:r>
        <w:rPr>
          <w:rFonts w:hint="eastAsia" w:ascii="仿宋_GB2312" w:hAnsi="仿宋_GB2312" w:eastAsia="仿宋_GB2312" w:cs="仿宋_GB2312"/>
          <w:color w:val="auto"/>
          <w:kern w:val="0"/>
          <w:sz w:val="24"/>
          <w:szCs w:val="20"/>
          <w:highlight w:val="none"/>
          <w:lang w:eastAsia="zh-CN"/>
        </w:rPr>
        <w:t>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）政府采购合同通用条款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）中标</w:t>
      </w:r>
      <w:r>
        <w:rPr>
          <w:rFonts w:hint="eastAsia" w:ascii="仿宋_GB2312" w:hAnsi="仿宋_GB2312" w:eastAsia="仿宋_GB2312" w:cs="仿宋_GB2312"/>
          <w:color w:val="auto"/>
          <w:kern w:val="0"/>
          <w:sz w:val="24"/>
          <w:szCs w:val="20"/>
          <w:highlight w:val="none"/>
          <w:lang w:eastAsia="zh-CN"/>
        </w:rPr>
        <w:t>（成交）</w:t>
      </w:r>
      <w:r>
        <w:rPr>
          <w:rFonts w:hint="eastAsia" w:ascii="仿宋_GB2312" w:hAnsi="仿宋_GB2312" w:eastAsia="仿宋_GB2312" w:cs="仿宋_GB2312"/>
          <w:color w:val="auto"/>
          <w:kern w:val="0"/>
          <w:sz w:val="24"/>
          <w:szCs w:val="20"/>
          <w:highlight w:val="none"/>
        </w:rPr>
        <w:t>通知书</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）投标（响应）文件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（6）采购文件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（7）有关技术文件，图纸</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lang w:eastAsia="zh-CN"/>
        </w:rPr>
        <w:t>）国家法律、行政法规和规章制度规定或合同约定的作为合同组成部分的其他文件</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6.</w:t>
      </w:r>
      <w:r>
        <w:rPr>
          <w:rFonts w:hint="eastAsia" w:ascii="仿宋_GB2312" w:hAnsi="仿宋_GB2312" w:eastAsia="仿宋_GB2312" w:cs="仿宋_GB2312"/>
          <w:b/>
          <w:bCs/>
          <w:color w:val="auto"/>
          <w:kern w:val="0"/>
          <w:sz w:val="24"/>
          <w:szCs w:val="20"/>
          <w:highlight w:val="none"/>
        </w:rPr>
        <w:t>合同生效</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本合同自</w:t>
      </w:r>
      <w:r>
        <w:rPr>
          <w:rFonts w:hint="eastAsia" w:ascii="仿宋_GB2312" w:hAnsi="仿宋_GB2312" w:eastAsia="仿宋_GB2312" w:cs="仿宋_GB2312"/>
          <w:bCs/>
          <w:color w:val="auto"/>
          <w:kern w:val="0"/>
          <w:sz w:val="24"/>
          <w:szCs w:val="24"/>
          <w:highlight w:val="none"/>
          <w:u w:val="single"/>
        </w:rPr>
        <w:t xml:space="preserve">    </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生效。</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7.</w:t>
      </w:r>
      <w:r>
        <w:rPr>
          <w:rFonts w:hint="eastAsia" w:ascii="仿宋_GB2312" w:hAnsi="仿宋_GB2312" w:eastAsia="仿宋_GB2312" w:cs="仿宋_GB2312"/>
          <w:b/>
          <w:bCs/>
          <w:color w:val="auto"/>
          <w:kern w:val="0"/>
          <w:sz w:val="24"/>
          <w:szCs w:val="20"/>
          <w:highlight w:val="none"/>
        </w:rPr>
        <w:t>合同份数</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本合同一式</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 xml:space="preserve">执 </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执</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份，均具有同等法律效力。</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合同订立时间：</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年</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月</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合同订立地点：</w:t>
      </w:r>
      <w:r>
        <w:rPr>
          <w:rFonts w:hint="eastAsia" w:ascii="仿宋_GB2312" w:hAnsi="仿宋_GB2312" w:eastAsia="仿宋_GB2312" w:cs="仿宋_GB2312"/>
          <w:bCs/>
          <w:color w:val="auto"/>
          <w:kern w:val="0"/>
          <w:sz w:val="24"/>
          <w:szCs w:val="24"/>
          <w:highlight w:val="none"/>
          <w:u w:val="single"/>
          <w:lang w:val="en-US"/>
        </w:rPr>
        <w:t xml:space="preserve">                                  </w:t>
      </w:r>
      <w:r>
        <w:rPr>
          <w:rFonts w:hint="eastAsia" w:ascii="仿宋_GB2312" w:hAnsi="仿宋_GB2312" w:eastAsia="仿宋_GB2312" w:cs="仿宋_GB2312"/>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附件：具体标</w:t>
      </w:r>
      <w:r>
        <w:rPr>
          <w:rFonts w:hint="eastAsia" w:ascii="仿宋_GB2312" w:hAnsi="仿宋_GB2312" w:eastAsia="仿宋_GB2312" w:cs="仿宋_GB2312"/>
          <w:color w:val="auto"/>
          <w:kern w:val="0"/>
          <w:sz w:val="24"/>
          <w:szCs w:val="20"/>
          <w:highlight w:val="none"/>
          <w:lang w:eastAsia="zh-CN"/>
        </w:rPr>
        <w:t>的及其</w:t>
      </w:r>
      <w:r>
        <w:rPr>
          <w:rFonts w:hint="eastAsia" w:ascii="仿宋_GB2312" w:hAnsi="仿宋_GB2312" w:eastAsia="仿宋_GB2312" w:cs="仿宋_GB2312"/>
          <w:color w:val="auto"/>
          <w:kern w:val="0"/>
          <w:sz w:val="24"/>
          <w:szCs w:val="20"/>
          <w:highlight w:val="none"/>
          <w:lang w:val="en-US" w:eastAsia="zh-CN"/>
        </w:rPr>
        <w:t>技术要求和商务要求</w:t>
      </w:r>
      <w:r>
        <w:rPr>
          <w:rFonts w:hint="eastAsia" w:ascii="仿宋_GB2312" w:hAnsi="仿宋_GB2312" w:eastAsia="仿宋_GB2312" w:cs="仿宋_GB2312"/>
          <w:color w:val="auto"/>
          <w:kern w:val="0"/>
          <w:sz w:val="24"/>
          <w:szCs w:val="20"/>
          <w:highlight w:val="none"/>
        </w:rPr>
        <w:t>、联合协议、分包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_GB2312" w:hAnsi="仿宋_GB2312" w:eastAsia="仿宋_GB2312" w:cs="仿宋_GB2312"/>
                <w:color w:val="auto"/>
                <w:kern w:val="0"/>
                <w:sz w:val="21"/>
                <w:szCs w:val="21"/>
                <w:highlight w:val="none"/>
                <w:lang w:eastAsia="zh-CN"/>
              </w:rPr>
            </w:pPr>
            <w:r>
              <w:rPr>
                <w:rFonts w:hint="eastAsia" w:ascii="仿宋_GB2312" w:hAnsi="仿宋_GB2312" w:eastAsia="仿宋_GB2312" w:cs="仿宋_GB2312"/>
                <w:color w:val="auto"/>
                <w:kern w:val="0"/>
                <w:sz w:val="21"/>
                <w:szCs w:val="21"/>
                <w:highlight w:val="none"/>
              </w:rPr>
              <w:t>甲方（采购人</w:t>
            </w:r>
            <w:r>
              <w:rPr>
                <w:rFonts w:hint="eastAsia" w:ascii="仿宋_GB2312" w:hAnsi="仿宋_GB2312" w:eastAsia="仿宋_GB2312" w:cs="仿宋_GB2312"/>
                <w:color w:val="auto"/>
                <w:kern w:val="0"/>
                <w:sz w:val="21"/>
                <w:szCs w:val="21"/>
                <w:highlight w:val="none"/>
                <w:lang w:eastAsia="zh-CN"/>
              </w:rPr>
              <w:t>、受采购人委托签订合同的</w:t>
            </w:r>
          </w:p>
          <w:p>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1"/>
                <w:szCs w:val="21"/>
                <w:highlight w:val="none"/>
                <w:lang w:eastAsia="zh-CN"/>
              </w:rPr>
              <w:t>单位</w:t>
            </w:r>
            <w:r>
              <w:rPr>
                <w:rFonts w:hint="eastAsia" w:ascii="仿宋_GB2312" w:hAnsi="仿宋_GB2312" w:eastAsia="仿宋_GB2312" w:cs="仿宋_GB2312"/>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单位名称</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（公章</w:t>
            </w:r>
            <w:r>
              <w:rPr>
                <w:rFonts w:hint="eastAsia" w:ascii="仿宋_GB2312" w:hAnsi="仿宋_GB2312" w:eastAsia="仿宋_GB2312" w:cs="仿宋_GB2312"/>
                <w:color w:val="auto"/>
                <w:kern w:val="0"/>
                <w:sz w:val="24"/>
                <w:szCs w:val="20"/>
                <w:highlight w:val="none"/>
                <w:lang w:eastAsia="zh-CN"/>
              </w:rPr>
              <w:t>或合同章</w:t>
            </w:r>
            <w:r>
              <w:rPr>
                <w:rFonts w:hint="eastAsia" w:ascii="仿宋_GB2312" w:hAnsi="仿宋_GB2312" w:eastAsia="仿宋_GB2312" w:cs="仿宋_GB2312"/>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单位名称</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（公章</w:t>
            </w:r>
            <w:r>
              <w:rPr>
                <w:rFonts w:hint="eastAsia" w:ascii="仿宋_GB2312" w:hAnsi="仿宋_GB2312" w:eastAsia="仿宋_GB2312" w:cs="仿宋_GB2312"/>
                <w:color w:val="auto"/>
                <w:kern w:val="0"/>
                <w:sz w:val="24"/>
                <w:szCs w:val="20"/>
                <w:highlight w:val="none"/>
                <w:lang w:eastAsia="zh-CN"/>
              </w:rPr>
              <w:t>或合同章</w:t>
            </w:r>
            <w:r>
              <w:rPr>
                <w:rFonts w:hint="eastAsia" w:ascii="仿宋_GB2312" w:hAnsi="仿宋_GB2312" w:eastAsia="仿宋_GB2312" w:cs="仿宋_GB2312"/>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法定代表人</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或其委托代理人</w:t>
            </w:r>
            <w:r>
              <w:rPr>
                <w:rFonts w:hint="eastAsia" w:ascii="仿宋_GB2312" w:hAnsi="仿宋_GB2312" w:eastAsia="仿宋_GB2312" w:cs="仿宋_GB2312"/>
                <w:color w:val="auto"/>
                <w:kern w:val="0"/>
                <w:sz w:val="24"/>
                <w:szCs w:val="20"/>
                <w:highlight w:val="none"/>
              </w:rPr>
              <w:br w:type="textWrapping"/>
            </w:r>
            <w:r>
              <w:rPr>
                <w:rFonts w:hint="eastAsia" w:ascii="仿宋_GB2312" w:hAnsi="仿宋_GB2312" w:eastAsia="仿宋_GB2312" w:cs="仿宋_GB2312"/>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法定代表人或其</w:t>
            </w:r>
            <w:r>
              <w:rPr>
                <w:rFonts w:hint="eastAsia" w:ascii="仿宋_GB2312" w:hAnsi="仿宋_GB2312" w:eastAsia="仿宋_GB2312" w:cs="仿宋_GB2312"/>
                <w:color w:val="auto"/>
                <w:kern w:val="0"/>
                <w:sz w:val="24"/>
                <w:szCs w:val="20"/>
                <w:highlight w:val="none"/>
              </w:rPr>
              <w:br w:type="textWrapping"/>
            </w:r>
            <w:r>
              <w:rPr>
                <w:rFonts w:hint="eastAsia" w:ascii="仿宋_GB2312" w:hAnsi="仿宋_GB2312" w:eastAsia="仿宋_GB2312" w:cs="仿宋_GB2312"/>
                <w:color w:val="auto"/>
                <w:kern w:val="0"/>
                <w:sz w:val="24"/>
                <w:szCs w:val="20"/>
                <w:highlight w:val="none"/>
              </w:rPr>
              <w:t>委</w:t>
            </w:r>
            <w:r>
              <w:rPr>
                <w:rFonts w:hint="eastAsia" w:ascii="仿宋_GB2312" w:hAnsi="仿宋_GB2312" w:eastAsia="仿宋_GB2312" w:cs="仿宋_GB2312"/>
                <w:color w:val="auto"/>
                <w:kern w:val="0"/>
                <w:sz w:val="24"/>
                <w:szCs w:val="20"/>
                <w:highlight w:val="none"/>
                <w:lang w:val="en-US"/>
              </w:rPr>
              <w:t xml:space="preserve"> </w:t>
            </w:r>
            <w:r>
              <w:rPr>
                <w:rFonts w:hint="eastAsia" w:ascii="仿宋_GB2312" w:hAnsi="仿宋_GB2312" w:eastAsia="仿宋_GB2312" w:cs="仿宋_GB2312"/>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住</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住</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rPr>
            </w:pPr>
            <w:r>
              <w:rPr>
                <w:rFonts w:hint="eastAsia" w:ascii="仿宋_GB2312" w:hAnsi="仿宋_GB2312" w:eastAsia="仿宋_GB2312" w:cs="仿宋_GB2312"/>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注：涉及联合体或其他合同主体的信息应按上表格式加列。</w:t>
            </w:r>
          </w:p>
        </w:tc>
      </w:tr>
    </w:tbl>
    <w:p>
      <w:pPr>
        <w:numPr>
          <w:ilvl w:val="0"/>
          <w:numId w:val="6"/>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bookmarkStart w:id="45" w:name="_Toc27624"/>
      <w:r>
        <w:rPr>
          <w:rFonts w:hint="eastAsia" w:ascii="仿宋_GB2312" w:hAnsi="仿宋_GB2312" w:eastAsia="仿宋_GB2312" w:cs="仿宋_GB2312"/>
          <w:b/>
          <w:bCs/>
          <w:color w:val="auto"/>
          <w:kern w:val="0"/>
          <w:sz w:val="24"/>
          <w:szCs w:val="20"/>
          <w:highlight w:val="none"/>
        </w:rPr>
        <w:t>政府采购合同通用条款</w:t>
      </w:r>
      <w:bookmarkEnd w:id="45"/>
    </w:p>
    <w:p>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1.定义</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1.1合同当事人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（1）采购人（以下称甲方）是指使用财政性资金，通过政府采购方式向供应商购买货物</w:t>
      </w:r>
      <w:r>
        <w:rPr>
          <w:rFonts w:hint="eastAsia" w:ascii="仿宋_GB2312" w:hAnsi="仿宋_GB2312" w:eastAsia="仿宋_GB2312" w:cs="仿宋_GB2312"/>
          <w:color w:val="auto"/>
          <w:kern w:val="0"/>
          <w:sz w:val="24"/>
          <w:szCs w:val="20"/>
          <w:highlight w:val="none"/>
          <w:lang w:val="en-US" w:eastAsia="zh-CN"/>
        </w:rPr>
        <w:t>及其相关服务的</w:t>
      </w:r>
      <w:r>
        <w:rPr>
          <w:rFonts w:hint="eastAsia" w:ascii="仿宋_GB2312" w:hAnsi="仿宋_GB2312" w:eastAsia="仿宋_GB2312" w:cs="仿宋_GB2312"/>
          <w:color w:val="auto"/>
          <w:kern w:val="0"/>
          <w:sz w:val="24"/>
          <w:szCs w:val="20"/>
          <w:highlight w:val="none"/>
        </w:rPr>
        <w:t>国家机关、事业单位、团体组织。</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（2）供应商（以下称</w:t>
      </w:r>
      <w:r>
        <w:rPr>
          <w:rFonts w:hint="eastAsia" w:ascii="仿宋_GB2312" w:hAnsi="仿宋_GB2312" w:eastAsia="仿宋_GB2312" w:cs="仿宋_GB2312"/>
          <w:color w:val="auto"/>
          <w:kern w:val="0"/>
          <w:sz w:val="24"/>
          <w:szCs w:val="20"/>
          <w:highlight w:val="none"/>
          <w:lang w:eastAsia="zh-CN"/>
        </w:rPr>
        <w:t>乙</w:t>
      </w:r>
      <w:r>
        <w:rPr>
          <w:rFonts w:hint="eastAsia" w:ascii="仿宋_GB2312" w:hAnsi="仿宋_GB2312" w:eastAsia="仿宋_GB2312" w:cs="仿宋_GB2312"/>
          <w:color w:val="auto"/>
          <w:kern w:val="0"/>
          <w:sz w:val="24"/>
          <w:szCs w:val="20"/>
          <w:highlight w:val="none"/>
        </w:rPr>
        <w:t>方）是指参加政府采购活动并且中标（成交），向采购人提供</w:t>
      </w:r>
      <w:r>
        <w:rPr>
          <w:rFonts w:hint="eastAsia" w:ascii="仿宋_GB2312" w:hAnsi="仿宋_GB2312" w:eastAsia="仿宋_GB2312" w:cs="仿宋_GB2312"/>
          <w:color w:val="auto"/>
          <w:kern w:val="0"/>
          <w:sz w:val="24"/>
          <w:szCs w:val="20"/>
          <w:highlight w:val="none"/>
          <w:lang w:val="en-US" w:eastAsia="zh-CN"/>
        </w:rPr>
        <w:t>合同约定的货物及其相关服务的法人、非法人组织或者自然人</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（3）其他合同主体是指除采购人和供应商以外，依法参与合同缔结或履行，享有权利、承担义务的合同当事人。</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1.2本合同下列术语应解释为：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（1）“合同”系指合同当事人意思表示达成一致的任何协议，包括签署的</w:t>
      </w:r>
      <w:r>
        <w:rPr>
          <w:rFonts w:hint="eastAsia" w:ascii="仿宋_GB2312" w:hAnsi="仿宋_GB2312" w:eastAsia="仿宋_GB2312" w:cs="仿宋_GB2312"/>
          <w:color w:val="auto"/>
          <w:kern w:val="0"/>
          <w:sz w:val="24"/>
          <w:szCs w:val="20"/>
          <w:highlight w:val="none"/>
          <w:lang w:eastAsia="zh-CN"/>
        </w:rPr>
        <w:t>政府采购</w:t>
      </w:r>
      <w:r>
        <w:rPr>
          <w:rFonts w:hint="eastAsia" w:ascii="仿宋_GB2312" w:hAnsi="仿宋_GB2312" w:eastAsia="仿宋_GB2312" w:cs="仿宋_GB2312"/>
          <w:color w:val="auto"/>
          <w:kern w:val="0"/>
          <w:sz w:val="24"/>
          <w:szCs w:val="20"/>
          <w:highlight w:val="none"/>
        </w:rPr>
        <w:t>合同协议书及其变更、补充</w:t>
      </w:r>
      <w:r>
        <w:rPr>
          <w:rFonts w:hint="eastAsia" w:ascii="仿宋_GB2312" w:hAnsi="仿宋_GB2312" w:eastAsia="仿宋_GB2312" w:cs="仿宋_GB2312"/>
          <w:color w:val="auto"/>
          <w:kern w:val="0"/>
          <w:sz w:val="24"/>
          <w:szCs w:val="20"/>
          <w:highlight w:val="none"/>
          <w:lang w:eastAsia="zh-CN"/>
        </w:rPr>
        <w:t>协议，</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政府采购合同通用条款</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中标</w:t>
      </w:r>
      <w:r>
        <w:rPr>
          <w:rFonts w:hint="eastAsia" w:ascii="仿宋_GB2312" w:hAnsi="仿宋_GB2312" w:eastAsia="仿宋_GB2312" w:cs="仿宋_GB2312"/>
          <w:color w:val="auto"/>
          <w:kern w:val="0"/>
          <w:sz w:val="24"/>
          <w:szCs w:val="20"/>
          <w:highlight w:val="none"/>
          <w:lang w:eastAsia="zh-CN"/>
        </w:rPr>
        <w:t>（成交）</w:t>
      </w:r>
      <w:r>
        <w:rPr>
          <w:rFonts w:hint="eastAsia" w:ascii="仿宋_GB2312" w:hAnsi="仿宋_GB2312" w:eastAsia="仿宋_GB2312" w:cs="仿宋_GB2312"/>
          <w:color w:val="auto"/>
          <w:kern w:val="0"/>
          <w:sz w:val="24"/>
          <w:szCs w:val="20"/>
          <w:highlight w:val="none"/>
        </w:rPr>
        <w:t>通知书</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投标（响应）文件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采购文件</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有关技术文件</w:t>
      </w:r>
      <w:r>
        <w:rPr>
          <w:rFonts w:hint="eastAsia" w:ascii="仿宋_GB2312" w:hAnsi="仿宋_GB2312" w:eastAsia="仿宋_GB2312" w:cs="仿宋_GB2312"/>
          <w:color w:val="auto"/>
          <w:kern w:val="0"/>
          <w:sz w:val="24"/>
          <w:szCs w:val="20"/>
          <w:highlight w:val="none"/>
          <w:lang w:eastAsia="zh-CN"/>
        </w:rPr>
        <w:t>和</w:t>
      </w:r>
      <w:r>
        <w:rPr>
          <w:rFonts w:hint="eastAsia" w:ascii="仿宋_GB2312" w:hAnsi="仿宋_GB2312" w:eastAsia="仿宋_GB2312" w:cs="仿宋_GB2312"/>
          <w:color w:val="auto"/>
          <w:kern w:val="0"/>
          <w:sz w:val="24"/>
          <w:szCs w:val="20"/>
          <w:highlight w:val="none"/>
        </w:rPr>
        <w:t>图纸</w:t>
      </w:r>
      <w:r>
        <w:rPr>
          <w:rFonts w:hint="eastAsia" w:ascii="仿宋_GB2312" w:hAnsi="仿宋_GB2312" w:eastAsia="仿宋_GB2312" w:cs="仿宋_GB2312"/>
          <w:color w:val="auto"/>
          <w:kern w:val="0"/>
          <w:sz w:val="24"/>
          <w:szCs w:val="20"/>
          <w:highlight w:val="none"/>
          <w:lang w:eastAsia="zh-CN"/>
        </w:rPr>
        <w:t>，以及国家法律、行政法规和规章制度规定或合同约定的作为合同组成部分的其他文件</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）“合同价</w:t>
      </w:r>
      <w:r>
        <w:rPr>
          <w:rFonts w:hint="eastAsia" w:ascii="仿宋_GB2312" w:hAnsi="仿宋_GB2312" w:eastAsia="仿宋_GB2312" w:cs="仿宋_GB2312"/>
          <w:color w:val="auto"/>
          <w:kern w:val="0"/>
          <w:sz w:val="24"/>
          <w:szCs w:val="20"/>
          <w:highlight w:val="none"/>
          <w:lang w:val="en-US" w:eastAsia="zh-CN"/>
        </w:rPr>
        <w:t>款</w:t>
      </w:r>
      <w:r>
        <w:rPr>
          <w:rFonts w:hint="eastAsia" w:ascii="仿宋_GB2312" w:hAnsi="仿宋_GB2312" w:eastAsia="仿宋_GB2312" w:cs="仿宋_GB2312"/>
          <w:color w:val="auto"/>
          <w:kern w:val="0"/>
          <w:sz w:val="24"/>
          <w:szCs w:val="20"/>
          <w:highlight w:val="none"/>
        </w:rPr>
        <w:t>”系指根据本合同规定乙方在全面履行合同义务后甲方应支付给乙方的价款。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技术资料和材料</w:t>
      </w:r>
      <w:r>
        <w:rPr>
          <w:rFonts w:hint="eastAsia" w:ascii="仿宋_GB2312" w:hAnsi="仿宋_GB2312" w:eastAsia="仿宋_GB2312" w:cs="仿宋_GB2312"/>
          <w:color w:val="auto"/>
          <w:kern w:val="0"/>
          <w:sz w:val="24"/>
          <w:szCs w:val="20"/>
          <w:highlight w:val="none"/>
          <w:lang w:eastAsia="zh-CN"/>
        </w:rPr>
        <w:t>等</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相关</w:t>
      </w:r>
      <w:r>
        <w:rPr>
          <w:rFonts w:hint="eastAsia" w:ascii="仿宋_GB2312" w:hAnsi="仿宋_GB2312" w:eastAsia="仿宋_GB2312" w:cs="仿宋_GB2312"/>
          <w:color w:val="auto"/>
          <w:kern w:val="0"/>
          <w:sz w:val="24"/>
          <w:szCs w:val="20"/>
          <w:highlight w:val="none"/>
        </w:rPr>
        <w:t>服务”系指根据合同规定，乙方应提供的</w:t>
      </w:r>
      <w:r>
        <w:rPr>
          <w:rFonts w:hint="eastAsia" w:ascii="仿宋_GB2312" w:hAnsi="仿宋_GB2312" w:eastAsia="仿宋_GB2312" w:cs="仿宋_GB2312"/>
          <w:color w:val="auto"/>
          <w:kern w:val="0"/>
          <w:sz w:val="24"/>
          <w:szCs w:val="20"/>
          <w:highlight w:val="none"/>
          <w:lang w:val="en-US" w:eastAsia="zh-CN"/>
        </w:rPr>
        <w:t>与货物有关的</w:t>
      </w:r>
      <w:r>
        <w:rPr>
          <w:rFonts w:hint="eastAsia" w:ascii="仿宋_GB2312" w:hAnsi="仿宋_GB2312" w:eastAsia="仿宋_GB2312" w:cs="仿宋_GB2312"/>
          <w:color w:val="auto"/>
          <w:kern w:val="0"/>
          <w:sz w:val="24"/>
          <w:szCs w:val="20"/>
          <w:highlight w:val="none"/>
        </w:rPr>
        <w:t>技术、管理和</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服务，包括但不限于：管理和质量保证、运输、保险、检验、现场准备、安装、集成、调试、培训、维修、</w:t>
      </w:r>
      <w:r>
        <w:rPr>
          <w:rFonts w:hint="eastAsia" w:ascii="仿宋_GB2312" w:hAnsi="仿宋_GB2312" w:eastAsia="仿宋_GB2312" w:cs="仿宋_GB2312"/>
          <w:color w:val="auto"/>
          <w:kern w:val="0"/>
          <w:sz w:val="24"/>
          <w:szCs w:val="20"/>
          <w:highlight w:val="none"/>
          <w:lang w:eastAsia="zh-CN"/>
        </w:rPr>
        <w:t>废弃处置、</w:t>
      </w:r>
      <w:r>
        <w:rPr>
          <w:rFonts w:hint="eastAsia" w:ascii="仿宋_GB2312" w:hAnsi="仿宋_GB2312" w:eastAsia="仿宋_GB2312" w:cs="仿宋_GB2312"/>
          <w:color w:val="auto"/>
          <w:kern w:val="0"/>
          <w:sz w:val="24"/>
          <w:szCs w:val="20"/>
          <w:highlight w:val="none"/>
        </w:rPr>
        <w:t>技术支持等以及合同中规定乙方应承担的</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）“分包”系指中标</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成交</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供应商按采购文件、投标（响应）文件的规定，根据分包意向协议，将中标</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成交</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项目中的部分履约内容，分给具有相应资质条件的供应商履行合同的行为。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）“联合体”系指</w:t>
      </w:r>
      <w:r>
        <w:rPr>
          <w:rFonts w:hint="eastAsia" w:ascii="仿宋_GB2312" w:hAnsi="仿宋_GB2312" w:eastAsia="仿宋_GB2312" w:cs="仿宋_GB2312"/>
          <w:color w:val="auto"/>
          <w:kern w:val="0"/>
          <w:sz w:val="24"/>
          <w:szCs w:val="20"/>
          <w:highlight w:val="none"/>
          <w:lang w:eastAsia="zh-CN"/>
        </w:rPr>
        <w:t>由</w:t>
      </w:r>
      <w:r>
        <w:rPr>
          <w:rFonts w:hint="eastAsia" w:ascii="仿宋_GB2312" w:hAnsi="仿宋_GB2312" w:eastAsia="仿宋_GB2312" w:cs="仿宋_GB2312"/>
          <w:color w:val="auto"/>
          <w:kern w:val="0"/>
          <w:sz w:val="24"/>
          <w:szCs w:val="20"/>
          <w:highlight w:val="none"/>
        </w:rPr>
        <w:t>两个以上的自然人、法人或者</w:t>
      </w:r>
      <w:r>
        <w:rPr>
          <w:rFonts w:hint="eastAsia" w:ascii="仿宋_GB2312" w:hAnsi="仿宋_GB2312" w:eastAsia="仿宋_GB2312" w:cs="仿宋_GB2312"/>
          <w:color w:val="auto"/>
          <w:kern w:val="0"/>
          <w:sz w:val="24"/>
          <w:szCs w:val="20"/>
          <w:highlight w:val="none"/>
          <w:lang w:val="en-US" w:eastAsia="zh-CN"/>
        </w:rPr>
        <w:t>非法人</w:t>
      </w:r>
      <w:r>
        <w:rPr>
          <w:rFonts w:hint="eastAsia" w:ascii="仿宋_GB2312" w:hAnsi="仿宋_GB2312" w:eastAsia="仿宋_GB2312" w:cs="仿宋_GB2312"/>
          <w:color w:val="auto"/>
          <w:kern w:val="0"/>
          <w:sz w:val="24"/>
          <w:szCs w:val="20"/>
          <w:highlight w:val="none"/>
        </w:rPr>
        <w:t>组织组成，</w:t>
      </w:r>
      <w:r>
        <w:rPr>
          <w:rFonts w:hint="eastAsia" w:ascii="仿宋_GB2312" w:hAnsi="仿宋_GB2312" w:eastAsia="仿宋_GB2312" w:cs="仿宋_GB2312"/>
          <w:color w:val="auto"/>
          <w:kern w:val="0"/>
          <w:sz w:val="24"/>
          <w:szCs w:val="20"/>
          <w:highlight w:val="none"/>
          <w:lang w:eastAsia="zh-CN"/>
        </w:rPr>
        <w:t>以一个供应商的身份共同参加政府采购的主体。</w:t>
      </w:r>
      <w:r>
        <w:rPr>
          <w:rFonts w:hint="eastAsia" w:ascii="仿宋_GB2312" w:hAnsi="仿宋_GB2312" w:eastAsia="仿宋_GB2312" w:cs="仿宋_GB2312"/>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承担连带责任。联合体具体要求见【政府采购合同专用条款】。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）其他术语解释，见【政府采购合同专用条款】。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w:t>
      </w:r>
      <w:r>
        <w:rPr>
          <w:rFonts w:hint="eastAsia" w:ascii="仿宋_GB2312" w:hAnsi="仿宋_GB2312" w:eastAsia="仿宋_GB2312" w:cs="仿宋_GB2312"/>
          <w:b/>
          <w:bCs/>
          <w:color w:val="auto"/>
          <w:kern w:val="0"/>
          <w:sz w:val="24"/>
          <w:szCs w:val="20"/>
          <w:highlight w:val="none"/>
        </w:rPr>
        <w:t>合同标的及金额</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2</w:t>
      </w:r>
      <w:r>
        <w:rPr>
          <w:rFonts w:hint="eastAsia" w:ascii="仿宋_GB2312" w:hAnsi="仿宋_GB2312" w:eastAsia="仿宋_GB2312" w:cs="仿宋_GB2312"/>
          <w:color w:val="auto"/>
          <w:kern w:val="0"/>
          <w:sz w:val="24"/>
          <w:szCs w:val="20"/>
          <w:highlight w:val="none"/>
        </w:rPr>
        <w:t>.1 合同标的及金额应与中标（成交）结果一致。乙方为履行本合同而发生的所有费用均应包含在合同</w:t>
      </w:r>
      <w:r>
        <w:rPr>
          <w:rFonts w:hint="eastAsia" w:ascii="仿宋_GB2312" w:hAnsi="仿宋_GB2312" w:eastAsia="仿宋_GB2312" w:cs="仿宋_GB2312"/>
          <w:color w:val="auto"/>
          <w:kern w:val="0"/>
          <w:sz w:val="24"/>
          <w:szCs w:val="20"/>
          <w:highlight w:val="none"/>
          <w:lang w:eastAsia="zh-CN"/>
        </w:rPr>
        <w:t>价款</w:t>
      </w:r>
      <w:r>
        <w:rPr>
          <w:rFonts w:hint="eastAsia" w:ascii="仿宋_GB2312" w:hAnsi="仿宋_GB2312" w:eastAsia="仿宋_GB2312" w:cs="仿宋_GB2312"/>
          <w:color w:val="auto"/>
          <w:kern w:val="0"/>
          <w:sz w:val="24"/>
          <w:szCs w:val="20"/>
          <w:highlight w:val="none"/>
        </w:rPr>
        <w:t>中，甲方不再另行支付</w:t>
      </w:r>
      <w:r>
        <w:rPr>
          <w:rFonts w:hint="eastAsia" w:ascii="仿宋_GB2312" w:hAnsi="仿宋_GB2312" w:eastAsia="仿宋_GB2312" w:cs="仿宋_GB2312"/>
          <w:color w:val="auto"/>
          <w:kern w:val="0"/>
          <w:sz w:val="24"/>
          <w:szCs w:val="20"/>
          <w:highlight w:val="none"/>
          <w:lang w:val="en"/>
        </w:rPr>
        <w:t>其他</w:t>
      </w:r>
      <w:r>
        <w:rPr>
          <w:rFonts w:hint="eastAsia" w:ascii="仿宋_GB2312" w:hAnsi="仿宋_GB2312" w:eastAsia="仿宋_GB2312" w:cs="仿宋_GB2312"/>
          <w:color w:val="auto"/>
          <w:kern w:val="0"/>
          <w:sz w:val="24"/>
          <w:szCs w:val="20"/>
          <w:highlight w:val="none"/>
        </w:rPr>
        <w:t>任何费用。</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3</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履行合同的时间、地点和方式</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.1 乙方应当在约定的时间、地点</w:t>
      </w:r>
      <w:r>
        <w:rPr>
          <w:rFonts w:hint="eastAsia" w:ascii="仿宋_GB2312" w:hAnsi="仿宋_GB2312" w:eastAsia="仿宋_GB2312" w:cs="仿宋_GB2312"/>
          <w:color w:val="auto"/>
          <w:kern w:val="0"/>
          <w:sz w:val="24"/>
          <w:szCs w:val="20"/>
          <w:highlight w:val="none"/>
          <w:lang w:eastAsia="zh-CN"/>
        </w:rPr>
        <w:t>，按照约定</w:t>
      </w:r>
      <w:r>
        <w:rPr>
          <w:rFonts w:hint="eastAsia" w:ascii="仿宋_GB2312" w:hAnsi="仿宋_GB2312" w:eastAsia="仿宋_GB2312" w:cs="仿宋_GB2312"/>
          <w:color w:val="auto"/>
          <w:kern w:val="0"/>
          <w:sz w:val="24"/>
          <w:szCs w:val="20"/>
          <w:highlight w:val="none"/>
        </w:rPr>
        <w:t>方式履行合同。</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4</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甲方的权利和义务</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.1 签署合同后，甲方</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确定</w:t>
      </w:r>
      <w:r>
        <w:rPr>
          <w:rFonts w:hint="eastAsia" w:ascii="仿宋_GB2312" w:hAnsi="仿宋_GB2312" w:eastAsia="仿宋_GB2312" w:cs="仿宋_GB2312"/>
          <w:color w:val="auto"/>
          <w:kern w:val="0"/>
          <w:sz w:val="24"/>
          <w:szCs w:val="20"/>
          <w:highlight w:val="none"/>
          <w:lang w:val="en-US" w:eastAsia="zh-CN"/>
        </w:rPr>
        <w:t>项目负责人（或项目联系人）</w:t>
      </w:r>
      <w:r>
        <w:rPr>
          <w:rFonts w:hint="eastAsia" w:ascii="仿宋_GB2312" w:hAnsi="仿宋_GB2312" w:eastAsia="仿宋_GB2312" w:cs="仿宋_GB2312"/>
          <w:color w:val="auto"/>
          <w:kern w:val="0"/>
          <w:sz w:val="24"/>
          <w:szCs w:val="20"/>
          <w:highlight w:val="none"/>
        </w:rPr>
        <w:t>，负责与本合同有关的事务。甲方有权对乙方的履约行为进行检查，并及时确认乙方提交的事项。甲方应当配合乙方完成相关项目实施工作。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.3 甲方有权要求乙方对缺陷部分予以修复，并按合同约定享有货物保修及其他合同约定的权利。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4.4 甲方应当按照合同约定及时对交付的货物进行验收，</w:t>
      </w:r>
      <w:r>
        <w:rPr>
          <w:rFonts w:hint="eastAsia" w:ascii="仿宋_GB2312" w:hAnsi="仿宋_GB2312" w:eastAsia="仿宋_GB2312" w:cs="仿宋_GB2312"/>
          <w:color w:val="auto"/>
          <w:kern w:val="0"/>
          <w:sz w:val="24"/>
          <w:szCs w:val="20"/>
          <w:highlight w:val="none"/>
          <w:lang w:eastAsia="zh-CN"/>
        </w:rPr>
        <w:t>未</w:t>
      </w:r>
      <w:r>
        <w:rPr>
          <w:rFonts w:hint="eastAsia" w:ascii="仿宋_GB2312" w:hAnsi="仿宋_GB2312" w:eastAsia="仿宋_GB2312" w:cs="仿宋_GB2312"/>
          <w:color w:val="auto"/>
          <w:kern w:val="0"/>
          <w:sz w:val="24"/>
          <w:szCs w:val="20"/>
          <w:highlight w:val="none"/>
          <w:lang w:val="en-US" w:eastAsia="zh-CN"/>
        </w:rPr>
        <w:t>在</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约定的期限内对乙方履约提出任何异议或者向乙方作出任何说明的，</w:t>
      </w:r>
      <w:r>
        <w:rPr>
          <w:rFonts w:hint="eastAsia" w:ascii="仿宋_GB2312" w:hAnsi="仿宋_GB2312" w:eastAsia="仿宋_GB2312" w:cs="仿宋_GB2312"/>
          <w:color w:val="auto"/>
          <w:kern w:val="0"/>
          <w:sz w:val="24"/>
          <w:szCs w:val="20"/>
          <w:highlight w:val="none"/>
          <w:lang w:val="en-US" w:eastAsia="zh-CN"/>
        </w:rPr>
        <w:t>视为验收通过。</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 xml:space="preserve"> 甲方应当根据合同约定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时向乙方支付</w:t>
      </w:r>
      <w:r>
        <w:rPr>
          <w:rFonts w:hint="eastAsia" w:ascii="仿宋_GB2312" w:hAnsi="仿宋_GB2312" w:eastAsia="仿宋_GB2312" w:cs="仿宋_GB2312"/>
          <w:color w:val="auto"/>
          <w:kern w:val="0"/>
          <w:sz w:val="24"/>
          <w:szCs w:val="20"/>
          <w:highlight w:val="none"/>
          <w:lang w:eastAsia="zh-CN"/>
        </w:rPr>
        <w:t>合同价款，不得以内部人员变更、履行内部付款流程等为由，拒绝或迟延支付。</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 xml:space="preserve"> 国家法律法规规定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约定应</w:t>
      </w:r>
      <w:r>
        <w:rPr>
          <w:rFonts w:hint="eastAsia" w:ascii="仿宋_GB2312" w:hAnsi="仿宋_GB2312" w:eastAsia="仿宋_GB2312" w:cs="仿宋_GB2312"/>
          <w:color w:val="auto"/>
          <w:kern w:val="0"/>
          <w:sz w:val="24"/>
          <w:szCs w:val="20"/>
          <w:highlight w:val="none"/>
        </w:rPr>
        <w:t>由甲方承担的其他义务和责任。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5</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乙方的权利和义务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.1 签署合同后，乙方</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确定</w:t>
      </w:r>
      <w:r>
        <w:rPr>
          <w:rFonts w:hint="eastAsia" w:ascii="仿宋_GB2312" w:hAnsi="仿宋_GB2312" w:eastAsia="仿宋_GB2312" w:cs="仿宋_GB2312"/>
          <w:color w:val="auto"/>
          <w:kern w:val="0"/>
          <w:sz w:val="24"/>
          <w:szCs w:val="20"/>
          <w:highlight w:val="none"/>
          <w:lang w:val="en-US" w:eastAsia="zh-CN"/>
        </w:rPr>
        <w:t>项目负责人（或项目联系人）</w:t>
      </w:r>
      <w:r>
        <w:rPr>
          <w:rFonts w:hint="eastAsia" w:ascii="仿宋_GB2312" w:hAnsi="仿宋_GB2312" w:eastAsia="仿宋_GB2312" w:cs="仿宋_GB2312"/>
          <w:color w:val="auto"/>
          <w:kern w:val="0"/>
          <w:sz w:val="24"/>
          <w:szCs w:val="20"/>
          <w:highlight w:val="none"/>
        </w:rPr>
        <w:t>，负责与本合同有关的事务。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.2 乙方应按照合同要求履约，充分合理安排，确保提供的货物</w:t>
      </w:r>
      <w:r>
        <w:rPr>
          <w:rFonts w:hint="eastAsia" w:ascii="仿宋_GB2312" w:hAnsi="仿宋_GB2312" w:eastAsia="仿宋_GB2312" w:cs="仿宋_GB2312"/>
          <w:color w:val="auto"/>
          <w:kern w:val="0"/>
          <w:sz w:val="24"/>
          <w:szCs w:val="20"/>
          <w:highlight w:val="none"/>
          <w:lang w:eastAsia="zh-CN"/>
        </w:rPr>
        <w:t>及相关</w:t>
      </w:r>
      <w:r>
        <w:rPr>
          <w:rFonts w:hint="eastAsia" w:ascii="仿宋_GB2312" w:hAnsi="仿宋_GB2312" w:eastAsia="仿宋_GB2312" w:cs="仿宋_GB2312"/>
          <w:color w:val="auto"/>
          <w:kern w:val="0"/>
          <w:sz w:val="24"/>
          <w:szCs w:val="20"/>
          <w:highlight w:val="none"/>
        </w:rPr>
        <w:t>服务符合合同</w:t>
      </w:r>
      <w:r>
        <w:rPr>
          <w:rFonts w:hint="eastAsia" w:ascii="仿宋_GB2312" w:hAnsi="仿宋_GB2312" w:eastAsia="仿宋_GB2312" w:cs="仿宋_GB2312"/>
          <w:color w:val="auto"/>
          <w:kern w:val="0"/>
          <w:sz w:val="24"/>
          <w:szCs w:val="20"/>
          <w:highlight w:val="none"/>
          <w:lang w:eastAsia="zh-CN"/>
        </w:rPr>
        <w:t>有关</w:t>
      </w:r>
      <w:r>
        <w:rPr>
          <w:rFonts w:hint="eastAsia" w:ascii="仿宋_GB2312" w:hAnsi="仿宋_GB2312" w:eastAsia="仿宋_GB2312" w:cs="仿宋_GB2312"/>
          <w:color w:val="auto"/>
          <w:kern w:val="0"/>
          <w:sz w:val="24"/>
          <w:szCs w:val="20"/>
          <w:highlight w:val="none"/>
        </w:rPr>
        <w:t>要求。接受项目行业管理部门及政府有关部门的指导，配合甲方的履约检查</w:t>
      </w:r>
      <w:r>
        <w:rPr>
          <w:rFonts w:hint="eastAsia" w:ascii="仿宋_GB2312" w:hAnsi="仿宋_GB2312" w:eastAsia="仿宋_GB2312" w:cs="仿宋_GB2312"/>
          <w:color w:val="auto"/>
          <w:kern w:val="0"/>
          <w:sz w:val="24"/>
          <w:szCs w:val="20"/>
          <w:highlight w:val="none"/>
          <w:lang w:eastAsia="zh-CN"/>
        </w:rPr>
        <w:t>及验收</w:t>
      </w:r>
      <w:r>
        <w:rPr>
          <w:rFonts w:hint="eastAsia" w:ascii="仿宋_GB2312" w:hAnsi="仿宋_GB2312" w:eastAsia="仿宋_GB2312" w:cs="仿宋_GB2312"/>
          <w:color w:val="auto"/>
          <w:kern w:val="0"/>
          <w:sz w:val="24"/>
          <w:szCs w:val="20"/>
          <w:highlight w:val="none"/>
        </w:rPr>
        <w:t>，并负责项目实施过程中的所有协调工作。</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.3乙方有权根据合同约定向甲方收取</w:t>
      </w:r>
      <w:r>
        <w:rPr>
          <w:rFonts w:hint="eastAsia" w:ascii="仿宋_GB2312" w:hAnsi="仿宋_GB2312" w:eastAsia="仿宋_GB2312" w:cs="仿宋_GB2312"/>
          <w:color w:val="auto"/>
          <w:kern w:val="0"/>
          <w:sz w:val="24"/>
          <w:szCs w:val="20"/>
          <w:highlight w:val="none"/>
          <w:lang w:eastAsia="zh-CN"/>
        </w:rPr>
        <w:t>合同价款</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.4国家法律法规规定</w:t>
      </w:r>
      <w:r>
        <w:rPr>
          <w:rFonts w:hint="eastAsia" w:ascii="仿宋_GB2312" w:hAnsi="仿宋_GB2312" w:eastAsia="仿宋_GB2312" w:cs="仿宋_GB2312"/>
          <w:color w:val="auto"/>
          <w:kern w:val="0"/>
          <w:sz w:val="24"/>
          <w:szCs w:val="20"/>
          <w:highlight w:val="none"/>
          <w:lang w:eastAsia="zh-CN"/>
        </w:rPr>
        <w:t>及</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约定应</w:t>
      </w:r>
      <w:r>
        <w:rPr>
          <w:rFonts w:hint="eastAsia" w:ascii="仿宋_GB2312" w:hAnsi="仿宋_GB2312" w:eastAsia="仿宋_GB2312" w:cs="仿宋_GB2312"/>
          <w:color w:val="auto"/>
          <w:kern w:val="0"/>
          <w:sz w:val="24"/>
          <w:szCs w:val="20"/>
          <w:highlight w:val="none"/>
        </w:rPr>
        <w:t>由乙方承担的其他义务和责任。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6.</w:t>
      </w:r>
      <w:r>
        <w:rPr>
          <w:rFonts w:hint="eastAsia" w:ascii="仿宋_GB2312" w:hAnsi="仿宋_GB2312" w:eastAsia="仿宋_GB2312" w:cs="仿宋_GB2312"/>
          <w:b/>
          <w:bCs/>
          <w:color w:val="auto"/>
          <w:kern w:val="0"/>
          <w:sz w:val="24"/>
          <w:szCs w:val="20"/>
          <w:highlight w:val="none"/>
        </w:rPr>
        <w:t>合同履</w:t>
      </w:r>
      <w:r>
        <w:rPr>
          <w:rFonts w:hint="eastAsia" w:ascii="仿宋_GB2312" w:hAnsi="仿宋_GB2312" w:eastAsia="仿宋_GB2312" w:cs="仿宋_GB2312"/>
          <w:b/>
          <w:bCs/>
          <w:color w:val="auto"/>
          <w:kern w:val="0"/>
          <w:sz w:val="24"/>
          <w:szCs w:val="20"/>
          <w:highlight w:val="none"/>
          <w:lang w:val="en-US" w:eastAsia="zh-CN"/>
        </w:rPr>
        <w:t>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6</w:t>
      </w:r>
      <w:r>
        <w:rPr>
          <w:rFonts w:hint="eastAsia" w:ascii="仿宋_GB2312" w:hAnsi="仿宋_GB2312" w:eastAsia="仿宋_GB2312" w:cs="仿宋_GB2312"/>
          <w:color w:val="auto"/>
          <w:kern w:val="0"/>
          <w:sz w:val="24"/>
          <w:szCs w:val="20"/>
          <w:highlight w:val="none"/>
        </w:rPr>
        <w:t>.1 甲乙双方应当按照【政府采购合同专用条款】约定顺序履行合同义务；如果没有先后顺序的，应当同时履行。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6</w:t>
      </w:r>
      <w:r>
        <w:rPr>
          <w:rFonts w:hint="eastAsia" w:ascii="仿宋_GB2312" w:hAnsi="仿宋_GB2312" w:eastAsia="仿宋_GB2312" w:cs="仿宋_GB2312"/>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7</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货物包装、运输</w:t>
      </w:r>
      <w:r>
        <w:rPr>
          <w:rFonts w:hint="eastAsia" w:ascii="仿宋_GB2312" w:hAnsi="仿宋_GB2312" w:eastAsia="仿宋_GB2312" w:cs="仿宋_GB2312"/>
          <w:b/>
          <w:bCs/>
          <w:color w:val="auto"/>
          <w:kern w:val="0"/>
          <w:sz w:val="24"/>
          <w:szCs w:val="20"/>
          <w:highlight w:val="none"/>
          <w:lang w:eastAsia="zh-CN"/>
        </w:rPr>
        <w:t>、</w:t>
      </w:r>
      <w:r>
        <w:rPr>
          <w:rFonts w:hint="eastAsia" w:ascii="仿宋_GB2312" w:hAnsi="仿宋_GB2312" w:eastAsia="仿宋_GB2312" w:cs="仿宋_GB2312"/>
          <w:b/>
          <w:bCs/>
          <w:color w:val="auto"/>
          <w:kern w:val="0"/>
          <w:sz w:val="24"/>
          <w:szCs w:val="20"/>
          <w:highlight w:val="none"/>
        </w:rPr>
        <w:t>保险</w:t>
      </w:r>
      <w:r>
        <w:rPr>
          <w:rFonts w:hint="eastAsia" w:ascii="仿宋_GB2312" w:hAnsi="仿宋_GB2312" w:eastAsia="仿宋_GB2312" w:cs="仿宋_GB2312"/>
          <w:b/>
          <w:bCs/>
          <w:color w:val="auto"/>
          <w:kern w:val="0"/>
          <w:sz w:val="24"/>
          <w:szCs w:val="20"/>
          <w:highlight w:val="none"/>
          <w:lang w:eastAsia="zh-CN"/>
        </w:rPr>
        <w:t>和交付</w:t>
      </w:r>
      <w:r>
        <w:rPr>
          <w:rFonts w:hint="eastAsia" w:ascii="仿宋_GB2312" w:hAnsi="仿宋_GB2312" w:eastAsia="仿宋_GB2312" w:cs="仿宋_GB2312"/>
          <w:b/>
          <w:bCs/>
          <w:color w:val="auto"/>
          <w:kern w:val="0"/>
          <w:sz w:val="24"/>
          <w:szCs w:val="20"/>
          <w:highlight w:val="none"/>
        </w:rPr>
        <w:t>要求</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.1 本合同涉及商品包装</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快递包装的，除【政府采购合同专用条款】另有</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r>
        <w:rPr>
          <w:rFonts w:hint="eastAsia" w:ascii="仿宋_GB2312" w:hAnsi="仿宋_GB2312" w:eastAsia="仿宋_GB2312" w:cs="仿宋_GB2312"/>
          <w:color w:val="auto"/>
          <w:kern w:val="0"/>
          <w:sz w:val="24"/>
          <w:szCs w:val="20"/>
          <w:highlight w:val="none"/>
          <w:lang w:eastAsia="zh-CN"/>
        </w:rPr>
        <w:t>外</w:t>
      </w:r>
      <w:r>
        <w:rPr>
          <w:rFonts w:hint="eastAsia" w:ascii="仿宋_GB2312" w:hAnsi="仿宋_GB2312" w:eastAsia="仿宋_GB2312" w:cs="仿宋_GB2312"/>
          <w:color w:val="auto"/>
          <w:kern w:val="0"/>
          <w:sz w:val="24"/>
          <w:szCs w:val="20"/>
          <w:highlight w:val="none"/>
        </w:rPr>
        <w:t>，包装应适应远距离运输、防潮、防震、防锈和防野蛮装卸等要求，确保货物安全无损地运抵【政府采购合同专用条款】</w:t>
      </w:r>
      <w:r>
        <w:rPr>
          <w:rFonts w:hint="eastAsia" w:ascii="仿宋_GB2312" w:hAnsi="仿宋_GB2312" w:eastAsia="仿宋_GB2312" w:cs="仿宋_GB2312"/>
          <w:color w:val="auto"/>
          <w:kern w:val="0"/>
          <w:sz w:val="24"/>
          <w:szCs w:val="20"/>
          <w:highlight w:val="none"/>
          <w:lang w:eastAsia="zh-CN"/>
        </w:rPr>
        <w:t>约定的</w:t>
      </w:r>
      <w:r>
        <w:rPr>
          <w:rFonts w:hint="eastAsia" w:ascii="仿宋_GB2312" w:hAnsi="仿宋_GB2312" w:eastAsia="仿宋_GB2312" w:cs="仿宋_GB2312"/>
          <w:color w:val="auto"/>
          <w:kern w:val="0"/>
          <w:sz w:val="24"/>
          <w:szCs w:val="20"/>
          <w:highlight w:val="none"/>
        </w:rPr>
        <w:t>指定现场。</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.2 除【政府采购合同专用条款】另有</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r>
        <w:rPr>
          <w:rFonts w:hint="eastAsia" w:ascii="仿宋_GB2312" w:hAnsi="仿宋_GB2312" w:eastAsia="仿宋_GB2312" w:cs="仿宋_GB2312"/>
          <w:color w:val="auto"/>
          <w:kern w:val="0"/>
          <w:sz w:val="24"/>
          <w:szCs w:val="20"/>
          <w:highlight w:val="none"/>
          <w:lang w:eastAsia="zh-CN"/>
        </w:rPr>
        <w:t>外</w:t>
      </w:r>
      <w:r>
        <w:rPr>
          <w:rFonts w:hint="eastAsia" w:ascii="仿宋_GB2312" w:hAnsi="仿宋_GB2312" w:eastAsia="仿宋_GB2312" w:cs="仿宋_GB2312"/>
          <w:color w:val="auto"/>
          <w:kern w:val="0"/>
          <w:sz w:val="24"/>
          <w:szCs w:val="20"/>
          <w:highlight w:val="none"/>
        </w:rPr>
        <w:t>，乙方负责办理将货物运抵本合同规定的交货地点</w:t>
      </w:r>
      <w:r>
        <w:rPr>
          <w:rFonts w:hint="eastAsia" w:ascii="仿宋_GB2312" w:hAnsi="仿宋_GB2312" w:eastAsia="仿宋_GB2312" w:cs="仿宋_GB2312"/>
          <w:color w:val="auto"/>
          <w:kern w:val="0"/>
          <w:sz w:val="24"/>
          <w:szCs w:val="20"/>
          <w:highlight w:val="none"/>
          <w:lang w:eastAsia="zh-CN"/>
        </w:rPr>
        <w:t>，并装卸、交付至甲方</w:t>
      </w:r>
      <w:r>
        <w:rPr>
          <w:rFonts w:hint="eastAsia" w:ascii="仿宋_GB2312" w:hAnsi="仿宋_GB2312" w:eastAsia="仿宋_GB2312" w:cs="仿宋_GB2312"/>
          <w:color w:val="auto"/>
          <w:kern w:val="0"/>
          <w:sz w:val="24"/>
          <w:szCs w:val="20"/>
          <w:highlight w:val="none"/>
        </w:rPr>
        <w:t>的一切运输事项，相关费用应</w:t>
      </w:r>
      <w:r>
        <w:rPr>
          <w:rFonts w:hint="eastAsia" w:ascii="仿宋_GB2312" w:hAnsi="仿宋_GB2312" w:eastAsia="仿宋_GB2312" w:cs="仿宋_GB2312"/>
          <w:color w:val="auto"/>
          <w:kern w:val="0"/>
          <w:sz w:val="24"/>
          <w:szCs w:val="20"/>
          <w:highlight w:val="none"/>
          <w:lang w:eastAsia="zh-CN"/>
        </w:rPr>
        <w:t>包含</w:t>
      </w:r>
      <w:r>
        <w:rPr>
          <w:rFonts w:hint="eastAsia" w:ascii="仿宋_GB2312" w:hAnsi="仿宋_GB2312" w:eastAsia="仿宋_GB2312" w:cs="仿宋_GB2312"/>
          <w:color w:val="auto"/>
          <w:kern w:val="0"/>
          <w:sz w:val="24"/>
          <w:szCs w:val="20"/>
          <w:highlight w:val="none"/>
        </w:rPr>
        <w:t>在合同</w:t>
      </w:r>
      <w:r>
        <w:rPr>
          <w:rFonts w:hint="eastAsia" w:ascii="仿宋_GB2312" w:hAnsi="仿宋_GB2312" w:eastAsia="仿宋_GB2312" w:cs="仿宋_GB2312"/>
          <w:color w:val="auto"/>
          <w:kern w:val="0"/>
          <w:sz w:val="24"/>
          <w:szCs w:val="20"/>
          <w:highlight w:val="none"/>
          <w:lang w:eastAsia="zh-CN"/>
        </w:rPr>
        <w:t>价款</w:t>
      </w:r>
      <w:r>
        <w:rPr>
          <w:rFonts w:hint="eastAsia" w:ascii="仿宋_GB2312" w:hAnsi="仿宋_GB2312" w:eastAsia="仿宋_GB2312" w:cs="仿宋_GB2312"/>
          <w:color w:val="auto"/>
          <w:kern w:val="0"/>
          <w:sz w:val="24"/>
          <w:szCs w:val="20"/>
          <w:highlight w:val="none"/>
        </w:rPr>
        <w:t>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.3 货物保险要求按【政府采购合同专用条款】规定执行。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7</w:t>
      </w:r>
      <w:r>
        <w:rPr>
          <w:rFonts w:hint="eastAsia" w:ascii="仿宋_GB2312" w:hAnsi="仿宋_GB2312" w:eastAsia="仿宋_GB2312" w:cs="仿宋_GB2312"/>
          <w:color w:val="auto"/>
          <w:kern w:val="0"/>
          <w:sz w:val="24"/>
          <w:szCs w:val="20"/>
          <w:highlight w:val="none"/>
        </w:rPr>
        <w:t xml:space="preserve">.4 </w:t>
      </w:r>
      <w:r>
        <w:rPr>
          <w:rFonts w:hint="eastAsia" w:ascii="仿宋_GB2312" w:hAnsi="仿宋_GB2312" w:eastAsia="仿宋_GB2312" w:cs="仿宋_GB2312"/>
          <w:color w:val="auto"/>
          <w:kern w:val="0"/>
          <w:sz w:val="24"/>
          <w:szCs w:val="20"/>
          <w:highlight w:val="none"/>
          <w:lang w:val="en-US" w:eastAsia="zh-CN"/>
        </w:rPr>
        <w:t>除采购活动</w:t>
      </w:r>
      <w:r>
        <w:rPr>
          <w:rFonts w:hint="eastAsia" w:ascii="仿宋_GB2312" w:hAnsi="仿宋_GB2312" w:eastAsia="仿宋_GB2312" w:cs="仿宋_GB2312"/>
          <w:color w:val="auto"/>
          <w:kern w:val="0"/>
          <w:sz w:val="24"/>
          <w:szCs w:val="20"/>
          <w:highlight w:val="none"/>
        </w:rPr>
        <w:t>对商品包装</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w:t>
      </w:r>
      <w:r>
        <w:rPr>
          <w:rFonts w:hint="eastAsia" w:ascii="仿宋_GB2312" w:hAnsi="仿宋_GB2312" w:eastAsia="仿宋_GB2312" w:cs="仿宋_GB2312"/>
          <w:color w:val="auto"/>
          <w:kern w:val="0"/>
          <w:sz w:val="24"/>
          <w:szCs w:val="20"/>
          <w:highlight w:val="none"/>
          <w:lang w:val="en-US" w:eastAsia="zh-CN"/>
        </w:rPr>
        <w:t>达成具体约定外</w:t>
      </w:r>
      <w:r>
        <w:rPr>
          <w:rFonts w:hint="eastAsia" w:ascii="仿宋_GB2312" w:hAnsi="仿宋_GB2312" w:eastAsia="仿宋_GB2312" w:cs="仿宋_GB2312"/>
          <w:color w:val="auto"/>
          <w:kern w:val="0"/>
          <w:sz w:val="24"/>
          <w:szCs w:val="20"/>
          <w:highlight w:val="none"/>
        </w:rPr>
        <w:t>，乙方提供产品及相关快递服务</w:t>
      </w:r>
      <w:r>
        <w:rPr>
          <w:rFonts w:hint="eastAsia" w:ascii="仿宋_GB2312" w:hAnsi="仿宋_GB2312" w:eastAsia="仿宋_GB2312" w:cs="仿宋_GB2312"/>
          <w:color w:val="auto"/>
          <w:kern w:val="0"/>
          <w:sz w:val="24"/>
          <w:szCs w:val="20"/>
          <w:highlight w:val="none"/>
          <w:lang w:val="en-US" w:eastAsia="zh-CN"/>
        </w:rPr>
        <w:t>涉及到</w:t>
      </w:r>
      <w:r>
        <w:rPr>
          <w:rFonts w:hint="eastAsia" w:ascii="仿宋_GB2312" w:hAnsi="仿宋_GB2312" w:eastAsia="仿宋_GB2312" w:cs="仿宋_GB2312"/>
          <w:color w:val="auto"/>
          <w:kern w:val="0"/>
          <w:sz w:val="24"/>
          <w:szCs w:val="20"/>
          <w:highlight w:val="none"/>
        </w:rPr>
        <w:t>具体包装要求</w:t>
      </w:r>
      <w:r>
        <w:rPr>
          <w:rFonts w:hint="eastAsia" w:ascii="仿宋_GB2312" w:hAnsi="仿宋_GB2312" w:eastAsia="仿宋_GB2312" w:cs="仿宋_GB2312"/>
          <w:color w:val="auto"/>
          <w:kern w:val="0"/>
          <w:sz w:val="24"/>
          <w:szCs w:val="20"/>
          <w:highlight w:val="none"/>
          <w:lang w:val="en-US" w:eastAsia="zh-CN"/>
        </w:rPr>
        <w:t>的，</w:t>
      </w:r>
      <w:r>
        <w:rPr>
          <w:rFonts w:hint="eastAsia" w:ascii="仿宋_GB2312" w:hAnsi="仿宋_GB2312" w:eastAsia="仿宋_GB2312" w:cs="仿宋_GB2312"/>
          <w:color w:val="auto"/>
          <w:kern w:val="0"/>
          <w:sz w:val="24"/>
          <w:szCs w:val="20"/>
          <w:highlight w:val="none"/>
        </w:rPr>
        <w:t>应</w:t>
      </w:r>
      <w:r>
        <w:rPr>
          <w:rFonts w:hint="eastAsia" w:ascii="仿宋_GB2312" w:hAnsi="仿宋_GB2312" w:eastAsia="仿宋_GB2312" w:cs="仿宋_GB2312"/>
          <w:color w:val="auto"/>
          <w:kern w:val="0"/>
          <w:sz w:val="24"/>
          <w:szCs w:val="20"/>
          <w:highlight w:val="none"/>
          <w:lang w:val="en-US" w:eastAsia="zh-CN"/>
        </w:rPr>
        <w:t>不低于</w:t>
      </w:r>
      <w:r>
        <w:rPr>
          <w:rFonts w:hint="eastAsia" w:ascii="仿宋_GB2312" w:hAnsi="仿宋_GB2312" w:eastAsia="仿宋_GB2312" w:cs="仿宋_GB2312"/>
          <w:color w:val="auto"/>
          <w:kern w:val="0"/>
          <w:sz w:val="24"/>
          <w:szCs w:val="20"/>
          <w:highlight w:val="none"/>
        </w:rPr>
        <w:t>《商品包装政府采购需求标准（试行）</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快递包装政府采购需求标准（试行）》</w:t>
      </w:r>
      <w:r>
        <w:rPr>
          <w:rFonts w:hint="eastAsia" w:ascii="仿宋_GB2312" w:hAnsi="仿宋_GB2312" w:eastAsia="仿宋_GB2312" w:cs="仿宋_GB2312"/>
          <w:color w:val="auto"/>
          <w:kern w:val="0"/>
          <w:sz w:val="24"/>
          <w:szCs w:val="20"/>
          <w:highlight w:val="none"/>
          <w:lang w:val="en-US" w:eastAsia="zh-CN"/>
        </w:rPr>
        <w:t>标准</w:t>
      </w:r>
      <w:r>
        <w:rPr>
          <w:rFonts w:hint="eastAsia" w:ascii="仿宋_GB2312" w:hAnsi="仿宋_GB2312" w:eastAsia="仿宋_GB2312" w:cs="仿宋_GB2312"/>
          <w:color w:val="auto"/>
          <w:kern w:val="0"/>
          <w:sz w:val="24"/>
          <w:szCs w:val="20"/>
          <w:highlight w:val="none"/>
        </w:rPr>
        <w:t>，并作为履约验收的内容，必要时甲方可以要求乙方在履约验收环节出具检测报告。</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7.5 </w:t>
      </w:r>
      <w:r>
        <w:rPr>
          <w:rFonts w:hint="eastAsia" w:ascii="仿宋_GB2312" w:hAnsi="仿宋_GB2312" w:eastAsia="仿宋_GB2312" w:cs="仿宋_GB2312"/>
          <w:color w:val="auto"/>
          <w:kern w:val="0"/>
          <w:sz w:val="24"/>
          <w:szCs w:val="20"/>
          <w:highlight w:val="none"/>
        </w:rPr>
        <w:t>乙方在运输到达之前</w:t>
      </w:r>
      <w:r>
        <w:rPr>
          <w:rFonts w:hint="eastAsia" w:ascii="仿宋_GB2312" w:hAnsi="仿宋_GB2312" w:eastAsia="仿宋_GB2312" w:cs="仿宋_GB2312"/>
          <w:color w:val="auto"/>
          <w:kern w:val="0"/>
          <w:sz w:val="24"/>
          <w:szCs w:val="20"/>
          <w:highlight w:val="none"/>
          <w:lang w:eastAsia="zh-CN"/>
        </w:rPr>
        <w:t>应</w:t>
      </w:r>
      <w:r>
        <w:rPr>
          <w:rFonts w:hint="eastAsia" w:ascii="仿宋_GB2312" w:hAnsi="仿宋_GB2312" w:eastAsia="仿宋_GB2312" w:cs="仿宋_GB2312"/>
          <w:color w:val="auto"/>
          <w:kern w:val="0"/>
          <w:sz w:val="24"/>
          <w:szCs w:val="20"/>
          <w:highlight w:val="none"/>
        </w:rPr>
        <w:t>提前通知</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，并提示货物运输装卸的注意事项</w:t>
      </w:r>
      <w:r>
        <w:rPr>
          <w:rFonts w:hint="eastAsia" w:ascii="仿宋_GB2312" w:hAnsi="仿宋_GB2312" w:eastAsia="仿宋_GB2312" w:cs="仿宋_GB2312"/>
          <w:color w:val="auto"/>
          <w:kern w:val="0"/>
          <w:sz w:val="24"/>
          <w:szCs w:val="20"/>
          <w:highlight w:val="none"/>
          <w:lang w:eastAsia="zh-CN"/>
        </w:rPr>
        <w:t>，甲方配合乙方做好货物的接收工作。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7.6 </w:t>
      </w:r>
      <w:r>
        <w:rPr>
          <w:rFonts w:hint="eastAsia" w:ascii="仿宋_GB2312" w:hAnsi="仿宋_GB2312" w:eastAsia="仿宋_GB2312" w:cs="仿宋_GB2312"/>
          <w:color w:val="auto"/>
          <w:kern w:val="0"/>
          <w:sz w:val="24"/>
          <w:szCs w:val="20"/>
          <w:highlight w:val="none"/>
        </w:rPr>
        <w:t>如因包装</w:t>
      </w:r>
      <w:r>
        <w:rPr>
          <w:rFonts w:hint="eastAsia" w:ascii="仿宋_GB2312" w:hAnsi="仿宋_GB2312" w:eastAsia="仿宋_GB2312" w:cs="仿宋_GB2312"/>
          <w:color w:val="auto"/>
          <w:kern w:val="0"/>
          <w:sz w:val="24"/>
          <w:szCs w:val="20"/>
          <w:highlight w:val="none"/>
          <w:lang w:eastAsia="zh-CN"/>
        </w:rPr>
        <w:t>、运输</w:t>
      </w:r>
      <w:r>
        <w:rPr>
          <w:rFonts w:hint="eastAsia" w:ascii="仿宋_GB2312" w:hAnsi="仿宋_GB2312" w:eastAsia="仿宋_GB2312" w:cs="仿宋_GB2312"/>
          <w:color w:val="auto"/>
          <w:kern w:val="0"/>
          <w:sz w:val="24"/>
          <w:szCs w:val="20"/>
          <w:highlight w:val="none"/>
        </w:rPr>
        <w:t>问题导致货物</w:t>
      </w:r>
      <w:r>
        <w:rPr>
          <w:rFonts w:hint="eastAsia" w:ascii="仿宋_GB2312" w:hAnsi="仿宋_GB2312" w:eastAsia="仿宋_GB2312" w:cs="仿宋_GB2312"/>
          <w:color w:val="auto"/>
          <w:kern w:val="0"/>
          <w:sz w:val="24"/>
          <w:szCs w:val="20"/>
          <w:highlight w:val="none"/>
          <w:lang w:eastAsia="zh-CN"/>
        </w:rPr>
        <w:t>损毁、丢失</w:t>
      </w:r>
      <w:r>
        <w:rPr>
          <w:rFonts w:hint="eastAsia" w:ascii="仿宋_GB2312" w:hAnsi="仿宋_GB2312" w:eastAsia="仿宋_GB2312" w:cs="仿宋_GB2312"/>
          <w:color w:val="auto"/>
          <w:kern w:val="0"/>
          <w:sz w:val="24"/>
          <w:szCs w:val="20"/>
          <w:highlight w:val="none"/>
        </w:rPr>
        <w:t>或者品质下降，</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有权要求降价、换货、拒收部分或整批货物，由此</w:t>
      </w:r>
      <w:r>
        <w:rPr>
          <w:rFonts w:hint="eastAsia" w:ascii="仿宋_GB2312" w:hAnsi="仿宋_GB2312" w:eastAsia="仿宋_GB2312" w:cs="仿宋_GB2312"/>
          <w:color w:val="auto"/>
          <w:kern w:val="0"/>
          <w:sz w:val="24"/>
          <w:szCs w:val="20"/>
          <w:highlight w:val="none"/>
          <w:lang w:eastAsia="zh-CN"/>
        </w:rPr>
        <w:t>产生</w:t>
      </w:r>
      <w:r>
        <w:rPr>
          <w:rFonts w:hint="eastAsia" w:ascii="仿宋_GB2312" w:hAnsi="仿宋_GB2312" w:eastAsia="仿宋_GB2312" w:cs="仿宋_GB2312"/>
          <w:color w:val="auto"/>
          <w:kern w:val="0"/>
          <w:sz w:val="24"/>
          <w:szCs w:val="20"/>
          <w:highlight w:val="none"/>
        </w:rPr>
        <w:t>的费用和损失，均由</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承担。</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8</w:t>
      </w:r>
      <w:r>
        <w:rPr>
          <w:rFonts w:hint="eastAsia" w:ascii="仿宋_GB2312" w:hAnsi="仿宋_GB2312" w:eastAsia="仿宋_GB2312" w:cs="仿宋_GB2312"/>
          <w:b/>
          <w:bCs/>
          <w:color w:val="auto"/>
          <w:kern w:val="0"/>
          <w:sz w:val="24"/>
          <w:szCs w:val="20"/>
          <w:highlight w:val="none"/>
          <w:lang w:val="en-US" w:eastAsia="zh-CN"/>
        </w:rPr>
        <w:t>.</w:t>
      </w:r>
      <w:r>
        <w:rPr>
          <w:rFonts w:hint="eastAsia" w:ascii="仿宋_GB2312" w:hAnsi="仿宋_GB2312" w:eastAsia="仿宋_GB2312" w:cs="仿宋_GB2312"/>
          <w:b/>
          <w:bCs/>
          <w:color w:val="auto"/>
          <w:kern w:val="0"/>
          <w:sz w:val="24"/>
          <w:szCs w:val="20"/>
          <w:highlight w:val="none"/>
        </w:rPr>
        <w:t>质量标准和保证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8</w:t>
      </w:r>
      <w:r>
        <w:rPr>
          <w:rFonts w:hint="eastAsia" w:ascii="仿宋_GB2312" w:hAnsi="仿宋_GB2312" w:eastAsia="仿宋_GB2312" w:cs="仿宋_GB2312"/>
          <w:color w:val="auto"/>
          <w:kern w:val="0"/>
          <w:sz w:val="24"/>
          <w:szCs w:val="20"/>
          <w:highlight w:val="none"/>
        </w:rPr>
        <w:t>.1 质量标准</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（1）本合同下</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的货物应符合</w:t>
      </w:r>
      <w:r>
        <w:rPr>
          <w:rFonts w:hint="eastAsia" w:ascii="仿宋_GB2312" w:hAnsi="仿宋_GB2312" w:eastAsia="仿宋_GB2312" w:cs="仿宋_GB2312"/>
          <w:color w:val="auto"/>
          <w:kern w:val="0"/>
          <w:sz w:val="24"/>
          <w:szCs w:val="20"/>
          <w:highlight w:val="none"/>
          <w:lang w:eastAsia="zh-CN"/>
        </w:rPr>
        <w:t>合同约</w:t>
      </w:r>
      <w:r>
        <w:rPr>
          <w:rFonts w:hint="eastAsia" w:ascii="仿宋_GB2312" w:hAnsi="仿宋_GB2312" w:eastAsia="仿宋_GB2312" w:cs="仿宋_GB2312"/>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_GB2312" w:hAnsi="仿宋_GB2312" w:eastAsia="仿宋_GB2312" w:cs="仿宋_GB2312"/>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（2）采用中华人民共和国法定计量单位。</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（3）乙方所</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的货物应符合国家有关安全、环保、卫生</w:t>
      </w:r>
      <w:r>
        <w:rPr>
          <w:rFonts w:hint="eastAsia" w:ascii="仿宋_GB2312" w:hAnsi="仿宋_GB2312" w:eastAsia="仿宋_GB2312" w:cs="仿宋_GB2312"/>
          <w:color w:val="auto"/>
          <w:kern w:val="0"/>
          <w:sz w:val="24"/>
          <w:szCs w:val="20"/>
          <w:highlight w:val="none"/>
          <w:lang w:eastAsia="zh-CN"/>
        </w:rPr>
        <w:t>的</w:t>
      </w:r>
      <w:r>
        <w:rPr>
          <w:rFonts w:hint="eastAsia" w:ascii="仿宋_GB2312" w:hAnsi="仿宋_GB2312" w:eastAsia="仿宋_GB2312" w:cs="仿宋_GB2312"/>
          <w:color w:val="auto"/>
          <w:kern w:val="0"/>
          <w:sz w:val="24"/>
          <w:szCs w:val="20"/>
          <w:highlight w:val="none"/>
        </w:rPr>
        <w:t>规定。</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（4）乙方应向甲方提交所</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货物的技术文件，包括相应的中文技术文件，如：产品目录、图纸、操作手册、使用说明、维护手册或服务指南</w:t>
      </w:r>
      <w:r>
        <w:rPr>
          <w:rFonts w:hint="eastAsia" w:ascii="仿宋_GB2312" w:hAnsi="仿宋_GB2312" w:eastAsia="仿宋_GB2312" w:cs="仿宋_GB2312"/>
          <w:color w:val="auto"/>
          <w:kern w:val="0"/>
          <w:sz w:val="24"/>
          <w:szCs w:val="20"/>
          <w:highlight w:val="none"/>
          <w:lang w:eastAsia="zh-CN"/>
        </w:rPr>
        <w:t>等</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eastAsia="zh-CN"/>
        </w:rPr>
        <w:t>上述</w:t>
      </w:r>
      <w:r>
        <w:rPr>
          <w:rFonts w:hint="eastAsia" w:ascii="仿宋_GB2312" w:hAnsi="仿宋_GB2312" w:eastAsia="仿宋_GB2312" w:cs="仿宋_GB2312"/>
          <w:color w:val="auto"/>
          <w:kern w:val="0"/>
          <w:sz w:val="24"/>
          <w:szCs w:val="20"/>
          <w:highlight w:val="none"/>
        </w:rPr>
        <w:t>文件应包装好随货物一同发运。</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8</w:t>
      </w:r>
      <w:r>
        <w:rPr>
          <w:rFonts w:hint="eastAsia" w:ascii="仿宋_GB2312" w:hAnsi="仿宋_GB2312" w:eastAsia="仿宋_GB2312" w:cs="仿宋_GB2312"/>
          <w:color w:val="auto"/>
          <w:kern w:val="0"/>
          <w:sz w:val="24"/>
          <w:szCs w:val="20"/>
          <w:highlight w:val="none"/>
        </w:rPr>
        <w:t>.2 保证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（1）乙方应保证</w:t>
      </w:r>
      <w:r>
        <w:rPr>
          <w:rFonts w:hint="eastAsia" w:ascii="仿宋_GB2312" w:hAnsi="仿宋_GB2312" w:eastAsia="仿宋_GB2312" w:cs="仿宋_GB2312"/>
          <w:color w:val="auto"/>
          <w:kern w:val="0"/>
          <w:sz w:val="24"/>
          <w:szCs w:val="20"/>
          <w:highlight w:val="none"/>
          <w:lang w:eastAsia="zh-CN"/>
        </w:rPr>
        <w:t>提供的货物</w:t>
      </w:r>
      <w:r>
        <w:rPr>
          <w:rFonts w:hint="eastAsia" w:ascii="仿宋_GB2312" w:hAnsi="仿宋_GB2312" w:eastAsia="仿宋_GB2312" w:cs="仿宋_GB2312"/>
          <w:color w:val="auto"/>
          <w:kern w:val="0"/>
          <w:sz w:val="24"/>
          <w:szCs w:val="20"/>
          <w:highlight w:val="none"/>
        </w:rPr>
        <w:t>完全符合合同规定的质量、规格和性能要求。乙方应保证货物在正确安装、正常使用和保养条件下，在其使用寿命期内具</w:t>
      </w:r>
      <w:r>
        <w:rPr>
          <w:rFonts w:hint="eastAsia" w:ascii="仿宋_GB2312" w:hAnsi="仿宋_GB2312" w:eastAsia="仿宋_GB2312" w:cs="仿宋_GB2312"/>
          <w:color w:val="auto"/>
          <w:kern w:val="0"/>
          <w:sz w:val="24"/>
          <w:szCs w:val="20"/>
          <w:highlight w:val="none"/>
          <w:lang w:eastAsia="zh-CN"/>
        </w:rPr>
        <w:t>备合同约定</w:t>
      </w:r>
      <w:r>
        <w:rPr>
          <w:rFonts w:hint="eastAsia" w:ascii="仿宋_GB2312" w:hAnsi="仿宋_GB2312" w:eastAsia="仿宋_GB2312" w:cs="仿宋_GB2312"/>
          <w:color w:val="auto"/>
          <w:kern w:val="0"/>
          <w:sz w:val="24"/>
          <w:szCs w:val="20"/>
          <w:highlight w:val="none"/>
        </w:rPr>
        <w:t>的性能。</w:t>
      </w:r>
      <w:r>
        <w:rPr>
          <w:rFonts w:hint="eastAsia" w:ascii="仿宋_GB2312" w:hAnsi="仿宋_GB2312" w:eastAsia="仿宋_GB2312" w:cs="仿宋_GB2312"/>
          <w:color w:val="auto"/>
          <w:kern w:val="0"/>
          <w:sz w:val="24"/>
          <w:szCs w:val="20"/>
          <w:highlight w:val="none"/>
          <w:lang w:eastAsia="zh-CN"/>
        </w:rPr>
        <w:t>存在</w:t>
      </w:r>
      <w:r>
        <w:rPr>
          <w:rFonts w:hint="eastAsia" w:ascii="仿宋_GB2312" w:hAnsi="仿宋_GB2312" w:eastAsia="仿宋_GB2312" w:cs="仿宋_GB2312"/>
          <w:color w:val="auto"/>
          <w:kern w:val="0"/>
          <w:sz w:val="24"/>
          <w:szCs w:val="20"/>
          <w:highlight w:val="none"/>
        </w:rPr>
        <w:t>质量保证期的，货物最终交付验收</w:t>
      </w:r>
      <w:r>
        <w:rPr>
          <w:rFonts w:hint="eastAsia" w:ascii="仿宋_GB2312" w:hAnsi="仿宋_GB2312" w:eastAsia="仿宋_GB2312" w:cs="仿宋_GB2312"/>
          <w:color w:val="auto"/>
          <w:kern w:val="0"/>
          <w:sz w:val="24"/>
          <w:szCs w:val="20"/>
          <w:highlight w:val="none"/>
          <w:lang w:eastAsia="zh-CN"/>
        </w:rPr>
        <w:t>合格</w:t>
      </w:r>
      <w:r>
        <w:rPr>
          <w:rFonts w:hint="eastAsia" w:ascii="仿宋_GB2312" w:hAnsi="仿宋_GB2312" w:eastAsia="仿宋_GB2312" w:cs="仿宋_GB2312"/>
          <w:color w:val="auto"/>
          <w:kern w:val="0"/>
          <w:sz w:val="24"/>
          <w:szCs w:val="20"/>
          <w:highlight w:val="none"/>
        </w:rPr>
        <w:t>后</w:t>
      </w:r>
      <w:r>
        <w:rPr>
          <w:rFonts w:hint="eastAsia" w:ascii="仿宋_GB2312" w:hAnsi="仿宋_GB2312" w:eastAsia="仿宋_GB2312" w:cs="仿宋_GB2312"/>
          <w:color w:val="auto"/>
          <w:kern w:val="0"/>
          <w:sz w:val="24"/>
          <w:szCs w:val="20"/>
          <w:highlight w:val="none"/>
          <w:lang w:eastAsia="zh-CN"/>
        </w:rPr>
        <w:t>在</w:t>
      </w:r>
      <w:r>
        <w:rPr>
          <w:rFonts w:hint="eastAsia" w:ascii="仿宋_GB2312" w:hAnsi="仿宋_GB2312" w:eastAsia="仿宋_GB2312" w:cs="仿宋_GB2312"/>
          <w:color w:val="auto"/>
          <w:kern w:val="0"/>
          <w:sz w:val="24"/>
          <w:szCs w:val="20"/>
          <w:highlight w:val="none"/>
        </w:rPr>
        <w:t>【政府采购合同专用条款】规定或乙方</w:t>
      </w:r>
      <w:r>
        <w:rPr>
          <w:rFonts w:hint="eastAsia" w:ascii="仿宋_GB2312" w:hAnsi="仿宋_GB2312" w:eastAsia="仿宋_GB2312" w:cs="仿宋_GB2312"/>
          <w:color w:val="auto"/>
          <w:kern w:val="0"/>
          <w:sz w:val="24"/>
          <w:szCs w:val="20"/>
          <w:highlight w:val="none"/>
          <w:lang w:eastAsia="zh-CN"/>
        </w:rPr>
        <w:t>书面</w:t>
      </w:r>
      <w:r>
        <w:rPr>
          <w:rFonts w:hint="eastAsia" w:ascii="仿宋_GB2312" w:hAnsi="仿宋_GB2312" w:eastAsia="仿宋_GB2312" w:cs="仿宋_GB2312"/>
          <w:color w:val="auto"/>
          <w:kern w:val="0"/>
          <w:sz w:val="24"/>
          <w:szCs w:val="20"/>
          <w:highlight w:val="none"/>
        </w:rPr>
        <w:t>承诺（两者以较长的为准）的质量保证期内，本保证保持有效。</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（2）在质量保证期内所发现的缺陷，甲方应尽快以书面形式通知乙方。</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（3）乙方收到通知后</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应在【政府采购合同专用条款】规定的响应时间内以合理的速度免费维修或更换有缺陷的货物或部件。</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.1条规定以书面形式</w:t>
      </w:r>
      <w:r>
        <w:rPr>
          <w:rFonts w:hint="eastAsia" w:ascii="仿宋_GB2312" w:hAnsi="仿宋_GB2312" w:eastAsia="仿宋_GB2312" w:cs="仿宋_GB2312"/>
          <w:color w:val="auto"/>
          <w:kern w:val="0"/>
          <w:sz w:val="24"/>
          <w:szCs w:val="20"/>
          <w:highlight w:val="none"/>
          <w:lang w:eastAsia="zh-CN"/>
        </w:rPr>
        <w:t>追究</w:t>
      </w: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eastAsia="zh-CN"/>
        </w:rPr>
        <w:t>的违约责任</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（5）乙方在约定的时间内未能弥补缺陷，甲方可采取必要的补救措施，但其风险和费用将由乙方承担，甲方根据合同</w:t>
      </w:r>
      <w:r>
        <w:rPr>
          <w:rFonts w:hint="eastAsia" w:ascii="仿宋_GB2312" w:hAnsi="仿宋_GB2312" w:eastAsia="仿宋_GB2312" w:cs="仿宋_GB2312"/>
          <w:color w:val="auto"/>
          <w:kern w:val="0"/>
          <w:sz w:val="24"/>
          <w:szCs w:val="20"/>
          <w:highlight w:val="none"/>
          <w:lang w:eastAsia="zh-CN"/>
        </w:rPr>
        <w:t>约定</w:t>
      </w:r>
      <w:r>
        <w:rPr>
          <w:rFonts w:hint="eastAsia" w:ascii="仿宋_GB2312" w:hAnsi="仿宋_GB2312" w:eastAsia="仿宋_GB2312" w:cs="仿宋_GB2312"/>
          <w:color w:val="auto"/>
          <w:kern w:val="0"/>
          <w:sz w:val="24"/>
          <w:szCs w:val="20"/>
          <w:highlight w:val="none"/>
        </w:rPr>
        <w:t>对乙方行使的其他权利不受影响。</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9</w:t>
      </w:r>
      <w:r>
        <w:rPr>
          <w:rFonts w:hint="eastAsia" w:ascii="仿宋_GB2312" w:hAnsi="仿宋_GB2312" w:eastAsia="仿宋_GB2312" w:cs="仿宋_GB2312"/>
          <w:b/>
          <w:bCs/>
          <w:color w:val="auto"/>
          <w:kern w:val="0"/>
          <w:sz w:val="24"/>
          <w:szCs w:val="20"/>
          <w:highlight w:val="none"/>
        </w:rPr>
        <w:t>.权利瑕疵担保</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.1 乙方保证对其出售的货物享有合法的权利。</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.2 乙方保证在交付的货物上不存在抵押权等担保物权。</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9</w:t>
      </w:r>
      <w:r>
        <w:rPr>
          <w:rFonts w:hint="eastAsia" w:ascii="仿宋_GB2312" w:hAnsi="仿宋_GB2312" w:eastAsia="仿宋_GB2312" w:cs="仿宋_GB2312"/>
          <w:color w:val="auto"/>
          <w:kern w:val="0"/>
          <w:sz w:val="24"/>
          <w:szCs w:val="20"/>
          <w:highlight w:val="none"/>
        </w:rPr>
        <w:t>.3 如甲方使用</w:t>
      </w:r>
      <w:r>
        <w:rPr>
          <w:rFonts w:hint="eastAsia" w:ascii="仿宋_GB2312" w:hAnsi="仿宋_GB2312" w:eastAsia="仿宋_GB2312" w:cs="仿宋_GB2312"/>
          <w:color w:val="auto"/>
          <w:kern w:val="0"/>
          <w:sz w:val="24"/>
          <w:szCs w:val="20"/>
          <w:highlight w:val="none"/>
          <w:lang w:val="en-US" w:eastAsia="zh-CN"/>
        </w:rPr>
        <w:t>上述</w:t>
      </w:r>
      <w:r>
        <w:rPr>
          <w:rFonts w:hint="eastAsia" w:ascii="仿宋_GB2312" w:hAnsi="仿宋_GB2312" w:eastAsia="仿宋_GB2312" w:cs="仿宋_GB2312"/>
          <w:color w:val="auto"/>
          <w:kern w:val="0"/>
          <w:sz w:val="24"/>
          <w:szCs w:val="20"/>
          <w:highlight w:val="none"/>
        </w:rPr>
        <w:t>货物构成</w:t>
      </w:r>
      <w:r>
        <w:rPr>
          <w:rFonts w:hint="eastAsia" w:ascii="仿宋_GB2312" w:hAnsi="仿宋_GB2312" w:eastAsia="仿宋_GB2312" w:cs="仿宋_GB2312"/>
          <w:color w:val="auto"/>
          <w:kern w:val="0"/>
          <w:sz w:val="24"/>
          <w:szCs w:val="20"/>
          <w:highlight w:val="none"/>
          <w:lang w:val="en-US" w:eastAsia="zh-CN"/>
        </w:rPr>
        <w:t>对第三人</w:t>
      </w:r>
      <w:r>
        <w:rPr>
          <w:rFonts w:hint="eastAsia" w:ascii="仿宋_GB2312" w:hAnsi="仿宋_GB2312" w:eastAsia="仿宋_GB2312" w:cs="仿宋_GB2312"/>
          <w:color w:val="auto"/>
          <w:kern w:val="0"/>
          <w:sz w:val="24"/>
          <w:szCs w:val="20"/>
          <w:highlight w:val="none"/>
        </w:rPr>
        <w:t>侵权的，则由乙方承担全部责任。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0</w:t>
      </w:r>
      <w:r>
        <w:rPr>
          <w:rFonts w:hint="eastAsia" w:ascii="仿宋_GB2312" w:hAnsi="仿宋_GB2312" w:eastAsia="仿宋_GB2312" w:cs="仿宋_GB2312"/>
          <w:b/>
          <w:bCs/>
          <w:color w:val="auto"/>
          <w:kern w:val="0"/>
          <w:sz w:val="24"/>
          <w:szCs w:val="20"/>
          <w:highlight w:val="none"/>
        </w:rPr>
        <w:t>.知识产权保护</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0</w:t>
      </w:r>
      <w:r>
        <w:rPr>
          <w:rFonts w:hint="eastAsia" w:ascii="仿宋_GB2312" w:hAnsi="仿宋_GB2312" w:eastAsia="仿宋_GB2312" w:cs="仿宋_GB2312"/>
          <w:color w:val="auto"/>
          <w:kern w:val="0"/>
          <w:sz w:val="24"/>
          <w:szCs w:val="20"/>
          <w:highlight w:val="none"/>
        </w:rPr>
        <w:t>.1 乙方对其所销售的货物应当享有知识产权或经权利人合法授权，保证没有侵犯任何第三人的知识产权等权利。</w:t>
      </w:r>
      <w:bookmarkStart w:id="46" w:name="_Hlk163047038"/>
      <w:r>
        <w:rPr>
          <w:rFonts w:hint="eastAsia" w:ascii="仿宋_GB2312" w:hAnsi="仿宋_GB2312" w:eastAsia="仿宋_GB2312" w:cs="仿宋_GB2312"/>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6"/>
      <w:r>
        <w:rPr>
          <w:rFonts w:hint="eastAsia" w:ascii="仿宋_GB2312" w:hAnsi="仿宋_GB2312" w:eastAsia="仿宋_GB2312" w:cs="仿宋_GB2312"/>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1</w:t>
      </w:r>
      <w:r>
        <w:rPr>
          <w:rFonts w:hint="eastAsia" w:ascii="仿宋_GB2312" w:hAnsi="仿宋_GB2312" w:eastAsia="仿宋_GB2312" w:cs="仿宋_GB2312"/>
          <w:b/>
          <w:bCs/>
          <w:color w:val="auto"/>
          <w:kern w:val="0"/>
          <w:sz w:val="24"/>
          <w:szCs w:val="20"/>
          <w:highlight w:val="none"/>
        </w:rPr>
        <w:t>.保密义务</w:t>
      </w:r>
    </w:p>
    <w:p>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11.1 </w:t>
      </w:r>
      <w:r>
        <w:rPr>
          <w:rFonts w:hint="eastAsia" w:ascii="仿宋_GB2312" w:hAnsi="仿宋_GB2312" w:eastAsia="仿宋_GB2312" w:cs="仿宋_GB2312"/>
          <w:color w:val="auto"/>
          <w:kern w:val="0"/>
          <w:sz w:val="24"/>
          <w:szCs w:val="20"/>
          <w:highlight w:val="none"/>
        </w:rPr>
        <w:t>甲、乙双方</w:t>
      </w:r>
      <w:r>
        <w:rPr>
          <w:rFonts w:hint="eastAsia" w:ascii="仿宋_GB2312" w:hAnsi="仿宋_GB2312" w:eastAsia="仿宋_GB2312" w:cs="仿宋_GB2312"/>
          <w:color w:val="auto"/>
          <w:kern w:val="0"/>
          <w:sz w:val="24"/>
          <w:szCs w:val="20"/>
          <w:highlight w:val="none"/>
          <w:lang w:eastAsia="zh-CN"/>
        </w:rPr>
        <w:t>对</w:t>
      </w:r>
      <w:r>
        <w:rPr>
          <w:rFonts w:hint="eastAsia" w:ascii="仿宋_GB2312" w:hAnsi="仿宋_GB2312" w:eastAsia="仿宋_GB2312" w:cs="仿宋_GB2312"/>
          <w:color w:val="auto"/>
          <w:kern w:val="0"/>
          <w:sz w:val="24"/>
          <w:szCs w:val="20"/>
          <w:highlight w:val="none"/>
        </w:rPr>
        <w:t>采购和合同履行过程中所获悉的</w:t>
      </w:r>
      <w:r>
        <w:rPr>
          <w:rFonts w:hint="eastAsia" w:ascii="仿宋_GB2312" w:hAnsi="仿宋_GB2312" w:eastAsia="仿宋_GB2312" w:cs="仿宋_GB2312"/>
          <w:color w:val="auto"/>
          <w:kern w:val="0"/>
          <w:sz w:val="24"/>
          <w:szCs w:val="20"/>
          <w:highlight w:val="none"/>
          <w:lang w:eastAsia="zh-CN"/>
        </w:rPr>
        <w:t>国家秘密、工作秘密、</w:t>
      </w:r>
      <w:r>
        <w:rPr>
          <w:rFonts w:hint="eastAsia" w:ascii="仿宋_GB2312" w:hAnsi="仿宋_GB2312" w:eastAsia="仿宋_GB2312" w:cs="仿宋_GB2312"/>
          <w:color w:val="auto"/>
          <w:kern w:val="0"/>
          <w:sz w:val="24"/>
          <w:szCs w:val="20"/>
          <w:highlight w:val="none"/>
        </w:rPr>
        <w:t>商业秘密或者其他应当保密的信息，均有保密义务</w:t>
      </w:r>
      <w:r>
        <w:rPr>
          <w:rFonts w:hint="eastAsia" w:ascii="仿宋_GB2312" w:hAnsi="仿宋_GB2312" w:eastAsia="仿宋_GB2312" w:cs="仿宋_GB2312"/>
          <w:color w:val="auto"/>
          <w:kern w:val="0"/>
          <w:sz w:val="24"/>
          <w:szCs w:val="20"/>
          <w:highlight w:val="none"/>
          <w:lang w:eastAsia="zh-CN"/>
        </w:rPr>
        <w:t>且不受合同有效期所限，直至该信息成为公开信息</w:t>
      </w:r>
      <w:r>
        <w:rPr>
          <w:rFonts w:hint="eastAsia" w:ascii="仿宋_GB2312" w:hAnsi="仿宋_GB2312" w:eastAsia="仿宋_GB2312" w:cs="仿宋_GB2312"/>
          <w:color w:val="auto"/>
          <w:kern w:val="0"/>
          <w:sz w:val="24"/>
          <w:szCs w:val="20"/>
          <w:highlight w:val="none"/>
        </w:rPr>
        <w:t>。泄露、不正当地使用</w:t>
      </w:r>
      <w:r>
        <w:rPr>
          <w:rFonts w:hint="eastAsia" w:ascii="仿宋_GB2312" w:hAnsi="仿宋_GB2312" w:eastAsia="仿宋_GB2312" w:cs="仿宋_GB2312"/>
          <w:color w:val="auto"/>
          <w:kern w:val="0"/>
          <w:sz w:val="24"/>
          <w:szCs w:val="20"/>
          <w:highlight w:val="none"/>
          <w:lang w:eastAsia="zh-CN"/>
        </w:rPr>
        <w:t>国家秘密、工作秘密、</w:t>
      </w:r>
      <w:r>
        <w:rPr>
          <w:rFonts w:hint="eastAsia" w:ascii="仿宋_GB2312" w:hAnsi="仿宋_GB2312" w:eastAsia="仿宋_GB2312" w:cs="仿宋_GB2312"/>
          <w:color w:val="auto"/>
          <w:kern w:val="0"/>
          <w:sz w:val="24"/>
          <w:szCs w:val="20"/>
          <w:highlight w:val="none"/>
        </w:rPr>
        <w:t>商业秘密或者</w:t>
      </w:r>
      <w:r>
        <w:rPr>
          <w:rFonts w:hint="eastAsia" w:ascii="仿宋_GB2312" w:hAnsi="仿宋_GB2312" w:eastAsia="仿宋_GB2312" w:cs="仿宋_GB2312"/>
          <w:color w:val="auto"/>
          <w:kern w:val="0"/>
          <w:sz w:val="24"/>
          <w:szCs w:val="20"/>
          <w:highlight w:val="none"/>
          <w:lang w:eastAsia="zh-CN"/>
        </w:rPr>
        <w:t>其他应当保密的</w:t>
      </w:r>
      <w:r>
        <w:rPr>
          <w:rFonts w:hint="eastAsia" w:ascii="仿宋_GB2312" w:hAnsi="仿宋_GB2312" w:eastAsia="仿宋_GB2312" w:cs="仿宋_GB2312"/>
          <w:color w:val="auto"/>
          <w:kern w:val="0"/>
          <w:sz w:val="24"/>
          <w:szCs w:val="20"/>
          <w:highlight w:val="none"/>
        </w:rPr>
        <w:t>信息，应当承担</w:t>
      </w:r>
      <w:r>
        <w:rPr>
          <w:rFonts w:hint="eastAsia" w:ascii="仿宋_GB2312" w:hAnsi="仿宋_GB2312" w:eastAsia="仿宋_GB2312" w:cs="仿宋_GB2312"/>
          <w:color w:val="auto"/>
          <w:kern w:val="0"/>
          <w:sz w:val="24"/>
          <w:szCs w:val="20"/>
          <w:highlight w:val="none"/>
          <w:lang w:eastAsia="zh-CN"/>
        </w:rPr>
        <w:t>相应</w:t>
      </w:r>
      <w:r>
        <w:rPr>
          <w:rFonts w:hint="eastAsia" w:ascii="仿宋_GB2312" w:hAnsi="仿宋_GB2312" w:eastAsia="仿宋_GB2312" w:cs="仿宋_GB2312"/>
          <w:color w:val="auto"/>
          <w:kern w:val="0"/>
          <w:sz w:val="24"/>
          <w:szCs w:val="20"/>
          <w:highlight w:val="none"/>
        </w:rPr>
        <w:t>责任。其他应当保密的信息由双方在【政府采购合同专用条款】中约定。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2</w:t>
      </w:r>
      <w:r>
        <w:rPr>
          <w:rFonts w:hint="eastAsia" w:ascii="仿宋_GB2312" w:hAnsi="仿宋_GB2312" w:eastAsia="仿宋_GB2312" w:cs="仿宋_GB2312"/>
          <w:b/>
          <w:bCs/>
          <w:color w:val="auto"/>
          <w:kern w:val="0"/>
          <w:sz w:val="24"/>
          <w:szCs w:val="20"/>
          <w:highlight w:val="none"/>
        </w:rPr>
        <w:t>.</w:t>
      </w:r>
      <w:r>
        <w:rPr>
          <w:rFonts w:hint="eastAsia" w:ascii="仿宋_GB2312" w:hAnsi="仿宋_GB2312" w:eastAsia="仿宋_GB2312" w:cs="仿宋_GB2312"/>
          <w:b/>
          <w:bCs/>
          <w:color w:val="auto"/>
          <w:kern w:val="0"/>
          <w:sz w:val="24"/>
          <w:szCs w:val="20"/>
          <w:highlight w:val="none"/>
          <w:lang w:val="en-US" w:eastAsia="zh-CN"/>
        </w:rPr>
        <w:t xml:space="preserve"> </w:t>
      </w:r>
      <w:r>
        <w:rPr>
          <w:rFonts w:hint="eastAsia" w:ascii="仿宋_GB2312" w:hAnsi="仿宋_GB2312" w:eastAsia="仿宋_GB2312" w:cs="仿宋_GB2312"/>
          <w:b/>
          <w:bCs/>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2</w:t>
      </w:r>
      <w:r>
        <w:rPr>
          <w:rFonts w:hint="eastAsia" w:ascii="仿宋_GB2312" w:hAnsi="仿宋_GB2312" w:eastAsia="仿宋_GB2312" w:cs="仿宋_GB2312"/>
          <w:color w:val="auto"/>
          <w:kern w:val="0"/>
          <w:sz w:val="24"/>
          <w:szCs w:val="20"/>
          <w:highlight w:val="none"/>
        </w:rPr>
        <w:t xml:space="preserve">.1 </w:t>
      </w:r>
      <w:r>
        <w:rPr>
          <w:rFonts w:hint="eastAsia" w:ascii="仿宋_GB2312" w:hAnsi="仿宋_GB2312" w:eastAsia="仿宋_GB2312" w:cs="仿宋_GB2312"/>
          <w:color w:val="auto"/>
          <w:kern w:val="0"/>
          <w:sz w:val="24"/>
          <w:szCs w:val="20"/>
          <w:highlight w:val="none"/>
          <w:lang w:eastAsia="zh-CN"/>
        </w:rPr>
        <w:t>合同价款支付</w:t>
      </w:r>
      <w:r>
        <w:rPr>
          <w:rFonts w:hint="eastAsia" w:ascii="仿宋_GB2312" w:hAnsi="仿宋_GB2312" w:eastAsia="仿宋_GB2312" w:cs="仿宋_GB2312"/>
          <w:color w:val="auto"/>
          <w:kern w:val="0"/>
          <w:sz w:val="24"/>
          <w:szCs w:val="20"/>
          <w:highlight w:val="none"/>
        </w:rPr>
        <w:t>按照国库集中支付</w:t>
      </w:r>
      <w:r>
        <w:rPr>
          <w:rFonts w:hint="eastAsia" w:ascii="仿宋_GB2312" w:hAnsi="仿宋_GB2312" w:eastAsia="仿宋_GB2312" w:cs="仿宋_GB2312"/>
          <w:color w:val="auto"/>
          <w:kern w:val="0"/>
          <w:sz w:val="24"/>
          <w:szCs w:val="20"/>
          <w:highlight w:val="none"/>
          <w:lang w:eastAsia="zh-CN"/>
        </w:rPr>
        <w:t>制度及财政管理相关</w:t>
      </w:r>
      <w:r>
        <w:rPr>
          <w:rFonts w:hint="eastAsia" w:ascii="仿宋_GB2312" w:hAnsi="仿宋_GB2312" w:eastAsia="仿宋_GB2312" w:cs="仿宋_GB2312"/>
          <w:color w:val="auto"/>
          <w:kern w:val="0"/>
          <w:sz w:val="24"/>
          <w:szCs w:val="20"/>
          <w:highlight w:val="none"/>
        </w:rPr>
        <w:t>规定执行。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val="en-US" w:eastAsia="zh-CN"/>
        </w:rPr>
        <w:t xml:space="preserve">12.2 </w:t>
      </w:r>
      <w:r>
        <w:rPr>
          <w:rFonts w:hint="eastAsia" w:ascii="仿宋_GB2312" w:hAnsi="仿宋_GB2312" w:eastAsia="仿宋_GB2312" w:cs="仿宋_GB2312"/>
          <w:color w:val="auto"/>
          <w:kern w:val="0"/>
          <w:sz w:val="24"/>
          <w:szCs w:val="20"/>
          <w:highlight w:val="none"/>
        </w:rPr>
        <w:t>对于满足合同约定支付条件的，</w:t>
      </w:r>
      <w:r>
        <w:rPr>
          <w:rFonts w:hint="eastAsia" w:ascii="仿宋_GB2312" w:hAnsi="仿宋_GB2312" w:eastAsia="仿宋_GB2312" w:cs="仿宋_GB2312"/>
          <w:color w:val="auto"/>
          <w:kern w:val="0"/>
          <w:sz w:val="24"/>
          <w:szCs w:val="20"/>
          <w:highlight w:val="none"/>
          <w:lang w:val="en-US" w:eastAsia="zh-CN"/>
        </w:rPr>
        <w:t>甲方</w:t>
      </w:r>
      <w:r>
        <w:rPr>
          <w:rFonts w:hint="eastAsia" w:ascii="仿宋_GB2312" w:hAnsi="仿宋_GB2312" w:eastAsia="仿宋_GB2312" w:cs="仿宋_GB2312"/>
          <w:color w:val="auto"/>
          <w:kern w:val="0"/>
          <w:sz w:val="24"/>
          <w:szCs w:val="20"/>
          <w:highlight w:val="none"/>
        </w:rPr>
        <w:t>原则上应当自收到发票后</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个工作日内将资金支付到合同约定的</w:t>
      </w:r>
      <w:r>
        <w:rPr>
          <w:rFonts w:hint="eastAsia" w:ascii="仿宋_GB2312" w:hAnsi="仿宋_GB2312" w:eastAsia="仿宋_GB2312" w:cs="仿宋_GB2312"/>
          <w:color w:val="auto"/>
          <w:kern w:val="0"/>
          <w:sz w:val="24"/>
          <w:szCs w:val="20"/>
          <w:highlight w:val="none"/>
          <w:lang w:eastAsia="zh-CN"/>
        </w:rPr>
        <w:t>乙方</w:t>
      </w:r>
      <w:r>
        <w:rPr>
          <w:rFonts w:hint="eastAsia" w:ascii="仿宋_GB2312" w:hAnsi="仿宋_GB2312" w:eastAsia="仿宋_GB2312" w:cs="仿宋_GB2312"/>
          <w:color w:val="auto"/>
          <w:kern w:val="0"/>
          <w:sz w:val="24"/>
          <w:szCs w:val="20"/>
          <w:highlight w:val="none"/>
        </w:rPr>
        <w:t>账户，不得以机构变动、人员更替、政策调整等为由迟延付款，不得将采购文件和合同中未规定的义务作为向</w:t>
      </w:r>
      <w:r>
        <w:rPr>
          <w:rFonts w:hint="eastAsia" w:ascii="仿宋_GB2312" w:hAnsi="仿宋_GB2312" w:eastAsia="仿宋_GB2312" w:cs="仿宋_GB2312"/>
          <w:color w:val="auto"/>
          <w:kern w:val="0"/>
          <w:sz w:val="24"/>
          <w:szCs w:val="20"/>
          <w:highlight w:val="none"/>
          <w:lang w:val="en-US" w:eastAsia="zh-CN"/>
        </w:rPr>
        <w:t>乙方</w:t>
      </w:r>
      <w:r>
        <w:rPr>
          <w:rFonts w:hint="eastAsia" w:ascii="仿宋_GB2312" w:hAnsi="仿宋_GB2312" w:eastAsia="仿宋_GB2312" w:cs="仿宋_GB2312"/>
          <w:color w:val="auto"/>
          <w:kern w:val="0"/>
          <w:sz w:val="24"/>
          <w:szCs w:val="20"/>
          <w:highlight w:val="none"/>
        </w:rPr>
        <w:t>付款的条件。具体合同价款支付时间在【政府采购合同专用条款】中</w:t>
      </w:r>
      <w:r>
        <w:rPr>
          <w:rFonts w:hint="eastAsia" w:ascii="仿宋_GB2312" w:hAnsi="仿宋_GB2312" w:eastAsia="仿宋_GB2312" w:cs="仿宋_GB2312"/>
          <w:color w:val="auto"/>
          <w:kern w:val="0"/>
          <w:sz w:val="24"/>
          <w:szCs w:val="20"/>
          <w:highlight w:val="none"/>
          <w:lang w:eastAsia="zh-CN"/>
        </w:rPr>
        <w:t>约</w:t>
      </w:r>
      <w:r>
        <w:rPr>
          <w:rFonts w:hint="eastAsia" w:ascii="仿宋_GB2312" w:hAnsi="仿宋_GB2312" w:eastAsia="仿宋_GB2312" w:cs="仿宋_GB2312"/>
          <w:color w:val="auto"/>
          <w:kern w:val="0"/>
          <w:sz w:val="24"/>
          <w:szCs w:val="20"/>
          <w:highlight w:val="none"/>
        </w:rPr>
        <w:t>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3</w:t>
      </w:r>
      <w:r>
        <w:rPr>
          <w:rFonts w:hint="eastAsia" w:ascii="仿宋_GB2312" w:hAnsi="仿宋_GB2312" w:eastAsia="仿宋_GB2312" w:cs="仿宋_GB2312"/>
          <w:b/>
          <w:bCs/>
          <w:color w:val="auto"/>
          <w:kern w:val="0"/>
          <w:sz w:val="24"/>
          <w:szCs w:val="20"/>
          <w:highlight w:val="none"/>
        </w:rPr>
        <w:t>.履约保证金</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.1 乙方应当以支票、汇票、本票或者金融机构、担保机构出具的保函等非现金形式提交。</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.2 如果乙方</w:t>
      </w:r>
      <w:r>
        <w:rPr>
          <w:rFonts w:hint="eastAsia" w:ascii="仿宋_GB2312" w:hAnsi="仿宋_GB2312" w:eastAsia="仿宋_GB2312" w:cs="仿宋_GB2312"/>
          <w:color w:val="auto"/>
          <w:kern w:val="0"/>
          <w:sz w:val="24"/>
          <w:szCs w:val="20"/>
          <w:highlight w:val="none"/>
          <w:lang w:eastAsia="zh-CN"/>
        </w:rPr>
        <w:t>出现</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约定情形的</w:t>
      </w:r>
      <w:r>
        <w:rPr>
          <w:rFonts w:hint="eastAsia" w:ascii="仿宋_GB2312" w:hAnsi="仿宋_GB2312" w:eastAsia="仿宋_GB2312" w:cs="仿宋_GB2312"/>
          <w:color w:val="auto"/>
          <w:kern w:val="0"/>
          <w:sz w:val="24"/>
          <w:szCs w:val="20"/>
          <w:highlight w:val="none"/>
        </w:rPr>
        <w:t>，履约保证金不予退还；如果乙方未能按合同约定全面履行义务，甲方有权从履约保证金中取得补偿或赔偿，</w:t>
      </w:r>
      <w:r>
        <w:rPr>
          <w:rFonts w:hint="eastAsia" w:ascii="仿宋_GB2312" w:hAnsi="仿宋_GB2312" w:eastAsia="仿宋_GB2312" w:cs="仿宋_GB2312"/>
          <w:color w:val="auto"/>
          <w:kern w:val="0"/>
          <w:sz w:val="24"/>
          <w:szCs w:val="20"/>
          <w:highlight w:val="none"/>
          <w:lang w:eastAsia="zh-CN"/>
        </w:rPr>
        <w:t>且</w:t>
      </w:r>
      <w:r>
        <w:rPr>
          <w:rFonts w:hint="eastAsia" w:ascii="仿宋_GB2312" w:hAnsi="仿宋_GB2312" w:eastAsia="仿宋_GB2312" w:cs="仿宋_GB2312"/>
          <w:color w:val="auto"/>
          <w:kern w:val="0"/>
          <w:sz w:val="24"/>
          <w:szCs w:val="20"/>
          <w:highlight w:val="none"/>
        </w:rPr>
        <w:t>不影响甲方要求乙方承担合同约定的超过履约保证金的违约责任的权利。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3</w:t>
      </w:r>
      <w:r>
        <w:rPr>
          <w:rFonts w:hint="eastAsia" w:ascii="仿宋_GB2312" w:hAnsi="仿宋_GB2312" w:eastAsia="仿宋_GB2312" w:cs="仿宋_GB2312"/>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4</w:t>
      </w:r>
      <w:r>
        <w:rPr>
          <w:rFonts w:hint="eastAsia" w:ascii="仿宋_GB2312" w:hAnsi="仿宋_GB2312" w:eastAsia="仿宋_GB2312" w:cs="仿宋_GB2312"/>
          <w:b/>
          <w:bCs/>
          <w:color w:val="auto"/>
          <w:kern w:val="0"/>
          <w:sz w:val="24"/>
          <w:szCs w:val="20"/>
          <w:highlight w:val="none"/>
        </w:rPr>
        <w:t>.售后服务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4</w:t>
      </w:r>
      <w:r>
        <w:rPr>
          <w:rFonts w:hint="eastAsia" w:ascii="仿宋_GB2312" w:hAnsi="仿宋_GB2312" w:eastAsia="仿宋_GB2312" w:cs="仿宋_GB2312"/>
          <w:color w:val="auto"/>
          <w:kern w:val="0"/>
          <w:sz w:val="24"/>
          <w:szCs w:val="20"/>
          <w:highlight w:val="none"/>
        </w:rPr>
        <w:t>.1 除项目不涉及或采购活动中明确约定无须承担外，乙方还应提供下列服务：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（1）货物的现场移动、安装、调试、启动监督及技术支持；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（2）提供货物组装和维修所需的专用工具和辅助材料；</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（3）在【政府采购合同专用条款】</w:t>
      </w:r>
      <w:r>
        <w:rPr>
          <w:rFonts w:hint="eastAsia" w:ascii="仿宋_GB2312" w:hAnsi="仿宋_GB2312" w:eastAsia="仿宋_GB2312" w:cs="仿宋_GB2312"/>
          <w:color w:val="auto"/>
          <w:kern w:val="0"/>
          <w:sz w:val="24"/>
          <w:szCs w:val="20"/>
          <w:highlight w:val="none"/>
          <w:lang w:eastAsia="zh-CN"/>
        </w:rPr>
        <w:t>约定</w:t>
      </w:r>
      <w:r>
        <w:rPr>
          <w:rFonts w:hint="eastAsia" w:ascii="仿宋_GB2312" w:hAnsi="仿宋_GB2312" w:eastAsia="仿宋_GB2312" w:cs="仿宋_GB2312"/>
          <w:color w:val="auto"/>
          <w:kern w:val="0"/>
          <w:sz w:val="24"/>
          <w:szCs w:val="20"/>
          <w:highlight w:val="none"/>
        </w:rPr>
        <w:t>的期限内对所有的货物实施运行监督、维修，但前提条件是该服务并不能免除乙方在质量保证期内所承担的义务；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（4）在制造商</w:t>
      </w:r>
      <w:r>
        <w:rPr>
          <w:rFonts w:hint="eastAsia" w:ascii="仿宋_GB2312" w:hAnsi="仿宋_GB2312" w:eastAsia="仿宋_GB2312" w:cs="仿宋_GB2312"/>
          <w:color w:val="auto"/>
          <w:kern w:val="0"/>
          <w:sz w:val="24"/>
          <w:szCs w:val="20"/>
          <w:highlight w:val="none"/>
          <w:lang w:eastAsia="zh-CN"/>
        </w:rPr>
        <w:t>所在地</w:t>
      </w:r>
      <w:r>
        <w:rPr>
          <w:rFonts w:hint="eastAsia" w:ascii="仿宋_GB2312" w:hAnsi="仿宋_GB2312" w:eastAsia="仿宋_GB2312" w:cs="仿宋_GB2312"/>
          <w:color w:val="auto"/>
          <w:kern w:val="0"/>
          <w:sz w:val="24"/>
          <w:szCs w:val="20"/>
          <w:highlight w:val="none"/>
        </w:rPr>
        <w:t>或</w:t>
      </w:r>
      <w:r>
        <w:rPr>
          <w:rFonts w:hint="eastAsia" w:ascii="仿宋_GB2312" w:hAnsi="仿宋_GB2312" w:eastAsia="仿宋_GB2312" w:cs="仿宋_GB2312"/>
          <w:color w:val="auto"/>
          <w:kern w:val="0"/>
          <w:sz w:val="24"/>
          <w:szCs w:val="20"/>
          <w:highlight w:val="none"/>
          <w:lang w:eastAsia="zh-CN"/>
        </w:rPr>
        <w:t>指定</w:t>
      </w:r>
      <w:r>
        <w:rPr>
          <w:rFonts w:hint="eastAsia" w:ascii="仿宋_GB2312" w:hAnsi="仿宋_GB2312" w:eastAsia="仿宋_GB2312" w:cs="仿宋_GB2312"/>
          <w:color w:val="auto"/>
          <w:kern w:val="0"/>
          <w:sz w:val="24"/>
          <w:szCs w:val="20"/>
          <w:highlight w:val="none"/>
        </w:rPr>
        <w:t>现场就货物的安装、启动、运营、维护</w:t>
      </w:r>
      <w:r>
        <w:rPr>
          <w:rFonts w:hint="eastAsia" w:ascii="仿宋_GB2312" w:hAnsi="仿宋_GB2312" w:eastAsia="仿宋_GB2312" w:cs="仿宋_GB2312"/>
          <w:color w:val="auto"/>
          <w:kern w:val="0"/>
          <w:sz w:val="24"/>
          <w:szCs w:val="20"/>
          <w:highlight w:val="none"/>
          <w:lang w:eastAsia="zh-CN"/>
        </w:rPr>
        <w:t>、废弃处置等</w:t>
      </w:r>
      <w:r>
        <w:rPr>
          <w:rFonts w:hint="eastAsia" w:ascii="仿宋_GB2312" w:hAnsi="仿宋_GB2312" w:eastAsia="仿宋_GB2312" w:cs="仿宋_GB2312"/>
          <w:color w:val="auto"/>
          <w:kern w:val="0"/>
          <w:sz w:val="24"/>
          <w:szCs w:val="20"/>
          <w:highlight w:val="none"/>
        </w:rPr>
        <w:t>对甲方操作人员进行培训</w:t>
      </w:r>
      <w:r>
        <w:rPr>
          <w:rFonts w:hint="eastAsia" w:ascii="仿宋_GB2312" w:hAnsi="仿宋_GB2312" w:eastAsia="仿宋_GB2312" w:cs="仿宋_GB2312"/>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）【政府采购合同专用条款】规定由乙方提供的其他服务。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.2 乙方提供的</w:t>
      </w:r>
      <w:r>
        <w:rPr>
          <w:rFonts w:hint="eastAsia" w:ascii="仿宋_GB2312" w:hAnsi="仿宋_GB2312" w:eastAsia="仿宋_GB2312" w:cs="仿宋_GB2312"/>
          <w:color w:val="auto"/>
          <w:kern w:val="0"/>
          <w:sz w:val="24"/>
          <w:szCs w:val="20"/>
          <w:highlight w:val="none"/>
          <w:lang w:eastAsia="zh-CN"/>
        </w:rPr>
        <w:t>售后</w:t>
      </w:r>
      <w:r>
        <w:rPr>
          <w:rFonts w:hint="eastAsia" w:ascii="仿宋_GB2312" w:hAnsi="仿宋_GB2312" w:eastAsia="仿宋_GB2312" w:cs="仿宋_GB2312"/>
          <w:color w:val="auto"/>
          <w:kern w:val="0"/>
          <w:sz w:val="24"/>
          <w:szCs w:val="20"/>
          <w:highlight w:val="none"/>
        </w:rPr>
        <w:t>服务的费用</w:t>
      </w:r>
      <w:r>
        <w:rPr>
          <w:rFonts w:hint="eastAsia" w:ascii="仿宋_GB2312" w:hAnsi="仿宋_GB2312" w:eastAsia="仿宋_GB2312" w:cs="仿宋_GB2312"/>
          <w:color w:val="auto"/>
          <w:kern w:val="0"/>
          <w:sz w:val="24"/>
          <w:szCs w:val="20"/>
          <w:highlight w:val="none"/>
          <w:lang w:val="en-US" w:eastAsia="zh-CN"/>
        </w:rPr>
        <w:t>已</w:t>
      </w:r>
      <w:r>
        <w:rPr>
          <w:rFonts w:hint="eastAsia" w:ascii="仿宋_GB2312" w:hAnsi="仿宋_GB2312" w:eastAsia="仿宋_GB2312" w:cs="仿宋_GB2312"/>
          <w:color w:val="auto"/>
          <w:kern w:val="0"/>
          <w:sz w:val="24"/>
          <w:szCs w:val="20"/>
          <w:highlight w:val="none"/>
        </w:rPr>
        <w:t>包含在合同价款中，甲方不再另行支付。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eastAsia="zh-CN"/>
        </w:rPr>
        <w:t>5</w:t>
      </w:r>
      <w:r>
        <w:rPr>
          <w:rFonts w:hint="eastAsia" w:ascii="仿宋_GB2312" w:hAnsi="仿宋_GB2312" w:eastAsia="仿宋_GB2312" w:cs="仿宋_GB2312"/>
          <w:b/>
          <w:bCs/>
          <w:color w:val="auto"/>
          <w:kern w:val="0"/>
          <w:sz w:val="24"/>
          <w:szCs w:val="20"/>
          <w:highlight w:val="none"/>
        </w:rPr>
        <w:t>.违约责任</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.1质量瑕疵的</w:t>
      </w:r>
      <w:r>
        <w:rPr>
          <w:rFonts w:hint="eastAsia" w:ascii="仿宋_GB2312" w:hAnsi="仿宋_GB2312" w:eastAsia="仿宋_GB2312" w:cs="仿宋_GB2312"/>
          <w:color w:val="auto"/>
          <w:kern w:val="0"/>
          <w:sz w:val="24"/>
          <w:szCs w:val="20"/>
          <w:highlight w:val="none"/>
          <w:lang w:eastAsia="zh-CN"/>
        </w:rPr>
        <w:t>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w:t>
      </w:r>
      <w:r>
        <w:rPr>
          <w:rFonts w:hint="eastAsia" w:ascii="仿宋_GB2312" w:hAnsi="仿宋_GB2312" w:eastAsia="仿宋_GB2312" w:cs="仿宋_GB2312"/>
          <w:color w:val="auto"/>
          <w:kern w:val="0"/>
          <w:sz w:val="24"/>
          <w:szCs w:val="20"/>
          <w:highlight w:val="none"/>
          <w:lang w:eastAsia="zh-CN"/>
        </w:rPr>
        <w:t>提供</w:t>
      </w:r>
      <w:r>
        <w:rPr>
          <w:rFonts w:hint="eastAsia" w:ascii="仿宋_GB2312" w:hAnsi="仿宋_GB2312" w:eastAsia="仿宋_GB2312" w:cs="仿宋_GB2312"/>
          <w:color w:val="auto"/>
          <w:kern w:val="0"/>
          <w:sz w:val="24"/>
          <w:szCs w:val="20"/>
          <w:highlight w:val="none"/>
        </w:rPr>
        <w:t>的产品不符合</w:t>
      </w:r>
      <w:r>
        <w:rPr>
          <w:rFonts w:hint="eastAsia" w:ascii="仿宋_GB2312" w:hAnsi="仿宋_GB2312" w:eastAsia="仿宋_GB2312" w:cs="仿宋_GB2312"/>
          <w:color w:val="auto"/>
          <w:kern w:val="0"/>
          <w:sz w:val="24"/>
          <w:szCs w:val="20"/>
          <w:highlight w:val="none"/>
          <w:lang w:eastAsia="zh-CN"/>
        </w:rPr>
        <w:t>合同约定的</w:t>
      </w:r>
      <w:r>
        <w:rPr>
          <w:rFonts w:hint="eastAsia" w:ascii="仿宋_GB2312" w:hAnsi="仿宋_GB2312" w:eastAsia="仿宋_GB2312" w:cs="仿宋_GB2312"/>
          <w:color w:val="auto"/>
          <w:kern w:val="0"/>
          <w:sz w:val="24"/>
          <w:szCs w:val="20"/>
          <w:highlight w:val="none"/>
        </w:rPr>
        <w:t>质量标准或存在产品质量缺陷，</w:t>
      </w:r>
      <w:r>
        <w:rPr>
          <w:rFonts w:hint="eastAsia" w:ascii="仿宋_GB2312" w:hAnsi="仿宋_GB2312" w:eastAsia="仿宋_GB2312" w:cs="仿宋_GB2312"/>
          <w:color w:val="auto"/>
          <w:kern w:val="0"/>
          <w:sz w:val="24"/>
          <w:szCs w:val="20"/>
          <w:highlight w:val="none"/>
          <w:lang w:eastAsia="zh-CN"/>
        </w:rPr>
        <w:t>甲方有权要求乙方根据</w:t>
      </w:r>
      <w:r>
        <w:rPr>
          <w:rFonts w:hint="eastAsia" w:ascii="仿宋_GB2312" w:hAnsi="仿宋_GB2312" w:eastAsia="仿宋_GB2312" w:cs="仿宋_GB2312"/>
          <w:color w:val="auto"/>
          <w:kern w:val="0"/>
          <w:sz w:val="24"/>
          <w:szCs w:val="20"/>
          <w:highlight w:val="none"/>
        </w:rPr>
        <w:t>【政府采购合同专用条款】</w:t>
      </w:r>
      <w:r>
        <w:rPr>
          <w:rFonts w:hint="eastAsia" w:ascii="仿宋_GB2312" w:hAnsi="仿宋_GB2312" w:eastAsia="仿宋_GB2312" w:cs="仿宋_GB2312"/>
          <w:color w:val="auto"/>
          <w:kern w:val="0"/>
          <w:sz w:val="24"/>
          <w:szCs w:val="20"/>
          <w:highlight w:val="none"/>
          <w:lang w:eastAsia="zh-CN"/>
        </w:rPr>
        <w:t>要求及时修理、重作、更换，并承担由此给甲</w:t>
      </w:r>
      <w:r>
        <w:rPr>
          <w:rFonts w:hint="eastAsia" w:ascii="仿宋_GB2312" w:hAnsi="仿宋_GB2312" w:eastAsia="仿宋_GB2312" w:cs="仿宋_GB2312"/>
          <w:color w:val="auto"/>
          <w:kern w:val="0"/>
          <w:sz w:val="24"/>
          <w:szCs w:val="20"/>
          <w:highlight w:val="none"/>
        </w:rPr>
        <w:t>方</w:t>
      </w:r>
      <w:r>
        <w:rPr>
          <w:rFonts w:hint="eastAsia" w:ascii="仿宋_GB2312" w:hAnsi="仿宋_GB2312" w:eastAsia="仿宋_GB2312" w:cs="仿宋_GB2312"/>
          <w:color w:val="auto"/>
          <w:kern w:val="0"/>
          <w:sz w:val="24"/>
          <w:szCs w:val="20"/>
          <w:highlight w:val="none"/>
          <w:lang w:eastAsia="zh-CN"/>
        </w:rPr>
        <w:t>造成的损失</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.2 迟延交货的违约责任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（1）乙方应按照本合同规定的时间、地点交货和提供</w:t>
      </w:r>
      <w:r>
        <w:rPr>
          <w:rFonts w:hint="eastAsia" w:ascii="仿宋_GB2312" w:hAnsi="仿宋_GB2312" w:eastAsia="仿宋_GB2312" w:cs="仿宋_GB2312"/>
          <w:color w:val="auto"/>
          <w:kern w:val="0"/>
          <w:sz w:val="24"/>
          <w:szCs w:val="20"/>
          <w:highlight w:val="none"/>
          <w:lang w:eastAsia="zh-CN"/>
        </w:rPr>
        <w:t>相关</w:t>
      </w:r>
      <w:r>
        <w:rPr>
          <w:rFonts w:hint="eastAsia" w:ascii="仿宋_GB2312" w:hAnsi="仿宋_GB2312" w:eastAsia="仿宋_GB2312" w:cs="仿宋_GB2312"/>
          <w:color w:val="auto"/>
          <w:kern w:val="0"/>
          <w:sz w:val="24"/>
          <w:szCs w:val="20"/>
          <w:highlight w:val="none"/>
        </w:rPr>
        <w:t>服务。在履行合同过程中，如果乙方遇到可能</w:t>
      </w:r>
      <w:r>
        <w:rPr>
          <w:rFonts w:hint="eastAsia" w:ascii="仿宋_GB2312" w:hAnsi="仿宋_GB2312" w:eastAsia="仿宋_GB2312" w:cs="仿宋_GB2312"/>
          <w:color w:val="auto"/>
          <w:kern w:val="0"/>
          <w:sz w:val="24"/>
          <w:szCs w:val="20"/>
          <w:highlight w:val="none"/>
          <w:lang w:eastAsia="zh-CN"/>
        </w:rPr>
        <w:t>影响</w:t>
      </w:r>
      <w:r>
        <w:rPr>
          <w:rFonts w:hint="eastAsia" w:ascii="仿宋_GB2312" w:hAnsi="仿宋_GB2312" w:eastAsia="仿宋_GB2312" w:cs="仿宋_GB2312"/>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_GB2312" w:hAnsi="仿宋_GB2312" w:eastAsia="仿宋_GB2312" w:cs="仿宋_GB2312"/>
          <w:color w:val="auto"/>
          <w:kern w:val="0"/>
          <w:sz w:val="24"/>
          <w:szCs w:val="20"/>
          <w:highlight w:val="none"/>
          <w:lang w:eastAsia="zh-CN"/>
        </w:rPr>
        <w:t>长</w:t>
      </w:r>
      <w:r>
        <w:rPr>
          <w:rFonts w:hint="eastAsia" w:ascii="仿宋_GB2312" w:hAnsi="仿宋_GB2312" w:eastAsia="仿宋_GB2312" w:cs="仿宋_GB2312"/>
          <w:color w:val="auto"/>
          <w:kern w:val="0"/>
          <w:sz w:val="24"/>
          <w:szCs w:val="20"/>
          <w:highlight w:val="none"/>
        </w:rPr>
        <w:t>交货时间或延期提供服务。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（2）如果乙方没有按照合同规定的时间交货和提供</w:t>
      </w:r>
      <w:r>
        <w:rPr>
          <w:rFonts w:hint="eastAsia" w:ascii="仿宋_GB2312" w:hAnsi="仿宋_GB2312" w:eastAsia="仿宋_GB2312" w:cs="仿宋_GB2312"/>
          <w:color w:val="auto"/>
          <w:kern w:val="0"/>
          <w:sz w:val="24"/>
          <w:szCs w:val="20"/>
          <w:highlight w:val="none"/>
          <w:lang w:eastAsia="zh-CN"/>
        </w:rPr>
        <w:t>相关</w:t>
      </w:r>
      <w:r>
        <w:rPr>
          <w:rFonts w:hint="eastAsia" w:ascii="仿宋_GB2312" w:hAnsi="仿宋_GB2312" w:eastAsia="仿宋_GB2312" w:cs="仿宋_GB2312"/>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_GB2312" w:hAnsi="仿宋_GB2312" w:eastAsia="仿宋_GB2312" w:cs="仿宋_GB2312"/>
          <w:color w:val="auto"/>
          <w:kern w:val="0"/>
          <w:sz w:val="24"/>
          <w:szCs w:val="20"/>
          <w:highlight w:val="none"/>
          <w:lang w:eastAsia="zh-CN"/>
        </w:rPr>
        <w:t>甲方</w:t>
      </w:r>
      <w:r>
        <w:rPr>
          <w:rFonts w:hint="eastAsia" w:ascii="仿宋_GB2312" w:hAnsi="仿宋_GB2312" w:eastAsia="仿宋_GB2312" w:cs="仿宋_GB2312"/>
          <w:color w:val="auto"/>
          <w:kern w:val="0"/>
          <w:sz w:val="24"/>
          <w:szCs w:val="20"/>
          <w:highlight w:val="none"/>
        </w:rPr>
        <w:t>可要求继续履行或者</w:t>
      </w:r>
      <w:r>
        <w:rPr>
          <w:rFonts w:hint="eastAsia" w:ascii="仿宋_GB2312" w:hAnsi="仿宋_GB2312" w:eastAsia="仿宋_GB2312" w:cs="仿宋_GB2312"/>
          <w:color w:val="auto"/>
          <w:kern w:val="0"/>
          <w:sz w:val="24"/>
          <w:szCs w:val="20"/>
          <w:highlight w:val="none"/>
          <w:lang w:eastAsia="zh-CN"/>
        </w:rPr>
        <w:t>采取其他补救措施</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.3 迟延支付的违约责任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甲方存在迟延支付乙方合同款项的，应当承担【政府采购合同专用条款】规定的逾期付款利息。</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eastAsia="zh-CN"/>
        </w:rPr>
        <w:t>5</w:t>
      </w:r>
      <w:r>
        <w:rPr>
          <w:rFonts w:hint="eastAsia" w:ascii="仿宋_GB2312" w:hAnsi="仿宋_GB2312" w:eastAsia="仿宋_GB2312" w:cs="仿宋_GB2312"/>
          <w:color w:val="auto"/>
          <w:kern w:val="0"/>
          <w:sz w:val="24"/>
          <w:szCs w:val="20"/>
          <w:highlight w:val="none"/>
        </w:rPr>
        <w:t>.4其他违约责任根据项目实际需要按【政府采购合同专用条款】规定执行。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16.</w:t>
      </w:r>
      <w:r>
        <w:rPr>
          <w:rFonts w:hint="eastAsia" w:ascii="仿宋_GB2312" w:hAnsi="仿宋_GB2312" w:eastAsia="仿宋_GB2312" w:cs="仿宋_GB2312"/>
          <w:b/>
          <w:bCs/>
          <w:color w:val="auto"/>
          <w:kern w:val="0"/>
          <w:sz w:val="24"/>
          <w:szCs w:val="20"/>
          <w:highlight w:val="none"/>
        </w:rPr>
        <w:t>合同变更</w:t>
      </w:r>
      <w:r>
        <w:rPr>
          <w:rFonts w:hint="eastAsia" w:ascii="仿宋_GB2312" w:hAnsi="仿宋_GB2312" w:eastAsia="仿宋_GB2312" w:cs="仿宋_GB2312"/>
          <w:b/>
          <w:bCs/>
          <w:color w:val="auto"/>
          <w:kern w:val="0"/>
          <w:sz w:val="24"/>
          <w:szCs w:val="20"/>
          <w:highlight w:val="none"/>
          <w:lang w:eastAsia="zh-CN"/>
        </w:rPr>
        <w:t>、中止与终止</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.1合同的</w:t>
      </w:r>
      <w:r>
        <w:rPr>
          <w:rFonts w:hint="eastAsia" w:ascii="仿宋_GB2312" w:hAnsi="仿宋_GB2312" w:eastAsia="仿宋_GB2312" w:cs="仿宋_GB2312"/>
          <w:color w:val="auto"/>
          <w:kern w:val="0"/>
          <w:sz w:val="24"/>
          <w:szCs w:val="20"/>
          <w:highlight w:val="none"/>
          <w:lang w:eastAsia="zh-CN"/>
        </w:rPr>
        <w:t>变更</w:t>
      </w:r>
    </w:p>
    <w:p>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政府采购合同履行中，</w:t>
      </w:r>
      <w:r>
        <w:rPr>
          <w:rFonts w:hint="eastAsia" w:ascii="仿宋_GB2312" w:hAnsi="仿宋_GB2312" w:eastAsia="仿宋_GB2312" w:cs="仿宋_GB2312"/>
          <w:color w:val="auto"/>
          <w:kern w:val="0"/>
          <w:sz w:val="24"/>
          <w:szCs w:val="20"/>
          <w:highlight w:val="none"/>
        </w:rPr>
        <w:t>在不改变合同其他条款的前提下，甲方可以在合同价款10%的范围内追加与合同标的相同的货物，并就此与乙方协商</w:t>
      </w:r>
      <w:r>
        <w:rPr>
          <w:rFonts w:hint="eastAsia" w:ascii="仿宋_GB2312" w:hAnsi="仿宋_GB2312" w:eastAsia="仿宋_GB2312" w:cs="仿宋_GB2312"/>
          <w:color w:val="auto"/>
          <w:kern w:val="0"/>
          <w:sz w:val="24"/>
          <w:szCs w:val="20"/>
          <w:highlight w:val="none"/>
          <w:lang w:eastAsia="zh-CN"/>
        </w:rPr>
        <w:t>一致后</w:t>
      </w:r>
      <w:r>
        <w:rPr>
          <w:rFonts w:hint="eastAsia" w:ascii="仿宋_GB2312" w:hAnsi="仿宋_GB2312" w:eastAsia="仿宋_GB2312" w:cs="仿宋_GB2312"/>
          <w:color w:val="auto"/>
          <w:kern w:val="0"/>
          <w:sz w:val="24"/>
          <w:szCs w:val="20"/>
          <w:highlight w:val="none"/>
        </w:rPr>
        <w:t>签订补充协议。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合同的中止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（1）合同履行过程中因供应商就采购文件、采购过程或结果提起投诉的，甲方认为有必要的，</w:t>
      </w:r>
      <w:r>
        <w:rPr>
          <w:rFonts w:hint="eastAsia" w:ascii="仿宋_GB2312" w:hAnsi="仿宋_GB2312" w:eastAsia="仿宋_GB2312" w:cs="仿宋_GB2312"/>
          <w:color w:val="auto"/>
          <w:kern w:val="0"/>
          <w:sz w:val="24"/>
          <w:szCs w:val="20"/>
          <w:highlight w:val="none"/>
          <w:lang w:eastAsia="zh-CN"/>
        </w:rPr>
        <w:t>可以</w:t>
      </w:r>
      <w:r>
        <w:rPr>
          <w:rFonts w:hint="eastAsia" w:ascii="仿宋_GB2312" w:hAnsi="仿宋_GB2312" w:eastAsia="仿宋_GB2312" w:cs="仿宋_GB2312"/>
          <w:color w:val="auto"/>
          <w:kern w:val="0"/>
          <w:sz w:val="24"/>
          <w:szCs w:val="20"/>
          <w:highlight w:val="none"/>
        </w:rPr>
        <w:t>中止合同的履行。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合同履行过程中，</w:t>
      </w:r>
      <w:r>
        <w:rPr>
          <w:rFonts w:hint="eastAsia" w:ascii="仿宋_GB2312" w:hAnsi="仿宋_GB2312" w:eastAsia="仿宋_GB2312" w:cs="仿宋_GB2312"/>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_GB2312" w:hAnsi="仿宋_GB2312" w:eastAsia="仿宋_GB2312" w:cs="仿宋_GB2312"/>
          <w:color w:val="auto"/>
          <w:kern w:val="0"/>
          <w:sz w:val="24"/>
          <w:szCs w:val="20"/>
          <w:highlight w:val="none"/>
          <w:lang w:eastAsia="zh-CN"/>
        </w:rPr>
        <w:t>，乙方有义务及时告知甲方</w:t>
      </w:r>
      <w:r>
        <w:rPr>
          <w:rFonts w:hint="eastAsia" w:ascii="仿宋_GB2312" w:hAnsi="仿宋_GB2312" w:eastAsia="仿宋_GB2312" w:cs="仿宋_GB2312"/>
          <w:color w:val="auto"/>
          <w:kern w:val="0"/>
          <w:sz w:val="24"/>
          <w:szCs w:val="20"/>
          <w:highlight w:val="none"/>
        </w:rPr>
        <w:t>。甲方</w:t>
      </w:r>
      <w:r>
        <w:rPr>
          <w:rFonts w:hint="eastAsia" w:ascii="仿宋_GB2312" w:hAnsi="仿宋_GB2312" w:eastAsia="仿宋_GB2312" w:cs="仿宋_GB2312"/>
          <w:color w:val="auto"/>
          <w:kern w:val="0"/>
          <w:sz w:val="24"/>
          <w:szCs w:val="20"/>
          <w:highlight w:val="none"/>
          <w:lang w:eastAsia="zh-CN"/>
        </w:rPr>
        <w:t>有权</w:t>
      </w:r>
      <w:r>
        <w:rPr>
          <w:rFonts w:hint="eastAsia" w:ascii="仿宋_GB2312" w:hAnsi="仿宋_GB2312" w:eastAsia="仿宋_GB2312" w:cs="仿宋_GB2312"/>
          <w:color w:val="auto"/>
          <w:kern w:val="0"/>
          <w:sz w:val="24"/>
          <w:szCs w:val="20"/>
          <w:highlight w:val="none"/>
        </w:rPr>
        <w:t>以书面形式通知乙方中止合同</w:t>
      </w:r>
      <w:r>
        <w:rPr>
          <w:rFonts w:hint="eastAsia" w:ascii="仿宋_GB2312" w:hAnsi="仿宋_GB2312" w:eastAsia="仿宋_GB2312" w:cs="仿宋_GB2312"/>
          <w:color w:val="auto"/>
          <w:kern w:val="0"/>
          <w:sz w:val="24"/>
          <w:szCs w:val="20"/>
          <w:highlight w:val="none"/>
          <w:lang w:eastAsia="zh-CN"/>
        </w:rPr>
        <w:t>并要求乙方在合理期限内消除相关情形或者提供适当担保。</w:t>
      </w:r>
      <w:r>
        <w:rPr>
          <w:rFonts w:hint="eastAsia" w:ascii="仿宋_GB2312" w:hAnsi="仿宋_GB2312" w:eastAsia="仿宋_GB2312" w:cs="仿宋_GB2312"/>
          <w:color w:val="auto"/>
          <w:kern w:val="0"/>
          <w:sz w:val="24"/>
          <w:szCs w:val="20"/>
          <w:highlight w:val="none"/>
        </w:rPr>
        <w:t>乙方提供适当担保的，</w:t>
      </w:r>
      <w:r>
        <w:rPr>
          <w:rFonts w:hint="eastAsia" w:ascii="仿宋_GB2312" w:hAnsi="仿宋_GB2312" w:eastAsia="仿宋_GB2312" w:cs="仿宋_GB2312"/>
          <w:color w:val="auto"/>
          <w:kern w:val="0"/>
          <w:sz w:val="24"/>
          <w:szCs w:val="20"/>
          <w:highlight w:val="none"/>
          <w:lang w:eastAsia="zh-CN"/>
        </w:rPr>
        <w:t>合同继续</w:t>
      </w:r>
      <w:r>
        <w:rPr>
          <w:rFonts w:hint="eastAsia" w:ascii="仿宋_GB2312" w:hAnsi="仿宋_GB2312" w:eastAsia="仿宋_GB2312" w:cs="仿宋_GB2312"/>
          <w:color w:val="auto"/>
          <w:kern w:val="0"/>
          <w:sz w:val="24"/>
          <w:szCs w:val="20"/>
          <w:highlight w:val="none"/>
        </w:rPr>
        <w:t>履行</w:t>
      </w:r>
      <w:r>
        <w:rPr>
          <w:rFonts w:hint="eastAsia" w:ascii="仿宋_GB2312" w:hAnsi="仿宋_GB2312" w:eastAsia="仿宋_GB2312" w:cs="仿宋_GB2312"/>
          <w:color w:val="auto"/>
          <w:kern w:val="0"/>
          <w:sz w:val="24"/>
          <w:szCs w:val="20"/>
          <w:highlight w:val="none"/>
          <w:lang w:eastAsia="zh-CN"/>
        </w:rPr>
        <w:t>；乙</w:t>
      </w:r>
      <w:r>
        <w:rPr>
          <w:rFonts w:hint="eastAsia" w:ascii="仿宋_GB2312" w:hAnsi="仿宋_GB2312" w:eastAsia="仿宋_GB2312" w:cs="仿宋_GB2312"/>
          <w:color w:val="auto"/>
          <w:kern w:val="0"/>
          <w:sz w:val="24"/>
          <w:szCs w:val="20"/>
          <w:highlight w:val="none"/>
        </w:rPr>
        <w:t>方在合理期限内未恢复履约能力且未提供适当担保的，视为拒绝</w:t>
      </w:r>
      <w:r>
        <w:rPr>
          <w:rFonts w:hint="eastAsia" w:ascii="仿宋_GB2312" w:hAnsi="仿宋_GB2312" w:eastAsia="仿宋_GB2312" w:cs="仿宋_GB2312"/>
          <w:color w:val="auto"/>
          <w:kern w:val="0"/>
          <w:sz w:val="24"/>
          <w:szCs w:val="20"/>
          <w:highlight w:val="none"/>
          <w:lang w:eastAsia="zh-CN"/>
        </w:rPr>
        <w:t>继续</w:t>
      </w:r>
      <w:r>
        <w:rPr>
          <w:rFonts w:hint="eastAsia" w:ascii="仿宋_GB2312" w:hAnsi="仿宋_GB2312" w:eastAsia="仿宋_GB2312" w:cs="仿宋_GB2312"/>
          <w:color w:val="auto"/>
          <w:kern w:val="0"/>
          <w:sz w:val="24"/>
          <w:szCs w:val="20"/>
          <w:highlight w:val="none"/>
        </w:rPr>
        <w:t>履约，甲方</w:t>
      </w:r>
      <w:r>
        <w:rPr>
          <w:rFonts w:hint="eastAsia" w:ascii="仿宋_GB2312" w:hAnsi="仿宋_GB2312" w:eastAsia="仿宋_GB2312" w:cs="仿宋_GB2312"/>
          <w:color w:val="auto"/>
          <w:kern w:val="0"/>
          <w:sz w:val="24"/>
          <w:szCs w:val="20"/>
          <w:highlight w:val="none"/>
          <w:lang w:eastAsia="zh-CN"/>
        </w:rPr>
        <w:t>有权</w:t>
      </w:r>
      <w:r>
        <w:rPr>
          <w:rFonts w:hint="eastAsia" w:ascii="仿宋_GB2312" w:hAnsi="仿宋_GB2312" w:eastAsia="仿宋_GB2312" w:cs="仿宋_GB2312"/>
          <w:color w:val="auto"/>
          <w:kern w:val="0"/>
          <w:sz w:val="24"/>
          <w:szCs w:val="20"/>
          <w:highlight w:val="none"/>
        </w:rPr>
        <w:t>解除合同并要求乙方承担</w:t>
      </w:r>
      <w:r>
        <w:rPr>
          <w:rFonts w:hint="eastAsia" w:ascii="仿宋_GB2312" w:hAnsi="仿宋_GB2312" w:eastAsia="仿宋_GB2312" w:cs="仿宋_GB2312"/>
          <w:color w:val="auto"/>
          <w:kern w:val="0"/>
          <w:sz w:val="24"/>
          <w:szCs w:val="20"/>
          <w:highlight w:val="none"/>
          <w:lang w:eastAsia="zh-CN"/>
        </w:rPr>
        <w:t>由此给甲方造成的损失</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（3）乙方分立、合并或者变更住所的，应当及时以书面形式告知甲方。乙方没有</w:t>
      </w:r>
      <w:r>
        <w:rPr>
          <w:rFonts w:hint="eastAsia" w:ascii="仿宋_GB2312" w:hAnsi="仿宋_GB2312" w:eastAsia="仿宋_GB2312" w:cs="仿宋_GB2312"/>
          <w:color w:val="auto"/>
          <w:kern w:val="0"/>
          <w:sz w:val="24"/>
          <w:szCs w:val="20"/>
          <w:highlight w:val="none"/>
          <w:lang w:eastAsia="zh-CN"/>
        </w:rPr>
        <w:t>及时告知</w:t>
      </w:r>
      <w:r>
        <w:rPr>
          <w:rFonts w:hint="eastAsia" w:ascii="仿宋_GB2312" w:hAnsi="仿宋_GB2312" w:eastAsia="仿宋_GB2312" w:cs="仿宋_GB2312"/>
          <w:color w:val="auto"/>
          <w:kern w:val="0"/>
          <w:sz w:val="24"/>
          <w:szCs w:val="20"/>
          <w:highlight w:val="none"/>
        </w:rPr>
        <w:t>甲方，致使</w:t>
      </w:r>
      <w:r>
        <w:rPr>
          <w:rFonts w:hint="eastAsia" w:ascii="仿宋_GB2312" w:hAnsi="仿宋_GB2312" w:eastAsia="仿宋_GB2312" w:cs="仿宋_GB2312"/>
          <w:color w:val="auto"/>
          <w:kern w:val="0"/>
          <w:sz w:val="24"/>
          <w:szCs w:val="20"/>
          <w:highlight w:val="none"/>
          <w:lang w:eastAsia="zh-CN"/>
        </w:rPr>
        <w:t>合同</w:t>
      </w:r>
      <w:r>
        <w:rPr>
          <w:rFonts w:hint="eastAsia" w:ascii="仿宋_GB2312" w:hAnsi="仿宋_GB2312" w:eastAsia="仿宋_GB2312" w:cs="仿宋_GB2312"/>
          <w:color w:val="auto"/>
          <w:kern w:val="0"/>
          <w:sz w:val="24"/>
          <w:szCs w:val="20"/>
          <w:highlight w:val="none"/>
        </w:rPr>
        <w:t>履行发生困难的，甲方可以中止合同履行并要求乙方承担由此给甲方造成的损失。</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）甲方不得以行政区划调整、政府换届、机构或者职能调整以及相关责任人更替为由中止合同。</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合同的终止</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（1）合同因有效期限届满而终止；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（2）乙方未</w:t>
      </w:r>
      <w:r>
        <w:rPr>
          <w:rFonts w:hint="eastAsia" w:ascii="仿宋_GB2312" w:hAnsi="仿宋_GB2312" w:eastAsia="仿宋_GB2312" w:cs="仿宋_GB2312"/>
          <w:color w:val="auto"/>
          <w:kern w:val="0"/>
          <w:sz w:val="24"/>
          <w:szCs w:val="20"/>
          <w:highlight w:val="none"/>
          <w:lang w:eastAsia="zh-CN"/>
        </w:rPr>
        <w:t>按</w:t>
      </w:r>
      <w:r>
        <w:rPr>
          <w:rFonts w:hint="eastAsia" w:ascii="仿宋_GB2312" w:hAnsi="仿宋_GB2312" w:eastAsia="仿宋_GB2312" w:cs="仿宋_GB2312"/>
          <w:color w:val="auto"/>
          <w:kern w:val="0"/>
          <w:sz w:val="24"/>
          <w:szCs w:val="20"/>
          <w:highlight w:val="none"/>
        </w:rPr>
        <w:t>合同约定履行，构成根本性违约的，甲方有权终止合同</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并追究乙方的违约责</w:t>
      </w:r>
      <w:r>
        <w:rPr>
          <w:rFonts w:hint="eastAsia" w:ascii="仿宋_GB2312" w:hAnsi="仿宋_GB2312" w:eastAsia="仿宋_GB2312" w:cs="仿宋_GB2312"/>
          <w:color w:val="auto"/>
          <w:kern w:val="0"/>
          <w:sz w:val="24"/>
          <w:szCs w:val="20"/>
          <w:highlight w:val="none"/>
          <w:lang w:val="en-US" w:eastAsia="zh-CN"/>
        </w:rPr>
        <w:t>任</w:t>
      </w:r>
      <w:r>
        <w:rPr>
          <w:rFonts w:hint="eastAsia" w:ascii="仿宋_GB2312" w:hAnsi="仿宋_GB2312" w:eastAsia="仿宋_GB2312" w:cs="仿宋_GB2312"/>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16.4 涉及国家利益、社会公共利益的情形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政府采购合同继续履行将损害国家利益和社会公共利益的，双方当事人</w:t>
      </w:r>
      <w:r>
        <w:rPr>
          <w:rFonts w:hint="eastAsia" w:ascii="仿宋_GB2312" w:hAnsi="仿宋_GB2312" w:eastAsia="仿宋_GB2312" w:cs="仿宋_GB2312"/>
          <w:color w:val="auto"/>
          <w:kern w:val="0"/>
          <w:sz w:val="24"/>
          <w:szCs w:val="20"/>
          <w:highlight w:val="none"/>
          <w:lang w:val="en-US" w:eastAsia="zh-CN"/>
        </w:rPr>
        <w:t>应当变更、</w:t>
      </w:r>
      <w:r>
        <w:rPr>
          <w:rFonts w:hint="eastAsia" w:ascii="仿宋_GB2312" w:hAnsi="仿宋_GB2312" w:eastAsia="仿宋_GB2312" w:cs="仿宋_GB2312"/>
          <w:color w:val="auto"/>
          <w:kern w:val="0"/>
          <w:sz w:val="24"/>
          <w:szCs w:val="20"/>
          <w:highlight w:val="none"/>
        </w:rPr>
        <w:t>中止</w:t>
      </w:r>
      <w:r>
        <w:rPr>
          <w:rFonts w:hint="eastAsia" w:ascii="仿宋_GB2312" w:hAnsi="仿宋_GB2312" w:eastAsia="仿宋_GB2312" w:cs="仿宋_GB2312"/>
          <w:color w:val="auto"/>
          <w:kern w:val="0"/>
          <w:sz w:val="24"/>
          <w:szCs w:val="20"/>
          <w:highlight w:val="none"/>
          <w:lang w:eastAsia="zh-CN"/>
        </w:rPr>
        <w:t>或者终止</w:t>
      </w:r>
      <w:r>
        <w:rPr>
          <w:rFonts w:hint="eastAsia" w:ascii="仿宋_GB2312" w:hAnsi="仿宋_GB2312" w:eastAsia="仿宋_GB2312" w:cs="仿宋_GB2312"/>
          <w:color w:val="auto"/>
          <w:kern w:val="0"/>
          <w:sz w:val="24"/>
          <w:szCs w:val="20"/>
          <w:highlight w:val="none"/>
        </w:rPr>
        <w:t>合同。有过错的一方应当承担赔偿责任，双方都有过错的，各自承担相应的责任。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1</w:t>
      </w:r>
      <w:r>
        <w:rPr>
          <w:rFonts w:hint="eastAsia" w:ascii="仿宋_GB2312" w:hAnsi="仿宋_GB2312" w:eastAsia="仿宋_GB2312" w:cs="仿宋_GB2312"/>
          <w:b/>
          <w:bCs/>
          <w:color w:val="auto"/>
          <w:kern w:val="0"/>
          <w:sz w:val="24"/>
          <w:szCs w:val="20"/>
          <w:highlight w:val="none"/>
          <w:lang w:val="en-US" w:eastAsia="zh-CN"/>
        </w:rPr>
        <w:t>7</w:t>
      </w:r>
      <w:r>
        <w:rPr>
          <w:rFonts w:hint="eastAsia" w:ascii="仿宋_GB2312" w:hAnsi="仿宋_GB2312" w:eastAsia="仿宋_GB2312" w:cs="仿宋_GB2312"/>
          <w:b/>
          <w:bCs/>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.1 乙方不得</w:t>
      </w:r>
      <w:r>
        <w:rPr>
          <w:rFonts w:hint="eastAsia" w:ascii="仿宋_GB2312" w:hAnsi="仿宋_GB2312" w:eastAsia="仿宋_GB2312" w:cs="仿宋_GB2312"/>
          <w:color w:val="auto"/>
          <w:kern w:val="0"/>
          <w:sz w:val="24"/>
          <w:szCs w:val="20"/>
          <w:highlight w:val="none"/>
          <w:lang w:eastAsia="zh-CN"/>
        </w:rPr>
        <w:t>将合同转包给其他供应商。涉及合同分包的，乙方</w:t>
      </w:r>
      <w:r>
        <w:rPr>
          <w:rFonts w:hint="eastAsia" w:ascii="仿宋_GB2312" w:hAnsi="仿宋_GB2312" w:eastAsia="仿宋_GB2312" w:cs="仿宋_GB2312"/>
          <w:color w:val="auto"/>
          <w:kern w:val="0"/>
          <w:sz w:val="24"/>
          <w:szCs w:val="20"/>
          <w:highlight w:val="none"/>
          <w:lang w:val="en-US" w:eastAsia="zh-CN"/>
        </w:rPr>
        <w:t>应</w:t>
      </w:r>
      <w:r>
        <w:rPr>
          <w:rFonts w:hint="eastAsia" w:ascii="仿宋_GB2312" w:hAnsi="仿宋_GB2312" w:eastAsia="仿宋_GB2312" w:cs="仿宋_GB2312"/>
          <w:color w:val="auto"/>
          <w:kern w:val="0"/>
          <w:sz w:val="24"/>
          <w:szCs w:val="20"/>
          <w:highlight w:val="none"/>
          <w:lang w:eastAsia="zh-CN"/>
        </w:rPr>
        <w:t>根据采购文件和投标（响应）文件规定进行</w:t>
      </w:r>
      <w:r>
        <w:rPr>
          <w:rFonts w:hint="eastAsia" w:ascii="仿宋_GB2312" w:hAnsi="仿宋_GB2312" w:eastAsia="仿宋_GB2312" w:cs="仿宋_GB2312"/>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.2 乙方执行政府采购政策向中小企业依法分包的</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乙方应当按采购文件</w:t>
      </w:r>
      <w:r>
        <w:rPr>
          <w:rFonts w:hint="eastAsia" w:ascii="仿宋_GB2312" w:hAnsi="仿宋_GB2312" w:eastAsia="仿宋_GB2312" w:cs="仿宋_GB2312"/>
          <w:color w:val="auto"/>
          <w:kern w:val="0"/>
          <w:sz w:val="24"/>
          <w:szCs w:val="20"/>
          <w:highlight w:val="none"/>
          <w:lang w:eastAsia="zh-CN"/>
        </w:rPr>
        <w:t>和</w:t>
      </w:r>
      <w:r>
        <w:rPr>
          <w:rFonts w:hint="eastAsia" w:ascii="仿宋_GB2312" w:hAnsi="仿宋_GB2312" w:eastAsia="仿宋_GB2312" w:cs="仿宋_GB2312"/>
          <w:color w:val="auto"/>
          <w:kern w:val="0"/>
          <w:sz w:val="24"/>
          <w:szCs w:val="20"/>
          <w:highlight w:val="none"/>
        </w:rPr>
        <w:t>投标（响应）文件签订分包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协议，分包</w:t>
      </w:r>
      <w:r>
        <w:rPr>
          <w:rFonts w:hint="eastAsia" w:ascii="仿宋_GB2312" w:hAnsi="仿宋_GB2312" w:eastAsia="仿宋_GB2312" w:cs="仿宋_GB2312"/>
          <w:color w:val="auto"/>
          <w:kern w:val="0"/>
          <w:sz w:val="24"/>
          <w:szCs w:val="20"/>
          <w:highlight w:val="none"/>
          <w:lang w:eastAsia="zh-CN"/>
        </w:rPr>
        <w:t>意向</w:t>
      </w:r>
      <w:r>
        <w:rPr>
          <w:rFonts w:hint="eastAsia" w:ascii="仿宋_GB2312" w:hAnsi="仿宋_GB2312" w:eastAsia="仿宋_GB2312" w:cs="仿宋_GB2312"/>
          <w:color w:val="auto"/>
          <w:kern w:val="0"/>
          <w:sz w:val="24"/>
          <w:szCs w:val="20"/>
          <w:highlight w:val="none"/>
        </w:rPr>
        <w:t>协议属于本合同组成部分。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eastAsia="zh-CN"/>
        </w:rPr>
        <w:t>1</w:t>
      </w:r>
      <w:r>
        <w:rPr>
          <w:rFonts w:hint="eastAsia" w:ascii="仿宋_GB2312" w:hAnsi="仿宋_GB2312" w:eastAsia="仿宋_GB2312" w:cs="仿宋_GB2312"/>
          <w:b/>
          <w:bCs/>
          <w:color w:val="auto"/>
          <w:kern w:val="0"/>
          <w:sz w:val="24"/>
          <w:szCs w:val="20"/>
          <w:highlight w:val="none"/>
          <w:lang w:val="en-US" w:eastAsia="zh-CN"/>
        </w:rPr>
        <w:t>8</w:t>
      </w:r>
      <w:r>
        <w:rPr>
          <w:rFonts w:hint="eastAsia" w:ascii="仿宋_GB2312" w:hAnsi="仿宋_GB2312" w:eastAsia="仿宋_GB2312" w:cs="仿宋_GB2312"/>
          <w:b/>
          <w:bCs/>
          <w:color w:val="auto"/>
          <w:kern w:val="0"/>
          <w:sz w:val="24"/>
          <w:szCs w:val="20"/>
          <w:highlight w:val="none"/>
        </w:rPr>
        <w:t>.不可抗力</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.1 不可抗力是指合同双方不能预见、不能避免且不能克服的客观情况。</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 任何一方对由于不可抗力造成的部分或全部不能履行合同不承担违约责任。但迟延履行后发生不可抗力的，不能免除责任。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1</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.3 遇有不可抗力的一方，应及时将事件情况以书面形式</w:t>
      </w:r>
      <w:r>
        <w:rPr>
          <w:rFonts w:hint="eastAsia" w:ascii="仿宋_GB2312" w:hAnsi="仿宋_GB2312" w:eastAsia="仿宋_GB2312" w:cs="仿宋_GB2312"/>
          <w:color w:val="auto"/>
          <w:kern w:val="0"/>
          <w:sz w:val="24"/>
          <w:szCs w:val="20"/>
          <w:highlight w:val="none"/>
          <w:lang w:eastAsia="zh-CN"/>
        </w:rPr>
        <w:t>告</w:t>
      </w:r>
      <w:r>
        <w:rPr>
          <w:rFonts w:hint="eastAsia" w:ascii="仿宋_GB2312" w:hAnsi="仿宋_GB2312" w:eastAsia="仿宋_GB2312" w:cs="仿宋_GB2312"/>
          <w:color w:val="auto"/>
          <w:kern w:val="0"/>
          <w:sz w:val="24"/>
          <w:szCs w:val="20"/>
          <w:highlight w:val="none"/>
        </w:rPr>
        <w:t>知另一方，并在事件发生后及时向另一方提交合同不能履行或部分不能履行或需要延期履行</w:t>
      </w:r>
      <w:r>
        <w:rPr>
          <w:rFonts w:hint="eastAsia" w:ascii="仿宋_GB2312" w:hAnsi="仿宋_GB2312" w:eastAsia="仿宋_GB2312" w:cs="仿宋_GB2312"/>
          <w:color w:val="auto"/>
          <w:kern w:val="0"/>
          <w:sz w:val="24"/>
          <w:szCs w:val="20"/>
          <w:highlight w:val="none"/>
          <w:lang w:eastAsia="zh-CN"/>
        </w:rPr>
        <w:t>的详细</w:t>
      </w:r>
      <w:r>
        <w:rPr>
          <w:rFonts w:hint="eastAsia" w:ascii="仿宋_GB2312" w:hAnsi="仿宋_GB2312" w:eastAsia="仿宋_GB2312" w:cs="仿宋_GB2312"/>
          <w:color w:val="auto"/>
          <w:kern w:val="0"/>
          <w:sz w:val="24"/>
          <w:szCs w:val="20"/>
          <w:highlight w:val="none"/>
        </w:rPr>
        <w:t>报告</w:t>
      </w:r>
      <w:r>
        <w:rPr>
          <w:rFonts w:hint="eastAsia" w:ascii="仿宋_GB2312" w:hAnsi="仿宋_GB2312" w:eastAsia="仿宋_GB2312" w:cs="仿宋_GB2312"/>
          <w:color w:val="auto"/>
          <w:kern w:val="0"/>
          <w:sz w:val="24"/>
          <w:szCs w:val="20"/>
          <w:highlight w:val="none"/>
          <w:lang w:eastAsia="zh-CN"/>
        </w:rPr>
        <w:t>，以</w:t>
      </w:r>
      <w:r>
        <w:rPr>
          <w:rFonts w:hint="eastAsia" w:ascii="仿宋_GB2312" w:hAnsi="仿宋_GB2312" w:eastAsia="仿宋_GB2312" w:cs="仿宋_GB2312"/>
          <w:color w:val="auto"/>
          <w:kern w:val="0"/>
          <w:sz w:val="24"/>
          <w:szCs w:val="20"/>
          <w:highlight w:val="none"/>
          <w:lang w:val="en-US" w:eastAsia="zh-CN"/>
        </w:rPr>
        <w:t>及证明不可抗力发生及其持续时间的证据</w:t>
      </w:r>
      <w:r>
        <w:rPr>
          <w:rFonts w:hint="eastAsia" w:ascii="仿宋_GB2312" w:hAnsi="仿宋_GB2312" w:eastAsia="仿宋_GB2312" w:cs="仿宋_GB2312"/>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19</w:t>
      </w:r>
      <w:r>
        <w:rPr>
          <w:rFonts w:hint="eastAsia" w:ascii="仿宋_GB2312" w:hAnsi="仿宋_GB2312" w:eastAsia="仿宋_GB2312" w:cs="仿宋_GB2312"/>
          <w:b/>
          <w:bCs/>
          <w:color w:val="auto"/>
          <w:kern w:val="0"/>
          <w:sz w:val="24"/>
          <w:szCs w:val="20"/>
          <w:highlight w:val="none"/>
        </w:rPr>
        <w:t>.解决争议的方法</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.1 因本合同及合同有关事项发生的争议，由</w:t>
      </w:r>
      <w:r>
        <w:rPr>
          <w:rFonts w:hint="eastAsia" w:ascii="仿宋_GB2312" w:hAnsi="仿宋_GB2312" w:eastAsia="仿宋_GB2312" w:cs="仿宋_GB2312"/>
          <w:color w:val="auto"/>
          <w:kern w:val="0"/>
          <w:sz w:val="24"/>
          <w:szCs w:val="20"/>
          <w:highlight w:val="none"/>
          <w:lang w:eastAsia="zh-CN"/>
        </w:rPr>
        <w:t>甲乙双</w:t>
      </w:r>
      <w:r>
        <w:rPr>
          <w:rFonts w:hint="eastAsia" w:ascii="仿宋_GB2312" w:hAnsi="仿宋_GB2312" w:eastAsia="仿宋_GB2312" w:cs="仿宋_GB2312"/>
          <w:color w:val="auto"/>
          <w:kern w:val="0"/>
          <w:sz w:val="24"/>
          <w:szCs w:val="20"/>
          <w:highlight w:val="none"/>
        </w:rPr>
        <w:t>方友好协商解决。协商不成时，可以</w:t>
      </w:r>
      <w:r>
        <w:rPr>
          <w:rFonts w:hint="eastAsia" w:ascii="仿宋_GB2312" w:hAnsi="仿宋_GB2312" w:eastAsia="仿宋_GB2312" w:cs="仿宋_GB2312"/>
          <w:color w:val="auto"/>
          <w:kern w:val="0"/>
          <w:sz w:val="24"/>
          <w:szCs w:val="20"/>
          <w:highlight w:val="none"/>
          <w:lang w:eastAsia="zh-CN"/>
        </w:rPr>
        <w:t>向有关组织申请</w:t>
      </w:r>
      <w:r>
        <w:rPr>
          <w:rFonts w:hint="eastAsia" w:ascii="仿宋_GB2312" w:hAnsi="仿宋_GB2312" w:eastAsia="仿宋_GB2312" w:cs="仿宋_GB2312"/>
          <w:color w:val="auto"/>
          <w:kern w:val="0"/>
          <w:sz w:val="24"/>
          <w:szCs w:val="20"/>
          <w:highlight w:val="none"/>
        </w:rPr>
        <w:t>调解。合同一方或</w:t>
      </w:r>
      <w:r>
        <w:rPr>
          <w:rFonts w:hint="eastAsia" w:ascii="仿宋_GB2312" w:hAnsi="仿宋_GB2312" w:eastAsia="仿宋_GB2312" w:cs="仿宋_GB2312"/>
          <w:color w:val="auto"/>
          <w:kern w:val="0"/>
          <w:sz w:val="24"/>
          <w:szCs w:val="20"/>
          <w:highlight w:val="none"/>
          <w:lang w:eastAsia="zh-CN"/>
        </w:rPr>
        <w:t>双</w:t>
      </w:r>
      <w:r>
        <w:rPr>
          <w:rFonts w:hint="eastAsia" w:ascii="仿宋_GB2312" w:hAnsi="仿宋_GB2312" w:eastAsia="仿宋_GB2312" w:cs="仿宋_GB2312"/>
          <w:color w:val="auto"/>
          <w:kern w:val="0"/>
          <w:sz w:val="24"/>
          <w:szCs w:val="20"/>
          <w:highlight w:val="none"/>
        </w:rPr>
        <w:t>方不愿调解或调解不成的，可以通过仲裁的方式解决争议</w:t>
      </w:r>
      <w:r>
        <w:rPr>
          <w:rFonts w:hint="eastAsia" w:ascii="仿宋_GB2312" w:hAnsi="仿宋_GB2312" w:eastAsia="仿宋_GB2312" w:cs="仿宋_GB2312"/>
          <w:color w:val="auto"/>
          <w:kern w:val="0"/>
          <w:sz w:val="24"/>
          <w:szCs w:val="20"/>
          <w:highlight w:val="none"/>
          <w:lang w:eastAsia="zh-CN"/>
        </w:rPr>
        <w:t>，</w:t>
      </w:r>
      <w:r>
        <w:rPr>
          <w:rFonts w:hint="eastAsia" w:ascii="仿宋_GB2312" w:hAnsi="仿宋_GB2312" w:eastAsia="仿宋_GB2312" w:cs="仿宋_GB2312"/>
          <w:color w:val="auto"/>
          <w:kern w:val="0"/>
          <w:sz w:val="24"/>
          <w:szCs w:val="20"/>
          <w:highlight w:val="none"/>
        </w:rPr>
        <w:t>将争议提交绍兴仲裁委员会仲裁。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 xml:space="preserve"> 如</w:t>
      </w:r>
      <w:r>
        <w:rPr>
          <w:rFonts w:hint="eastAsia" w:ascii="仿宋_GB2312" w:hAnsi="仿宋_GB2312" w:eastAsia="仿宋_GB2312" w:cs="仿宋_GB2312"/>
          <w:color w:val="auto"/>
          <w:kern w:val="0"/>
          <w:sz w:val="24"/>
          <w:szCs w:val="20"/>
          <w:highlight w:val="none"/>
          <w:lang w:eastAsia="zh-CN"/>
        </w:rPr>
        <w:t>甲乙双方</w:t>
      </w:r>
      <w:r>
        <w:rPr>
          <w:rFonts w:hint="eastAsia" w:ascii="仿宋_GB2312" w:hAnsi="仿宋_GB2312" w:eastAsia="仿宋_GB2312" w:cs="仿宋_GB2312"/>
          <w:color w:val="auto"/>
          <w:kern w:val="0"/>
          <w:sz w:val="24"/>
          <w:szCs w:val="20"/>
          <w:highlight w:val="none"/>
        </w:rPr>
        <w:t>有争议的事项不影响合同其他部分的履行，在争议解决期间，合同其他部分应</w:t>
      </w:r>
      <w:r>
        <w:rPr>
          <w:rFonts w:hint="eastAsia" w:ascii="仿宋_GB2312" w:hAnsi="仿宋_GB2312" w:eastAsia="仿宋_GB2312" w:cs="仿宋_GB2312"/>
          <w:color w:val="auto"/>
          <w:kern w:val="0"/>
          <w:sz w:val="24"/>
          <w:szCs w:val="20"/>
          <w:highlight w:val="none"/>
          <w:lang w:eastAsia="zh-CN"/>
        </w:rPr>
        <w:t>当</w:t>
      </w:r>
      <w:r>
        <w:rPr>
          <w:rFonts w:hint="eastAsia" w:ascii="仿宋_GB2312" w:hAnsi="仿宋_GB2312" w:eastAsia="仿宋_GB2312" w:cs="仿宋_GB2312"/>
          <w:color w:val="auto"/>
          <w:kern w:val="0"/>
          <w:sz w:val="24"/>
          <w:szCs w:val="20"/>
          <w:highlight w:val="none"/>
        </w:rPr>
        <w:t>继续履行。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20</w:t>
      </w:r>
      <w:r>
        <w:rPr>
          <w:rFonts w:hint="eastAsia" w:ascii="仿宋_GB2312" w:hAnsi="仿宋_GB2312" w:eastAsia="仿宋_GB2312" w:cs="仿宋_GB2312"/>
          <w:b/>
          <w:bCs/>
          <w:color w:val="auto"/>
          <w:kern w:val="0"/>
          <w:sz w:val="24"/>
          <w:szCs w:val="20"/>
          <w:highlight w:val="none"/>
        </w:rPr>
        <w:t>.政府采购政策</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 xml:space="preserve">20.1 </w:t>
      </w:r>
      <w:r>
        <w:rPr>
          <w:rFonts w:hint="eastAsia" w:ascii="仿宋_GB2312" w:hAnsi="仿宋_GB2312" w:eastAsia="仿宋_GB2312" w:cs="仿宋_GB2312"/>
          <w:color w:val="auto"/>
          <w:kern w:val="0"/>
          <w:sz w:val="24"/>
          <w:szCs w:val="20"/>
          <w:highlight w:val="none"/>
          <w:lang w:val="en-GB"/>
        </w:rPr>
        <w:t>本合同应当按照规定执行政府采购政策。</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0</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 xml:space="preserve"> 本合同依法执行政府采购政策的方式和内容，属于合同履约验收的范围。</w:t>
      </w:r>
      <w:r>
        <w:rPr>
          <w:rFonts w:hint="eastAsia" w:ascii="仿宋_GB2312" w:hAnsi="仿宋_GB2312" w:eastAsia="仿宋_GB2312" w:cs="仿宋_GB2312"/>
          <w:color w:val="auto"/>
          <w:kern w:val="0"/>
          <w:sz w:val="24"/>
          <w:szCs w:val="20"/>
          <w:highlight w:val="none"/>
          <w:lang w:eastAsia="zh-CN"/>
        </w:rPr>
        <w:t>甲乙双方</w:t>
      </w:r>
      <w:r>
        <w:rPr>
          <w:rFonts w:hint="eastAsia" w:ascii="仿宋_GB2312" w:hAnsi="仿宋_GB2312" w:eastAsia="仿宋_GB2312" w:cs="仿宋_GB2312"/>
          <w:color w:val="auto"/>
          <w:kern w:val="0"/>
          <w:sz w:val="24"/>
          <w:szCs w:val="20"/>
          <w:highlight w:val="none"/>
          <w:lang w:val="en-GB"/>
        </w:rPr>
        <w:t>未按规定要求执行政府采购政策造成损失的</w:t>
      </w:r>
      <w:r>
        <w:rPr>
          <w:rFonts w:hint="eastAsia" w:ascii="仿宋_GB2312" w:hAnsi="仿宋_GB2312" w:eastAsia="仿宋_GB2312" w:cs="仿宋_GB2312"/>
          <w:color w:val="auto"/>
          <w:kern w:val="0"/>
          <w:sz w:val="24"/>
          <w:szCs w:val="20"/>
          <w:highlight w:val="none"/>
        </w:rPr>
        <w:t>，有过错的一方应当承担赔偿责任，双方都有过错的，各自承担相应的责任。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0</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 xml:space="preserve"> 对于</w:t>
      </w:r>
      <w:r>
        <w:rPr>
          <w:rFonts w:hint="eastAsia" w:ascii="仿宋_GB2312" w:hAnsi="仿宋_GB2312" w:eastAsia="仿宋_GB2312" w:cs="仿宋_GB2312"/>
          <w:color w:val="auto"/>
          <w:kern w:val="0"/>
          <w:sz w:val="24"/>
          <w:szCs w:val="20"/>
          <w:highlight w:val="none"/>
          <w:lang w:eastAsia="zh-CN"/>
        </w:rPr>
        <w:t>为落实中小企业支持政策，</w:t>
      </w:r>
      <w:r>
        <w:rPr>
          <w:rFonts w:hint="eastAsia" w:ascii="仿宋_GB2312" w:hAnsi="仿宋_GB2312" w:eastAsia="仿宋_GB2312" w:cs="仿宋_GB2312"/>
          <w:color w:val="auto"/>
          <w:kern w:val="0"/>
          <w:sz w:val="24"/>
          <w:szCs w:val="20"/>
          <w:highlight w:val="none"/>
        </w:rPr>
        <w:t>通过采购项目</w:t>
      </w:r>
      <w:r>
        <w:rPr>
          <w:rFonts w:hint="eastAsia" w:ascii="仿宋_GB2312" w:hAnsi="仿宋_GB2312" w:eastAsia="仿宋_GB2312" w:cs="仿宋_GB2312"/>
          <w:color w:val="auto"/>
          <w:kern w:val="0"/>
          <w:sz w:val="24"/>
          <w:szCs w:val="20"/>
          <w:highlight w:val="none"/>
          <w:lang w:eastAsia="zh-CN"/>
        </w:rPr>
        <w:t>整体</w:t>
      </w:r>
      <w:r>
        <w:rPr>
          <w:rFonts w:hint="eastAsia" w:ascii="仿宋_GB2312" w:hAnsi="仿宋_GB2312" w:eastAsia="仿宋_GB2312" w:cs="仿宋_GB2312"/>
          <w:color w:val="auto"/>
          <w:kern w:val="0"/>
          <w:sz w:val="24"/>
          <w:szCs w:val="20"/>
          <w:highlight w:val="none"/>
        </w:rPr>
        <w:t>预留、</w:t>
      </w:r>
      <w:r>
        <w:rPr>
          <w:rFonts w:hint="eastAsia" w:ascii="仿宋_GB2312" w:hAnsi="仿宋_GB2312" w:eastAsia="仿宋_GB2312" w:cs="仿宋_GB2312"/>
          <w:color w:val="auto"/>
          <w:kern w:val="0"/>
          <w:sz w:val="24"/>
          <w:szCs w:val="20"/>
          <w:highlight w:val="none"/>
          <w:lang w:eastAsia="zh-CN"/>
        </w:rPr>
        <w:t>设置</w:t>
      </w:r>
      <w:r>
        <w:rPr>
          <w:rFonts w:hint="eastAsia" w:ascii="仿宋_GB2312" w:hAnsi="仿宋_GB2312" w:eastAsia="仿宋_GB2312" w:cs="仿宋_GB2312"/>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en-US" w:eastAsia="zh-CN"/>
        </w:rPr>
        <w:t>1</w:t>
      </w:r>
      <w:r>
        <w:rPr>
          <w:rFonts w:hint="eastAsia" w:ascii="仿宋_GB2312" w:hAnsi="仿宋_GB2312" w:eastAsia="仿宋_GB2312" w:cs="仿宋_GB2312"/>
          <w:b/>
          <w:bCs/>
          <w:color w:val="auto"/>
          <w:kern w:val="0"/>
          <w:sz w:val="24"/>
          <w:szCs w:val="20"/>
          <w:highlight w:val="none"/>
        </w:rPr>
        <w:t>.法律适用</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.1 本合同的订立、生效、解释、履行及与本合同有关的争议解决，均适用法律、行政法规。</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1</w:t>
      </w:r>
      <w:r>
        <w:rPr>
          <w:rFonts w:hint="eastAsia" w:ascii="仿宋_GB2312" w:hAnsi="仿宋_GB2312" w:eastAsia="仿宋_GB2312" w:cs="仿宋_GB2312"/>
          <w:color w:val="auto"/>
          <w:kern w:val="0"/>
          <w:sz w:val="24"/>
          <w:szCs w:val="20"/>
          <w:highlight w:val="none"/>
        </w:rPr>
        <w:t>.2 本合同条款与法律、行政法规的强制性规定不一致的，双方当事人应按照法律、行政法规的强制性规定修改本合同的相关条款。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eastAsia="zh-CN"/>
        </w:rPr>
        <w:t>22.</w:t>
      </w:r>
      <w:r>
        <w:rPr>
          <w:rFonts w:hint="eastAsia" w:ascii="仿宋_GB2312" w:hAnsi="仿宋_GB2312" w:eastAsia="仿宋_GB2312" w:cs="仿宋_GB2312"/>
          <w:b/>
          <w:bCs/>
          <w:color w:val="auto"/>
          <w:kern w:val="0"/>
          <w:sz w:val="24"/>
          <w:szCs w:val="20"/>
          <w:highlight w:val="none"/>
        </w:rPr>
        <w:t>通知</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 xml:space="preserve"> </w:t>
      </w:r>
      <w:r>
        <w:rPr>
          <w:rFonts w:hint="eastAsia" w:ascii="仿宋_GB2312" w:hAnsi="仿宋_GB2312" w:eastAsia="仿宋_GB2312" w:cs="仿宋_GB2312"/>
          <w:color w:val="auto"/>
          <w:kern w:val="0"/>
          <w:sz w:val="24"/>
          <w:szCs w:val="20"/>
          <w:highlight w:val="none"/>
        </w:rPr>
        <w:t>一方当事人变更名称、</w:t>
      </w:r>
      <w:r>
        <w:rPr>
          <w:rFonts w:hint="eastAsia" w:ascii="仿宋_GB2312" w:hAnsi="仿宋_GB2312" w:eastAsia="仿宋_GB2312" w:cs="仿宋_GB2312"/>
          <w:color w:val="auto"/>
          <w:kern w:val="0"/>
          <w:sz w:val="24"/>
          <w:szCs w:val="20"/>
          <w:highlight w:val="none"/>
          <w:lang w:eastAsia="zh-CN"/>
        </w:rPr>
        <w:t>住所</w:t>
      </w:r>
      <w:r>
        <w:rPr>
          <w:rFonts w:hint="eastAsia" w:ascii="仿宋_GB2312" w:hAnsi="仿宋_GB2312" w:eastAsia="仿宋_GB2312" w:cs="仿宋_GB2312"/>
          <w:color w:val="auto"/>
          <w:kern w:val="0"/>
          <w:sz w:val="24"/>
          <w:szCs w:val="20"/>
          <w:highlight w:val="none"/>
        </w:rPr>
        <w:t>、联系人、联系电话或电子邮箱</w:t>
      </w:r>
      <w:r>
        <w:rPr>
          <w:rFonts w:hint="eastAsia" w:ascii="仿宋_GB2312" w:hAnsi="仿宋_GB2312" w:eastAsia="仿宋_GB2312" w:cs="仿宋_GB2312"/>
          <w:color w:val="auto"/>
          <w:kern w:val="0"/>
          <w:sz w:val="24"/>
          <w:szCs w:val="20"/>
          <w:highlight w:val="none"/>
          <w:lang w:eastAsia="zh-CN"/>
        </w:rPr>
        <w:t>等信息</w:t>
      </w:r>
      <w:r>
        <w:rPr>
          <w:rFonts w:hint="eastAsia" w:ascii="仿宋_GB2312" w:hAnsi="仿宋_GB2312" w:eastAsia="仿宋_GB2312" w:cs="仿宋_GB2312"/>
          <w:color w:val="auto"/>
          <w:kern w:val="0"/>
          <w:sz w:val="24"/>
          <w:szCs w:val="20"/>
          <w:highlight w:val="none"/>
        </w:rPr>
        <w:t>的，应当在变更后3日内及时书面通知对方，对方实际收到变更通知前的送达仍为有效送达。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本合同一方给另一方的通知均应采用书面形式，传真或快递送到本合同中规定的对方的地址和办理签收手续。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通知以送达之日或通知书中规定的生效之日起生效，两者中以较迟之日为准。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lang w:val="en-US"/>
        </w:rPr>
        <w:t>23.</w:t>
      </w:r>
      <w:r>
        <w:rPr>
          <w:rFonts w:hint="eastAsia" w:ascii="仿宋_GB2312" w:hAnsi="仿宋_GB2312" w:eastAsia="仿宋_GB2312" w:cs="仿宋_GB2312"/>
          <w:b/>
          <w:bCs/>
          <w:color w:val="auto"/>
          <w:kern w:val="0"/>
          <w:sz w:val="24"/>
          <w:szCs w:val="20"/>
          <w:highlight w:val="none"/>
        </w:rPr>
        <w:t>合同未尽事项</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.1合同未尽事项见【政府采购合同专用条款】。</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 xml:space="preserve">  23.2 合同附件与合同正文具有同等的法律效力。</w:t>
      </w:r>
      <w:bookmarkStart w:id="47" w:name="_Toc2031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_GB2312" w:hAnsi="仿宋_GB2312" w:eastAsia="仿宋_GB2312" w:cs="仿宋_GB2312"/>
          <w:b/>
          <w:bCs/>
          <w:color w:val="auto"/>
          <w:kern w:val="0"/>
          <w:sz w:val="24"/>
          <w:szCs w:val="20"/>
          <w:highlight w:val="none"/>
        </w:rPr>
      </w:pPr>
      <w:r>
        <w:rPr>
          <w:rFonts w:hint="eastAsia" w:ascii="仿宋_GB2312" w:hAnsi="仿宋_GB2312" w:eastAsia="仿宋_GB2312" w:cs="仿宋_GB2312"/>
          <w:b/>
          <w:bCs/>
          <w:color w:val="auto"/>
          <w:kern w:val="0"/>
          <w:sz w:val="24"/>
          <w:szCs w:val="20"/>
          <w:highlight w:val="none"/>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第1.2（</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联合体具体要求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第1.2（</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其他术语解释</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4.4款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履约验收中甲方</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提出异议或作</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出说明的期限</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4.6款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约定甲方承担的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5.4款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约定乙方承担的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第</w:t>
            </w:r>
            <w:r>
              <w:rPr>
                <w:rFonts w:hint="eastAsia" w:ascii="仿宋_GB2312" w:hAnsi="仿宋_GB2312" w:eastAsia="仿宋_GB2312" w:cs="仿宋_GB2312"/>
                <w:color w:val="auto"/>
                <w:kern w:val="0"/>
                <w:sz w:val="24"/>
                <w:szCs w:val="20"/>
                <w:highlight w:val="none"/>
                <w:lang w:val="en-US" w:eastAsia="zh-CN"/>
              </w:rPr>
              <w:t>6.1款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履行合同义务</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的顺序</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包装</w:t>
            </w:r>
            <w:r>
              <w:rPr>
                <w:rFonts w:hint="eastAsia" w:ascii="仿宋_GB2312" w:hAnsi="仿宋_GB2312" w:eastAsia="仿宋_GB2312" w:cs="仿宋_GB2312"/>
                <w:color w:val="auto"/>
                <w:kern w:val="0"/>
                <w:sz w:val="24"/>
                <w:szCs w:val="20"/>
                <w:highlight w:val="none"/>
                <w:lang w:eastAsia="zh-CN"/>
              </w:rPr>
              <w:t>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指定现场</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.2</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运输特殊要求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7</w:t>
            </w:r>
            <w:r>
              <w:rPr>
                <w:rFonts w:hint="eastAsia" w:ascii="仿宋_GB2312" w:hAnsi="仿宋_GB2312" w:eastAsia="仿宋_GB2312" w:cs="仿宋_GB2312"/>
                <w:color w:val="auto"/>
                <w:kern w:val="0"/>
                <w:sz w:val="24"/>
                <w:szCs w:val="20"/>
                <w:highlight w:val="none"/>
              </w:rPr>
              <w:t>.3</w:t>
            </w:r>
            <w:r>
              <w:rPr>
                <w:rFonts w:hint="eastAsia" w:ascii="仿宋_GB2312" w:hAnsi="仿宋_GB2312" w:eastAsia="仿宋_GB2312" w:cs="仿宋_GB2312"/>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保险要求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.2（1）项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质量保证期</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8</w:t>
            </w:r>
            <w:r>
              <w:rPr>
                <w:rFonts w:hint="eastAsia" w:ascii="仿宋_GB2312" w:hAnsi="仿宋_GB2312" w:eastAsia="仿宋_GB2312" w:cs="仿宋_GB2312"/>
                <w:color w:val="auto"/>
                <w:kern w:val="0"/>
                <w:sz w:val="24"/>
                <w:szCs w:val="20"/>
                <w:highlight w:val="none"/>
              </w:rPr>
              <w:t>.2（3）项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货物质量缺陷</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响应时间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第11.1款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其他应当保密</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的信息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2</w:t>
            </w:r>
            <w:r>
              <w:rPr>
                <w:rFonts w:hint="eastAsia" w:ascii="仿宋_GB2312" w:hAnsi="仿宋_GB2312" w:eastAsia="仿宋_GB2312" w:cs="仿宋_GB2312"/>
                <w:color w:val="auto"/>
                <w:kern w:val="0"/>
                <w:sz w:val="24"/>
                <w:szCs w:val="20"/>
                <w:highlight w:val="none"/>
              </w:rPr>
              <w:t>.2款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13.2</w:t>
            </w:r>
            <w:r>
              <w:rPr>
                <w:rFonts w:hint="eastAsia" w:ascii="仿宋_GB2312" w:hAnsi="仿宋_GB2312" w:eastAsia="仿宋_GB2312" w:cs="仿宋_GB2312"/>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履约保证金</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不予退还的情形</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13.3</w:t>
            </w:r>
            <w:r>
              <w:rPr>
                <w:rFonts w:hint="eastAsia" w:ascii="仿宋_GB2312" w:hAnsi="仿宋_GB2312" w:eastAsia="仿宋_GB2312" w:cs="仿宋_GB2312"/>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履约保证金退还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rPr>
              <w:t>时间及</w:t>
            </w:r>
            <w:r>
              <w:rPr>
                <w:rFonts w:hint="eastAsia" w:ascii="仿宋_GB2312" w:hAnsi="仿宋_GB2312" w:eastAsia="仿宋_GB2312" w:cs="仿宋_GB2312"/>
                <w:color w:val="auto"/>
                <w:kern w:val="0"/>
                <w:sz w:val="24"/>
                <w:szCs w:val="20"/>
                <w:highlight w:val="none"/>
                <w:lang w:eastAsia="zh-CN"/>
              </w:rPr>
              <w:t>逾期退还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的</w:t>
            </w:r>
            <w:r>
              <w:rPr>
                <w:rFonts w:hint="eastAsia" w:ascii="仿宋_GB2312" w:hAnsi="仿宋_GB2312" w:eastAsia="仿宋_GB2312" w:cs="仿宋_GB2312"/>
                <w:color w:val="auto"/>
                <w:kern w:val="0"/>
                <w:sz w:val="24"/>
                <w:szCs w:val="20"/>
                <w:highlight w:val="none"/>
              </w:rPr>
              <w:t>违约金</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3</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运行监督、</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维修期限</w:t>
            </w:r>
          </w:p>
        </w:tc>
        <w:tc>
          <w:tcPr>
            <w:tcW w:w="4875"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lang w:val="en-US" w:eastAsia="zh-CN"/>
              </w:rPr>
              <w:t>货物回收的约定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4</w:t>
            </w:r>
            <w:r>
              <w:rPr>
                <w:rFonts w:hint="eastAsia" w:ascii="仿宋_GB2312" w:hAnsi="仿宋_GB2312" w:eastAsia="仿宋_GB2312" w:cs="仿宋_GB2312"/>
                <w:color w:val="auto"/>
                <w:kern w:val="0"/>
                <w:sz w:val="24"/>
                <w:szCs w:val="20"/>
                <w:highlight w:val="none"/>
              </w:rPr>
              <w:t>.1（</w:t>
            </w:r>
            <w:r>
              <w:rPr>
                <w:rFonts w:hint="eastAsia" w:ascii="仿宋_GB2312" w:hAnsi="仿宋_GB2312" w:eastAsia="仿宋_GB2312" w:cs="仿宋_GB2312"/>
                <w:color w:val="auto"/>
                <w:kern w:val="0"/>
                <w:sz w:val="24"/>
                <w:szCs w:val="20"/>
                <w:highlight w:val="none"/>
                <w:lang w:val="en-US" w:eastAsia="zh-CN"/>
              </w:rPr>
              <w:t>6</w:t>
            </w:r>
            <w:r>
              <w:rPr>
                <w:rFonts w:hint="eastAsia" w:ascii="仿宋_GB2312" w:hAnsi="仿宋_GB2312" w:eastAsia="仿宋_GB2312" w:cs="仿宋_GB2312"/>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乙方提供的其他</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服务</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val="en-US" w:eastAsia="zh-CN"/>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lang w:eastAsia="zh-CN"/>
              </w:rPr>
            </w:pPr>
            <w:r>
              <w:rPr>
                <w:rFonts w:hint="eastAsia" w:ascii="仿宋_GB2312" w:hAnsi="仿宋_GB2312" w:eastAsia="仿宋_GB2312" w:cs="仿宋_GB2312"/>
                <w:color w:val="auto"/>
                <w:kern w:val="0"/>
                <w:sz w:val="24"/>
                <w:szCs w:val="20"/>
                <w:highlight w:val="none"/>
                <w:lang w:eastAsia="zh-CN"/>
              </w:rPr>
              <w:t>修理、重作、更</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换相关具体规定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.2（2）项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迟延交货赔偿费</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3款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逾期付款利息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第1</w:t>
            </w:r>
            <w:r>
              <w:rPr>
                <w:rFonts w:hint="eastAsia" w:ascii="仿宋_GB2312" w:hAnsi="仿宋_GB2312" w:eastAsia="仿宋_GB2312" w:cs="仿宋_GB2312"/>
                <w:color w:val="auto"/>
                <w:kern w:val="0"/>
                <w:sz w:val="24"/>
                <w:szCs w:val="20"/>
                <w:highlight w:val="none"/>
                <w:lang w:val="en-US" w:eastAsia="zh-CN"/>
              </w:rPr>
              <w:t>5</w:t>
            </w:r>
            <w:r>
              <w:rPr>
                <w:rFonts w:hint="eastAsia" w:ascii="仿宋_GB2312" w:hAnsi="仿宋_GB2312" w:eastAsia="仿宋_GB2312" w:cs="仿宋_GB2312"/>
                <w:color w:val="auto"/>
                <w:kern w:val="0"/>
                <w:sz w:val="24"/>
                <w:szCs w:val="20"/>
                <w:highlight w:val="none"/>
              </w:rPr>
              <w:t>.4</w:t>
            </w:r>
            <w:r>
              <w:rPr>
                <w:rFonts w:hint="eastAsia" w:ascii="仿宋_GB2312" w:hAnsi="仿宋_GB2312" w:eastAsia="仿宋_GB2312" w:cs="仿宋_GB2312"/>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w:t>
            </w:r>
            <w:r>
              <w:rPr>
                <w:rFonts w:hint="eastAsia" w:ascii="仿宋_GB2312" w:hAnsi="仿宋_GB2312" w:eastAsia="仿宋_GB2312" w:cs="仿宋_GB2312"/>
                <w:color w:val="auto"/>
                <w:kern w:val="0"/>
                <w:sz w:val="24"/>
                <w:szCs w:val="20"/>
                <w:highlight w:val="none"/>
                <w:lang w:val="en-US" w:eastAsia="zh-CN"/>
              </w:rPr>
              <w:t>19</w:t>
            </w:r>
            <w:r>
              <w:rPr>
                <w:rFonts w:hint="eastAsia" w:ascii="仿宋_GB2312" w:hAnsi="仿宋_GB2312" w:eastAsia="仿宋_GB2312" w:cs="仿宋_GB2312"/>
                <w:color w:val="auto"/>
                <w:kern w:val="0"/>
                <w:sz w:val="24"/>
                <w:szCs w:val="20"/>
                <w:highlight w:val="none"/>
              </w:rPr>
              <w:t>.</w:t>
            </w:r>
            <w:r>
              <w:rPr>
                <w:rFonts w:hint="eastAsia" w:ascii="仿宋_GB2312" w:hAnsi="仿宋_GB2312" w:eastAsia="仿宋_GB2312" w:cs="仿宋_GB2312"/>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pPr>
              <w:kinsoku/>
              <w:wordWrap w:val="0"/>
              <w:overflowPunct/>
              <w:topLinePunct w:val="0"/>
              <w:bidi w:val="0"/>
              <w:spacing w:beforeAutospacing="0" w:afterAutospacing="0" w:line="440" w:lineRule="exact"/>
              <w:ind w:left="0" w:leftChars="0" w:right="-420" w:rightChars="-200"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双方当事人均可通过和解或者调解解决；不</w:t>
            </w:r>
          </w:p>
          <w:p>
            <w:pPr>
              <w:kinsoku/>
              <w:wordWrap w:val="0"/>
              <w:overflowPunct/>
              <w:topLinePunct w:val="0"/>
              <w:bidi w:val="0"/>
              <w:spacing w:beforeAutospacing="0" w:afterAutospacing="0" w:line="440" w:lineRule="exact"/>
              <w:ind w:left="0" w:leftChars="0" w:right="-420" w:rightChars="-200"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愿和解、调解或者和解、调解不成的，将争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rPr>
              <w:t>第2</w:t>
            </w:r>
            <w:r>
              <w:rPr>
                <w:rFonts w:hint="eastAsia" w:ascii="仿宋_GB2312" w:hAnsi="仿宋_GB2312" w:eastAsia="仿宋_GB2312" w:cs="仿宋_GB2312"/>
                <w:color w:val="auto"/>
                <w:kern w:val="0"/>
                <w:sz w:val="24"/>
                <w:szCs w:val="20"/>
                <w:highlight w:val="none"/>
                <w:lang w:val="en-US" w:eastAsia="zh-CN"/>
              </w:rPr>
              <w:t>3.1</w:t>
            </w:r>
            <w:r>
              <w:rPr>
                <w:rFonts w:hint="eastAsia" w:ascii="仿宋_GB2312" w:hAnsi="仿宋_GB2312" w:eastAsia="仿宋_GB2312" w:cs="仿宋_GB2312"/>
                <w:color w:val="auto"/>
                <w:kern w:val="0"/>
                <w:sz w:val="24"/>
                <w:szCs w:val="20"/>
                <w:highlight w:val="none"/>
                <w:lang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_GB2312" w:hAnsi="仿宋_GB2312" w:eastAsia="仿宋_GB2312" w:cs="仿宋_GB2312"/>
                <w:color w:val="auto"/>
                <w:kern w:val="0"/>
                <w:sz w:val="24"/>
                <w:szCs w:val="20"/>
                <w:highlight w:val="none"/>
              </w:rPr>
            </w:pPr>
            <w:r>
              <w:rPr>
                <w:rFonts w:hint="eastAsia" w:ascii="仿宋_GB2312" w:hAnsi="仿宋_GB2312" w:eastAsia="仿宋_GB2312" w:cs="仿宋_GB2312"/>
                <w:color w:val="auto"/>
                <w:kern w:val="0"/>
                <w:sz w:val="24"/>
                <w:szCs w:val="20"/>
                <w:highlight w:val="none"/>
                <w:lang w:eastAsia="zh-CN"/>
              </w:rPr>
              <w:t>其他专用条款</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_GB2312" w:hAnsi="仿宋_GB2312" w:eastAsia="仿宋_GB2312" w:cs="仿宋_GB2312"/>
                <w:color w:val="auto"/>
                <w:kern w:val="0"/>
                <w:sz w:val="24"/>
                <w:szCs w:val="20"/>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w:t>
      </w:r>
      <w:r>
        <w:rPr>
          <w:rFonts w:hint="eastAsia" w:ascii="仿宋_GB2312" w:hAnsi="仿宋_GB2312" w:eastAsia="仿宋_GB2312" w:cs="仿宋_GB2312"/>
          <w:color w:val="auto"/>
          <w:sz w:val="24"/>
          <w:highlight w:val="none"/>
          <w:u w:val="single"/>
          <w:lang w:val="en-US" w:eastAsia="zh-CN"/>
        </w:rPr>
        <w:t>70</w:t>
      </w:r>
      <w:r>
        <w:rPr>
          <w:rFonts w:hint="eastAsia" w:ascii="仿宋_GB2312" w:hAnsi="仿宋_GB2312" w:eastAsia="仿宋_GB2312" w:cs="仿宋_GB2312"/>
          <w:color w:val="auto"/>
          <w:sz w:val="24"/>
          <w:highlight w:val="none"/>
        </w:rPr>
        <w:t>分，价格分</w:t>
      </w:r>
      <w:r>
        <w:rPr>
          <w:rFonts w:hint="eastAsia" w:ascii="仿宋_GB2312" w:hAnsi="仿宋_GB2312" w:eastAsia="仿宋_GB2312" w:cs="仿宋_GB2312"/>
          <w:color w:val="auto"/>
          <w:sz w:val="24"/>
          <w:highlight w:val="none"/>
          <w:u w:val="single"/>
          <w:lang w:val="en-US" w:eastAsia="zh-CN"/>
        </w:rPr>
        <w:t>30</w:t>
      </w:r>
      <w:r>
        <w:rPr>
          <w:rFonts w:hint="eastAsia" w:ascii="仿宋_GB2312" w:hAnsi="仿宋_GB2312" w:eastAsia="仿宋_GB2312" w:cs="仿宋_GB2312"/>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_GB2312" w:hAnsi="仿宋_GB2312" w:eastAsia="仿宋_GB2312" w:cs="仿宋_GB2312"/>
          <w:b/>
          <w:color w:val="auto"/>
          <w:sz w:val="32"/>
          <w:szCs w:val="20"/>
          <w:highlight w:val="none"/>
        </w:rPr>
      </w:pPr>
      <w:r>
        <w:rPr>
          <w:rFonts w:hint="eastAsia" w:ascii="仿宋_GB2312" w:hAnsi="仿宋_GB2312" w:eastAsia="仿宋_GB2312" w:cs="仿宋_GB2312"/>
          <w:b/>
          <w:bCs/>
          <w:iCs/>
          <w:color w:val="auto"/>
          <w:sz w:val="24"/>
          <w:highlight w:val="none"/>
        </w:rPr>
        <w:t>2.1商务技术分（</w:t>
      </w:r>
      <w:r>
        <w:rPr>
          <w:rFonts w:hint="eastAsia" w:ascii="仿宋_GB2312" w:hAnsi="仿宋_GB2312" w:eastAsia="仿宋_GB2312" w:cs="仿宋_GB2312"/>
          <w:b/>
          <w:bCs/>
          <w:iCs/>
          <w:color w:val="auto"/>
          <w:sz w:val="24"/>
          <w:highlight w:val="none"/>
          <w:u w:val="single"/>
          <w:lang w:val="en-US" w:eastAsia="zh-CN"/>
        </w:rPr>
        <w:t>70</w:t>
      </w:r>
      <w:r>
        <w:rPr>
          <w:rFonts w:hint="eastAsia" w:ascii="仿宋_GB2312" w:hAnsi="仿宋_GB2312" w:eastAsia="仿宋_GB2312" w:cs="仿宋_GB2312"/>
          <w:b/>
          <w:bCs/>
          <w:iCs/>
          <w:color w:val="auto"/>
          <w:sz w:val="24"/>
          <w:highlight w:val="none"/>
        </w:rPr>
        <w:t>分）</w:t>
      </w:r>
    </w:p>
    <w:tbl>
      <w:tblPr>
        <w:tblStyle w:val="63"/>
        <w:tblW w:w="55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378"/>
        <w:gridCol w:w="7288"/>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678"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评分项目</w:t>
            </w:r>
          </w:p>
        </w:tc>
        <w:tc>
          <w:tcPr>
            <w:tcW w:w="3585"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评分细则</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678"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技术参数偏离情况</w:t>
            </w:r>
          </w:p>
        </w:tc>
        <w:tc>
          <w:tcPr>
            <w:tcW w:w="3585" w:type="pct"/>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lang w:val="en-US" w:eastAsia="zh-CN" w:bidi="ar-SA"/>
              </w:rPr>
              <w:t>技术参数响应情况：对应于招标文件第三部分招标项目范围及要求——“二、技术参数”，完全满足指标参数得30分。打“★”号的性能指标为实质性指标，若出现负偏离作无效标处理；打“▲”为主要性能指标，每有一项负偏离扣3分；其他指标，每有一项负偏离扣1分，扣完为止。</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p>
        </w:tc>
        <w:tc>
          <w:tcPr>
            <w:tcW w:w="678"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类似业绩</w:t>
            </w:r>
          </w:p>
        </w:tc>
        <w:tc>
          <w:tcPr>
            <w:tcW w:w="3585" w:type="pct"/>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投标人自202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zh-CN"/>
              </w:rPr>
              <w:t>年</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val="zh-CN"/>
              </w:rPr>
              <w:t>月1日以来（以合同签订时间为准）完成的同类案例，每有1个得1分，满分3分。</w:t>
            </w:r>
          </w:p>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b/>
                <w:bCs/>
                <w:sz w:val="24"/>
                <w:szCs w:val="24"/>
                <w:lang w:val="zh-CN"/>
              </w:rPr>
            </w:pPr>
            <w:r>
              <w:rPr>
                <w:rFonts w:hint="eastAsia" w:ascii="仿宋_GB2312" w:hAnsi="仿宋_GB2312" w:eastAsia="仿宋_GB2312" w:cs="仿宋_GB2312"/>
                <w:b/>
                <w:bCs/>
                <w:sz w:val="24"/>
                <w:szCs w:val="24"/>
                <w:lang w:val="zh-CN"/>
              </w:rPr>
              <w:t>注：1.每个案例提供合同和验收报告的复印件，并加盖投标人公章。</w:t>
            </w:r>
          </w:p>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lang w:val="zh-CN"/>
              </w:rPr>
            </w:pPr>
            <w:r>
              <w:rPr>
                <w:rFonts w:hint="eastAsia" w:ascii="仿宋_GB2312" w:hAnsi="仿宋_GB2312" w:eastAsia="仿宋_GB2312" w:cs="仿宋_GB2312"/>
                <w:b/>
                <w:bCs/>
                <w:sz w:val="24"/>
                <w:szCs w:val="24"/>
                <w:lang w:val="zh-CN"/>
              </w:rPr>
              <w:t>2.投标产品为省级以上主管部门认定的首台套产品，自纳入《省推广应用指导目录》起三年内参加政府采购活动，视同已具备相应销售业绩，业绩分为满分。</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p>
        </w:tc>
        <w:tc>
          <w:tcPr>
            <w:tcW w:w="678"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项目整体方案</w:t>
            </w:r>
          </w:p>
        </w:tc>
        <w:tc>
          <w:tcPr>
            <w:tcW w:w="3585" w:type="pct"/>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lang w:val="zh-CN"/>
              </w:rPr>
            </w:pPr>
            <w:r>
              <w:rPr>
                <w:rFonts w:hint="eastAsia" w:ascii="仿宋_GB2312" w:hAnsi="仿宋_GB2312" w:eastAsia="仿宋_GB2312" w:cs="仿宋_GB2312"/>
                <w:caps/>
                <w:sz w:val="24"/>
                <w:szCs w:val="24"/>
              </w:rPr>
              <w:t>根据供应商提供的项目整体方案，包括但不限于总体设计、建设方案和产品选型等</w:t>
            </w:r>
            <w:r>
              <w:rPr>
                <w:rFonts w:hint="eastAsia" w:ascii="仿宋_GB2312" w:hAnsi="仿宋_GB2312" w:eastAsia="仿宋_GB2312" w:cs="仿宋_GB2312"/>
                <w:caps/>
                <w:sz w:val="24"/>
                <w:szCs w:val="24"/>
                <w:lang w:eastAsia="zh-CN"/>
              </w:rPr>
              <w:t>、</w:t>
            </w:r>
            <w:r>
              <w:rPr>
                <w:rFonts w:hint="eastAsia" w:ascii="仿宋_GB2312" w:hAnsi="仿宋_GB2312" w:eastAsia="仿宋_GB2312" w:cs="仿宋_GB2312"/>
                <w:caps/>
                <w:sz w:val="24"/>
                <w:szCs w:val="24"/>
              </w:rPr>
              <w:t>对基本功能的理解与实现</w:t>
            </w:r>
            <w:r>
              <w:rPr>
                <w:rFonts w:hint="eastAsia" w:ascii="仿宋_GB2312" w:hAnsi="仿宋_GB2312" w:eastAsia="仿宋_GB2312" w:cs="仿宋_GB2312"/>
                <w:caps/>
                <w:sz w:val="24"/>
                <w:szCs w:val="24"/>
                <w:lang w:val="en-US" w:eastAsia="zh-CN"/>
              </w:rPr>
              <w:t>等</w:t>
            </w:r>
            <w:r>
              <w:rPr>
                <w:rFonts w:hint="eastAsia" w:ascii="仿宋_GB2312" w:hAnsi="仿宋_GB2312" w:eastAsia="仿宋_GB2312" w:cs="仿宋_GB2312"/>
                <w:caps/>
                <w:sz w:val="24"/>
                <w:szCs w:val="24"/>
              </w:rPr>
              <w:t>进行打分，(本项分值设置为5,4,3,2,1,</w:t>
            </w:r>
            <w:r>
              <w:rPr>
                <w:rFonts w:hint="eastAsia" w:ascii="仿宋_GB2312" w:hAnsi="仿宋_GB2312" w:eastAsia="仿宋_GB2312" w:cs="仿宋_GB2312"/>
                <w:caps/>
                <w:sz w:val="24"/>
                <w:szCs w:val="24"/>
                <w:lang w:val="en-US" w:eastAsia="zh-CN"/>
              </w:rPr>
              <w:t>0.5,</w:t>
            </w:r>
            <w:r>
              <w:rPr>
                <w:rFonts w:hint="eastAsia" w:ascii="仿宋_GB2312" w:hAnsi="仿宋_GB2312" w:eastAsia="仿宋_GB2312" w:cs="仿宋_GB2312"/>
                <w:caps/>
                <w:sz w:val="24"/>
                <w:szCs w:val="24"/>
              </w:rPr>
              <w:t>0分)。</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4</w:t>
            </w:r>
          </w:p>
        </w:tc>
        <w:tc>
          <w:tcPr>
            <w:tcW w:w="678"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caps/>
                <w:sz w:val="24"/>
                <w:szCs w:val="24"/>
              </w:rPr>
              <w:t>合理化建议</w:t>
            </w:r>
          </w:p>
        </w:tc>
        <w:tc>
          <w:tcPr>
            <w:tcW w:w="3585" w:type="pct"/>
            <w:vAlign w:val="center"/>
          </w:tcPr>
          <w:p>
            <w:pPr>
              <w:pageBreakBefore w:val="0"/>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caps/>
                <w:sz w:val="24"/>
                <w:szCs w:val="24"/>
              </w:rPr>
            </w:pPr>
            <w:r>
              <w:rPr>
                <w:rFonts w:hint="eastAsia" w:ascii="仿宋_GB2312" w:hAnsi="仿宋_GB2312" w:eastAsia="仿宋_GB2312" w:cs="仿宋_GB2312"/>
                <w:bCs/>
                <w:iCs/>
                <w:sz w:val="24"/>
                <w:szCs w:val="24"/>
                <w:lang w:val="en-US" w:eastAsia="zh-CN"/>
              </w:rPr>
              <w:t>根据</w:t>
            </w:r>
            <w:r>
              <w:rPr>
                <w:rFonts w:hint="eastAsia" w:ascii="仿宋_GB2312" w:hAnsi="仿宋_GB2312" w:eastAsia="仿宋_GB2312" w:cs="仿宋_GB2312"/>
                <w:bCs/>
                <w:iCs/>
                <w:sz w:val="24"/>
                <w:szCs w:val="24"/>
              </w:rPr>
              <w:t>供应商提供</w:t>
            </w:r>
            <w:r>
              <w:rPr>
                <w:rFonts w:hint="eastAsia" w:ascii="仿宋_GB2312" w:hAnsi="仿宋_GB2312" w:eastAsia="仿宋_GB2312" w:cs="仿宋_GB2312"/>
                <w:caps/>
                <w:sz w:val="24"/>
                <w:szCs w:val="24"/>
              </w:rPr>
              <w:t>针对实际情况提出的合理化建议，</w:t>
            </w:r>
            <w:r>
              <w:rPr>
                <w:rFonts w:hint="eastAsia" w:ascii="仿宋_GB2312" w:hAnsi="仿宋_GB2312" w:eastAsia="仿宋_GB2312" w:cs="仿宋_GB2312"/>
                <w:caps/>
                <w:sz w:val="24"/>
                <w:szCs w:val="24"/>
                <w:lang w:val="en-US" w:eastAsia="zh-CN"/>
              </w:rPr>
              <w:t>包括但不限于</w:t>
            </w:r>
            <w:r>
              <w:rPr>
                <w:rFonts w:hint="eastAsia" w:ascii="仿宋_GB2312" w:hAnsi="仿宋_GB2312" w:eastAsia="仿宋_GB2312" w:cs="仿宋_GB2312"/>
                <w:caps/>
                <w:sz w:val="24"/>
                <w:szCs w:val="24"/>
              </w:rPr>
              <w:t>合理化建议</w:t>
            </w:r>
            <w:r>
              <w:rPr>
                <w:rFonts w:hint="eastAsia" w:ascii="仿宋_GB2312" w:hAnsi="仿宋_GB2312" w:eastAsia="仿宋_GB2312" w:cs="仿宋_GB2312"/>
                <w:caps/>
                <w:sz w:val="24"/>
                <w:szCs w:val="24"/>
                <w:lang w:eastAsia="zh-CN"/>
              </w:rPr>
              <w:t>、</w:t>
            </w:r>
            <w:r>
              <w:rPr>
                <w:rFonts w:hint="eastAsia" w:ascii="仿宋_GB2312" w:hAnsi="仿宋_GB2312" w:eastAsia="仿宋_GB2312" w:cs="仿宋_GB2312"/>
                <w:caps/>
                <w:sz w:val="24"/>
                <w:szCs w:val="24"/>
              </w:rPr>
              <w:t>信息化的建设</w:t>
            </w:r>
            <w:r>
              <w:rPr>
                <w:rFonts w:hint="eastAsia" w:ascii="仿宋_GB2312" w:hAnsi="仿宋_GB2312" w:eastAsia="仿宋_GB2312" w:cs="仿宋_GB2312"/>
                <w:caps/>
                <w:sz w:val="24"/>
                <w:szCs w:val="24"/>
                <w:lang w:val="en-US" w:eastAsia="zh-CN"/>
              </w:rPr>
              <w:t>等</w:t>
            </w:r>
            <w:r>
              <w:rPr>
                <w:rFonts w:hint="eastAsia" w:ascii="仿宋_GB2312" w:hAnsi="仿宋_GB2312" w:eastAsia="仿宋_GB2312" w:cs="仿宋_GB2312"/>
                <w:caps/>
                <w:sz w:val="24"/>
                <w:szCs w:val="24"/>
              </w:rPr>
              <w:t>进行打分。</w:t>
            </w:r>
          </w:p>
          <w:p>
            <w:pPr>
              <w:pageBreakBefore w:val="0"/>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caps/>
                <w:sz w:val="24"/>
                <w:szCs w:val="24"/>
              </w:rPr>
            </w:pPr>
            <w:r>
              <w:rPr>
                <w:rFonts w:hint="eastAsia" w:ascii="仿宋_GB2312" w:hAnsi="仿宋_GB2312" w:eastAsia="仿宋_GB2312" w:cs="仿宋_GB2312"/>
                <w:caps/>
                <w:sz w:val="24"/>
                <w:szCs w:val="24"/>
              </w:rPr>
              <w:t>(本项分值设置为4,3,2,1,</w:t>
            </w:r>
            <w:r>
              <w:rPr>
                <w:rFonts w:hint="eastAsia" w:ascii="仿宋_GB2312" w:hAnsi="仿宋_GB2312" w:eastAsia="仿宋_GB2312" w:cs="仿宋_GB2312"/>
                <w:caps/>
                <w:sz w:val="24"/>
                <w:szCs w:val="24"/>
                <w:lang w:val="en-US" w:eastAsia="zh-CN"/>
              </w:rPr>
              <w:t>0.5,</w:t>
            </w:r>
            <w:r>
              <w:rPr>
                <w:rFonts w:hint="eastAsia" w:ascii="仿宋_GB2312" w:hAnsi="仿宋_GB2312" w:eastAsia="仿宋_GB2312" w:cs="仿宋_GB2312"/>
                <w:caps/>
                <w:sz w:val="24"/>
                <w:szCs w:val="24"/>
              </w:rPr>
              <w:t>0分)。</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p>
        </w:tc>
        <w:tc>
          <w:tcPr>
            <w:tcW w:w="678"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项目</w:t>
            </w:r>
            <w:r>
              <w:rPr>
                <w:rFonts w:hint="eastAsia" w:ascii="仿宋_GB2312" w:hAnsi="仿宋_GB2312" w:eastAsia="仿宋_GB2312" w:cs="仿宋_GB2312"/>
                <w:sz w:val="24"/>
                <w:szCs w:val="24"/>
                <w:lang w:val="en-US" w:eastAsia="zh-CN"/>
              </w:rPr>
              <w:t>管理组织方案</w:t>
            </w:r>
          </w:p>
        </w:tc>
        <w:tc>
          <w:tcPr>
            <w:tcW w:w="3585" w:type="pct"/>
            <w:vAlign w:val="center"/>
          </w:tcPr>
          <w:p>
            <w:pPr>
              <w:pageBreakBefore w:val="0"/>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caps/>
                <w:sz w:val="24"/>
                <w:szCs w:val="24"/>
              </w:rPr>
              <w:t>根据供应商</w:t>
            </w:r>
            <w:r>
              <w:rPr>
                <w:rFonts w:hint="eastAsia" w:ascii="仿宋_GB2312" w:hAnsi="仿宋_GB2312" w:eastAsia="仿宋_GB2312" w:cs="仿宋_GB2312"/>
                <w:caps/>
                <w:sz w:val="24"/>
                <w:szCs w:val="24"/>
                <w:lang w:val="en-US" w:eastAsia="zh-CN"/>
              </w:rPr>
              <w:t>提供的</w:t>
            </w:r>
            <w:r>
              <w:rPr>
                <w:rFonts w:hint="eastAsia" w:ascii="仿宋_GB2312" w:hAnsi="仿宋_GB2312" w:eastAsia="仿宋_GB2312" w:cs="仿宋_GB2312"/>
                <w:caps/>
                <w:sz w:val="24"/>
                <w:szCs w:val="24"/>
              </w:rPr>
              <w:t>管理组织方案</w:t>
            </w:r>
            <w:r>
              <w:rPr>
                <w:rFonts w:hint="eastAsia" w:ascii="仿宋_GB2312" w:hAnsi="仿宋_GB2312" w:eastAsia="仿宋_GB2312" w:cs="仿宋_GB2312"/>
                <w:caps/>
                <w:sz w:val="24"/>
                <w:szCs w:val="24"/>
                <w:lang w:eastAsia="zh-CN"/>
              </w:rPr>
              <w:t>，</w:t>
            </w:r>
            <w:r>
              <w:rPr>
                <w:rFonts w:hint="eastAsia" w:ascii="仿宋_GB2312" w:hAnsi="仿宋_GB2312" w:eastAsia="仿宋_GB2312" w:cs="仿宋_GB2312"/>
                <w:caps/>
                <w:sz w:val="24"/>
                <w:szCs w:val="24"/>
              </w:rPr>
              <w:t>包括但不限于管理组织项目实施规范和管理制度</w:t>
            </w:r>
            <w:r>
              <w:rPr>
                <w:rFonts w:hint="eastAsia" w:ascii="仿宋_GB2312" w:hAnsi="仿宋_GB2312" w:eastAsia="仿宋_GB2312" w:cs="仿宋_GB2312"/>
                <w:caps/>
                <w:sz w:val="24"/>
                <w:szCs w:val="24"/>
                <w:lang w:val="en-US" w:eastAsia="zh-CN"/>
              </w:rPr>
              <w:t>等</w:t>
            </w:r>
            <w:r>
              <w:rPr>
                <w:rFonts w:hint="eastAsia" w:ascii="仿宋_GB2312" w:hAnsi="仿宋_GB2312" w:eastAsia="仿宋_GB2312" w:cs="仿宋_GB2312"/>
                <w:caps/>
                <w:sz w:val="24"/>
                <w:szCs w:val="24"/>
              </w:rPr>
              <w:t>进行打分。(本项分值设置为3,2,1,</w:t>
            </w:r>
            <w:r>
              <w:rPr>
                <w:rFonts w:hint="eastAsia" w:ascii="仿宋_GB2312" w:hAnsi="仿宋_GB2312" w:eastAsia="仿宋_GB2312" w:cs="仿宋_GB2312"/>
                <w:caps/>
                <w:sz w:val="24"/>
                <w:szCs w:val="24"/>
                <w:lang w:val="en-US" w:eastAsia="zh-CN"/>
              </w:rPr>
              <w:t>0.5,</w:t>
            </w:r>
            <w:r>
              <w:rPr>
                <w:rFonts w:hint="eastAsia" w:ascii="仿宋_GB2312" w:hAnsi="仿宋_GB2312" w:eastAsia="仿宋_GB2312" w:cs="仿宋_GB2312"/>
                <w:caps/>
                <w:sz w:val="24"/>
                <w:szCs w:val="24"/>
              </w:rPr>
              <w:t>0分)。</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6</w:t>
            </w:r>
          </w:p>
        </w:tc>
        <w:tc>
          <w:tcPr>
            <w:tcW w:w="678"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caps/>
                <w:sz w:val="24"/>
                <w:szCs w:val="24"/>
              </w:rPr>
              <w:t>项目</w:t>
            </w:r>
            <w:r>
              <w:rPr>
                <w:rFonts w:hint="eastAsia" w:ascii="仿宋_GB2312" w:hAnsi="仿宋_GB2312" w:eastAsia="仿宋_GB2312" w:cs="仿宋_GB2312"/>
                <w:sz w:val="24"/>
                <w:szCs w:val="24"/>
              </w:rPr>
              <w:t>实施方案</w:t>
            </w:r>
          </w:p>
        </w:tc>
        <w:tc>
          <w:tcPr>
            <w:tcW w:w="3585" w:type="pct"/>
            <w:vAlign w:val="center"/>
          </w:tcPr>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caps/>
                <w:sz w:val="24"/>
                <w:szCs w:val="24"/>
              </w:rPr>
            </w:pPr>
            <w:r>
              <w:rPr>
                <w:rFonts w:hint="eastAsia" w:ascii="仿宋_GB2312" w:hAnsi="仿宋_GB2312" w:eastAsia="仿宋_GB2312" w:cs="仿宋_GB2312"/>
                <w:caps/>
                <w:sz w:val="24"/>
                <w:szCs w:val="24"/>
              </w:rPr>
              <w:t>根据供应商提供项目实施方案进行打分：包括但不限有详尽合理的实施方案、测试与验收计划和标准。</w:t>
            </w:r>
          </w:p>
          <w:p>
            <w:pPr>
              <w:pageBreakBefore w:val="0"/>
              <w:kinsoku/>
              <w:wordWrap/>
              <w:overflowPunct/>
              <w:topLinePunct w:val="0"/>
              <w:autoSpaceDE/>
              <w:autoSpaceDN/>
              <w:bidi w:val="0"/>
              <w:spacing w:line="400" w:lineRule="exact"/>
              <w:ind w:left="0" w:right="0" w:rightChars="0" w:firstLine="0" w:firstLineChars="0"/>
              <w:jc w:val="left"/>
              <w:rPr>
                <w:rFonts w:hint="eastAsia" w:ascii="仿宋_GB2312" w:hAnsi="仿宋_GB2312" w:eastAsia="仿宋_GB2312" w:cs="仿宋_GB2312"/>
                <w:sz w:val="24"/>
                <w:szCs w:val="24"/>
                <w:lang w:val="zh-CN"/>
              </w:rPr>
            </w:pPr>
            <w:r>
              <w:rPr>
                <w:rFonts w:hint="eastAsia" w:ascii="仿宋_GB2312" w:hAnsi="仿宋_GB2312" w:eastAsia="仿宋_GB2312" w:cs="仿宋_GB2312"/>
                <w:caps/>
                <w:sz w:val="24"/>
                <w:szCs w:val="24"/>
              </w:rPr>
              <w:t>(本项分值设置为5,4,3,2,1,</w:t>
            </w:r>
            <w:r>
              <w:rPr>
                <w:rFonts w:hint="eastAsia" w:ascii="仿宋_GB2312" w:hAnsi="仿宋_GB2312" w:eastAsia="仿宋_GB2312" w:cs="仿宋_GB2312"/>
                <w:caps/>
                <w:sz w:val="24"/>
                <w:szCs w:val="24"/>
                <w:lang w:val="en-US" w:eastAsia="zh-CN"/>
              </w:rPr>
              <w:t>0.5,</w:t>
            </w:r>
            <w:r>
              <w:rPr>
                <w:rFonts w:hint="eastAsia" w:ascii="仿宋_GB2312" w:hAnsi="仿宋_GB2312" w:eastAsia="仿宋_GB2312" w:cs="仿宋_GB2312"/>
                <w:caps/>
                <w:sz w:val="24"/>
                <w:szCs w:val="24"/>
              </w:rPr>
              <w:t>0分)。</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7</w:t>
            </w:r>
          </w:p>
        </w:tc>
        <w:tc>
          <w:tcPr>
            <w:tcW w:w="678"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售后服务方案</w:t>
            </w:r>
          </w:p>
        </w:tc>
        <w:tc>
          <w:tcPr>
            <w:tcW w:w="3585" w:type="pct"/>
            <w:vAlign w:val="center"/>
          </w:tcPr>
          <w:p>
            <w:pPr>
              <w:pageBreakBefore w:val="0"/>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caps/>
                <w:sz w:val="24"/>
                <w:szCs w:val="24"/>
                <w:lang w:val="en-US" w:eastAsia="zh-CN"/>
              </w:rPr>
              <w:t>根</w:t>
            </w:r>
            <w:r>
              <w:rPr>
                <w:rFonts w:hint="eastAsia" w:ascii="仿宋_GB2312" w:hAnsi="仿宋_GB2312" w:eastAsia="仿宋_GB2312" w:cs="仿宋_GB2312"/>
                <w:caps/>
                <w:sz w:val="24"/>
                <w:szCs w:val="24"/>
              </w:rPr>
              <w:t>据供应商提供的售后服务方案进行打分，包括但不限售后团队情况、售后服务方案以及售后服务，质保期内外的后续技术支持和维护能力情况等</w:t>
            </w:r>
            <w:r>
              <w:rPr>
                <w:rFonts w:hint="eastAsia" w:ascii="仿宋_GB2312" w:hAnsi="仿宋_GB2312" w:eastAsia="仿宋_GB2312" w:cs="仿宋_GB2312"/>
                <w:caps/>
                <w:sz w:val="24"/>
                <w:szCs w:val="24"/>
                <w:lang w:val="en-US" w:eastAsia="zh-CN"/>
              </w:rPr>
              <w:t>进行打分</w:t>
            </w:r>
            <w:r>
              <w:rPr>
                <w:rFonts w:hint="eastAsia" w:ascii="仿宋_GB2312" w:hAnsi="仿宋_GB2312" w:eastAsia="仿宋_GB2312" w:cs="仿宋_GB2312"/>
                <w:caps/>
                <w:sz w:val="24"/>
                <w:szCs w:val="24"/>
              </w:rPr>
              <w:t>，</w:t>
            </w:r>
            <w:bookmarkStart w:id="48" w:name="OLE_LINK2"/>
            <w:r>
              <w:rPr>
                <w:rFonts w:hint="eastAsia" w:ascii="仿宋_GB2312" w:hAnsi="仿宋_GB2312" w:eastAsia="仿宋_GB2312" w:cs="仿宋_GB2312"/>
                <w:caps/>
                <w:sz w:val="24"/>
                <w:szCs w:val="24"/>
              </w:rPr>
              <w:t>(本项分值设置为5,4,3,2,1,</w:t>
            </w:r>
            <w:r>
              <w:rPr>
                <w:rFonts w:hint="eastAsia" w:ascii="仿宋_GB2312" w:hAnsi="仿宋_GB2312" w:eastAsia="仿宋_GB2312" w:cs="仿宋_GB2312"/>
                <w:caps/>
                <w:sz w:val="24"/>
                <w:szCs w:val="24"/>
                <w:lang w:val="en-US" w:eastAsia="zh-CN"/>
              </w:rPr>
              <w:t>0.5,</w:t>
            </w:r>
            <w:r>
              <w:rPr>
                <w:rFonts w:hint="eastAsia" w:ascii="仿宋_GB2312" w:hAnsi="仿宋_GB2312" w:eastAsia="仿宋_GB2312" w:cs="仿宋_GB2312"/>
                <w:caps/>
                <w:sz w:val="24"/>
                <w:szCs w:val="24"/>
              </w:rPr>
              <w:t>0分)</w:t>
            </w:r>
            <w:bookmarkEnd w:id="48"/>
            <w:r>
              <w:rPr>
                <w:rFonts w:hint="eastAsia" w:ascii="仿宋_GB2312" w:hAnsi="仿宋_GB2312" w:eastAsia="仿宋_GB2312" w:cs="仿宋_GB2312"/>
                <w:caps/>
                <w:sz w:val="24"/>
                <w:szCs w:val="24"/>
              </w:rPr>
              <w:t>。</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8</w:t>
            </w:r>
          </w:p>
        </w:tc>
        <w:tc>
          <w:tcPr>
            <w:tcW w:w="678"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质量保障方案</w:t>
            </w:r>
          </w:p>
        </w:tc>
        <w:tc>
          <w:tcPr>
            <w:tcW w:w="3585" w:type="pct"/>
            <w:vAlign w:val="center"/>
          </w:tcPr>
          <w:p>
            <w:pPr>
              <w:pageBreakBefore w:val="0"/>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caps/>
                <w:sz w:val="24"/>
                <w:szCs w:val="24"/>
                <w:lang w:val="en-US" w:eastAsia="zh-CN"/>
              </w:rPr>
              <w:t>根</w:t>
            </w:r>
            <w:r>
              <w:rPr>
                <w:rFonts w:hint="eastAsia" w:ascii="仿宋_GB2312" w:hAnsi="仿宋_GB2312" w:eastAsia="仿宋_GB2312" w:cs="仿宋_GB2312"/>
                <w:caps/>
                <w:sz w:val="24"/>
                <w:szCs w:val="24"/>
              </w:rPr>
              <w:t>据供应商提供的质量保障方案进行打分，包括但不限明确的建设质量目标，质量管理措施，并具有详细可行的实施内容等</w:t>
            </w:r>
            <w:r>
              <w:rPr>
                <w:rFonts w:hint="eastAsia" w:ascii="仿宋_GB2312" w:hAnsi="仿宋_GB2312" w:eastAsia="仿宋_GB2312" w:cs="仿宋_GB2312"/>
                <w:caps/>
                <w:sz w:val="24"/>
                <w:szCs w:val="24"/>
                <w:lang w:val="en-US" w:eastAsia="zh-CN"/>
              </w:rPr>
              <w:t>进行打分</w:t>
            </w:r>
            <w:r>
              <w:rPr>
                <w:rFonts w:hint="eastAsia" w:ascii="仿宋_GB2312" w:hAnsi="仿宋_GB2312" w:eastAsia="仿宋_GB2312" w:cs="仿宋_GB2312"/>
                <w:caps/>
                <w:sz w:val="24"/>
                <w:szCs w:val="24"/>
              </w:rPr>
              <w:t>。(本项分值设置为3,2,1,</w:t>
            </w:r>
            <w:r>
              <w:rPr>
                <w:rFonts w:hint="eastAsia" w:ascii="仿宋_GB2312" w:hAnsi="仿宋_GB2312" w:eastAsia="仿宋_GB2312" w:cs="仿宋_GB2312"/>
                <w:caps/>
                <w:sz w:val="24"/>
                <w:szCs w:val="24"/>
                <w:lang w:val="en-US" w:eastAsia="zh-CN"/>
              </w:rPr>
              <w:t>0.5,</w:t>
            </w:r>
            <w:r>
              <w:rPr>
                <w:rFonts w:hint="eastAsia" w:ascii="仿宋_GB2312" w:hAnsi="仿宋_GB2312" w:eastAsia="仿宋_GB2312" w:cs="仿宋_GB2312"/>
                <w:caps/>
                <w:sz w:val="24"/>
                <w:szCs w:val="24"/>
              </w:rPr>
              <w:t>0分)。</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9</w:t>
            </w:r>
          </w:p>
        </w:tc>
        <w:tc>
          <w:tcPr>
            <w:tcW w:w="678"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项目组人员配置方案</w:t>
            </w:r>
          </w:p>
        </w:tc>
        <w:tc>
          <w:tcPr>
            <w:tcW w:w="3585" w:type="pct"/>
            <w:vAlign w:val="center"/>
          </w:tcPr>
          <w:p>
            <w:pPr>
              <w:pageBreakBefore w:val="0"/>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caps/>
                <w:sz w:val="24"/>
                <w:szCs w:val="24"/>
                <w:highlight w:val="none"/>
                <w:lang w:val="en-US" w:eastAsia="zh-CN"/>
              </w:rPr>
            </w:pPr>
            <w:r>
              <w:rPr>
                <w:rFonts w:hint="eastAsia" w:ascii="仿宋_GB2312" w:hAnsi="仿宋_GB2312" w:eastAsia="仿宋_GB2312" w:cs="仿宋_GB2312"/>
                <w:caps/>
                <w:sz w:val="24"/>
                <w:szCs w:val="24"/>
                <w:highlight w:val="none"/>
                <w:lang w:val="en-US" w:eastAsia="zh-CN"/>
              </w:rPr>
              <w:t>根</w:t>
            </w:r>
            <w:r>
              <w:rPr>
                <w:rFonts w:hint="eastAsia" w:ascii="仿宋_GB2312" w:hAnsi="仿宋_GB2312" w:eastAsia="仿宋_GB2312" w:cs="仿宋_GB2312"/>
                <w:caps/>
                <w:sz w:val="24"/>
                <w:szCs w:val="24"/>
                <w:highlight w:val="none"/>
              </w:rPr>
              <w:t>据供应商提供的</w:t>
            </w:r>
            <w:r>
              <w:rPr>
                <w:rFonts w:hint="eastAsia" w:ascii="仿宋_GB2312" w:hAnsi="仿宋_GB2312" w:eastAsia="仿宋_GB2312" w:cs="仿宋_GB2312"/>
                <w:sz w:val="24"/>
                <w:szCs w:val="24"/>
                <w:highlight w:val="none"/>
                <w:lang w:val="en-US" w:eastAsia="zh-CN"/>
              </w:rPr>
              <w:t>项目组人员配置方案</w:t>
            </w:r>
            <w:r>
              <w:rPr>
                <w:rFonts w:hint="eastAsia" w:ascii="仿宋_GB2312" w:hAnsi="仿宋_GB2312" w:eastAsia="仿宋_GB2312" w:cs="仿宋_GB2312"/>
                <w:caps/>
                <w:sz w:val="24"/>
                <w:szCs w:val="24"/>
                <w:highlight w:val="none"/>
              </w:rPr>
              <w:t>进行打分，包括但不限人员项目投入人员的配置、综合素质等</w:t>
            </w:r>
            <w:r>
              <w:rPr>
                <w:rFonts w:hint="eastAsia" w:ascii="仿宋_GB2312" w:hAnsi="仿宋_GB2312" w:eastAsia="仿宋_GB2312" w:cs="仿宋_GB2312"/>
                <w:caps/>
                <w:sz w:val="24"/>
                <w:szCs w:val="24"/>
                <w:highlight w:val="none"/>
                <w:lang w:val="en-US" w:eastAsia="zh-CN"/>
              </w:rPr>
              <w:t>进行打分</w:t>
            </w:r>
            <w:r>
              <w:rPr>
                <w:rFonts w:hint="eastAsia" w:ascii="仿宋_GB2312" w:hAnsi="仿宋_GB2312" w:eastAsia="仿宋_GB2312" w:cs="仿宋_GB2312"/>
                <w:caps/>
                <w:sz w:val="24"/>
                <w:szCs w:val="24"/>
                <w:highlight w:val="none"/>
                <w:lang w:eastAsia="zh-CN"/>
              </w:rPr>
              <w:t>。</w:t>
            </w:r>
            <w:r>
              <w:rPr>
                <w:rFonts w:hint="eastAsia" w:ascii="仿宋_GB2312" w:hAnsi="仿宋_GB2312" w:eastAsia="仿宋_GB2312" w:cs="仿宋_GB2312"/>
                <w:caps/>
                <w:sz w:val="24"/>
                <w:szCs w:val="24"/>
                <w:highlight w:val="none"/>
              </w:rPr>
              <w:t>(本项分值设置为4,3,2,</w:t>
            </w:r>
            <w:r>
              <w:rPr>
                <w:rFonts w:hint="eastAsia" w:ascii="仿宋_GB2312" w:hAnsi="仿宋_GB2312" w:eastAsia="仿宋_GB2312" w:cs="仿宋_GB2312"/>
                <w:caps/>
                <w:sz w:val="24"/>
                <w:szCs w:val="24"/>
              </w:rPr>
              <w:t>1,</w:t>
            </w:r>
            <w:r>
              <w:rPr>
                <w:rFonts w:hint="eastAsia" w:ascii="仿宋_GB2312" w:hAnsi="仿宋_GB2312" w:eastAsia="仿宋_GB2312" w:cs="仿宋_GB2312"/>
                <w:caps/>
                <w:sz w:val="24"/>
                <w:szCs w:val="24"/>
                <w:lang w:val="en-US" w:eastAsia="zh-CN"/>
              </w:rPr>
              <w:t>0.5,</w:t>
            </w:r>
            <w:r>
              <w:rPr>
                <w:rFonts w:hint="eastAsia" w:ascii="仿宋_GB2312" w:hAnsi="仿宋_GB2312" w:eastAsia="仿宋_GB2312" w:cs="仿宋_GB2312"/>
                <w:caps/>
                <w:sz w:val="24"/>
                <w:szCs w:val="24"/>
              </w:rPr>
              <w:t>0分</w:t>
            </w:r>
            <w:r>
              <w:rPr>
                <w:rFonts w:hint="eastAsia" w:ascii="仿宋_GB2312" w:hAnsi="仿宋_GB2312" w:eastAsia="仿宋_GB2312" w:cs="仿宋_GB2312"/>
                <w:caps/>
                <w:sz w:val="24"/>
                <w:szCs w:val="24"/>
                <w:highlight w:val="none"/>
              </w:rPr>
              <w:t>)。</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10</w:t>
            </w:r>
          </w:p>
        </w:tc>
        <w:tc>
          <w:tcPr>
            <w:tcW w:w="678" w:type="pct"/>
            <w:vAlign w:val="center"/>
          </w:tcPr>
          <w:p>
            <w:pPr>
              <w:pageBreakBefore w:val="0"/>
              <w:kinsoku/>
              <w:wordWrap/>
              <w:overflowPunct/>
              <w:topLinePunct w:val="0"/>
              <w:autoSpaceDE/>
              <w:autoSpaceDN/>
              <w:bidi w:val="0"/>
              <w:snapToGrid w:val="0"/>
              <w:spacing w:line="400" w:lineRule="exact"/>
              <w:ind w:left="0" w:right="0" w:rightChars="0" w:firstLine="0" w:firstLineChars="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应急方案</w:t>
            </w:r>
          </w:p>
        </w:tc>
        <w:tc>
          <w:tcPr>
            <w:tcW w:w="3585" w:type="pct"/>
            <w:vAlign w:val="center"/>
          </w:tcPr>
          <w:p>
            <w:pPr>
              <w:pageBreakBefore w:val="0"/>
              <w:kinsoku/>
              <w:wordWrap/>
              <w:overflowPunct/>
              <w:topLinePunct w:val="0"/>
              <w:autoSpaceDE/>
              <w:autoSpaceDN/>
              <w:bidi w:val="0"/>
              <w:snapToGrid w:val="0"/>
              <w:spacing w:line="400" w:lineRule="exact"/>
              <w:ind w:left="0" w:right="0" w:rightChars="0" w:firstLine="0" w:firstLineChars="0"/>
              <w:rPr>
                <w:rFonts w:hint="eastAsia" w:ascii="仿宋_GB2312" w:hAnsi="仿宋_GB2312" w:eastAsia="仿宋_GB2312" w:cs="仿宋_GB2312"/>
                <w:caps/>
                <w:sz w:val="24"/>
                <w:szCs w:val="24"/>
                <w:highlight w:val="none"/>
                <w:lang w:val="en-US" w:eastAsia="zh-CN"/>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根据</w:t>
            </w:r>
            <w:r>
              <w:rPr>
                <w:rFonts w:hint="eastAsia" w:ascii="仿宋_GB2312" w:hAnsi="仿宋_GB2312" w:eastAsia="仿宋_GB2312" w:cs="仿宋_GB2312"/>
                <w:caps/>
                <w:sz w:val="24"/>
                <w:szCs w:val="24"/>
                <w:highlight w:val="none"/>
              </w:rPr>
              <w:t>供应商</w:t>
            </w:r>
            <w:r>
              <w:rPr>
                <w:rFonts w:hint="eastAsia" w:ascii="仿宋_GB2312" w:hAnsi="仿宋_GB2312" w:eastAsia="仿宋_GB2312" w:cs="仿宋_GB2312"/>
                <w:color w:val="000000" w:themeColor="text1"/>
                <w:sz w:val="24"/>
                <w:szCs w:val="24"/>
                <w:highlight w:val="none"/>
                <w14:textFill>
                  <w14:solidFill>
                    <w14:schemeClr w14:val="tx1"/>
                  </w14:solidFill>
                </w14:textFill>
              </w:rPr>
              <w:t>提供的应急方案进行打分，包含但不限于服务保障应急预案、对可能遇到的问题及其应对措施的考虑、故障处理的组织和联系机制等</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进行打分</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aps/>
                <w:sz w:val="24"/>
                <w:szCs w:val="24"/>
                <w:highlight w:val="none"/>
              </w:rPr>
              <w:t>(本项分值设置为4,3,2,</w:t>
            </w:r>
            <w:r>
              <w:rPr>
                <w:rFonts w:hint="eastAsia" w:ascii="仿宋_GB2312" w:hAnsi="仿宋_GB2312" w:eastAsia="仿宋_GB2312" w:cs="仿宋_GB2312"/>
                <w:caps/>
                <w:sz w:val="24"/>
                <w:szCs w:val="24"/>
              </w:rPr>
              <w:t>1,</w:t>
            </w:r>
            <w:r>
              <w:rPr>
                <w:rFonts w:hint="eastAsia" w:ascii="仿宋_GB2312" w:hAnsi="仿宋_GB2312" w:eastAsia="仿宋_GB2312" w:cs="仿宋_GB2312"/>
                <w:caps/>
                <w:sz w:val="24"/>
                <w:szCs w:val="24"/>
                <w:lang w:val="en-US" w:eastAsia="zh-CN"/>
              </w:rPr>
              <w:t>0.5,</w:t>
            </w:r>
            <w:r>
              <w:rPr>
                <w:rFonts w:hint="eastAsia" w:ascii="仿宋_GB2312" w:hAnsi="仿宋_GB2312" w:eastAsia="仿宋_GB2312" w:cs="仿宋_GB2312"/>
                <w:caps/>
                <w:sz w:val="24"/>
                <w:szCs w:val="24"/>
              </w:rPr>
              <w:t>0分</w:t>
            </w:r>
            <w:r>
              <w:rPr>
                <w:rFonts w:hint="eastAsia" w:ascii="仿宋_GB2312" w:hAnsi="仿宋_GB2312" w:eastAsia="仿宋_GB2312" w:cs="仿宋_GB2312"/>
                <w:caps/>
                <w:sz w:val="24"/>
                <w:szCs w:val="24"/>
                <w:highlight w:val="none"/>
              </w:rPr>
              <w:t>)。</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11</w:t>
            </w:r>
          </w:p>
        </w:tc>
        <w:tc>
          <w:tcPr>
            <w:tcW w:w="678"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培训方案</w:t>
            </w:r>
          </w:p>
        </w:tc>
        <w:tc>
          <w:tcPr>
            <w:tcW w:w="3585" w:type="pct"/>
            <w:vAlign w:val="center"/>
          </w:tcPr>
          <w:p>
            <w:pPr>
              <w:pageBreakBefore w:val="0"/>
              <w:kinsoku/>
              <w:wordWrap/>
              <w:overflowPunct/>
              <w:topLinePunct w:val="0"/>
              <w:autoSpaceDE/>
              <w:autoSpaceDN/>
              <w:bidi w:val="0"/>
              <w:spacing w:line="400" w:lineRule="exact"/>
              <w:ind w:left="0" w:right="0" w:rightChars="0" w:firstLine="0" w:firstLineChars="0"/>
              <w:rPr>
                <w:rFonts w:hint="eastAsia" w:ascii="仿宋_GB2312" w:hAnsi="仿宋_GB2312" w:eastAsia="仿宋_GB2312" w:cs="仿宋_GB2312"/>
                <w:caps/>
                <w:sz w:val="24"/>
                <w:szCs w:val="24"/>
                <w:highlight w:val="none"/>
              </w:rPr>
            </w:pPr>
            <w:r>
              <w:rPr>
                <w:rFonts w:hint="eastAsia" w:ascii="仿宋_GB2312" w:hAnsi="仿宋_GB2312" w:eastAsia="仿宋_GB2312" w:cs="仿宋_GB2312"/>
                <w:sz w:val="24"/>
                <w:szCs w:val="24"/>
                <w:highlight w:val="none"/>
              </w:rPr>
              <w:t>根据</w:t>
            </w:r>
            <w:r>
              <w:rPr>
                <w:rFonts w:hint="eastAsia" w:ascii="仿宋_GB2312" w:hAnsi="仿宋_GB2312" w:eastAsia="仿宋_GB2312" w:cs="仿宋_GB2312"/>
                <w:caps/>
                <w:sz w:val="24"/>
                <w:szCs w:val="24"/>
                <w:highlight w:val="none"/>
              </w:rPr>
              <w:t>供应商</w:t>
            </w:r>
            <w:r>
              <w:rPr>
                <w:rFonts w:hint="eastAsia" w:ascii="仿宋_GB2312" w:hAnsi="仿宋_GB2312" w:eastAsia="仿宋_GB2312" w:cs="仿宋_GB2312"/>
                <w:color w:val="000000" w:themeColor="text1"/>
                <w:sz w:val="24"/>
                <w:szCs w:val="24"/>
                <w:highlight w:val="none"/>
                <w14:textFill>
                  <w14:solidFill>
                    <w14:schemeClr w14:val="tx1"/>
                  </w14:solidFill>
                </w14:textFill>
              </w:rPr>
              <w:t>提供的</w:t>
            </w:r>
            <w:r>
              <w:rPr>
                <w:rFonts w:hint="eastAsia" w:ascii="仿宋_GB2312" w:hAnsi="仿宋_GB2312" w:eastAsia="仿宋_GB2312" w:cs="仿宋_GB2312"/>
                <w:sz w:val="24"/>
                <w:szCs w:val="24"/>
                <w:highlight w:val="none"/>
              </w:rPr>
              <w:t>培训方案</w:t>
            </w:r>
            <w:r>
              <w:rPr>
                <w:rFonts w:hint="eastAsia" w:ascii="仿宋_GB2312" w:hAnsi="仿宋_GB2312" w:eastAsia="仿宋_GB2312" w:cs="仿宋_GB2312"/>
                <w:color w:val="000000" w:themeColor="text1"/>
                <w:sz w:val="24"/>
                <w:szCs w:val="24"/>
                <w:highlight w:val="none"/>
                <w14:textFill>
                  <w14:solidFill>
                    <w14:schemeClr w14:val="tx1"/>
                  </w14:solidFill>
                </w14:textFill>
              </w:rPr>
              <w:t>进行打分</w:t>
            </w:r>
            <w:r>
              <w:rPr>
                <w:rFonts w:hint="eastAsia" w:ascii="仿宋_GB2312" w:hAnsi="仿宋_GB2312" w:eastAsia="仿宋_GB2312" w:cs="仿宋_GB2312"/>
                <w:sz w:val="24"/>
                <w:szCs w:val="24"/>
                <w:highlight w:val="none"/>
              </w:rPr>
              <w:t>，包括</w:t>
            </w:r>
            <w:r>
              <w:rPr>
                <w:rFonts w:hint="eastAsia" w:ascii="仿宋_GB2312" w:hAnsi="仿宋_GB2312" w:eastAsia="仿宋_GB2312" w:cs="仿宋_GB2312"/>
                <w:color w:val="000000" w:themeColor="text1"/>
                <w:sz w:val="24"/>
                <w:szCs w:val="24"/>
                <w:highlight w:val="none"/>
                <w14:textFill>
                  <w14:solidFill>
                    <w14:schemeClr w14:val="tx1"/>
                  </w14:solidFill>
                </w14:textFill>
              </w:rPr>
              <w:t>但不限于</w:t>
            </w:r>
            <w:r>
              <w:rPr>
                <w:rFonts w:hint="eastAsia" w:ascii="仿宋_GB2312" w:hAnsi="仿宋_GB2312" w:eastAsia="仿宋_GB2312" w:cs="仿宋_GB2312"/>
                <w:sz w:val="24"/>
                <w:szCs w:val="24"/>
                <w:highlight w:val="none"/>
              </w:rPr>
              <w:t>培训内容、培训计划、培训团队、培训时间等。</w:t>
            </w:r>
            <w:r>
              <w:rPr>
                <w:rFonts w:hint="eastAsia" w:ascii="仿宋_GB2312" w:hAnsi="仿宋_GB2312" w:eastAsia="仿宋_GB2312" w:cs="仿宋_GB2312"/>
                <w:caps/>
                <w:sz w:val="24"/>
                <w:szCs w:val="24"/>
                <w:highlight w:val="none"/>
              </w:rPr>
              <w:t>(本项分值设置为4,3,2,</w:t>
            </w:r>
            <w:r>
              <w:rPr>
                <w:rFonts w:hint="eastAsia" w:ascii="仿宋_GB2312" w:hAnsi="仿宋_GB2312" w:eastAsia="仿宋_GB2312" w:cs="仿宋_GB2312"/>
                <w:caps/>
                <w:sz w:val="24"/>
                <w:szCs w:val="24"/>
              </w:rPr>
              <w:t>1,</w:t>
            </w:r>
            <w:r>
              <w:rPr>
                <w:rFonts w:hint="eastAsia" w:ascii="仿宋_GB2312" w:hAnsi="仿宋_GB2312" w:eastAsia="仿宋_GB2312" w:cs="仿宋_GB2312"/>
                <w:caps/>
                <w:sz w:val="24"/>
                <w:szCs w:val="24"/>
                <w:lang w:val="en-US" w:eastAsia="zh-CN"/>
              </w:rPr>
              <w:t>0.5,</w:t>
            </w:r>
            <w:r>
              <w:rPr>
                <w:rFonts w:hint="eastAsia" w:ascii="仿宋_GB2312" w:hAnsi="仿宋_GB2312" w:eastAsia="仿宋_GB2312" w:cs="仿宋_GB2312"/>
                <w:caps/>
                <w:sz w:val="24"/>
                <w:szCs w:val="24"/>
              </w:rPr>
              <w:t>0分</w:t>
            </w:r>
            <w:r>
              <w:rPr>
                <w:rFonts w:hint="eastAsia" w:ascii="仿宋_GB2312" w:hAnsi="仿宋_GB2312" w:eastAsia="仿宋_GB2312" w:cs="仿宋_GB2312"/>
                <w:caps/>
                <w:sz w:val="24"/>
                <w:szCs w:val="24"/>
                <w:highlight w:val="none"/>
              </w:rPr>
              <w:t>)。</w:t>
            </w:r>
          </w:p>
        </w:tc>
        <w:tc>
          <w:tcPr>
            <w:tcW w:w="399" w:type="pct"/>
            <w:vAlign w:val="center"/>
          </w:tcPr>
          <w:p>
            <w:pPr>
              <w:pageBreakBefore w:val="0"/>
              <w:kinsoku/>
              <w:wordWrap/>
              <w:overflowPunct/>
              <w:topLinePunct w:val="0"/>
              <w:autoSpaceDE/>
              <w:autoSpaceDN/>
              <w:bidi w:val="0"/>
              <w:spacing w:line="400" w:lineRule="exact"/>
              <w:ind w:left="0" w:right="0" w:righ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备注：</w:t>
      </w:r>
      <w:r>
        <w:rPr>
          <w:rFonts w:hint="eastAsia" w:ascii="仿宋_GB2312" w:hAnsi="仿宋_GB2312" w:eastAsia="仿宋_GB2312" w:cs="仿宋_GB2312"/>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w:t>
      </w:r>
      <w:r>
        <w:rPr>
          <w:rFonts w:hint="eastAsia" w:ascii="仿宋_GB2312" w:hAnsi="仿宋_GB2312" w:eastAsia="仿宋_GB2312" w:cs="仿宋_GB2312"/>
          <w:b/>
          <w:bCs/>
          <w:iCs/>
          <w:color w:val="auto"/>
          <w:sz w:val="24"/>
          <w:highlight w:val="none"/>
          <w:u w:val="single"/>
          <w:lang w:val="en-US" w:eastAsia="zh-CN"/>
        </w:rPr>
        <w:t>30</w:t>
      </w:r>
      <w:r>
        <w:rPr>
          <w:rFonts w:hint="eastAsia" w:ascii="仿宋_GB2312" w:hAnsi="仿宋_GB2312" w:eastAsia="仿宋_GB2312" w:cs="仿宋_GB2312"/>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_GB2312" w:hAnsi="仿宋_GB2312" w:eastAsia="仿宋_GB2312" w:cs="仿宋_GB2312"/>
          <w:bCs/>
          <w:iCs/>
          <w:color w:val="auto"/>
          <w:sz w:val="24"/>
          <w:highlight w:val="none"/>
          <w:lang w:val="en-US" w:eastAsia="zh-CN"/>
        </w:rPr>
      </w:pPr>
      <w:r>
        <w:rPr>
          <w:rFonts w:hint="eastAsia" w:ascii="仿宋_GB2312" w:hAnsi="仿宋_GB2312" w:eastAsia="仿宋_GB2312" w:cs="仿宋_GB2312"/>
          <w:bCs/>
          <w:iCs/>
          <w:color w:val="auto"/>
          <w:sz w:val="24"/>
          <w:highlight w:val="none"/>
        </w:rPr>
        <w:t>即：投标报价得分=(评标基准价／投标报价)×</w:t>
      </w:r>
      <w:r>
        <w:rPr>
          <w:rFonts w:hint="eastAsia" w:ascii="仿宋_GB2312" w:hAnsi="仿宋_GB2312" w:eastAsia="仿宋_GB2312" w:cs="仿宋_GB2312"/>
          <w:bCs/>
          <w:iCs/>
          <w:color w:val="auto"/>
          <w:sz w:val="24"/>
          <w:highlight w:val="none"/>
          <w:u w:val="single"/>
          <w:lang w:val="en-US" w:eastAsia="zh-CN"/>
        </w:rPr>
        <w:t>30</w:t>
      </w: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_GB2312" w:hAnsi="仿宋_GB2312" w:eastAsia="仿宋_GB2312" w:cs="仿宋_GB2312"/>
          <w:b/>
          <w:color w:val="auto"/>
          <w:sz w:val="36"/>
          <w:szCs w:val="20"/>
          <w:highlight w:val="none"/>
        </w:rPr>
      </w:pPr>
    </w:p>
    <w:bookmarkEnd w:id="41"/>
    <w:bookmarkEnd w:id="42"/>
    <w:p>
      <w:pPr>
        <w:widowControl/>
        <w:kinsoku/>
        <w:wordWrap w:val="0"/>
        <w:overflowPunct/>
        <w:topLinePunct w:val="0"/>
        <w:bidi w:val="0"/>
        <w:adjustRightInd/>
        <w:jc w:val="center"/>
        <w:rPr>
          <w:rFonts w:hint="eastAsia" w:ascii="仿宋_GB2312" w:hAnsi="仿宋_GB2312" w:eastAsia="仿宋_GB2312" w:cs="仿宋_GB2312"/>
          <w:b/>
          <w:color w:val="auto"/>
          <w:sz w:val="36"/>
          <w:szCs w:val="20"/>
          <w:highlight w:val="none"/>
        </w:rPr>
      </w:pPr>
    </w:p>
    <w:p>
      <w:pPr>
        <w:pageBreakBefore/>
        <w:widowControl/>
        <w:kinsoku/>
        <w:wordWrap w:val="0"/>
        <w:overflowPunct/>
        <w:topLinePunct w:val="0"/>
        <w:bidi w:val="0"/>
        <w:adjustRightInd/>
        <w:jc w:val="center"/>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 投标文件及其附件格式</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szCs w:val="20"/>
          <w:highlight w:val="none"/>
        </w:rPr>
        <w:t>（2）联合协议</w:t>
      </w:r>
      <w:r>
        <w:rPr>
          <w:rFonts w:hint="eastAsia" w:ascii="仿宋_GB2312" w:hAnsi="仿宋_GB2312" w:eastAsia="仿宋_GB2312" w:cs="仿宋_GB2312"/>
          <w:color w:val="auto"/>
          <w:sz w:val="24"/>
          <w:highlight w:val="none"/>
        </w:rPr>
        <w:t>………………………………………………………………（页码）</w:t>
      </w:r>
    </w:p>
    <w:p>
      <w:pPr>
        <w:pStyle w:val="4"/>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rPr>
        <w:t>（3）</w:t>
      </w:r>
      <w:r>
        <w:rPr>
          <w:rFonts w:hint="eastAsia" w:ascii="仿宋_GB2312" w:hAnsi="仿宋_GB2312" w:eastAsia="仿宋_GB2312" w:cs="仿宋_GB2312"/>
          <w:color w:val="auto"/>
          <w:sz w:val="24"/>
          <w:highlight w:val="none"/>
          <w:lang w:eastAsia="zh-CN"/>
        </w:rPr>
        <w:t>分包协议</w:t>
      </w:r>
      <w:r>
        <w:rPr>
          <w:rFonts w:hint="eastAsia" w:ascii="仿宋_GB2312" w:hAnsi="仿宋_GB2312" w:eastAsia="仿宋_GB2312" w:cs="仿宋_GB2312"/>
          <w:color w:val="auto"/>
          <w:sz w:val="24"/>
          <w:highlight w:val="none"/>
        </w:rPr>
        <w:t>………………………………………………………………（页码）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）本项目的特定资格要求………………………………………………（页码）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kern w:val="0"/>
          <w:sz w:val="24"/>
          <w:highlight w:val="none"/>
        </w:rPr>
        <w:br w:type="page"/>
      </w:r>
      <w:r>
        <w:rPr>
          <w:rFonts w:hint="eastAsia" w:ascii="仿宋_GB2312" w:hAnsi="仿宋_GB2312" w:eastAsia="仿宋_GB2312" w:cs="仿宋_GB2312"/>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我方参与</w:t>
      </w:r>
      <w:r>
        <w:rPr>
          <w:rFonts w:hint="eastAsia" w:ascii="仿宋_GB2312" w:hAnsi="仿宋_GB2312" w:eastAsia="仿宋_GB2312" w:cs="仿宋_GB2312"/>
          <w:color w:val="auto"/>
          <w:sz w:val="24"/>
          <w:highlight w:val="none"/>
          <w:lang w:eastAsia="zh-CN"/>
        </w:rPr>
        <w:t>绍兴市中医院超融合等采购项目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2025-05-0038</w:t>
      </w:r>
      <w:r>
        <w:rPr>
          <w:rFonts w:hint="eastAsia" w:ascii="仿宋_GB2312" w:hAnsi="仿宋_GB2312" w:eastAsia="仿宋_GB2312" w:cs="仿宋_GB2312"/>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（二）未被信用中国（www.creditchina.gov.cn)、中国政府采购网（www.ccgp.gov.cn）列入失信被执行人、重大税收违法案件当事人名单、政府采购严重违法失信行为记录名单。</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 xml:space="preserve">                        </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pageBreakBefore/>
        <w:widowControl/>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[以联合体形式投标的，提供联合协议（附件5）；本项目不接受联合体投标或者投标人不以联合体形式投标的，则不需要提供]</w:t>
      </w:r>
    </w:p>
    <w:p>
      <w:pPr>
        <w:pStyle w:val="81"/>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四</w:t>
      </w:r>
      <w:r>
        <w:rPr>
          <w:rFonts w:hint="eastAsia" w:ascii="仿宋_GB2312" w:hAnsi="仿宋_GB2312" w:eastAsia="仿宋_GB2312" w:cs="仿宋_GB2312"/>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A</w:t>
      </w:r>
      <w:r>
        <w:rPr>
          <w:rFonts w:hint="eastAsia" w:ascii="仿宋_GB2312" w:hAnsi="仿宋_GB2312" w:eastAsia="仿宋_GB2312" w:cs="仿宋_GB2312"/>
          <w:color w:val="auto"/>
          <w:sz w:val="24"/>
          <w:highlight w:val="none"/>
        </w:rPr>
        <w:t xml:space="preserve">.专门面向中小企业，货物全部由符合政策要求的中小企业（或小微企业）制造的，提供相应的中小企业声明函（附件7）。 </w:t>
      </w:r>
    </w:p>
    <w:p>
      <w:pPr>
        <w:widowControl/>
        <w:kinsoku/>
        <w:wordWrap w:val="0"/>
        <w:overflowPunct/>
        <w:topLinePunct w:val="0"/>
        <w:bidi w:val="0"/>
        <w:spacing w:line="360" w:lineRule="auto"/>
        <w:ind w:firstLine="472" w:firstLineChars="196"/>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B.</w:t>
      </w:r>
      <w:r>
        <w:rPr>
          <w:rFonts w:hint="eastAsia" w:ascii="仿宋_GB2312" w:hAnsi="仿宋_GB2312" w:eastAsia="仿宋_GB2312" w:cs="仿宋_GB2312"/>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视同符合了资格条件，无需再与其他中小企业组成联合体参加政府采购活动，无需提供联合协议。</w:t>
      </w:r>
      <w:r>
        <w:rPr>
          <w:rFonts w:hint="eastAsia" w:ascii="仿宋_GB2312" w:hAnsi="仿宋_GB2312" w:eastAsia="仿宋_GB2312" w:cs="仿宋_GB2312"/>
          <w:b/>
          <w:color w:val="auto"/>
          <w:sz w:val="24"/>
          <w:highlight w:val="none"/>
        </w:rPr>
        <w:t xml:space="preserve">    </w:t>
      </w:r>
    </w:p>
    <w:p>
      <w:pPr>
        <w:kinsoku/>
        <w:wordWrap w:val="0"/>
        <w:overflowPunct/>
        <w:topLinePunct w:val="0"/>
        <w:bidi w:val="0"/>
        <w:spacing w:line="360" w:lineRule="auto"/>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C、</w:t>
      </w:r>
      <w:r>
        <w:rPr>
          <w:rFonts w:hint="eastAsia" w:ascii="仿宋_GB2312" w:hAnsi="仿宋_GB2312" w:eastAsia="仿宋_GB2312" w:cs="仿宋_GB2312"/>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color w:val="auto"/>
          <w:spacing w:val="8"/>
          <w:kern w:val="0"/>
          <w:sz w:val="24"/>
          <w:highlight w:val="none"/>
        </w:rPr>
        <w:t>并相应达到了前述比例要求，</w:t>
      </w:r>
      <w:r>
        <w:rPr>
          <w:rFonts w:hint="eastAsia" w:ascii="仿宋_GB2312" w:hAnsi="仿宋_GB2312" w:eastAsia="仿宋_GB2312" w:cs="仿宋_GB2312"/>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五</w:t>
      </w:r>
      <w:r>
        <w:rPr>
          <w:rFonts w:hint="eastAsia" w:ascii="仿宋_GB2312" w:hAnsi="仿宋_GB2312" w:eastAsia="仿宋_GB2312" w:cs="仿宋_GB2312"/>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（根据招标公告本项目的特定资格要求提供相应的材料；未要求的，无需提供）</w:t>
      </w:r>
    </w:p>
    <w:p>
      <w:pPr>
        <w:pageBreakBefore/>
        <w:kinsoku/>
        <w:wordWrap w:val="0"/>
        <w:overflowPunct/>
        <w:topLinePunct w:val="0"/>
        <w:bidi w:val="0"/>
        <w:spacing w:line="336" w:lineRule="auto"/>
        <w:jc w:val="center"/>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商务技术文件部分</w:t>
      </w: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4"/>
          <w:highlight w:val="none"/>
        </w:rPr>
      </w:pPr>
    </w:p>
    <w:p>
      <w:pPr>
        <w:kinsoku/>
        <w:wordWrap w:val="0"/>
        <w:overflowPunct/>
        <w:topLinePunct w:val="0"/>
        <w:bidi w:val="0"/>
        <w:spacing w:line="336" w:lineRule="auto"/>
        <w:jc w:val="center"/>
        <w:outlineLvl w:val="0"/>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906"/>
        <w:numPr>
          <w:ilvl w:val="0"/>
          <w:numId w:val="7"/>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投标函</w:t>
      </w:r>
      <w:r>
        <w:rPr>
          <w:rFonts w:hint="eastAsia" w:ascii="仿宋_GB2312" w:hAnsi="仿宋_GB2312" w:eastAsia="仿宋_GB2312" w:cs="仿宋_GB2312"/>
          <w:color w:val="auto"/>
          <w:highlight w:val="none"/>
        </w:rPr>
        <w:t>…………………………………………………………………………（页码）</w:t>
      </w:r>
    </w:p>
    <w:p>
      <w:pPr>
        <w:pStyle w:val="906"/>
        <w:numPr>
          <w:ilvl w:val="0"/>
          <w:numId w:val="7"/>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法定代表人授权</w:t>
      </w:r>
      <w:r>
        <w:rPr>
          <w:rFonts w:hint="eastAsia" w:ascii="仿宋_GB2312" w:hAnsi="仿宋_GB2312" w:eastAsia="仿宋_GB2312" w:cs="仿宋_GB2312"/>
          <w:color w:val="auto"/>
          <w:highlight w:val="none"/>
          <w:lang w:eastAsia="zh-CN"/>
        </w:rPr>
        <w:t>委托</w:t>
      </w:r>
      <w:r>
        <w:rPr>
          <w:rFonts w:hint="eastAsia" w:ascii="仿宋_GB2312" w:hAnsi="仿宋_GB2312" w:eastAsia="仿宋_GB2312" w:cs="仿宋_GB2312"/>
          <w:color w:val="auto"/>
          <w:highlight w:val="none"/>
        </w:rPr>
        <w:t>书 …………………………………………………… （页码）</w:t>
      </w:r>
    </w:p>
    <w:p>
      <w:pPr>
        <w:pStyle w:val="906"/>
        <w:numPr>
          <w:ilvl w:val="0"/>
          <w:numId w:val="7"/>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法定代表人及其授权代表身份证复印件……………………………………（页码）</w:t>
      </w:r>
    </w:p>
    <w:p>
      <w:pPr>
        <w:pStyle w:val="906"/>
        <w:numPr>
          <w:ilvl w:val="0"/>
          <w:numId w:val="7"/>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授权代表社保证明…………………………………………………………… （页码）</w:t>
      </w:r>
    </w:p>
    <w:p>
      <w:pPr>
        <w:pStyle w:val="906"/>
        <w:numPr>
          <w:ilvl w:val="0"/>
          <w:numId w:val="7"/>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法定代表人身份证明书……………………………………………………… （页码）</w:t>
      </w:r>
    </w:p>
    <w:p>
      <w:pPr>
        <w:pStyle w:val="906"/>
        <w:numPr>
          <w:ilvl w:val="0"/>
          <w:numId w:val="7"/>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商务技术</w:t>
      </w:r>
      <w:r>
        <w:rPr>
          <w:rFonts w:hint="eastAsia" w:ascii="仿宋_GB2312" w:hAnsi="仿宋_GB2312" w:eastAsia="仿宋_GB2312" w:cs="仿宋_GB2312"/>
          <w:color w:val="auto"/>
          <w:highlight w:val="none"/>
          <w:lang w:eastAsia="zh-CN"/>
        </w:rPr>
        <w:t>偏离表</w:t>
      </w:r>
      <w:r>
        <w:rPr>
          <w:rFonts w:hint="eastAsia" w:ascii="仿宋_GB2312" w:hAnsi="仿宋_GB2312" w:eastAsia="仿宋_GB2312" w:cs="仿宋_GB2312"/>
          <w:color w:val="auto"/>
          <w:highlight w:val="none"/>
        </w:rPr>
        <w:t>……………………………………………………………… （页码）</w:t>
      </w:r>
    </w:p>
    <w:p>
      <w:pPr>
        <w:pStyle w:val="906"/>
        <w:numPr>
          <w:ilvl w:val="0"/>
          <w:numId w:val="7"/>
        </w:numPr>
        <w:kinsoku/>
        <w:wordWrap w:val="0"/>
        <w:overflowPunct/>
        <w:topLinePunct w:val="0"/>
        <w:bidi w:val="0"/>
        <w:spacing w:line="336" w:lineRule="auto"/>
        <w:ind w:left="0" w:firstLine="0" w:firstLineChars="0"/>
        <w:jc w:val="both"/>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zh-CN"/>
        </w:rPr>
        <w:t>政府采购供应商廉洁自律承诺书</w:t>
      </w:r>
      <w:r>
        <w:rPr>
          <w:rFonts w:hint="eastAsia" w:ascii="仿宋_GB2312" w:hAnsi="仿宋_GB2312" w:eastAsia="仿宋_GB2312" w:cs="仿宋_GB2312"/>
          <w:color w:val="auto"/>
          <w:highlight w:val="none"/>
        </w:rPr>
        <w:t>…………………………………………… （页码）</w:t>
      </w:r>
    </w:p>
    <w:p>
      <w:pPr>
        <w:kinsoku/>
        <w:wordWrap w:val="0"/>
        <w:overflowPunct/>
        <w:topLinePunct w:val="0"/>
        <w:bidi w:val="0"/>
        <w:adjustRightInd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_GB2312" w:hAnsi="仿宋_GB2312" w:eastAsia="仿宋_GB2312" w:cs="仿宋_GB2312"/>
          <w:color w:val="auto"/>
          <w:sz w:val="24"/>
          <w:highlight w:val="none"/>
          <w:lang w:val="en-US"/>
        </w:rPr>
        <w:t xml:space="preserve">  </w:t>
      </w:r>
      <w:r>
        <w:rPr>
          <w:rFonts w:hint="eastAsia" w:ascii="仿宋_GB2312" w:hAnsi="仿宋_GB2312" w:eastAsia="仿宋_GB2312" w:cs="仿宋_GB2312"/>
          <w:color w:val="auto"/>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510" w:rightChars="-243"/>
        <w:jc w:val="both"/>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pacing w:line="360" w:lineRule="auto"/>
        <w:ind w:right="-368" w:rightChars="-175"/>
        <w:jc w:val="both"/>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_GB2312" w:hAnsi="仿宋_GB2312" w:eastAsia="仿宋_GB2312" w:cs="仿宋_GB2312"/>
          <w:color w:val="auto"/>
          <w:kern w:val="0"/>
          <w:sz w:val="24"/>
          <w:highlight w:val="none"/>
          <w:lang w:val="en-US"/>
        </w:rPr>
        <w:t xml:space="preserve">  </w:t>
      </w:r>
      <w:r>
        <w:rPr>
          <w:rFonts w:hint="eastAsia" w:ascii="仿宋_GB2312" w:hAnsi="仿宋_GB2312" w:eastAsia="仿宋_GB2312" w:cs="仿宋_GB2312"/>
          <w:color w:val="auto"/>
          <w:kern w:val="0"/>
          <w:sz w:val="24"/>
          <w:highlight w:val="none"/>
        </w:rPr>
        <w:t>（页码）</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kinsoku/>
        <w:wordWrap w:val="0"/>
        <w:overflowPunct/>
        <w:topLinePunct w:val="0"/>
        <w:bidi w:val="0"/>
        <w:snapToGrid w:val="0"/>
        <w:spacing w:line="360" w:lineRule="auto"/>
        <w:ind w:firstLine="3855" w:firstLineChars="1200"/>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kern w:val="0"/>
          <w:sz w:val="32"/>
          <w:szCs w:val="32"/>
          <w:highlight w:val="none"/>
        </w:rPr>
        <w:t>一、投标</w:t>
      </w:r>
      <w:r>
        <w:rPr>
          <w:rFonts w:hint="eastAsia" w:ascii="仿宋_GB2312" w:hAnsi="仿宋_GB2312" w:eastAsia="仿宋_GB2312" w:cs="仿宋_GB2312"/>
          <w:b/>
          <w:color w:val="auto"/>
          <w:sz w:val="32"/>
          <w:szCs w:val="32"/>
          <w:highlight w:val="none"/>
        </w:rPr>
        <w:t>函</w:t>
      </w:r>
    </w:p>
    <w:p>
      <w:pPr>
        <w:pStyle w:val="397"/>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致：</w:t>
      </w:r>
      <w:r>
        <w:rPr>
          <w:rFonts w:hint="eastAsia" w:ascii="仿宋_GB2312" w:hAnsi="仿宋_GB2312" w:eastAsia="仿宋_GB2312" w:cs="仿宋_GB2312"/>
          <w:szCs w:val="24"/>
          <w:u w:val="single"/>
          <w:lang w:eastAsia="zh-CN"/>
        </w:rPr>
        <w:t>绍兴市中医院</w:t>
      </w:r>
      <w:r>
        <w:rPr>
          <w:rFonts w:hint="eastAsia" w:ascii="仿宋_GB2312" w:hAnsi="仿宋_GB2312" w:eastAsia="仿宋_GB2312" w:cs="仿宋_GB2312"/>
          <w:szCs w:val="24"/>
          <w:u w:val="single"/>
        </w:rPr>
        <w:t>、绍兴市公共资源交易中心</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根据贵方招标文件（</w:t>
      </w:r>
      <w:r>
        <w:rPr>
          <w:rFonts w:hint="eastAsia" w:ascii="仿宋_GB2312" w:hAnsi="仿宋_GB2312" w:eastAsia="仿宋_GB2312" w:cs="仿宋_GB2312"/>
          <w:b/>
          <w:color w:val="auto"/>
          <w:sz w:val="24"/>
          <w:szCs w:val="24"/>
          <w:highlight w:val="none"/>
          <w:u w:val="single"/>
        </w:rPr>
        <w:t>填写招标编号：</w:t>
      </w:r>
      <w:r>
        <w:rPr>
          <w:rFonts w:hint="eastAsia" w:ascii="仿宋_GB2312" w:hAnsi="仿宋_GB2312" w:eastAsia="仿宋_GB2312" w:cs="仿宋_GB2312"/>
          <w:color w:val="auto"/>
          <w:sz w:val="24"/>
          <w:szCs w:val="24"/>
          <w:highlight w:val="none"/>
        </w:rPr>
        <w:t>）的要求，正式授权</w:t>
      </w:r>
      <w:r>
        <w:rPr>
          <w:rFonts w:hint="eastAsia" w:ascii="仿宋_GB2312" w:hAnsi="仿宋_GB2312" w:eastAsia="仿宋_GB2312" w:cs="仿宋_GB2312"/>
          <w:b/>
          <w:color w:val="auto"/>
          <w:sz w:val="24"/>
          <w:szCs w:val="24"/>
          <w:highlight w:val="none"/>
          <w:u w:val="single"/>
        </w:rPr>
        <w:t>（全权代表姓名    、单位    、职务   ）</w:t>
      </w:r>
      <w:r>
        <w:rPr>
          <w:rFonts w:hint="eastAsia" w:ascii="仿宋_GB2312" w:hAnsi="仿宋_GB2312" w:eastAsia="仿宋_GB2312" w:cs="仿宋_GB2312"/>
          <w:color w:val="auto"/>
          <w:sz w:val="24"/>
          <w:szCs w:val="24"/>
          <w:highlight w:val="none"/>
        </w:rPr>
        <w:t>代表投标人</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b/>
          <w:color w:val="auto"/>
          <w:sz w:val="24"/>
          <w:szCs w:val="24"/>
          <w:highlight w:val="none"/>
          <w:u w:val="single"/>
        </w:rPr>
        <w:t xml:space="preserve">填写单位    、地址   </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提交投标文件。</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我方已完全明白招标文件的所有条款要求，兹声明同意如下：</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1.我方同意在投标人</w:t>
      </w:r>
      <w:r>
        <w:rPr>
          <w:rFonts w:hint="eastAsia" w:ascii="仿宋_GB2312" w:hAnsi="仿宋_GB2312" w:eastAsia="仿宋_GB2312" w:cs="仿宋_GB2312"/>
          <w:color w:val="auto"/>
          <w:kern w:val="44"/>
          <w:sz w:val="24"/>
          <w:szCs w:val="24"/>
          <w:highlight w:val="none"/>
        </w:rPr>
        <w:t>须知</w:t>
      </w:r>
      <w:r>
        <w:rPr>
          <w:rFonts w:hint="eastAsia" w:ascii="仿宋_GB2312" w:hAnsi="仿宋_GB2312" w:eastAsia="仿宋_GB2312" w:cs="仿宋_GB2312"/>
          <w:color w:val="auto"/>
          <w:sz w:val="24"/>
          <w:szCs w:val="24"/>
          <w:highlight w:val="none"/>
        </w:rPr>
        <w:t>规定的开标日期起遵守本投标文件中的承诺且在投标有效期满之前均具有约束力。</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2.我方承诺已经具备《中华人民共和国政府采购法》中规定的参加政府采购活动的供应商应当具备的条件。</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_GB2312" w:hAnsi="仿宋_GB2312" w:eastAsia="仿宋_GB2312" w:cs="仿宋_GB2312"/>
          <w:color w:val="auto"/>
          <w:sz w:val="24"/>
          <w:szCs w:val="24"/>
          <w:highlight w:val="none"/>
          <w:lang w:eastAsia="zh-CN"/>
        </w:rPr>
        <w:t>采购代理机构</w:t>
      </w:r>
      <w:r>
        <w:rPr>
          <w:rFonts w:hint="eastAsia" w:ascii="仿宋_GB2312" w:hAnsi="仿宋_GB2312" w:eastAsia="仿宋_GB2312" w:cs="仿宋_GB2312"/>
          <w:color w:val="auto"/>
          <w:sz w:val="24"/>
          <w:szCs w:val="24"/>
          <w:highlight w:val="none"/>
        </w:rPr>
        <w:t>提供可能另外要求的与投标有关的任何数据或资料。</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4.我方理解贵方将不受你们所收到的最低报价的约束。</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5.本投标自开标之日（投标截止之日）起90天内有效。</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供应商有前款第a)至e)项情形之一的，中标、成交无效。</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地址：　　　　　　　　　　　　　　　邮政编码：</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电话：                              传真：</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开户银行：                          帐号：</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color w:val="auto"/>
          <w:sz w:val="24"/>
          <w:szCs w:val="24"/>
          <w:highlight w:val="none"/>
        </w:rPr>
        <w:t xml:space="preserve">投标人(电子签章)：　　　　　　　　　日期：  </w:t>
      </w:r>
    </w:p>
    <w:p>
      <w:pPr>
        <w:kinsoku/>
        <w:wordWrap w:val="0"/>
        <w:overflowPunct/>
        <w:topLinePunct w:val="0"/>
        <w:bidi w:val="0"/>
        <w:snapToGrid w:val="0"/>
        <w:spacing w:line="360" w:lineRule="auto"/>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pageBreakBefore/>
        <w:widowControl/>
        <w:kinsoku/>
        <w:wordWrap w:val="0"/>
        <w:overflowPunct/>
        <w:topLinePunct w:val="0"/>
        <w:bidi w:val="0"/>
        <w:adjustRightInd/>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二</w:t>
      </w: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（适用于非联合体投标）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本授权委托书声明：我</w:t>
      </w:r>
      <w:r>
        <w:rPr>
          <w:rFonts w:hint="eastAsia" w:ascii="仿宋_GB2312" w:hAnsi="仿宋_GB2312" w:eastAsia="仿宋_GB2312" w:cs="仿宋_GB2312"/>
          <w:color w:val="auto"/>
          <w:sz w:val="24"/>
          <w:highlight w:val="none"/>
          <w:u w:val="single"/>
        </w:rPr>
        <w:t xml:space="preserve">         (填写姓名)</w:t>
      </w: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（填写投标人单位全称）</w:t>
      </w:r>
      <w:r>
        <w:rPr>
          <w:rFonts w:hint="eastAsia" w:ascii="仿宋_GB2312" w:hAnsi="仿宋_GB2312" w:eastAsia="仿宋_GB2312" w:cs="仿宋_GB2312"/>
          <w:color w:val="auto"/>
          <w:sz w:val="24"/>
          <w:highlight w:val="none"/>
        </w:rPr>
        <w:t>的法定代表人，现授权委托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的（填写姓名）为我公司授权代表，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。以本公司的名义参加</w:t>
      </w:r>
      <w:r>
        <w:rPr>
          <w:rFonts w:hint="eastAsia" w:ascii="仿宋_GB2312" w:hAnsi="仿宋_GB2312" w:eastAsia="仿宋_GB2312" w:cs="仿宋_GB2312"/>
          <w:color w:val="auto"/>
          <w:sz w:val="24"/>
          <w:highlight w:val="none"/>
          <w:u w:val="single"/>
          <w:lang w:val="en-US" w:eastAsia="zh-CN"/>
        </w:rPr>
        <w:t xml:space="preserve"> 绍兴市中医院、绍兴市公共资源交易中心 </w:t>
      </w:r>
      <w:r>
        <w:rPr>
          <w:rFonts w:hint="eastAsia" w:ascii="仿宋_GB2312" w:hAnsi="仿宋_GB2312" w:eastAsia="仿宋_GB2312" w:cs="仿宋_GB2312"/>
          <w:color w:val="auto"/>
          <w:sz w:val="24"/>
          <w:highlight w:val="none"/>
        </w:rPr>
        <w:t>组织的</w:t>
      </w:r>
      <w:r>
        <w:rPr>
          <w:rFonts w:hint="eastAsia" w:ascii="仿宋_GB2312" w:hAnsi="仿宋_GB2312" w:eastAsia="仿宋_GB2312" w:cs="仿宋_GB2312"/>
          <w:color w:val="auto"/>
          <w:sz w:val="24"/>
          <w:highlight w:val="none"/>
          <w:u w:val="single"/>
          <w:lang w:val="en-US" w:eastAsia="zh-CN"/>
        </w:rPr>
        <w:t xml:space="preserve"> 绍兴市中医院超融合等采购项目（招标编号:2025-05-0038）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投标人（电子签章）：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法定代表人（签字或盖章）：</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ind w:firstLine="5280" w:firstLineChars="2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ind w:firstLine="4920" w:firstLineChars="2050"/>
        <w:jc w:val="left"/>
        <w:rPr>
          <w:rFonts w:hint="eastAsia" w:ascii="仿宋_GB2312" w:hAnsi="仿宋_GB2312" w:eastAsia="仿宋_GB2312" w:cs="仿宋_GB2312"/>
          <w:color w:val="auto"/>
          <w:sz w:val="24"/>
          <w:highlight w:val="none"/>
        </w:rPr>
      </w:pP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pageBreakBefore/>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 xml:space="preserve">法定代表人授权委托书（格式） </w:t>
      </w:r>
      <w:r>
        <w:rPr>
          <w:rFonts w:hint="eastAsia" w:ascii="仿宋_GB2312" w:hAnsi="仿宋_GB2312" w:eastAsia="仿宋_GB2312" w:cs="仿宋_GB2312"/>
          <w:b/>
          <w:color w:val="auto"/>
          <w:kern w:val="0"/>
          <w:sz w:val="32"/>
          <w:szCs w:val="32"/>
          <w:highlight w:val="none"/>
          <w:lang w:val="zh-CN"/>
        </w:rPr>
        <w:t>（适用于联合体投标）</w:t>
      </w:r>
    </w:p>
    <w:p>
      <w:pPr>
        <w:kinsoku/>
        <w:wordWrap w:val="0"/>
        <w:overflowPunct/>
        <w:topLinePunct w:val="0"/>
        <w:bidi w:val="0"/>
        <w:jc w:val="center"/>
        <w:rPr>
          <w:rFonts w:hint="eastAsia" w:ascii="仿宋_GB2312" w:hAnsi="仿宋_GB2312" w:eastAsia="仿宋_GB2312" w:cs="仿宋_GB2312"/>
          <w:b/>
          <w:color w:val="auto"/>
          <w:sz w:val="24"/>
          <w:highlight w:val="none"/>
        </w:rPr>
      </w:pPr>
    </w:p>
    <w:p>
      <w:pPr>
        <w:kinsoku/>
        <w:wordWrap w:val="0"/>
        <w:overflowPunct/>
        <w:topLinePunct w:val="0"/>
        <w:bidi w:val="0"/>
        <w:snapToGrid w:val="0"/>
        <w:spacing w:line="56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本授权委托书声明：</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现授权委托</w:t>
      </w:r>
      <w:r>
        <w:rPr>
          <w:rFonts w:hint="eastAsia" w:ascii="仿宋_GB2312" w:hAnsi="仿宋_GB2312" w:eastAsia="仿宋_GB2312" w:cs="仿宋_GB2312"/>
          <w:color w:val="auto"/>
          <w:sz w:val="24"/>
          <w:highlight w:val="none"/>
          <w:u w:val="single"/>
        </w:rPr>
        <w:t xml:space="preserve">                  （填写单位全称）</w:t>
      </w:r>
      <w:r>
        <w:rPr>
          <w:rFonts w:hint="eastAsia" w:ascii="仿宋_GB2312" w:hAnsi="仿宋_GB2312" w:eastAsia="仿宋_GB2312" w:cs="仿宋_GB2312"/>
          <w:color w:val="auto"/>
          <w:sz w:val="24"/>
          <w:highlight w:val="none"/>
        </w:rPr>
        <w:t>的（填写姓名）为我方授权代表，</w:t>
      </w:r>
      <w:r>
        <w:rPr>
          <w:rFonts w:hint="eastAsia" w:ascii="仿宋_GB2312" w:hAnsi="仿宋_GB2312" w:eastAsia="仿宋_GB2312" w:cs="仿宋_GB2312"/>
          <w:color w:val="auto"/>
          <w:sz w:val="24"/>
          <w:highlight w:val="none"/>
          <w:u w:val="single"/>
        </w:rPr>
        <w:t>（填写身份证号码：                       ）</w:t>
      </w:r>
      <w:r>
        <w:rPr>
          <w:rFonts w:hint="eastAsia" w:ascii="仿宋_GB2312" w:hAnsi="仿宋_GB2312" w:eastAsia="仿宋_GB2312" w:cs="仿宋_GB2312"/>
          <w:color w:val="auto"/>
          <w:sz w:val="24"/>
          <w:highlight w:val="none"/>
        </w:rPr>
        <w:t>。以我方的名义参加</w:t>
      </w:r>
      <w:r>
        <w:rPr>
          <w:rFonts w:hint="eastAsia" w:ascii="仿宋_GB2312" w:hAnsi="仿宋_GB2312" w:eastAsia="仿宋_GB2312" w:cs="仿宋_GB2312"/>
          <w:color w:val="auto"/>
          <w:sz w:val="24"/>
          <w:highlight w:val="none"/>
          <w:u w:val="single"/>
          <w:lang w:val="en-US" w:eastAsia="zh-CN"/>
        </w:rPr>
        <w:t xml:space="preserve"> 绍兴市中医院、绍兴市公共资源交易中心 </w:t>
      </w:r>
      <w:r>
        <w:rPr>
          <w:rFonts w:hint="eastAsia" w:ascii="仿宋_GB2312" w:hAnsi="仿宋_GB2312" w:eastAsia="仿宋_GB2312" w:cs="仿宋_GB2312"/>
          <w:color w:val="auto"/>
          <w:sz w:val="24"/>
          <w:highlight w:val="none"/>
          <w:u w:val="none"/>
          <w:lang w:val="en-US" w:eastAsia="zh-CN"/>
        </w:rPr>
        <w:t>组织的</w:t>
      </w:r>
      <w:r>
        <w:rPr>
          <w:rFonts w:hint="eastAsia" w:ascii="仿宋_GB2312" w:hAnsi="仿宋_GB2312" w:eastAsia="仿宋_GB2312" w:cs="仿宋_GB2312"/>
          <w:color w:val="auto"/>
          <w:sz w:val="24"/>
          <w:highlight w:val="none"/>
          <w:u w:val="single"/>
          <w:lang w:val="en-US" w:eastAsia="zh-CN"/>
        </w:rPr>
        <w:t xml:space="preserve"> 绍兴市中医院超融合等采购项目（招标编号:2023-07-0055） </w:t>
      </w:r>
      <w:r>
        <w:rPr>
          <w:rFonts w:hint="eastAsia" w:ascii="仿宋_GB2312" w:hAnsi="仿宋_GB2312" w:eastAsia="仿宋_GB2312" w:cs="仿宋_GB2312"/>
          <w:color w:val="auto"/>
          <w:sz w:val="24"/>
          <w:highlight w:val="none"/>
        </w:rPr>
        <w:t>投标活动。授权代表在开标、评标、合同谈判过程中所签署的一切文件和处理与之有关的一切事务，我均予以承认。</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在撤销授权的书面通知以前，本授权书一直有效。全权代表在授权书有效期内签署的所有文件不因授权的撤销而失效。</w:t>
      </w:r>
    </w:p>
    <w:p>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授权代表姓名：              性别：               年龄：</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                      部门：               职务：</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widowControl/>
        <w:kinsoku/>
        <w:wordWrap w:val="0"/>
        <w:overflowPunct/>
        <w:topLinePunct w:val="0"/>
        <w:bidi w:val="0"/>
        <w:snapToGrid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办公地址：                  联系电话：           传真：</w:t>
      </w: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spacing w:line="360" w:lineRule="exact"/>
        <w:rPr>
          <w:rFonts w:hint="eastAsia" w:ascii="仿宋_GB2312" w:hAnsi="仿宋_GB2312" w:eastAsia="仿宋_GB2312" w:cs="仿宋_GB2312"/>
          <w:color w:val="auto"/>
          <w:sz w:val="24"/>
          <w:highlight w:val="none"/>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kern w:val="0"/>
          <w:sz w:val="32"/>
          <w:szCs w:val="32"/>
          <w:highlight w:val="none"/>
          <w:lang w:val="zh-CN"/>
        </w:rPr>
      </w:pPr>
    </w:p>
    <w:p>
      <w:pPr>
        <w:pageBreakBefore w:val="0"/>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三、</w:t>
      </w:r>
      <w:r>
        <w:rPr>
          <w:rFonts w:hint="eastAsia" w:ascii="仿宋_GB2312" w:hAnsi="仿宋_GB2312" w:eastAsia="仿宋_GB2312" w:cs="仿宋_GB2312"/>
          <w:b/>
          <w:color w:val="auto"/>
          <w:sz w:val="30"/>
          <w:szCs w:val="30"/>
          <w:highlight w:val="none"/>
        </w:rPr>
        <w:t>授权代表社保证明（复印件）</w:t>
      </w:r>
    </w:p>
    <w:p>
      <w:pPr>
        <w:kinsoku/>
        <w:wordWrap w:val="0"/>
        <w:overflowPunct/>
        <w:topLinePunct w:val="0"/>
        <w:bidi w:val="0"/>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_GB2312" w:hAnsi="仿宋_GB2312" w:eastAsia="仿宋_GB2312" w:cs="仿宋_GB2312"/>
          <w:b/>
          <w:color w:val="auto"/>
          <w:sz w:val="30"/>
          <w:szCs w:val="30"/>
          <w:highlight w:val="none"/>
          <w:lang w:val="en-US" w:eastAsia="zh-CN"/>
        </w:rPr>
      </w:pPr>
    </w:p>
    <w:p>
      <w:pPr>
        <w:pStyle w:val="7"/>
        <w:kinsoku/>
        <w:wordWrap w:val="0"/>
        <w:overflowPunct/>
        <w:topLinePunct w:val="0"/>
        <w:bidi w:val="0"/>
        <w:rPr>
          <w:rFonts w:hint="eastAsia" w:ascii="仿宋_GB2312" w:hAnsi="仿宋_GB2312" w:eastAsia="仿宋_GB2312" w:cs="仿宋_GB2312"/>
          <w:lang w:val="en-US" w:eastAsia="zh-CN"/>
        </w:rPr>
      </w:pPr>
    </w:p>
    <w:p>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四</w:t>
      </w:r>
      <w:r>
        <w:rPr>
          <w:rFonts w:hint="eastAsia" w:ascii="仿宋_GB2312" w:hAnsi="仿宋_GB2312" w:eastAsia="仿宋_GB2312" w:cs="仿宋_GB2312"/>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_GB2312" w:hAnsi="仿宋_GB2312" w:eastAsia="仿宋_GB2312" w:cs="仿宋_GB2312"/>
          <w:b/>
          <w:color w:val="auto"/>
          <w:sz w:val="24"/>
          <w:highlight w:val="none"/>
        </w:rPr>
      </w:pPr>
    </w:p>
    <w:p>
      <w:pPr>
        <w:kinsoku/>
        <w:wordWrap w:val="0"/>
        <w:overflowPunct/>
        <w:topLinePunct w:val="0"/>
        <w:bidi w:val="0"/>
        <w:spacing w:line="800" w:lineRule="exact"/>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val="en-US" w:eastAsia="zh-CN"/>
        </w:rPr>
        <w:t>五</w:t>
      </w:r>
      <w:r>
        <w:rPr>
          <w:rFonts w:hint="eastAsia" w:ascii="仿宋_GB2312" w:hAnsi="仿宋_GB2312" w:eastAsia="仿宋_GB2312" w:cs="仿宋_GB2312"/>
          <w:b/>
          <w:color w:val="auto"/>
          <w:sz w:val="30"/>
          <w:szCs w:val="30"/>
          <w:highlight w:val="none"/>
        </w:rPr>
        <w:t>、法定代表人身份证明书(格式)</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 标 人：</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姓    名：</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身份证号码：</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ind w:right="281" w:rightChars="134"/>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   务：</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系</w:t>
      </w:r>
      <w:r>
        <w:rPr>
          <w:rFonts w:hint="eastAsia" w:ascii="仿宋_GB2312" w:hAnsi="仿宋_GB2312" w:eastAsia="仿宋_GB2312" w:cs="仿宋_GB2312"/>
          <w:color w:val="auto"/>
          <w:sz w:val="24"/>
          <w:highlight w:val="none"/>
          <w:u w:val="single"/>
        </w:rPr>
        <w:t xml:space="preserve">                           （填写投标人名称）</w:t>
      </w:r>
      <w:r>
        <w:rPr>
          <w:rFonts w:hint="eastAsia" w:ascii="仿宋_GB2312" w:hAnsi="仿宋_GB2312" w:eastAsia="仿宋_GB2312" w:cs="仿宋_GB2312"/>
          <w:color w:val="auto"/>
          <w:sz w:val="24"/>
          <w:highlight w:val="none"/>
        </w:rPr>
        <w:t>的法定代表人。</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特此证明。</w:t>
      </w: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w:t>
      </w:r>
      <w:r>
        <w:rPr>
          <w:rFonts w:hint="eastAsia" w:ascii="仿宋_GB2312" w:hAnsi="仿宋_GB2312" w:eastAsia="仿宋_GB2312" w:cs="仿宋_GB2312"/>
          <w:color w:val="auto"/>
          <w:sz w:val="24"/>
          <w:highlight w:val="none"/>
          <w:lang w:eastAsia="zh-CN"/>
        </w:rPr>
        <w:t>名称</w:t>
      </w:r>
      <w:r>
        <w:rPr>
          <w:rFonts w:hint="eastAsia" w:ascii="仿宋_GB2312" w:hAnsi="仿宋_GB2312" w:eastAsia="仿宋_GB2312" w:cs="仿宋_GB2312"/>
          <w:color w:val="auto"/>
          <w:sz w:val="24"/>
          <w:highlight w:val="none"/>
        </w:rPr>
        <w:t>：                             （电子签章）</w:t>
      </w:r>
    </w:p>
    <w:p>
      <w:pPr>
        <w:kinsoku/>
        <w:wordWrap w:val="0"/>
        <w:overflowPunct/>
        <w:topLinePunct w:val="0"/>
        <w:bidi w:val="0"/>
        <w:spacing w:line="440" w:lineRule="exact"/>
        <w:ind w:right="480"/>
        <w:rPr>
          <w:rFonts w:hint="eastAsia" w:ascii="仿宋_GB2312" w:hAnsi="仿宋_GB2312" w:eastAsia="仿宋_GB2312" w:cs="仿宋_GB2312"/>
          <w:color w:val="auto"/>
          <w:sz w:val="24"/>
          <w:highlight w:val="none"/>
        </w:rPr>
      </w:pPr>
    </w:p>
    <w:p>
      <w:pPr>
        <w:kinsoku/>
        <w:wordWrap w:val="0"/>
        <w:overflowPunct/>
        <w:topLinePunct w:val="0"/>
        <w:bidi w:val="0"/>
        <w:spacing w:line="440" w:lineRule="exact"/>
        <w:ind w:right="72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   月   日</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lang w:val="en-US" w:eastAsia="zh-CN"/>
        </w:rPr>
      </w:pP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val="en-US" w:eastAsia="zh-CN"/>
        </w:rPr>
        <w:t>六</w:t>
      </w:r>
      <w:r>
        <w:rPr>
          <w:rFonts w:hint="eastAsia" w:ascii="仿宋_GB2312" w:hAnsi="仿宋_GB2312" w:eastAsia="仿宋_GB2312" w:cs="仿宋_GB2312"/>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3683"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p>
        </w:tc>
        <w:tc>
          <w:tcPr>
            <w:tcW w:w="3683"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354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c>
          <w:tcPr>
            <w:tcW w:w="1276" w:type="dxa"/>
          </w:tcPr>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tc>
      </w:tr>
    </w:tbl>
    <w:p>
      <w:pPr>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ind w:firstLine="1911" w:firstLineChars="595"/>
        <w:rPr>
          <w:rFonts w:hint="eastAsia" w:ascii="仿宋_GB2312" w:hAnsi="仿宋_GB2312" w:eastAsia="仿宋_GB2312" w:cs="仿宋_GB2312"/>
          <w:b/>
          <w:bCs/>
          <w:color w:val="auto"/>
          <w:sz w:val="32"/>
          <w:szCs w:val="32"/>
          <w:highlight w:val="none"/>
        </w:rPr>
      </w:pPr>
    </w:p>
    <w:p>
      <w:pPr>
        <w:pageBreakBefore/>
        <w:widowControl/>
        <w:tabs>
          <w:tab w:val="left" w:pos="1538"/>
          <w:tab w:val="center" w:pos="4541"/>
        </w:tabs>
        <w:kinsoku/>
        <w:wordWrap w:val="0"/>
        <w:overflowPunct/>
        <w:topLinePunct w:val="0"/>
        <w:bidi w:val="0"/>
        <w:adjustRightInd/>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bCs/>
          <w:color w:val="auto"/>
          <w:sz w:val="32"/>
          <w:szCs w:val="32"/>
          <w:highlight w:val="none"/>
          <w:lang w:val="en-US" w:eastAsia="zh-CN"/>
        </w:rPr>
        <w:tab/>
      </w:r>
      <w:r>
        <w:rPr>
          <w:rFonts w:hint="eastAsia" w:ascii="仿宋_GB2312" w:hAnsi="仿宋_GB2312" w:eastAsia="仿宋_GB2312" w:cs="仿宋_GB2312"/>
          <w:b/>
          <w:bCs/>
          <w:color w:val="auto"/>
          <w:sz w:val="32"/>
          <w:szCs w:val="32"/>
          <w:highlight w:val="none"/>
          <w:lang w:val="en-US" w:eastAsia="zh-CN"/>
        </w:rPr>
        <w:tab/>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color w:val="auto"/>
          <w:kern w:val="0"/>
          <w:sz w:val="32"/>
          <w:szCs w:val="32"/>
          <w:highlight w:val="none"/>
        </w:rPr>
        <w:t>、</w:t>
      </w:r>
      <w:r>
        <w:rPr>
          <w:rFonts w:hint="eastAsia" w:ascii="仿宋_GB2312" w:hAnsi="仿宋_GB2312" w:eastAsia="仿宋_GB2312" w:cs="仿宋_GB2312"/>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六、严格遵守《</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政府采购法》《</w:t>
      </w:r>
      <w:r>
        <w:rPr>
          <w:rFonts w:hint="eastAsia" w:ascii="仿宋_GB2312" w:hAnsi="仿宋_GB2312" w:eastAsia="仿宋_GB2312" w:cs="仿宋_GB2312"/>
          <w:color w:val="auto"/>
          <w:sz w:val="24"/>
          <w:highlight w:val="none"/>
          <w:lang w:val="zh-CN"/>
        </w:rPr>
        <w:t>中华人民共和国</w:t>
      </w:r>
      <w:r>
        <w:rPr>
          <w:rFonts w:hint="eastAsia" w:ascii="仿宋_GB2312" w:hAnsi="仿宋_GB2312" w:eastAsia="仿宋_GB2312" w:cs="仿宋_GB2312"/>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法》</w:t>
      </w:r>
      <w:r>
        <w:rPr>
          <w:rFonts w:hint="eastAsia" w:ascii="仿宋_GB2312" w:hAnsi="仿宋_GB2312" w:eastAsia="仿宋_GB2312" w:cs="仿宋_GB2312"/>
          <w:color w:val="auto"/>
          <w:sz w:val="24"/>
          <w:highlight w:val="none"/>
          <w:lang w:val="zh-CN"/>
        </w:rPr>
        <w:t>《中华人民共和国民法典》</w:t>
      </w:r>
      <w:r>
        <w:rPr>
          <w:rFonts w:hint="eastAsia" w:ascii="仿宋_GB2312" w:hAnsi="仿宋_GB2312" w:eastAsia="仿宋_GB2312" w:cs="仿宋_GB2312"/>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_GB2312" w:hAnsi="仿宋_GB2312" w:eastAsia="仿宋_GB2312" w:cs="仿宋_GB2312"/>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投标人名称（</w:t>
      </w:r>
      <w:r>
        <w:rPr>
          <w:rFonts w:hint="eastAsia" w:ascii="仿宋_GB2312" w:hAnsi="仿宋_GB2312" w:eastAsia="仿宋_GB2312" w:cs="仿宋_GB2312"/>
          <w:color w:val="auto"/>
          <w:sz w:val="24"/>
          <w:highlight w:val="none"/>
        </w:rPr>
        <w:t>电子签名</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649"/>
        <w:kinsoku/>
        <w:wordWrap w:val="0"/>
        <w:overflowPunct/>
        <w:topLinePunct w:val="0"/>
        <w:bidi w:val="0"/>
        <w:ind w:firstLine="0"/>
        <w:jc w:val="both"/>
        <w:rPr>
          <w:rFonts w:hint="eastAsia" w:ascii="仿宋_GB2312" w:hAnsi="仿宋_GB2312" w:eastAsia="仿宋_GB2312" w:cs="仿宋_GB2312"/>
          <w:color w:val="auto"/>
          <w:highlight w:val="none"/>
        </w:rPr>
      </w:pP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pacing w:val="6"/>
          <w:sz w:val="24"/>
          <w:highlight w:val="none"/>
        </w:rPr>
      </w:pPr>
      <w:r>
        <w:rPr>
          <w:rFonts w:hint="eastAsia" w:ascii="仿宋_GB2312" w:hAnsi="仿宋_GB2312" w:eastAsia="仿宋_GB2312" w:cs="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kinsoku/>
        <w:wordWrap w:val="0"/>
        <w:overflowPunct/>
        <w:topLinePunct w:val="0"/>
        <w:autoSpaceDE w:val="0"/>
        <w:autoSpaceDN w:val="0"/>
        <w:bidi w:val="0"/>
        <w:spacing w:line="360" w:lineRule="auto"/>
        <w:ind w:firstLine="4560" w:firstLineChars="1900"/>
        <w:rPr>
          <w:rFonts w:hint="eastAsia"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1"/>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p>
    <w:p>
      <w:pPr>
        <w:pStyle w:val="81"/>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1"/>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1"/>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18"/>
          <w:szCs w:val="18"/>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rPr>
          <w:rFonts w:hint="eastAsia"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p>
    <w:p>
      <w:pPr>
        <w:pStyle w:val="7"/>
        <w:kinsoku/>
        <w:wordWrap w:val="0"/>
        <w:overflowPunct/>
        <w:topLinePunct w:val="0"/>
        <w:bidi w:val="0"/>
        <w:rPr>
          <w:rFonts w:hint="eastAsia" w:ascii="仿宋_GB2312" w:hAnsi="仿宋_GB2312" w:eastAsia="仿宋_GB2312" w:cs="仿宋_GB2312"/>
          <w:b/>
          <w:bCs/>
          <w:color w:val="auto"/>
          <w:sz w:val="32"/>
          <w:szCs w:val="32"/>
          <w:highlight w:val="none"/>
        </w:rPr>
      </w:pPr>
    </w:p>
    <w:p>
      <w:pPr>
        <w:kinsoku/>
        <w:wordWrap w:val="0"/>
        <w:overflowPunct/>
        <w:topLinePunct w:val="0"/>
        <w:bidi w:val="0"/>
        <w:rPr>
          <w:rFonts w:hint="eastAsia" w:ascii="仿宋_GB2312" w:hAnsi="仿宋_GB2312" w:eastAsia="仿宋_GB2312" w:cs="仿宋_GB2312"/>
          <w:b/>
          <w:bCs/>
          <w:color w:val="auto"/>
          <w:sz w:val="32"/>
          <w:szCs w:val="32"/>
          <w:highlight w:val="none"/>
        </w:rPr>
      </w:pPr>
    </w:p>
    <w:p>
      <w:pPr>
        <w:pStyle w:val="7"/>
        <w:kinsoku/>
        <w:wordWrap w:val="0"/>
        <w:overflowPunct/>
        <w:topLinePunct w:val="0"/>
        <w:bidi w:val="0"/>
        <w:rPr>
          <w:rFonts w:hint="eastAsia" w:ascii="仿宋_GB2312" w:hAnsi="仿宋_GB2312" w:eastAsia="仿宋_GB2312" w:cs="仿宋_GB2312"/>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ageBreakBefore/>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p>
    <w:p>
      <w:pPr>
        <w:pStyle w:val="81"/>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36" w:lineRule="auto"/>
        <w:ind w:firstLine="3600" w:firstLineChars="15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 xml:space="preserve">名称（电子签名）：                          </w:t>
      </w:r>
    </w:p>
    <w:p>
      <w:pPr>
        <w:kinsoku/>
        <w:wordWrap w:val="0"/>
        <w:overflowPunct/>
        <w:topLinePunct w:val="0"/>
        <w:bidi w:val="0"/>
        <w:spacing w:line="336"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2"/>
        <w:kinsoku/>
        <w:wordWrap w:val="0"/>
        <w:overflowPunct/>
        <w:topLinePunct w:val="0"/>
        <w:bidi w:val="0"/>
        <w:rPr>
          <w:rFonts w:hint="eastAsia" w:ascii="仿宋_GB2312" w:hAnsi="仿宋_GB2312" w:eastAsia="仿宋_GB2312" w:cs="仿宋_GB2312"/>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_GB2312" w:hAnsi="仿宋_GB2312" w:eastAsia="仿宋_GB2312" w:cs="仿宋_GB2312"/>
          <w:b/>
          <w:color w:val="auto"/>
          <w:kern w:val="0"/>
          <w:sz w:val="36"/>
          <w:szCs w:val="36"/>
          <w:highlight w:val="none"/>
        </w:rPr>
      </w:pP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（1）开标一览表（报价表）………………………………………………………（页码）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（2）中小企业声明函………………………………………………………………（页码）</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（3）残疾人福利性单位声明函……………………………………………………（页码）</w:t>
      </w: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_GB2312" w:hAnsi="仿宋_GB2312" w:eastAsia="仿宋_GB2312" w:cs="仿宋_GB2312"/>
          <w:b/>
          <w:color w:val="auto"/>
          <w:kern w:val="0"/>
          <w:sz w:val="32"/>
          <w:szCs w:val="32"/>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eastAsia="zh-CN"/>
        </w:rPr>
        <w:t>绍兴市中医院</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绍兴市公共资源交易中心</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482"/>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color w:val="auto"/>
          <w:sz w:val="24"/>
          <w:highlight w:val="none"/>
          <w:lang w:eastAsia="zh-CN"/>
        </w:rPr>
        <w:t>绍兴市中医院超融合等采购项目</w:t>
      </w:r>
      <w:r>
        <w:rPr>
          <w:rFonts w:hint="eastAsia" w:ascii="仿宋_GB2312" w:hAnsi="仿宋_GB2312" w:eastAsia="仿宋_GB2312" w:cs="仿宋_GB2312"/>
          <w:color w:val="auto"/>
          <w:kern w:val="0"/>
          <w:sz w:val="24"/>
          <w:highlight w:val="none"/>
          <w:lang w:val="zh-CN"/>
        </w:rPr>
        <w:t>【招标编号：</w:t>
      </w:r>
      <w:r>
        <w:rPr>
          <w:rFonts w:hint="eastAsia" w:ascii="仿宋_GB2312" w:hAnsi="仿宋_GB2312" w:eastAsia="仿宋_GB2312" w:cs="仿宋_GB2312"/>
          <w:color w:val="auto"/>
          <w:sz w:val="24"/>
          <w:highlight w:val="none"/>
          <w:lang w:eastAsia="zh-CN"/>
        </w:rPr>
        <w:t>2025-05-0038</w:t>
      </w:r>
      <w:r>
        <w:rPr>
          <w:rFonts w:hint="eastAsia" w:ascii="仿宋_GB2312" w:hAnsi="仿宋_GB2312" w:eastAsia="仿宋_GB2312" w:cs="仿宋_GB2312"/>
          <w:color w:val="auto"/>
          <w:sz w:val="24"/>
          <w:highlight w:val="none"/>
        </w:rPr>
        <w:t>】的实施</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开标一览表（报价表）(单位均为人民币元)</w:t>
      </w:r>
    </w:p>
    <w:tbl>
      <w:tblPr>
        <w:tblStyle w:val="63"/>
        <w:tblW w:w="140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847"/>
        <w:gridCol w:w="1264"/>
        <w:gridCol w:w="1559"/>
        <w:gridCol w:w="1984"/>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品牌（如有）</w:t>
            </w:r>
          </w:p>
        </w:tc>
        <w:tc>
          <w:tcPr>
            <w:tcW w:w="2847"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w:t>
            </w:r>
          </w:p>
        </w:tc>
        <w:tc>
          <w:tcPr>
            <w:tcW w:w="1264"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2年预估量（包）</w:t>
            </w:r>
          </w:p>
        </w:tc>
        <w:tc>
          <w:tcPr>
            <w:tcW w:w="1559"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投标单价</w:t>
            </w:r>
          </w:p>
        </w:tc>
        <w:tc>
          <w:tcPr>
            <w:tcW w:w="1984"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合计</w:t>
            </w:r>
          </w:p>
        </w:tc>
        <w:tc>
          <w:tcPr>
            <w:tcW w:w="2593" w:type="dxa"/>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备注（如有）</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417" w:type="dxa"/>
            <w:vAlign w:val="center"/>
          </w:tcPr>
          <w:p>
            <w:pPr>
              <w:widowControl/>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A4复印纸</w:t>
            </w:r>
          </w:p>
          <w:p>
            <w:pPr>
              <w:widowControl/>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(核心产品）</w:t>
            </w:r>
          </w:p>
        </w:tc>
        <w:tc>
          <w:tcPr>
            <w:tcW w:w="1843"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847" w:type="dxa"/>
            <w:vAlign w:val="center"/>
          </w:tcPr>
          <w:p>
            <w:pPr>
              <w:widowControl/>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A4，70g，500张/包</w:t>
            </w:r>
          </w:p>
        </w:tc>
        <w:tc>
          <w:tcPr>
            <w:tcW w:w="1264" w:type="dxa"/>
            <w:vAlign w:val="center"/>
          </w:tcPr>
          <w:p>
            <w:pPr>
              <w:widowControl/>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90500</w:t>
            </w:r>
          </w:p>
        </w:tc>
        <w:tc>
          <w:tcPr>
            <w:tcW w:w="1559"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593"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417" w:type="dxa"/>
            <w:vAlign w:val="center"/>
          </w:tcPr>
          <w:p>
            <w:pPr>
              <w:widowControl/>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A5复印纸</w:t>
            </w:r>
          </w:p>
        </w:tc>
        <w:tc>
          <w:tcPr>
            <w:tcW w:w="1843"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847" w:type="dxa"/>
            <w:vAlign w:val="center"/>
          </w:tcPr>
          <w:p>
            <w:pPr>
              <w:widowControl/>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A5，70g，500张/包</w:t>
            </w:r>
          </w:p>
        </w:tc>
        <w:tc>
          <w:tcPr>
            <w:tcW w:w="1264" w:type="dxa"/>
            <w:vAlign w:val="center"/>
          </w:tcPr>
          <w:p>
            <w:pPr>
              <w:widowControl/>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26080</w:t>
            </w:r>
          </w:p>
        </w:tc>
        <w:tc>
          <w:tcPr>
            <w:tcW w:w="1559"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593"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3</w:t>
            </w:r>
          </w:p>
        </w:tc>
        <w:tc>
          <w:tcPr>
            <w:tcW w:w="1417" w:type="dxa"/>
            <w:vAlign w:val="center"/>
          </w:tcPr>
          <w:p>
            <w:pPr>
              <w:widowControl/>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A3复印纸</w:t>
            </w:r>
          </w:p>
        </w:tc>
        <w:tc>
          <w:tcPr>
            <w:tcW w:w="1843"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847" w:type="dxa"/>
            <w:vAlign w:val="center"/>
          </w:tcPr>
          <w:p>
            <w:pPr>
              <w:widowControl/>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A3，70g，500张/包</w:t>
            </w:r>
          </w:p>
        </w:tc>
        <w:tc>
          <w:tcPr>
            <w:tcW w:w="1264" w:type="dxa"/>
            <w:vAlign w:val="center"/>
          </w:tcPr>
          <w:p>
            <w:pPr>
              <w:widowControl/>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200</w:t>
            </w:r>
          </w:p>
        </w:tc>
        <w:tc>
          <w:tcPr>
            <w:tcW w:w="1559"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593"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w:t>
            </w:r>
          </w:p>
        </w:tc>
        <w:tc>
          <w:tcPr>
            <w:tcW w:w="1417" w:type="dxa"/>
            <w:vAlign w:val="center"/>
          </w:tcPr>
          <w:p>
            <w:pPr>
              <w:widowControl/>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彩色A4复印纸</w:t>
            </w:r>
          </w:p>
        </w:tc>
        <w:tc>
          <w:tcPr>
            <w:tcW w:w="1843"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847" w:type="dxa"/>
            <w:vAlign w:val="center"/>
          </w:tcPr>
          <w:p>
            <w:pPr>
              <w:widowControl/>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A4，80g，100张/包</w:t>
            </w:r>
          </w:p>
        </w:tc>
        <w:tc>
          <w:tcPr>
            <w:tcW w:w="1264" w:type="dxa"/>
            <w:vAlign w:val="center"/>
          </w:tcPr>
          <w:p>
            <w:pPr>
              <w:widowControl/>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1000</w:t>
            </w:r>
          </w:p>
        </w:tc>
        <w:tc>
          <w:tcPr>
            <w:tcW w:w="1559"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593"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w:t>
            </w:r>
          </w:p>
        </w:tc>
        <w:tc>
          <w:tcPr>
            <w:tcW w:w="1417" w:type="dxa"/>
            <w:vAlign w:val="center"/>
          </w:tcPr>
          <w:p>
            <w:pPr>
              <w:widowControl/>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粉红色A5复印纸</w:t>
            </w:r>
          </w:p>
        </w:tc>
        <w:tc>
          <w:tcPr>
            <w:tcW w:w="1843" w:type="dxa"/>
            <w:vAlign w:val="center"/>
          </w:tcPr>
          <w:p>
            <w:pPr>
              <w:kinsoku/>
              <w:wordWrap w:val="0"/>
              <w:overflowPunct/>
              <w:topLinePunct w:val="0"/>
              <w:bidi w:val="0"/>
              <w:snapToGrid w:val="0"/>
              <w:spacing w:line="360" w:lineRule="auto"/>
              <w:jc w:val="center"/>
              <w:rPr>
                <w:rFonts w:hint="eastAsia" w:ascii="仿宋_GB2312" w:hAnsi="仿宋_GB2312" w:eastAsia="仿宋_GB2312" w:cs="仿宋_GB2312"/>
                <w:color w:val="auto"/>
                <w:sz w:val="24"/>
                <w:highlight w:val="none"/>
              </w:rPr>
            </w:pPr>
          </w:p>
        </w:tc>
        <w:tc>
          <w:tcPr>
            <w:tcW w:w="2847" w:type="dxa"/>
            <w:vAlign w:val="center"/>
          </w:tcPr>
          <w:p>
            <w:pPr>
              <w:widowControl/>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A5，80g,500张/包</w:t>
            </w:r>
          </w:p>
        </w:tc>
        <w:tc>
          <w:tcPr>
            <w:tcW w:w="1264" w:type="dxa"/>
            <w:vAlign w:val="center"/>
          </w:tcPr>
          <w:p>
            <w:pPr>
              <w:widowControl/>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000000"/>
                <w:kern w:val="0"/>
                <w:sz w:val="24"/>
                <w:szCs w:val="24"/>
              </w:rPr>
              <w:t>960</w:t>
            </w:r>
          </w:p>
        </w:tc>
        <w:tc>
          <w:tcPr>
            <w:tcW w:w="1559"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c>
          <w:tcPr>
            <w:tcW w:w="2593" w:type="dxa"/>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41" w:type="dxa"/>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投标报价（小写）</w:t>
            </w:r>
          </w:p>
        </w:tc>
        <w:tc>
          <w:tcPr>
            <w:tcW w:w="7400" w:type="dxa"/>
            <w:gridSpan w:val="4"/>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41" w:type="dxa"/>
            <w:gridSpan w:val="4"/>
            <w:vAlign w:val="center"/>
          </w:tcPr>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投标报价（大写）</w:t>
            </w:r>
          </w:p>
        </w:tc>
        <w:tc>
          <w:tcPr>
            <w:tcW w:w="7400" w:type="dxa"/>
            <w:gridSpan w:val="4"/>
            <w:vAlign w:val="center"/>
          </w:tcPr>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rPr>
            </w:pPr>
          </w:p>
        </w:tc>
      </w:tr>
    </w:tbl>
    <w:p>
      <w:pPr>
        <w:kinsoku/>
        <w:wordWrap w:val="0"/>
        <w:overflowPunct/>
        <w:topLinePunct w:val="0"/>
        <w:bidi w:val="0"/>
        <w:snapToGrid w:val="0"/>
        <w:spacing w:line="360" w:lineRule="auto"/>
        <w:ind w:left="480" w:firstLine="9120" w:firstLineChars="380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名称（电子签名）：</w:t>
      </w:r>
    </w:p>
    <w:p>
      <w:pPr>
        <w:pStyle w:val="81"/>
        <w:kinsoku/>
        <w:wordWrap w:val="0"/>
        <w:overflowPunct/>
        <w:topLinePunct w:val="0"/>
        <w:bidi w:val="0"/>
        <w:ind w:firstLine="9600" w:firstLineChars="4000"/>
        <w:rPr>
          <w:rFonts w:hint="eastAsia" w:ascii="仿宋_GB2312" w:hAnsi="仿宋_GB2312" w:eastAsia="仿宋_GB2312" w:cs="仿宋_GB2312"/>
          <w:color w:val="auto"/>
          <w:highlight w:val="none"/>
          <w:lang w:val="zh-CN"/>
        </w:rPr>
      </w:pPr>
      <w:r>
        <w:rPr>
          <w:rFonts w:hint="eastAsia" w:ascii="仿宋_GB2312" w:hAnsi="仿宋_GB2312" w:eastAsia="仿宋_GB2312" w:cs="仿宋_GB2312"/>
          <w:color w:val="auto"/>
          <w:sz w:val="24"/>
          <w:highlight w:val="none"/>
        </w:rPr>
        <w:t>日期：  年   月   日</w:t>
      </w:r>
    </w:p>
    <w:p>
      <w:pPr>
        <w:kinsoku/>
        <w:wordWrap w:val="0"/>
        <w:overflowPunct/>
        <w:topLinePunct w:val="0"/>
        <w:bidi w:val="0"/>
        <w:snapToGrid w:val="0"/>
        <w:spacing w:line="360" w:lineRule="auto"/>
        <w:ind w:left="480"/>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1、投标人需按本表格式填写</w:t>
      </w:r>
      <w:r>
        <w:rPr>
          <w:rFonts w:hint="eastAsia" w:ascii="仿宋_GB2312" w:hAnsi="仿宋_GB2312" w:eastAsia="仿宋_GB2312" w:cs="仿宋_GB2312"/>
          <w:b/>
          <w:color w:val="auto"/>
          <w:kern w:val="0"/>
          <w:sz w:val="24"/>
          <w:highlight w:val="none"/>
          <w:lang w:val="zh-CN"/>
        </w:rPr>
        <w:t>，</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2、有关本项目实施所涉及的一切费用均计入报价。</w:t>
      </w:r>
      <w:r>
        <w:rPr>
          <w:rFonts w:hint="eastAsia" w:ascii="仿宋_GB2312" w:hAnsi="仿宋_GB2312" w:eastAsia="仿宋_GB2312" w:cs="仿宋_GB2312"/>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不得出现“0元”“免费赠送”等形式的无偿报价，</w:t>
      </w:r>
      <w:r>
        <w:rPr>
          <w:rFonts w:hint="eastAsia" w:ascii="仿宋_GB2312" w:hAnsi="仿宋_GB2312" w:eastAsia="仿宋_GB2312" w:cs="仿宋_GB2312"/>
          <w:b/>
          <w:color w:val="auto"/>
          <w:kern w:val="0"/>
          <w:sz w:val="24"/>
          <w:highlight w:val="none"/>
        </w:rPr>
        <w:t>否则视为</w:t>
      </w:r>
      <w:r>
        <w:rPr>
          <w:rFonts w:hint="eastAsia" w:ascii="仿宋_GB2312" w:hAnsi="仿宋_GB2312" w:eastAsia="仿宋_GB2312" w:cs="仿宋_GB2312"/>
          <w:b/>
          <w:color w:val="auto"/>
          <w:sz w:val="24"/>
          <w:highlight w:val="none"/>
        </w:rPr>
        <w:t>投标文件含有采购人不能接受的附加条件，投标无效</w:t>
      </w:r>
      <w:r>
        <w:rPr>
          <w:rFonts w:hint="eastAsia" w:ascii="仿宋_GB2312" w:hAnsi="仿宋_GB2312" w:eastAsia="仿宋_GB2312" w:cs="仿宋_GB2312"/>
          <w:b/>
          <w:color w:val="auto"/>
          <w:kern w:val="0"/>
          <w:sz w:val="24"/>
          <w:highlight w:val="none"/>
          <w:lang w:val="zh-CN"/>
        </w:rPr>
        <w:t>；采购内容未包含在《开标一览表（报价表）》名称栏中，投标人不能作出合理解释的，</w:t>
      </w:r>
      <w:r>
        <w:rPr>
          <w:rFonts w:hint="eastAsia" w:ascii="仿宋_GB2312" w:hAnsi="仿宋_GB2312" w:eastAsia="仿宋_GB2312" w:cs="仿宋_GB2312"/>
          <w:b/>
          <w:color w:val="auto"/>
          <w:kern w:val="0"/>
          <w:sz w:val="24"/>
          <w:highlight w:val="none"/>
        </w:rPr>
        <w:t>视为</w:t>
      </w:r>
      <w:r>
        <w:rPr>
          <w:rFonts w:hint="eastAsia" w:ascii="仿宋_GB2312" w:hAnsi="仿宋_GB2312" w:eastAsia="仿宋_GB2312" w:cs="仿宋_GB2312"/>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kinsoku/>
        <w:wordWrap w:val="0"/>
        <w:overflowPunct/>
        <w:topLinePunct w:val="0"/>
        <w:bidi w:val="0"/>
        <w:snapToGrid w:val="0"/>
        <w:spacing w:line="360" w:lineRule="auto"/>
        <w:ind w:firstLine="480" w:firstLineChars="200"/>
        <w:jc w:val="lef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szCs w:val="22"/>
          <w:highlight w:val="none"/>
          <w:lang w:val="zh-CN"/>
        </w:rPr>
        <w:t>4、</w:t>
      </w:r>
      <w:r>
        <w:rPr>
          <w:rFonts w:hint="eastAsia" w:ascii="仿宋_GB2312" w:hAnsi="仿宋_GB2312"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_GB2312" w:hAnsi="仿宋_GB2312" w:eastAsia="仿宋_GB2312" w:cs="仿宋_GB2312"/>
          <w:b/>
          <w:color w:val="auto"/>
          <w:kern w:val="0"/>
          <w:sz w:val="24"/>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rPr>
        <w:t>二、</w:t>
      </w:r>
      <w:r>
        <w:rPr>
          <w:rFonts w:hint="eastAsia" w:ascii="仿宋_GB2312" w:hAnsi="仿宋_GB2312" w:eastAsia="仿宋_GB2312" w:cs="仿宋_GB2312"/>
          <w:color w:val="auto"/>
          <w:sz w:val="32"/>
          <w:szCs w:val="32"/>
          <w:highlight w:val="none"/>
        </w:rPr>
        <w:t>中小企业声明函</w:t>
      </w:r>
      <w:bookmarkStart w:id="49" w:name="_Hlk101259491"/>
      <w:r>
        <w:rPr>
          <w:rFonts w:hint="eastAsia" w:ascii="仿宋_GB2312" w:hAnsi="仿宋_GB2312" w:eastAsia="仿宋_GB2312" w:cs="仿宋_GB2312"/>
          <w:color w:val="auto"/>
          <w:sz w:val="32"/>
          <w:szCs w:val="32"/>
          <w:highlight w:val="none"/>
        </w:rPr>
        <w:t>（如有）</w:t>
      </w:r>
      <w:bookmarkEnd w:id="49"/>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kinsoku/>
        <w:wordWrap w:val="0"/>
        <w:overflowPunct/>
        <w:topLinePunct w:val="0"/>
        <w:bidi w:val="0"/>
        <w:rPr>
          <w:rFonts w:hint="eastAsia" w:ascii="仿宋_GB2312" w:hAnsi="仿宋_GB2312" w:eastAsia="仿宋_GB2312" w:cs="仿宋_GB2312"/>
          <w:b/>
          <w:color w:val="auto"/>
          <w:sz w:val="24"/>
          <w:highlight w:val="none"/>
        </w:rPr>
      </w:pPr>
    </w:p>
    <w:p>
      <w:pPr>
        <w:pStyle w:val="82"/>
        <w:kinsoku/>
        <w:wordWrap w:val="0"/>
        <w:overflowPunct/>
        <w:topLinePunct w:val="0"/>
        <w:bidi w:val="0"/>
        <w:rPr>
          <w:rFonts w:hint="eastAsia" w:ascii="仿宋_GB2312" w:hAnsi="仿宋_GB2312" w:eastAsia="仿宋_GB2312" w:cs="仿宋_GB2312"/>
          <w:b/>
          <w:color w:val="auto"/>
          <w:sz w:val="24"/>
          <w:highlight w:val="none"/>
        </w:rPr>
      </w:pPr>
    </w:p>
    <w:p>
      <w:pPr>
        <w:kinsoku/>
        <w:wordWrap w:val="0"/>
        <w:overflowPunct/>
        <w:topLinePunct w:val="0"/>
        <w:bidi w:val="0"/>
        <w:rPr>
          <w:rFonts w:hint="eastAsia" w:ascii="仿宋_GB2312" w:hAnsi="仿宋_GB2312" w:eastAsia="仿宋_GB2312" w:cs="仿宋_GB2312"/>
          <w:b/>
          <w:color w:val="auto"/>
          <w:sz w:val="24"/>
          <w:highlight w:val="none"/>
        </w:rPr>
      </w:pPr>
    </w:p>
    <w:p>
      <w:pPr>
        <w:pStyle w:val="81"/>
        <w:kinsoku/>
        <w:wordWrap w:val="0"/>
        <w:overflowPunct/>
        <w:topLinePunct w:val="0"/>
        <w:bidi w:val="0"/>
        <w:rPr>
          <w:rFonts w:hint="eastAsia" w:ascii="仿宋_GB2312" w:hAnsi="仿宋_GB2312" w:eastAsia="仿宋_GB2312" w:cs="仿宋_GB2312"/>
          <w:b/>
          <w:color w:val="auto"/>
          <w:sz w:val="24"/>
          <w:highlight w:val="none"/>
        </w:rPr>
      </w:pPr>
    </w:p>
    <w:p>
      <w:pPr>
        <w:pStyle w:val="82"/>
        <w:kinsoku/>
        <w:wordWrap w:val="0"/>
        <w:overflowPunct/>
        <w:topLinePunct w:val="0"/>
        <w:bidi w:val="0"/>
        <w:rPr>
          <w:rFonts w:hint="eastAsia" w:ascii="仿宋_GB2312" w:hAnsi="仿宋_GB2312" w:eastAsia="仿宋_GB2312" w:cs="仿宋_GB2312"/>
          <w:color w:val="auto"/>
          <w:highlight w:val="none"/>
        </w:rPr>
      </w:pPr>
    </w:p>
    <w:p>
      <w:pPr>
        <w:pStyle w:val="82"/>
        <w:kinsoku/>
        <w:wordWrap w:val="0"/>
        <w:overflowPunct/>
        <w:topLinePunct w:val="0"/>
        <w:bidi w:val="0"/>
        <w:rPr>
          <w:rFonts w:hint="eastAsia" w:ascii="仿宋_GB2312" w:hAnsi="仿宋_GB2312" w:eastAsia="仿宋_GB2312" w:cs="仿宋_GB2312"/>
          <w:color w:val="auto"/>
          <w:highlight w:val="none"/>
        </w:rPr>
      </w:pPr>
    </w:p>
    <w:p>
      <w:pPr>
        <w:widowControl/>
        <w:kinsoku/>
        <w:wordWrap w:val="0"/>
        <w:overflowPunct/>
        <w:topLinePunct w:val="0"/>
        <w:bidi w:val="0"/>
        <w:adjustRightInd w:val="0"/>
        <w:spacing w:line="360" w:lineRule="auto"/>
        <w:ind w:firstLine="161" w:firstLineChars="50"/>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i w:val="0"/>
          <w:iCs w:val="0"/>
          <w:color w:val="auto"/>
          <w:kern w:val="2"/>
          <w:sz w:val="32"/>
          <w:szCs w:val="32"/>
          <w:highlight w:val="none"/>
          <w:vertAlign w:val="baseline"/>
          <w:lang w:val="en-US" w:eastAsia="zh-CN" w:bidi="ar-SA"/>
        </w:rPr>
        <w:t>三、残疾人福利性单位声明函（如有）</w:t>
      </w:r>
    </w:p>
    <w:p>
      <w:pPr>
        <w:widowControl/>
        <w:kinsoku/>
        <w:wordWrap w:val="0"/>
        <w:overflowPunct/>
        <w:topLinePunct w:val="0"/>
        <w:autoSpaceDE w:val="0"/>
        <w:autoSpaceDN w:val="0"/>
        <w:bidi w:val="0"/>
        <w:adjustRightInd w:val="0"/>
        <w:spacing w:line="360" w:lineRule="auto"/>
        <w:ind w:firstLine="120" w:firstLineChars="5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_GB2312" w:hAnsi="仿宋_GB2312" w:eastAsia="仿宋_GB2312" w:cs="仿宋_GB2312"/>
          <w:b/>
          <w:bCs/>
          <w:i w:val="0"/>
          <w:iCs w:val="0"/>
          <w:snapToGrid w:val="0"/>
          <w:color w:val="auto"/>
          <w:kern w:val="2"/>
          <w:sz w:val="24"/>
          <w:szCs w:val="21"/>
          <w:highlight w:val="none"/>
          <w:vertAlign w:val="baseline"/>
          <w:lang w:val="en-US" w:eastAsia="zh-CN" w:bidi="ar-SA"/>
        </w:rPr>
        <w:t>6</w:t>
      </w:r>
      <w:r>
        <w:rPr>
          <w:rFonts w:hint="eastAsia" w:ascii="仿宋_GB2312" w:hAnsi="仿宋_GB2312" w:eastAsia="仿宋_GB2312" w:cs="仿宋_GB2312"/>
          <w:b/>
          <w:bCs/>
          <w:i w:val="0"/>
          <w:iCs w:val="0"/>
          <w:snapToGrid w:val="0"/>
          <w:color w:val="auto"/>
          <w:kern w:val="2"/>
          <w:sz w:val="24"/>
          <w:szCs w:val="21"/>
          <w:highlight w:val="none"/>
          <w:vertAlign w:val="baseline"/>
          <w:lang w:val="zh-CN" w:eastAsia="zh-CN" w:bidi="ar-SA"/>
        </w:rPr>
        <w:t>)，否则不需要提供。]</w:t>
      </w:r>
    </w:p>
    <w:p>
      <w:pPr>
        <w:pStyle w:val="81"/>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p>
    <w:p>
      <w:pPr>
        <w:pStyle w:val="82"/>
        <w:widowControl/>
        <w:numPr>
          <w:ilvl w:val="0"/>
          <w:numId w:val="0"/>
        </w:numPr>
        <w:kinsoku/>
        <w:wordWrap w:val="0"/>
        <w:overflowPunct/>
        <w:topLinePunct w:val="0"/>
        <w:bidi w:val="0"/>
        <w:spacing w:line="360" w:lineRule="auto"/>
        <w:ind w:firstLine="120" w:firstLineChars="50"/>
        <w:jc w:val="left"/>
        <w:rPr>
          <w:rFonts w:hint="eastAsia" w:ascii="仿宋_GB2312" w:hAnsi="仿宋_GB2312" w:eastAsia="仿宋_GB2312" w:cs="仿宋_GB2312"/>
          <w:b/>
          <w:color w:val="auto"/>
          <w:sz w:val="24"/>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_GB2312" w:hAnsi="仿宋_GB2312" w:eastAsia="仿宋_GB2312" w:cs="仿宋_GB2312"/>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_GB2312" w:hAnsi="仿宋_GB2312" w:eastAsia="仿宋_GB2312" w:cs="仿宋_GB2312"/>
          <w:b/>
          <w:color w:val="auto"/>
          <w:kern w:val="0"/>
          <w:sz w:val="36"/>
          <w:szCs w:val="36"/>
          <w:highlight w:val="none"/>
        </w:rPr>
      </w:pPr>
    </w:p>
    <w:p>
      <w:pPr>
        <w:pStyle w:val="6"/>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_GB2312" w:hAnsi="仿宋_GB2312" w:eastAsia="仿宋_GB2312" w:cs="仿宋_GB2312"/>
          <w:color w:val="auto"/>
          <w:highlight w:val="none"/>
        </w:rPr>
      </w:pPr>
      <w:bookmarkStart w:id="50" w:name="_Toc465665161"/>
      <w:r>
        <w:rPr>
          <w:rFonts w:hint="eastAsia" w:ascii="仿宋_GB2312" w:hAnsi="仿宋_GB2312" w:eastAsia="仿宋_GB2312" w:cs="仿宋_GB2312"/>
          <w:color w:val="auto"/>
          <w:highlight w:val="none"/>
        </w:rPr>
        <w:t>附件</w:t>
      </w:r>
      <w:bookmarkEnd w:id="50"/>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1</w:t>
      </w:r>
      <w:r>
        <w:rPr>
          <w:rFonts w:hint="eastAsia" w:ascii="仿宋_GB2312" w:hAnsi="仿宋_GB2312" w:eastAsia="仿宋_GB2312" w:cs="仿宋_GB2312"/>
          <w:b/>
          <w:color w:val="auto"/>
          <w:spacing w:val="6"/>
          <w:sz w:val="32"/>
          <w:szCs w:val="32"/>
          <w:highlight w:val="none"/>
        </w:rPr>
        <w:t>：质疑函范本及制作说明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一、质疑供应商基本信息</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质疑供应商：</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地址： </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二、质疑项目基本情况</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质疑项目的编号：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采购文件获取日期：</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三、质疑事项具体内容</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质疑事项2</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四、与质疑事项相关的质疑请求</w:t>
      </w:r>
    </w:p>
    <w:p>
      <w:pPr>
        <w:kinsoku/>
        <w:wordWrap w:val="0"/>
        <w:overflowPunct/>
        <w:topLinePunct w:val="0"/>
        <w:bidi w:val="0"/>
        <w:snapToGrid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jc w:val="center"/>
        <w:rPr>
          <w:rFonts w:hint="eastAsia" w:ascii="仿宋_GB2312" w:hAnsi="仿宋_GB2312" w:eastAsia="仿宋_GB2312" w:cs="仿宋_GB2312"/>
          <w:b/>
          <w:bCs/>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2.质疑供应商若委托代理人进行质疑的，质疑函应按要求列明“授权代表”的有关内容，并在附件中提交由质疑</w:t>
      </w:r>
      <w:r>
        <w:rPr>
          <w:rFonts w:hint="eastAsia" w:ascii="仿宋_GB2312" w:hAnsi="仿宋_GB2312" w:eastAsia="仿宋_GB2312" w:cs="仿宋_GB2312"/>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_GB2312" w:hAnsi="仿宋_GB2312" w:eastAsia="仿宋_GB2312" w:cs="仿宋_GB2312"/>
          <w:color w:val="auto"/>
          <w:sz w:val="30"/>
          <w:szCs w:val="30"/>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2</w:t>
      </w:r>
      <w:r>
        <w:rPr>
          <w:rFonts w:hint="eastAsia" w:ascii="仿宋_GB2312" w:hAnsi="仿宋_GB2312" w:eastAsia="仿宋_GB2312" w:cs="仿宋_GB2312"/>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_GB2312" w:hAnsi="仿宋_GB2312" w:eastAsia="仿宋_GB2312" w:cs="仿宋_GB2312"/>
          <w:b/>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投诉书范本</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一、投诉相关主体基本情况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法定代表人/主要负责人：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tabs>
          <w:tab w:val="left" w:pos="6510"/>
        </w:tabs>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授权代表：</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被投诉人1：</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被投诉人2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相关供应商：</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邮编：</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联系人：</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联系电话：</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二、投诉项目基本情况</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采购项目名称：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采购项目编号：</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包号：</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采购人名称：</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u w:val="singl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代理机构名称：</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采购文件公告: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采购结果公告:</w:t>
      </w:r>
      <w:r>
        <w:rPr>
          <w:rFonts w:hint="eastAsia" w:ascii="仿宋_GB2312" w:hAnsi="仿宋_GB2312" w:eastAsia="仿宋_GB2312" w:cs="仿宋_GB2312"/>
          <w:color w:val="auto"/>
          <w:sz w:val="24"/>
          <w:highlight w:val="none"/>
          <w:u w:val="dotted"/>
        </w:rPr>
        <w:t xml:space="preserve">是/否 </w:t>
      </w:r>
      <w:r>
        <w:rPr>
          <w:rFonts w:hint="eastAsia" w:ascii="仿宋_GB2312" w:hAnsi="仿宋_GB2312" w:eastAsia="仿宋_GB2312" w:cs="仿宋_GB2312"/>
          <w:color w:val="auto"/>
          <w:sz w:val="24"/>
          <w:highlight w:val="none"/>
        </w:rPr>
        <w:t>公告期限：</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三、质疑基本情况</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投诉人于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日,向</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提出质疑，质疑事项为：</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dotted"/>
        </w:rPr>
        <w:t>采购人/代理机构</w:t>
      </w:r>
      <w:r>
        <w:rPr>
          <w:rFonts w:hint="eastAsia" w:ascii="仿宋_GB2312" w:hAnsi="仿宋_GB2312" w:eastAsia="仿宋_GB2312" w:cs="仿宋_GB2312"/>
          <w:color w:val="auto"/>
          <w:sz w:val="24"/>
          <w:highlight w:val="none"/>
        </w:rPr>
        <w:t>于</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四、投诉事项具体内容</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投诉事项 1：</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事实依据：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法律依据：</w:t>
      </w: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u w:val="dotted"/>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投诉事项2</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dotted"/>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五、与投诉事项相关的投诉请求</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请求：</w:t>
      </w:r>
      <w:r>
        <w:rPr>
          <w:rFonts w:hint="eastAsia" w:ascii="仿宋_GB2312" w:hAnsi="仿宋_GB2312" w:eastAsia="仿宋_GB2312" w:cs="仿宋_GB2312"/>
          <w:color w:val="auto"/>
          <w:sz w:val="24"/>
          <w:highlight w:val="none"/>
          <w:u w:val="dotted"/>
        </w:rPr>
        <w:t xml:space="preserve">                                              </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签字(签章)：                   公章：                      </w:t>
      </w: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日期：    </w:t>
      </w:r>
    </w:p>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2.投诉人若委托代理人进行投诉的，投诉书应按照要求列明“授权代表”的有关内容，并在附件中提交由</w:t>
      </w:r>
      <w:r>
        <w:rPr>
          <w:rFonts w:hint="eastAsia" w:ascii="仿宋_GB2312" w:hAnsi="仿宋_GB2312" w:eastAsia="仿宋_GB2312" w:cs="仿宋_GB2312"/>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color w:val="auto"/>
          <w:sz w:val="24"/>
          <w:highlight w:val="none"/>
        </w:rPr>
        <w:t>7.投诉人为自然人的，投诉书应当由本人签字；投诉人为法人或者其他组织的，投诉书应当由法定代表人、主要负责人，或者其授权代表签字或者盖章，并加盖公章。</w:t>
      </w: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3</w:t>
      </w:r>
      <w:r>
        <w:rPr>
          <w:rFonts w:hint="eastAsia" w:ascii="仿宋_GB2312" w:hAnsi="仿宋_GB2312" w:eastAsia="仿宋_GB2312" w:cs="仿宋_GB2312"/>
          <w:b/>
          <w:color w:val="auto"/>
          <w:spacing w:val="6"/>
          <w:sz w:val="32"/>
          <w:szCs w:val="32"/>
          <w:highlight w:val="none"/>
        </w:rPr>
        <w:t>：</w:t>
      </w:r>
      <w:r>
        <w:rPr>
          <w:rFonts w:hint="eastAsia" w:ascii="仿宋_GB2312" w:hAnsi="仿宋_GB2312" w:eastAsia="仿宋_GB2312" w:cs="仿宋_GB2312"/>
          <w:b/>
          <w:bCs/>
          <w:color w:val="auto"/>
          <w:sz w:val="32"/>
          <w:szCs w:val="32"/>
          <w:highlight w:val="none"/>
        </w:rPr>
        <w:t>业务专用章使用说明函</w:t>
      </w:r>
    </w:p>
    <w:p>
      <w:pPr>
        <w:kinsoku/>
        <w:wordWrap w:val="0"/>
        <w:overflowPunct/>
        <w:topLinePunct w:val="0"/>
        <w:bidi w:val="0"/>
        <w:spacing w:line="360" w:lineRule="auto"/>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w:t>
      </w:r>
      <w:r>
        <w:rPr>
          <w:rFonts w:hint="eastAsia" w:ascii="仿宋_GB2312" w:hAnsi="仿宋_GB2312" w:eastAsia="仿宋_GB2312" w:cs="仿宋_GB2312"/>
          <w:color w:val="auto"/>
          <w:sz w:val="24"/>
          <w:highlight w:val="none"/>
          <w:u w:val="single"/>
          <w:lang w:eastAsia="zh-CN"/>
        </w:rPr>
        <w:t>绍兴市公共资源交易中心</w:t>
      </w:r>
      <w:r>
        <w:rPr>
          <w:rFonts w:hint="eastAsia" w:ascii="仿宋_GB2312" w:hAnsi="仿宋_GB2312" w:eastAsia="仿宋_GB2312" w:cs="仿宋_GB2312"/>
          <w:color w:val="auto"/>
          <w:sz w:val="24"/>
          <w:highlight w:val="none"/>
          <w:u w:val="single"/>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zh-CN"/>
        </w:rPr>
        <w:t>我方</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sz w:val="24"/>
          <w:highlight w:val="none"/>
        </w:rPr>
        <w:t>(投标人全称)是中华人民共和国依法登记注册的合法企业，</w:t>
      </w:r>
      <w:r>
        <w:rPr>
          <w:rFonts w:hint="eastAsia" w:ascii="仿宋_GB2312" w:hAnsi="仿宋_GB2312" w:eastAsia="仿宋_GB2312" w:cs="仿宋_GB2312"/>
          <w:bCs/>
          <w:color w:val="auto"/>
          <w:sz w:val="24"/>
          <w:highlight w:val="none"/>
        </w:rPr>
        <w:t>在参加</w:t>
      </w:r>
      <w:r>
        <w:rPr>
          <w:rFonts w:hint="eastAsia" w:ascii="仿宋_GB2312" w:hAnsi="仿宋_GB2312" w:eastAsia="仿宋_GB2312" w:cs="仿宋_GB2312"/>
          <w:color w:val="auto"/>
          <w:sz w:val="24"/>
          <w:highlight w:val="none"/>
        </w:rPr>
        <w:t>你方组织的</w:t>
      </w:r>
      <w:r>
        <w:rPr>
          <w:rFonts w:hint="eastAsia" w:ascii="仿宋_GB2312" w:hAnsi="仿宋_GB2312" w:eastAsia="仿宋_GB2312" w:cs="仿宋_GB2312"/>
          <w:color w:val="auto"/>
          <w:sz w:val="24"/>
          <w:highlight w:val="none"/>
          <w:lang w:eastAsia="zh-CN"/>
        </w:rPr>
        <w:t>绍兴市中医院超融合等采购项目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2025-05-0038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Cs/>
          <w:color w:val="auto"/>
          <w:sz w:val="24"/>
          <w:highlight w:val="none"/>
        </w:rPr>
        <w:t>投标活动中作如下说明：</w:t>
      </w:r>
      <w:r>
        <w:rPr>
          <w:rFonts w:hint="eastAsia" w:ascii="仿宋_GB2312" w:hAnsi="仿宋_GB2312" w:eastAsia="仿宋_GB2312" w:cs="仿宋_GB2312"/>
          <w:color w:val="auto"/>
          <w:sz w:val="24"/>
          <w:highlight w:val="none"/>
        </w:rPr>
        <w:t xml:space="preserve">我方所使用的“XX专用章”与法定名称章具有同等的法律效力，对使用“XX专用章”的行为予以完全承认，并愿意承担相应责任。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特此说明。</w:t>
      </w: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94"/>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right="480" w:firstLine="4080" w:firstLineChars="17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投标单位（法定名称章）：</w:t>
      </w:r>
    </w:p>
    <w:p>
      <w:pPr>
        <w:kinsoku/>
        <w:wordWrap w:val="0"/>
        <w:overflowPunct/>
        <w:topLinePunct w:val="0"/>
        <w:bidi w:val="0"/>
        <w:ind w:right="1440" w:firstLine="494"/>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日期：       年     月     日</w:t>
      </w:r>
    </w:p>
    <w:p>
      <w:pPr>
        <w:pStyle w:val="81"/>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w:t>
      </w: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_GB2312" w:hAnsi="仿宋_GB2312" w:eastAsia="仿宋_GB2312" w:cs="仿宋_GB2312"/>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_GB2312" w:hAnsi="仿宋_GB2312" w:eastAsia="仿宋_GB2312" w:cs="仿宋_GB2312"/>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4</w:t>
      </w:r>
      <w:r>
        <w:rPr>
          <w:rFonts w:hint="eastAsia" w:ascii="仿宋_GB2312" w:hAnsi="仿宋_GB2312" w:eastAsia="仿宋_GB2312" w:cs="仿宋_GB2312"/>
          <w:b/>
          <w:color w:val="auto"/>
          <w:kern w:val="0"/>
          <w:sz w:val="32"/>
          <w:szCs w:val="32"/>
          <w:highlight w:val="none"/>
        </w:rPr>
        <w:t>：联合协议</w:t>
      </w:r>
    </w:p>
    <w:p>
      <w:pPr>
        <w:widowControl/>
        <w:kinsoku/>
        <w:wordWrap w:val="0"/>
        <w:overflowPunct/>
        <w:topLinePunct w:val="0"/>
        <w:bidi w:val="0"/>
        <w:spacing w:line="360" w:lineRule="auto"/>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（以联合体形式投标的，提供联合协议；本项目不接受联合体投标或者投标人不以联合体形式投标的，则不需要提供）</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（联合体所有成员名称）</w:t>
      </w:r>
      <w:r>
        <w:rPr>
          <w:rFonts w:hint="eastAsia" w:ascii="仿宋_GB2312" w:hAnsi="仿宋_GB2312" w:eastAsia="仿宋_GB2312" w:cs="仿宋_GB2312"/>
          <w:color w:val="auto"/>
          <w:kern w:val="0"/>
          <w:sz w:val="24"/>
          <w:highlight w:val="none"/>
        </w:rPr>
        <w:t>自愿</w:t>
      </w:r>
      <w:r>
        <w:rPr>
          <w:rFonts w:hint="eastAsia" w:ascii="仿宋_GB2312" w:hAnsi="仿宋_GB2312" w:eastAsia="仿宋_GB2312" w:cs="仿宋_GB2312"/>
          <w:color w:val="auto"/>
          <w:kern w:val="0"/>
          <w:sz w:val="24"/>
          <w:highlight w:val="none"/>
          <w:lang w:val="zh-CN"/>
        </w:rPr>
        <w:t>组成一个联合体，以一个投标人的身份</w:t>
      </w:r>
      <w:r>
        <w:rPr>
          <w:rFonts w:hint="eastAsia" w:ascii="仿宋_GB2312" w:hAnsi="仿宋_GB2312" w:eastAsia="仿宋_GB2312" w:cs="仿宋_GB2312"/>
          <w:color w:val="auto"/>
          <w:kern w:val="0"/>
          <w:sz w:val="24"/>
          <w:highlight w:val="none"/>
        </w:rPr>
        <w:t>参加</w:t>
      </w:r>
      <w:r>
        <w:rPr>
          <w:rFonts w:hint="eastAsia" w:ascii="仿宋_GB2312" w:hAnsi="仿宋_GB2312" w:eastAsia="仿宋_GB2312" w:cs="仿宋_GB2312"/>
          <w:color w:val="auto"/>
          <w:sz w:val="24"/>
          <w:highlight w:val="none"/>
          <w:lang w:eastAsia="zh-CN"/>
        </w:rPr>
        <w:t>绍兴市中医院超融合等采购项目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2025-05-0038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 xml:space="preserve">投标。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一、各方一致决定，</w:t>
      </w:r>
      <w:r>
        <w:rPr>
          <w:rFonts w:hint="eastAsia" w:ascii="仿宋_GB2312" w:hAnsi="仿宋_GB2312" w:eastAsia="仿宋_GB2312" w:cs="仿宋_GB2312"/>
          <w:color w:val="auto"/>
          <w:kern w:val="0"/>
          <w:sz w:val="24"/>
          <w:highlight w:val="none"/>
          <w:u w:val="single"/>
        </w:rPr>
        <w:t>（某联合体成员名称）</w:t>
      </w:r>
      <w:r>
        <w:rPr>
          <w:rFonts w:hint="eastAsia" w:ascii="仿宋_GB2312" w:hAnsi="仿宋_GB2312" w:eastAsia="仿宋_GB2312" w:cs="仿宋_GB2312"/>
          <w:color w:val="auto"/>
          <w:kern w:val="0"/>
          <w:sz w:val="24"/>
          <w:highlight w:val="none"/>
        </w:rPr>
        <w:t>为联合体</w:t>
      </w:r>
      <w:r>
        <w:rPr>
          <w:rFonts w:hint="eastAsia" w:ascii="仿宋_GB2312" w:hAnsi="仿宋_GB2312" w:eastAsia="仿宋_GB2312" w:cs="仿宋_GB2312"/>
          <w:color w:val="auto"/>
          <w:kern w:val="0"/>
          <w:sz w:val="24"/>
          <w:highlight w:val="none"/>
          <w:lang w:val="zh-CN"/>
        </w:rPr>
        <w:t>牵头人</w:t>
      </w:r>
      <w:r>
        <w:rPr>
          <w:rFonts w:hint="eastAsia" w:ascii="仿宋_GB2312" w:hAnsi="仿宋_GB2312" w:eastAsia="仿宋_GB2312" w:cs="仿宋_GB2312"/>
          <w:color w:val="auto"/>
          <w:sz w:val="24"/>
          <w:highlight w:val="none"/>
        </w:rPr>
        <w:t>，代表所有联合体成员负责投标和合同实施阶段的主办、协调工作</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w:t>
      </w:r>
      <w:r>
        <w:rPr>
          <w:rFonts w:hint="eastAsia" w:ascii="仿宋_GB2312" w:hAnsi="仿宋_GB2312" w:eastAsia="仿宋_GB2312" w:cs="仿宋_GB2312"/>
          <w:color w:val="auto"/>
          <w:sz w:val="24"/>
          <w:highlight w:val="none"/>
        </w:rPr>
        <w:t>所有联合体成员各方签署授权书，授权书载明的</w:t>
      </w:r>
      <w:r>
        <w:rPr>
          <w:rFonts w:hint="eastAsia" w:ascii="仿宋_GB2312" w:hAnsi="仿宋_GB2312" w:eastAsia="仿宋_GB2312" w:cs="仿宋_GB2312"/>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三、本次联合投标中，分工如下：</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bookmarkStart w:id="51" w:name="_Hlk101134295"/>
      <w:r>
        <w:rPr>
          <w:rFonts w:hint="eastAsia" w:ascii="仿宋_GB2312" w:hAnsi="仿宋_GB2312" w:eastAsia="仿宋_GB2312" w:cs="仿宋_GB2312"/>
          <w:color w:val="auto"/>
          <w:kern w:val="0"/>
          <w:sz w:val="24"/>
          <w:highlight w:val="none"/>
          <w:u w:val="single"/>
        </w:rPr>
        <w:t>（联合体成员1）</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（联合体成员2）</w:t>
      </w:r>
      <w:r>
        <w:rPr>
          <w:rFonts w:hint="eastAsia" w:ascii="仿宋_GB2312" w:hAnsi="仿宋_GB2312" w:eastAsia="仿宋_GB2312" w:cs="仿宋_GB2312"/>
          <w:color w:val="auto"/>
          <w:kern w:val="0"/>
          <w:sz w:val="24"/>
          <w:highlight w:val="none"/>
          <w:lang w:val="zh-CN"/>
        </w:rPr>
        <w:t>承担的工作和义务为：</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w:t>
      </w:r>
    </w:p>
    <w:bookmarkEnd w:id="51"/>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四、联合体成员中小企业合同份额。</w:t>
      </w:r>
    </w:p>
    <w:p>
      <w:pPr>
        <w:kinsoku/>
        <w:wordWrap w:val="0"/>
        <w:overflowPunct/>
        <w:topLinePunct w:val="0"/>
        <w:bidi w:val="0"/>
        <w:snapToGrid w:val="0"/>
        <w:spacing w:line="360" w:lineRule="auto"/>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r>
        <w:rPr>
          <w:rFonts w:hint="eastAsia" w:ascii="仿宋_GB2312" w:hAnsi="仿宋_GB2312" w:eastAsia="仿宋_GB2312" w:cs="仿宋_GB2312"/>
          <w:color w:val="auto"/>
          <w:kern w:val="0"/>
          <w:sz w:val="24"/>
          <w:highlight w:val="none"/>
          <w:u w:val="single"/>
        </w:rPr>
        <w:t>（联合体成员X,……）</w:t>
      </w:r>
      <w:r>
        <w:rPr>
          <w:rFonts w:hint="eastAsia" w:ascii="仿宋_GB2312" w:hAnsi="仿宋_GB2312" w:eastAsia="仿宋_GB2312" w:cs="仿宋_GB2312"/>
          <w:color w:val="auto"/>
          <w:kern w:val="0"/>
          <w:sz w:val="24"/>
          <w:highlight w:val="none"/>
        </w:rPr>
        <w:t>提供的全部货物由小微企业制造，其合同份额占到合同总金额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五、如果中标，</w:t>
      </w:r>
      <w:r>
        <w:rPr>
          <w:rFonts w:hint="eastAsia" w:ascii="仿宋_GB2312" w:hAnsi="仿宋_GB2312" w:eastAsia="仿宋_GB2312" w:cs="仿宋_GB2312"/>
          <w:color w:val="auto"/>
          <w:sz w:val="24"/>
          <w:highlight w:val="none"/>
        </w:rPr>
        <w:t>联合体各成员方共同与采购人签订合同，并就采购合同约定的事项对采购人承担连带责任。</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六、有关本次联合投标的其他事宜：</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1、联合体各方不再单独参加或者与其他供应商另外组成联合体参加同一合同项下的政府采购活动。</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2、联合体中有同类资质的各方按照联合体分工承担相同工作的，按照资质等级较低的供应商确定资质等级。</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3、本协议提交采购人、采购代理机构后，联合体各方不得以任何形式对上述内容进行修改或撤销。</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联合体成员名称(电子签名/公章)：</w:t>
      </w:r>
    </w:p>
    <w:p>
      <w:pPr>
        <w:kinsoku/>
        <w:wordWrap w:val="0"/>
        <w:overflowPunct/>
        <w:topLinePunct w:val="0"/>
        <w:bidi w:val="0"/>
        <w:snapToGrid w:val="0"/>
        <w:spacing w:line="360" w:lineRule="auto"/>
        <w:ind w:right="960"/>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  年  月   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_GB2312" w:hAnsi="仿宋_GB2312" w:eastAsia="仿宋_GB2312" w:cs="仿宋_GB2312"/>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附件</w:t>
      </w:r>
      <w:r>
        <w:rPr>
          <w:rFonts w:hint="eastAsia" w:ascii="仿宋_GB2312" w:hAnsi="仿宋_GB2312" w:eastAsia="仿宋_GB2312" w:cs="仿宋_GB2312"/>
          <w:b/>
          <w:color w:val="auto"/>
          <w:kern w:val="0"/>
          <w:sz w:val="32"/>
          <w:szCs w:val="32"/>
          <w:highlight w:val="none"/>
          <w:lang w:val="en-US" w:eastAsia="zh-CN"/>
        </w:rPr>
        <w:t>5</w:t>
      </w:r>
      <w:r>
        <w:rPr>
          <w:rFonts w:hint="eastAsia" w:ascii="仿宋_GB2312" w:hAnsi="仿宋_GB2312" w:eastAsia="仿宋_GB2312" w:cs="仿宋_GB2312"/>
          <w:b/>
          <w:color w:val="auto"/>
          <w:kern w:val="0"/>
          <w:sz w:val="32"/>
          <w:szCs w:val="32"/>
          <w:highlight w:val="none"/>
        </w:rPr>
        <w:t>：分包意向协议</w:t>
      </w:r>
    </w:p>
    <w:p>
      <w:pPr>
        <w:widowControl/>
        <w:kinsoku/>
        <w:wordWrap w:val="0"/>
        <w:overflowPunct/>
        <w:topLinePunct w:val="0"/>
        <w:bidi w:val="0"/>
        <w:spacing w:line="360" w:lineRule="auto"/>
        <w:ind w:firstLine="120" w:firstLineChars="5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color w:val="auto"/>
          <w:sz w:val="24"/>
          <w:highlight w:val="none"/>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若成为</w:t>
      </w:r>
      <w:r>
        <w:rPr>
          <w:rFonts w:hint="eastAsia" w:ascii="仿宋_GB2312" w:hAnsi="仿宋_GB2312" w:eastAsia="仿宋_GB2312" w:cs="仿宋_GB2312"/>
          <w:color w:val="auto"/>
          <w:sz w:val="24"/>
          <w:highlight w:val="none"/>
          <w:lang w:eastAsia="zh-CN"/>
        </w:rPr>
        <w:t>绍兴市中医院超融合等采购项目</w:t>
      </w:r>
      <w:r>
        <w:rPr>
          <w:rFonts w:hint="eastAsia" w:ascii="仿宋_GB2312" w:hAnsi="仿宋_GB2312" w:eastAsia="仿宋_GB2312" w:cs="仿宋_GB2312"/>
          <w:color w:val="auto"/>
          <w:sz w:val="24"/>
          <w:highlight w:val="none"/>
        </w:rPr>
        <w:t>【招标编号：</w:t>
      </w:r>
      <w:r>
        <w:rPr>
          <w:rFonts w:hint="eastAsia" w:ascii="仿宋_GB2312" w:hAnsi="仿宋_GB2312" w:eastAsia="仿宋_GB2312" w:cs="仿宋_GB2312"/>
          <w:color w:val="auto"/>
          <w:sz w:val="24"/>
          <w:highlight w:val="none"/>
          <w:lang w:eastAsia="zh-CN"/>
        </w:rPr>
        <w:t>2025-05-0038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的中标供应商，将依法采取分包方式履行合同。</w:t>
      </w: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rPr>
        <w:t>与</w:t>
      </w:r>
      <w:r>
        <w:rPr>
          <w:rFonts w:hint="eastAsia" w:ascii="仿宋_GB2312" w:hAnsi="仿宋_GB2312" w:eastAsia="仿宋_GB2312" w:cs="仿宋_GB2312"/>
          <w:color w:val="auto"/>
          <w:kern w:val="0"/>
          <w:sz w:val="24"/>
          <w:highlight w:val="none"/>
          <w:u w:val="single"/>
        </w:rPr>
        <w:t>（所有分包供应商名称）</w:t>
      </w:r>
      <w:r>
        <w:rPr>
          <w:rFonts w:hint="eastAsia" w:ascii="仿宋_GB2312" w:hAnsi="仿宋_GB2312" w:eastAsia="仿宋_GB2312" w:cs="仿宋_GB2312"/>
          <w:color w:val="auto"/>
          <w:kern w:val="0"/>
          <w:sz w:val="24"/>
          <w:highlight w:val="none"/>
        </w:rPr>
        <w:t>达成分包意向协议</w:t>
      </w:r>
      <w:r>
        <w:rPr>
          <w:rFonts w:hint="eastAsia" w:ascii="仿宋_GB2312" w:hAnsi="仿宋_GB2312" w:eastAsia="仿宋_GB2312" w:cs="仿宋_GB2312"/>
          <w:color w:val="auto"/>
          <w:kern w:val="0"/>
          <w:sz w:val="24"/>
          <w:highlight w:val="none"/>
          <w:lang w:val="zh-CN"/>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一、分包标的及数量</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u w:val="single"/>
        </w:rPr>
        <w:t>（投标人名称）</w:t>
      </w:r>
      <w:r>
        <w:rPr>
          <w:rFonts w:hint="eastAsia" w:ascii="仿宋_GB2312" w:hAnsi="仿宋_GB2312" w:eastAsia="仿宋_GB2312" w:cs="仿宋_GB2312"/>
          <w:color w:val="auto"/>
          <w:kern w:val="0"/>
          <w:sz w:val="24"/>
          <w:highlight w:val="none"/>
          <w:lang w:val="zh-CN"/>
        </w:rPr>
        <w:t>将</w:t>
      </w: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kern w:val="0"/>
          <w:sz w:val="24"/>
          <w:highlight w:val="none"/>
          <w:u w:val="single"/>
        </w:rPr>
        <w:t xml:space="preserve">  XX工作内容   </w:t>
      </w:r>
      <w:r>
        <w:rPr>
          <w:rFonts w:hint="eastAsia" w:ascii="仿宋_GB2312" w:hAnsi="仿宋_GB2312" w:eastAsia="仿宋_GB2312" w:cs="仿宋_GB2312"/>
          <w:color w:val="auto"/>
          <w:sz w:val="24"/>
          <w:highlight w:val="none"/>
        </w:rPr>
        <w:t>分包给</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u w:val="single"/>
        </w:rPr>
        <w:t>（分包供应商1名称），</w:t>
      </w:r>
      <w:r>
        <w:rPr>
          <w:rFonts w:hint="eastAsia" w:ascii="仿宋_GB2312" w:hAnsi="仿宋_GB2312" w:eastAsia="仿宋_GB2312" w:cs="仿宋_GB2312"/>
          <w:color w:val="auto"/>
          <w:kern w:val="0"/>
          <w:sz w:val="24"/>
          <w:highlight w:val="none"/>
          <w:lang w:val="zh-CN"/>
        </w:rPr>
        <w:t>具备承</w:t>
      </w:r>
      <w:r>
        <w:rPr>
          <w:rFonts w:hint="eastAsia" w:ascii="仿宋_GB2312" w:hAnsi="仿宋_GB2312" w:eastAsia="仿宋_GB2312" w:cs="仿宋_GB2312"/>
          <w:color w:val="auto"/>
          <w:kern w:val="0"/>
          <w:sz w:val="24"/>
          <w:highlight w:val="none"/>
        </w:rPr>
        <w:t>担</w:t>
      </w:r>
      <w:r>
        <w:rPr>
          <w:rFonts w:hint="eastAsia" w:ascii="仿宋_GB2312" w:hAnsi="仿宋_GB2312" w:eastAsia="仿宋_GB2312" w:cs="仿宋_GB2312"/>
          <w:color w:val="auto"/>
          <w:kern w:val="0"/>
          <w:sz w:val="24"/>
          <w:highlight w:val="none"/>
          <w:u w:val="single"/>
          <w:lang w:val="zh-CN"/>
        </w:rPr>
        <w:t>XX工作内容</w:t>
      </w:r>
      <w:r>
        <w:rPr>
          <w:rFonts w:hint="eastAsia" w:ascii="仿宋_GB2312" w:hAnsi="仿宋_GB2312" w:eastAsia="仿宋_GB2312" w:cs="仿宋_GB2312"/>
          <w:color w:val="auto"/>
          <w:kern w:val="0"/>
          <w:sz w:val="24"/>
          <w:highlight w:val="none"/>
          <w:lang w:val="zh-CN"/>
        </w:rPr>
        <w:t>相应资质条件且不得再次分包；</w:t>
      </w:r>
    </w:p>
    <w:p>
      <w:pPr>
        <w:pStyle w:val="7"/>
        <w:kinsoku/>
        <w:wordWrap w:val="0"/>
        <w:overflowPunct/>
        <w:topLinePunct w:val="0"/>
        <w:bidi w:val="0"/>
        <w:ind w:left="664" w:leftChars="316" w:firstLine="229" w:firstLineChars="95"/>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二、分包供应商中小企业合同份额</w:t>
      </w:r>
    </w:p>
    <w:p>
      <w:pPr>
        <w:kinsoku/>
        <w:wordWrap w:val="0"/>
        <w:overflowPunct/>
        <w:topLinePunct w:val="0"/>
        <w:bidi w:val="0"/>
        <w:snapToGrid w:val="0"/>
        <w:spacing w:line="360" w:lineRule="auto"/>
        <w:ind w:firstLine="576"/>
        <w:rPr>
          <w:rFonts w:hint="eastAsia" w:ascii="仿宋_GB2312" w:hAnsi="仿宋_GB2312" w:eastAsia="仿宋_GB2312" w:cs="仿宋_GB2312"/>
          <w:b/>
          <w:color w:val="auto"/>
          <w:kern w:val="0"/>
          <w:sz w:val="24"/>
          <w:highlight w:val="none"/>
          <w:lang w:val="zh-CN"/>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color w:val="auto"/>
          <w:kern w:val="0"/>
          <w:sz w:val="24"/>
          <w:highlight w:val="none"/>
          <w:u w:val="single"/>
        </w:rPr>
        <w:t>（分包供应商X,……）提供的货物全部由小微企业制造，</w:t>
      </w:r>
      <w:r>
        <w:rPr>
          <w:rFonts w:hint="eastAsia" w:ascii="仿宋_GB2312" w:hAnsi="仿宋_GB2312" w:eastAsia="仿宋_GB2312" w:cs="仿宋_GB2312"/>
          <w:color w:val="auto"/>
          <w:kern w:val="0"/>
          <w:sz w:val="24"/>
          <w:highlight w:val="none"/>
        </w:rPr>
        <w:t>其合同份额占到合同总金额</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%以上</w:t>
      </w:r>
      <w:r>
        <w:rPr>
          <w:rFonts w:hint="eastAsia" w:ascii="仿宋_GB2312" w:hAnsi="仿宋_GB2312" w:eastAsia="仿宋_GB2312" w:cs="仿宋_GB2312"/>
          <w:color w:val="auto"/>
          <w:highlight w:val="none"/>
        </w:rPr>
        <w:t>。</w:t>
      </w:r>
      <w:r>
        <w:rPr>
          <w:rFonts w:hint="eastAsia" w:ascii="仿宋_GB2312" w:hAnsi="仿宋_GB2312" w:eastAsia="仿宋_GB2312" w:cs="仿宋_GB2312"/>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color w:val="auto"/>
          <w:sz w:val="24"/>
          <w:highlight w:val="none"/>
        </w:rPr>
        <w:t>拟享受以上价格扣除政策的，填写有关内容。</w:t>
      </w:r>
      <w:r>
        <w:rPr>
          <w:rFonts w:hint="eastAsia" w:ascii="仿宋_GB2312" w:hAnsi="仿宋_GB2312" w:eastAsia="仿宋_GB2312" w:cs="仿宋_GB2312"/>
          <w:b/>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color w:val="auto"/>
          <w:sz w:val="24"/>
          <w:highlight w:val="none"/>
        </w:rPr>
        <w:t>2、</w:t>
      </w:r>
      <w:bookmarkStart w:id="52" w:name="_Hlk101133173"/>
      <w:r>
        <w:rPr>
          <w:rFonts w:hint="eastAsia" w:ascii="仿宋_GB2312" w:hAnsi="仿宋_GB2312" w:eastAsia="仿宋_GB2312" w:cs="仿宋_GB2312"/>
          <w:color w:val="auto"/>
          <w:sz w:val="24"/>
          <w:highlight w:val="none"/>
        </w:rPr>
        <w:t>中小企业合同金额达到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b/>
          <w:bCs/>
          <w:color w:val="auto"/>
          <w:kern w:val="0"/>
          <w:sz w:val="24"/>
          <w:highlight w:val="none"/>
          <w:lang w:val="zh-CN"/>
        </w:rPr>
        <w:t>（</w:t>
      </w:r>
      <w:r>
        <w:rPr>
          <w:rFonts w:hint="eastAsia" w:ascii="仿宋_GB2312" w:hAnsi="仿宋_GB2312" w:eastAsia="仿宋_GB2312" w:cs="仿宋_GB2312"/>
          <w:b/>
          <w:bCs/>
          <w:color w:val="auto"/>
          <w:sz w:val="24"/>
          <w:highlight w:val="none"/>
        </w:rPr>
        <w:t>要求合同分包形式参加的项目或采购包，供应商按招标文件第一部分招标公告申请人的资格要求中规定的</w:t>
      </w:r>
      <w:r>
        <w:rPr>
          <w:rFonts w:hint="eastAsia" w:ascii="仿宋_GB2312" w:hAnsi="仿宋_GB2312" w:eastAsia="仿宋_GB2312" w:cs="仿宋_GB2312"/>
          <w:b/>
          <w:color w:val="auto"/>
          <w:kern w:val="0"/>
          <w:sz w:val="24"/>
          <w:highlight w:val="none"/>
          <w:lang w:val="zh-CN"/>
        </w:rPr>
        <w:t>分包意向协议</w:t>
      </w:r>
      <w:r>
        <w:rPr>
          <w:rFonts w:hint="eastAsia" w:ascii="仿宋_GB2312" w:hAnsi="仿宋_GB2312" w:eastAsia="仿宋_GB2312" w:cs="仿宋_GB2312"/>
          <w:b/>
          <w:bCs/>
          <w:color w:val="auto"/>
          <w:sz w:val="24"/>
          <w:highlight w:val="none"/>
        </w:rPr>
        <w:t>中中小企业、小微企业合同金额应当达到的比例要求填写。</w:t>
      </w:r>
      <w:r>
        <w:rPr>
          <w:rFonts w:hint="eastAsia" w:ascii="仿宋_GB2312" w:hAnsi="仿宋_GB2312" w:eastAsia="仿宋_GB2312" w:cs="仿宋_GB2312"/>
          <w:b/>
          <w:bCs/>
          <w:color w:val="auto"/>
          <w:kern w:val="0"/>
          <w:sz w:val="24"/>
          <w:highlight w:val="none"/>
          <w:lang w:val="zh-CN"/>
        </w:rPr>
        <w:t>）</w:t>
      </w:r>
      <w:bookmarkEnd w:id="52"/>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三、分包工作履行期限、地点、方式</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highlight w:val="none"/>
          <w:u w:val="single"/>
        </w:rPr>
      </w:pP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四、质量</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五、价款或者报酬</w:t>
      </w:r>
    </w:p>
    <w:p>
      <w:pPr>
        <w:kinsoku/>
        <w:wordWrap w:val="0"/>
        <w:overflowPunct/>
        <w:topLinePunct w:val="0"/>
        <w:bidi w:val="0"/>
        <w:snapToGrid w:val="0"/>
        <w:spacing w:line="360" w:lineRule="auto"/>
        <w:ind w:left="573" w:leftChars="273"/>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left="573" w:leftChars="273"/>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六、违约责任</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七、争议解决的办法</w:t>
      </w:r>
    </w:p>
    <w:p>
      <w:pPr>
        <w:kinsoku/>
        <w:wordWrap w:val="0"/>
        <w:overflowPunct/>
        <w:topLinePunct w:val="0"/>
        <w:bidi w:val="0"/>
        <w:snapToGrid w:val="0"/>
        <w:spacing w:line="360" w:lineRule="auto"/>
        <w:ind w:firstLine="576"/>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highlight w:val="none"/>
          <w:u w:val="single"/>
        </w:rPr>
        <w:t xml:space="preserve">                                                                     </w:t>
      </w:r>
      <w:r>
        <w:rPr>
          <w:rFonts w:hint="eastAsia" w:ascii="仿宋_GB2312" w:hAnsi="仿宋_GB2312" w:eastAsia="仿宋_GB2312" w:cs="仿宋_GB2312"/>
          <w:color w:val="auto"/>
          <w:highlight w:val="none"/>
          <w:u w:val="single"/>
          <w:lang w:val="en-US" w:eastAsia="zh-CN"/>
        </w:rPr>
        <w:t xml:space="preserve"> </w:t>
      </w:r>
      <w:r>
        <w:rPr>
          <w:rFonts w:hint="eastAsia" w:ascii="仿宋_GB2312" w:hAnsi="仿宋_GB2312" w:eastAsia="仿宋_GB2312" w:cs="仿宋_GB2312"/>
          <w:color w:val="auto"/>
          <w:highlight w:val="none"/>
          <w:u w:val="single"/>
        </w:rPr>
        <w:t xml:space="preserve">   </w:t>
      </w:r>
    </w:p>
    <w:p>
      <w:pPr>
        <w:kinsoku/>
        <w:wordWrap w:val="0"/>
        <w:overflowPunct/>
        <w:topLinePunct w:val="0"/>
        <w:bidi w:val="0"/>
        <w:snapToGrid w:val="0"/>
        <w:spacing w:line="360" w:lineRule="auto"/>
        <w:ind w:left="5758" w:leftChars="342" w:hanging="5040" w:hangingChars="2100"/>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投标人名称(电子签名)：</w:t>
      </w:r>
    </w:p>
    <w:p>
      <w:pPr>
        <w:kinsoku/>
        <w:wordWrap w:val="0"/>
        <w:overflowPunct/>
        <w:topLinePunct w:val="0"/>
        <w:bidi w:val="0"/>
        <w:snapToGrid w:val="0"/>
        <w:spacing w:line="360" w:lineRule="auto"/>
        <w:jc w:val="right"/>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分包供应商名称(电子签名/公章)：</w:t>
      </w:r>
    </w:p>
    <w:p>
      <w:pPr>
        <w:kinsoku/>
        <w:wordWrap w:val="0"/>
        <w:overflowPunct/>
        <w:topLinePunct w:val="0"/>
        <w:bidi w:val="0"/>
        <w:snapToGrid w:val="0"/>
        <w:spacing w:line="360" w:lineRule="auto"/>
        <w:ind w:firstLine="5760" w:firstLineChars="24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lang w:val="zh-CN"/>
        </w:rPr>
        <w:t>……</w:t>
      </w:r>
    </w:p>
    <w:p>
      <w:pPr>
        <w:kinsoku/>
        <w:wordWrap w:val="0"/>
        <w:overflowPunct/>
        <w:topLinePunct w:val="0"/>
        <w:bidi w:val="0"/>
        <w:spacing w:line="360" w:lineRule="auto"/>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  年  月   日</w:t>
      </w:r>
    </w:p>
    <w:p>
      <w:pPr>
        <w:kinsoku/>
        <w:wordWrap w:val="0"/>
        <w:overflowPunct/>
        <w:topLinePunct w:val="0"/>
        <w:bidi w:val="0"/>
        <w:spacing w:line="360" w:lineRule="auto"/>
        <w:ind w:right="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注：按本格式和要求提供。</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2"/>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1"/>
        <w:kinsoku/>
        <w:wordWrap w:val="0"/>
        <w:overflowPunct/>
        <w:topLinePunct w:val="0"/>
        <w:bidi w:val="0"/>
        <w:rPr>
          <w:rFonts w:hint="eastAsia" w:ascii="仿宋_GB2312" w:hAnsi="仿宋_GB2312" w:eastAsia="仿宋_GB2312" w:cs="仿宋_GB2312"/>
          <w:b/>
          <w:color w:val="auto"/>
          <w:spacing w:val="6"/>
          <w:sz w:val="32"/>
          <w:szCs w:val="32"/>
          <w:highlight w:val="none"/>
        </w:rPr>
      </w:pPr>
    </w:p>
    <w:p>
      <w:pPr>
        <w:pStyle w:val="82"/>
        <w:kinsoku/>
        <w:wordWrap w:val="0"/>
        <w:overflowPunct/>
        <w:topLinePunct w:val="0"/>
        <w:bidi w:val="0"/>
        <w:rPr>
          <w:rFonts w:hint="eastAsia" w:ascii="仿宋_GB2312" w:hAnsi="仿宋_GB2312" w:eastAsia="仿宋_GB2312" w:cs="仿宋_GB2312"/>
          <w:color w:val="auto"/>
          <w:highlight w:val="none"/>
        </w:rPr>
      </w:pPr>
    </w:p>
    <w:p>
      <w:pPr>
        <w:kinsoku/>
        <w:wordWrap w:val="0"/>
        <w:overflowPunct/>
        <w:topLinePunct w:val="0"/>
        <w:bidi w:val="0"/>
        <w:spacing w:line="360" w:lineRule="auto"/>
        <w:jc w:val="both"/>
        <w:rPr>
          <w:rFonts w:hint="eastAsia" w:ascii="仿宋_GB2312" w:hAnsi="仿宋_GB2312" w:eastAsia="仿宋_GB2312" w:cs="仿宋_GB2312"/>
          <w:b/>
          <w:color w:val="auto"/>
          <w:spacing w:val="6"/>
          <w:sz w:val="32"/>
          <w:szCs w:val="32"/>
          <w:highlight w:val="none"/>
        </w:rPr>
      </w:pPr>
      <w:bookmarkStart w:id="53" w:name="OLE_LINK14"/>
      <w:bookmarkStart w:id="54" w:name="OLE_LINK13"/>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w:t>
      </w:r>
      <w:r>
        <w:rPr>
          <w:rFonts w:hint="eastAsia" w:ascii="仿宋_GB2312" w:hAnsi="仿宋_GB2312" w:eastAsia="仿宋_GB2312" w:cs="仿宋_GB2312"/>
          <w:b/>
          <w:color w:val="auto"/>
          <w:spacing w:val="6"/>
          <w:sz w:val="32"/>
          <w:szCs w:val="32"/>
          <w:highlight w:val="none"/>
          <w:lang w:val="en-US" w:eastAsia="zh-CN"/>
        </w:rPr>
        <w:t>6</w:t>
      </w:r>
      <w:r>
        <w:rPr>
          <w:rFonts w:hint="eastAsia" w:ascii="仿宋_GB2312" w:hAnsi="仿宋_GB2312" w:eastAsia="仿宋_GB2312" w:cs="仿宋_GB2312"/>
          <w:b/>
          <w:color w:val="auto"/>
          <w:spacing w:val="6"/>
          <w:sz w:val="32"/>
          <w:szCs w:val="32"/>
          <w:highlight w:val="none"/>
        </w:rPr>
        <w:t>：</w:t>
      </w:r>
    </w:p>
    <w:p>
      <w:pPr>
        <w:kinsoku/>
        <w:wordWrap w:val="0"/>
        <w:overflowPunct/>
        <w:topLinePunct w:val="0"/>
        <w:bidi w:val="0"/>
        <w:spacing w:line="360" w:lineRule="auto"/>
        <w:jc w:val="center"/>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残疾人福利性单位声明函</w:t>
      </w:r>
    </w:p>
    <w:bookmarkEnd w:id="53"/>
    <w:bookmarkEnd w:id="54"/>
    <w:p>
      <w:pPr>
        <w:kinsoku/>
        <w:wordWrap w:val="0"/>
        <w:overflowPunct/>
        <w:topLinePunct w:val="0"/>
        <w:bidi w:val="0"/>
        <w:spacing w:line="360" w:lineRule="auto"/>
        <w:rPr>
          <w:rFonts w:hint="eastAsia" w:ascii="仿宋_GB2312" w:hAnsi="仿宋_GB2312" w:eastAsia="仿宋_GB2312" w:cs="仿宋_GB2312"/>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rPr>
        <w:t>_单位的_</w:t>
      </w:r>
      <w:r>
        <w:rPr>
          <w:rFonts w:hint="eastAsia" w:ascii="仿宋_GB2312" w:hAnsi="仿宋_GB2312" w:eastAsia="仿宋_GB2312" w:cs="仿宋_GB2312"/>
          <w:color w:val="auto"/>
          <w:sz w:val="24"/>
          <w:highlight w:val="none"/>
          <w:u w:val="single"/>
          <w:lang w:eastAsia="zh-CN"/>
        </w:rPr>
        <w:t>绍兴市中医院超融合等采购项目</w:t>
      </w:r>
      <w:r>
        <w:rPr>
          <w:rFonts w:hint="eastAsia" w:ascii="仿宋_GB2312" w:hAnsi="仿宋_GB2312" w:eastAsia="仿宋_GB2312" w:cs="仿宋_GB2312"/>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lang w:val="zh-CN"/>
        </w:rPr>
        <w:t>投标人名称（电子签名）</w:t>
      </w:r>
      <w:r>
        <w:rPr>
          <w:rFonts w:hint="eastAsia" w:ascii="仿宋_GB2312" w:hAnsi="仿宋_GB2312" w:eastAsia="仿宋_GB2312" w:cs="仿宋_GB2312"/>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日  期：</w:t>
      </w: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autoSpaceDE w:val="0"/>
        <w:autoSpaceDN w:val="0"/>
        <w:bidi w:val="0"/>
        <w:jc w:val="center"/>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p>
    <w:p>
      <w:pPr>
        <w:kinsoku/>
        <w:wordWrap w:val="0"/>
        <w:overflowPunct/>
        <w:topLinePunct w:val="0"/>
        <w:bidi w:val="0"/>
        <w:spacing w:line="360" w:lineRule="auto"/>
        <w:rPr>
          <w:rFonts w:hint="eastAsia" w:ascii="仿宋_GB2312" w:hAnsi="仿宋_GB2312" w:eastAsia="仿宋_GB2312" w:cs="仿宋_GB2312"/>
          <w:b/>
          <w:color w:val="auto"/>
          <w:spacing w:val="6"/>
          <w:sz w:val="32"/>
          <w:szCs w:val="32"/>
          <w:highlight w:val="none"/>
        </w:rPr>
      </w:pPr>
      <w:r>
        <w:rPr>
          <w:rFonts w:hint="eastAsia" w:ascii="仿宋_GB2312" w:hAnsi="仿宋_GB2312" w:eastAsia="仿宋_GB2312" w:cs="仿宋_GB2312"/>
          <w:b/>
          <w:color w:val="auto"/>
          <w:spacing w:val="6"/>
          <w:sz w:val="32"/>
          <w:szCs w:val="32"/>
          <w:highlight w:val="none"/>
        </w:rPr>
        <w:t>附件7：</w:t>
      </w:r>
    </w:p>
    <w:p>
      <w:pPr>
        <w:kinsoku/>
        <w:wordWrap w:val="0"/>
        <w:overflowPunct/>
        <w:topLinePunct w:val="0"/>
        <w:bidi w:val="0"/>
        <w:spacing w:line="360" w:lineRule="auto"/>
        <w:jc w:val="center"/>
        <w:rPr>
          <w:rFonts w:hint="eastAsia" w:ascii="仿宋_GB2312" w:hAnsi="仿宋_GB2312" w:eastAsia="仿宋_GB2312" w:cs="仿宋_GB2312"/>
          <w:color w:val="auto"/>
          <w:sz w:val="24"/>
          <w:highlight w:val="none"/>
          <w:u w:val="singl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中小企业声明函（货物）</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本公司（联合体）郑重声明，根据《政府采购促进中小企业发展管理办法》（财库﹝2020﹞46 号）的规定，本公司（联合体）参加 </w:t>
      </w:r>
      <w:r>
        <w:rPr>
          <w:rFonts w:hint="eastAsia" w:ascii="仿宋_GB2312" w:hAnsi="仿宋_GB2312" w:eastAsia="仿宋_GB2312" w:cs="仿宋_GB2312"/>
          <w:color w:val="auto"/>
          <w:sz w:val="24"/>
          <w:highlight w:val="none"/>
          <w:u w:val="single"/>
          <w:lang w:eastAsia="zh-CN"/>
        </w:rPr>
        <w:t>绍兴市中医院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xml:space="preserve">的 </w:t>
      </w:r>
      <w:r>
        <w:rPr>
          <w:rFonts w:hint="eastAsia" w:ascii="仿宋_GB2312" w:hAnsi="仿宋_GB2312" w:eastAsia="仿宋_GB2312" w:cs="仿宋_GB2312"/>
          <w:color w:val="auto"/>
          <w:sz w:val="24"/>
          <w:highlight w:val="none"/>
          <w:u w:val="single"/>
          <w:lang w:eastAsia="zh-CN"/>
        </w:rPr>
        <w:t>绍兴市中医院超融合等采购项目</w:t>
      </w:r>
      <w:r>
        <w:rPr>
          <w:rFonts w:hint="eastAsia" w:ascii="仿宋_GB2312" w:hAnsi="仿宋_GB2312" w:eastAsia="仿宋_GB2312" w:cs="仿宋_GB2312"/>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color w:val="auto"/>
          <w:sz w:val="24"/>
          <w:highlight w:val="none"/>
          <w:u w:val="single"/>
        </w:rPr>
        <w:t>（标的名称）</w:t>
      </w:r>
      <w:r>
        <w:rPr>
          <w:rFonts w:hint="eastAsia" w:ascii="仿宋_GB2312" w:hAnsi="仿宋_GB2312" w:eastAsia="仿宋_GB2312" w:cs="仿宋_GB2312"/>
          <w:color w:val="auto"/>
          <w:sz w:val="24"/>
          <w:highlight w:val="none"/>
        </w:rPr>
        <w:t xml:space="preserve"> ，属于 </w:t>
      </w:r>
      <w:r>
        <w:rPr>
          <w:rFonts w:hint="eastAsia" w:ascii="仿宋_GB2312" w:hAnsi="仿宋_GB2312" w:eastAsia="仿宋_GB2312" w:cs="仿宋_GB2312"/>
          <w:color w:val="auto"/>
          <w:sz w:val="24"/>
          <w:highlight w:val="none"/>
          <w:u w:val="single"/>
        </w:rPr>
        <w:t>（采购文件中明确的所属行业）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w:t>
      </w:r>
      <w:r>
        <w:rPr>
          <w:rFonts w:hint="eastAsia" w:ascii="仿宋_GB2312" w:hAnsi="仿宋_GB2312" w:eastAsia="仿宋_GB2312" w:cs="仿宋_GB2312"/>
          <w:color w:val="auto"/>
          <w:sz w:val="24"/>
          <w:highlight w:val="none"/>
        </w:rPr>
        <w:t xml:space="preserve"> ，从业人员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kinsoku/>
        <w:wordWrap w:val="0"/>
        <w:overflowPunct/>
        <w:topLinePunct w:val="0"/>
        <w:bidi w:val="0"/>
        <w:snapToGrid w:val="0"/>
        <w:spacing w:line="360" w:lineRule="auto"/>
        <w:ind w:firstLine="5160" w:firstLineChars="215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lang w:val="zh-CN"/>
        </w:rPr>
        <w:t>日</w:t>
      </w:r>
    </w:p>
    <w:p>
      <w:pPr>
        <w:kinsoku/>
        <w:wordWrap w:val="0"/>
        <w:overflowPunct/>
        <w:topLinePunct w:val="0"/>
        <w:bidi w:val="0"/>
        <w:spacing w:line="360" w:lineRule="auto"/>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从业人员、营业收入、资产总额填报上一年度数据，无上一年度数据的新成立企业可不填报。</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pageBreakBefore/>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2017年12月28日</w:t>
      </w:r>
    </w:p>
    <w:p>
      <w:pPr>
        <w:pStyle w:val="4"/>
        <w:kinsoku/>
        <w:wordWrap w:val="0"/>
        <w:overflowPunct/>
        <w:topLinePunct w:val="0"/>
        <w:bidi w:val="0"/>
        <w:rPr>
          <w:rFonts w:hint="eastAsia" w:ascii="仿宋_GB2312" w:hAnsi="仿宋_GB2312" w:eastAsia="仿宋_GB2312" w:cs="仿宋_GB2312"/>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附表：统计上大中小微型企业划分标准</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（3）资产总额，采用资产总计代替。</w:t>
      </w: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_GB2312" w:hAnsi="仿宋_GB2312" w:eastAsia="仿宋_GB2312" w:cs="仿宋_GB2312"/>
          <w:b/>
          <w:bCs/>
          <w:color w:val="auto"/>
          <w:kern w:val="0"/>
          <w:sz w:val="27"/>
          <w:szCs w:val="27"/>
          <w:highlight w:val="none"/>
        </w:rPr>
      </w:pPr>
      <w:r>
        <w:rPr>
          <w:rFonts w:hint="eastAsia" w:ascii="仿宋_GB2312" w:hAnsi="仿宋_GB2312" w:eastAsia="仿宋_GB2312" w:cs="仿宋_GB2312"/>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kinsoku/>
        <w:wordWrap w:val="0"/>
        <w:overflowPunct/>
        <w:topLinePunct w:val="0"/>
        <w:bidi w:val="0"/>
        <w:jc w:val="left"/>
        <w:rPr>
          <w:rFonts w:hint="eastAsia" w:ascii="仿宋_GB2312" w:hAnsi="仿宋_GB2312" w:eastAsia="仿宋_GB2312" w:cs="仿宋_GB2312"/>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 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九、 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 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r>
        <w:rPr>
          <w:rFonts w:hint="eastAsia" w:ascii="仿宋_GB2312" w:hAnsi="仿宋_GB2312" w:eastAsia="仿宋_GB2312" w:cs="仿宋_GB2312"/>
          <w:color w:val="auto"/>
          <w:kern w:val="0"/>
          <w:szCs w:val="21"/>
          <w:highlight w:val="none"/>
          <w:lang w:val="en-US"/>
        </w:rPr>
        <w:t xml:space="preserve"> </w:t>
      </w:r>
      <w:r>
        <w:rPr>
          <w:rFonts w:hint="eastAsia" w:ascii="仿宋_GB2312" w:hAnsi="仿宋_GB2312" w:eastAsia="仿宋_GB2312" w:cs="仿宋_GB2312"/>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_GB2312" w:hAnsi="仿宋_GB2312" w:eastAsia="仿宋_GB2312" w:cs="仿宋_GB2312"/>
          <w:b/>
          <w:bCs/>
          <w:color w:val="auto"/>
          <w:kern w:val="0"/>
          <w:sz w:val="36"/>
          <w:szCs w:val="36"/>
          <w:highlight w:val="none"/>
        </w:rPr>
      </w:pPr>
      <w:r>
        <w:rPr>
          <w:rFonts w:hint="eastAsia" w:ascii="仿宋_GB2312" w:hAnsi="仿宋_GB2312" w:eastAsia="仿宋_GB2312" w:cs="仿宋_GB2312"/>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_GB2312" w:hAnsi="仿宋_GB2312" w:eastAsia="仿宋_GB2312" w:cs="仿宋_GB2312"/>
                <w:b/>
                <w:bCs/>
                <w:color w:val="auto"/>
                <w:kern w:val="0"/>
                <w:szCs w:val="21"/>
                <w:highlight w:val="none"/>
              </w:rPr>
            </w:pPr>
            <w:r>
              <w:rPr>
                <w:rFonts w:hint="eastAsia" w:ascii="仿宋_GB2312" w:hAnsi="仿宋_GB2312" w:eastAsia="仿宋_GB2312" w:cs="仿宋_GB2312"/>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p>
        </w:tc>
        <w:tc>
          <w:tcPr>
            <w:tcW w:w="60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50亿元以下</w:t>
            </w:r>
          </w:p>
        </w:tc>
      </w:tr>
    </w:tbl>
    <w:p>
      <w:pPr>
        <w:kinsoku/>
        <w:wordWrap w:val="0"/>
        <w:overflowPunct/>
        <w:topLinePunct w:val="0"/>
        <w:bidi w:val="0"/>
        <w:rPr>
          <w:rFonts w:hint="eastAsia" w:ascii="仿宋_GB2312" w:hAnsi="仿宋_GB2312" w:eastAsia="仿宋_GB2312" w:cs="仿宋_GB2312"/>
          <w:color w:val="auto"/>
          <w:sz w:val="24"/>
          <w:highlight w:val="none"/>
        </w:rPr>
      </w:pPr>
    </w:p>
    <w:p>
      <w:pPr>
        <w:kinsoku/>
        <w:wordWrap w:val="0"/>
        <w:overflowPunct/>
        <w:topLinePunct w:val="0"/>
        <w:bidi w:val="0"/>
        <w:ind w:firstLine="420" w:firstLineChars="200"/>
        <w:rPr>
          <w:rFonts w:hint="eastAsia" w:ascii="仿宋_GB2312" w:hAnsi="仿宋_GB2312" w:eastAsia="仿宋_GB2312" w:cs="仿宋_GB2312"/>
          <w:color w:val="auto"/>
          <w:highlight w:val="none"/>
        </w:rPr>
      </w:pPr>
    </w:p>
    <w:p>
      <w:pPr>
        <w:kinsoku/>
        <w:wordWrap w:val="0"/>
        <w:overflowPunct/>
        <w:topLinePunct w:val="0"/>
        <w:bidi w:val="0"/>
        <w:spacing w:line="360" w:lineRule="auto"/>
        <w:ind w:right="420"/>
        <w:rPr>
          <w:rFonts w:hint="eastAsia" w:ascii="仿宋_GB2312" w:hAnsi="仿宋_GB2312" w:eastAsia="仿宋_GB2312" w:cs="仿宋_GB2312"/>
          <w:color w:val="auto"/>
          <w:highlight w:val="none"/>
        </w:rPr>
      </w:pP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rPr>
      </w:pPr>
    </w:p>
    <w:p>
      <w:pPr>
        <w:kinsoku/>
        <w:wordWrap w:val="0"/>
        <w:overflowPunct/>
        <w:topLinePunct w:val="0"/>
        <w:bidi w:val="0"/>
        <w:spacing w:line="360" w:lineRule="auto"/>
        <w:rPr>
          <w:rFonts w:hint="eastAsia" w:ascii="仿宋_GB2312" w:hAnsi="仿宋_GB2312" w:eastAsia="仿宋_GB2312" w:cs="仿宋_GB2312"/>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招标编号:2025-05-0038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招标编号:2025-05-0038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招标编号:2025-05-0038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招标编号:2025-05-0038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79CBAC"/>
    <w:multiLevelType w:val="singleLevel"/>
    <w:tmpl w:val="C679CBAC"/>
    <w:lvl w:ilvl="0" w:tentative="0">
      <w:start w:val="1"/>
      <w:numFmt w:val="lowerLetter"/>
      <w:lvlText w:val="%1)"/>
      <w:lvlJc w:val="left"/>
      <w:pPr>
        <w:tabs>
          <w:tab w:val="left" w:pos="312"/>
        </w:tabs>
      </w:p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4DE69BE"/>
    <w:multiLevelType w:val="multilevel"/>
    <w:tmpl w:val="04DE69BE"/>
    <w:lvl w:ilvl="0" w:tentative="0">
      <w:start w:val="1"/>
      <w:numFmt w:val="decimal"/>
      <w:lvlText w:val="%1"/>
      <w:lvlJc w:val="left"/>
      <w:pPr>
        <w:ind w:left="440" w:hanging="440"/>
      </w:pPr>
      <w:rPr>
        <w:rFonts w:hint="eastAsia"/>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0DC33993"/>
    <w:multiLevelType w:val="singleLevel"/>
    <w:tmpl w:val="0DC33993"/>
    <w:lvl w:ilvl="0" w:tentative="0">
      <w:start w:val="1"/>
      <w:numFmt w:val="chineseCounting"/>
      <w:suff w:val="nothing"/>
      <w:lvlText w:val="%1、"/>
      <w:lvlJc w:val="left"/>
      <w:rPr>
        <w:rFonts w:hint="eastAsia"/>
      </w:rPr>
    </w:lvl>
  </w:abstractNum>
  <w:abstractNum w:abstractNumId="7">
    <w:nsid w:val="78FA9A07"/>
    <w:multiLevelType w:val="singleLevel"/>
    <w:tmpl w:val="78FA9A07"/>
    <w:lvl w:ilvl="0" w:tentative="0">
      <w:start w:val="1"/>
      <w:numFmt w:val="decimal"/>
      <w:lvlText w:val="%1."/>
      <w:lvlJc w:val="left"/>
      <w:pPr>
        <w:tabs>
          <w:tab w:val="left" w:pos="312"/>
        </w:tabs>
      </w:pPr>
    </w:lvl>
  </w:abstractNum>
  <w:num w:numId="1">
    <w:abstractNumId w:val="6"/>
  </w:num>
  <w:num w:numId="2">
    <w:abstractNumId w:val="5"/>
  </w:num>
  <w:num w:numId="3">
    <w:abstractNumId w:val="0"/>
  </w:num>
  <w:num w:numId="4">
    <w:abstractNumId w:val="7"/>
  </w:num>
  <w:num w:numId="5">
    <w:abstractNumId w:val="1"/>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1226BAC"/>
    <w:rsid w:val="02E55505"/>
    <w:rsid w:val="033E089E"/>
    <w:rsid w:val="06D74677"/>
    <w:rsid w:val="082A3A50"/>
    <w:rsid w:val="0983157E"/>
    <w:rsid w:val="0D310D4F"/>
    <w:rsid w:val="0FA0239A"/>
    <w:rsid w:val="14127BE9"/>
    <w:rsid w:val="15621951"/>
    <w:rsid w:val="15E442FD"/>
    <w:rsid w:val="169E17AF"/>
    <w:rsid w:val="1AF0D45A"/>
    <w:rsid w:val="1DB7522E"/>
    <w:rsid w:val="1FBF3881"/>
    <w:rsid w:val="1FCBC4A9"/>
    <w:rsid w:val="1FDF64A5"/>
    <w:rsid w:val="20473B72"/>
    <w:rsid w:val="2305769B"/>
    <w:rsid w:val="23384B81"/>
    <w:rsid w:val="23AB0FE5"/>
    <w:rsid w:val="260D0DA1"/>
    <w:rsid w:val="26866A58"/>
    <w:rsid w:val="27355BD1"/>
    <w:rsid w:val="27F26218"/>
    <w:rsid w:val="2C4444FB"/>
    <w:rsid w:val="2CDA6E57"/>
    <w:rsid w:val="31853896"/>
    <w:rsid w:val="318647AC"/>
    <w:rsid w:val="36742239"/>
    <w:rsid w:val="370E5D48"/>
    <w:rsid w:val="37D80F43"/>
    <w:rsid w:val="38647781"/>
    <w:rsid w:val="3B1D3139"/>
    <w:rsid w:val="3DF3849B"/>
    <w:rsid w:val="3E51324C"/>
    <w:rsid w:val="3F326AC0"/>
    <w:rsid w:val="3F6D7804"/>
    <w:rsid w:val="3FEFF7E8"/>
    <w:rsid w:val="3FF7BB55"/>
    <w:rsid w:val="3FFCE84F"/>
    <w:rsid w:val="3FFE25DA"/>
    <w:rsid w:val="3FFF5138"/>
    <w:rsid w:val="42533F58"/>
    <w:rsid w:val="43F70226"/>
    <w:rsid w:val="45FF8421"/>
    <w:rsid w:val="4C9C2F1F"/>
    <w:rsid w:val="4CCF1360"/>
    <w:rsid w:val="4D3D180F"/>
    <w:rsid w:val="4DE4148C"/>
    <w:rsid w:val="4F20277D"/>
    <w:rsid w:val="4F3FEEA3"/>
    <w:rsid w:val="4FAE554B"/>
    <w:rsid w:val="4FEEF1CF"/>
    <w:rsid w:val="50C301CB"/>
    <w:rsid w:val="5597195C"/>
    <w:rsid w:val="55E34E9E"/>
    <w:rsid w:val="55ED387B"/>
    <w:rsid w:val="566FF3A5"/>
    <w:rsid w:val="57DAE6E1"/>
    <w:rsid w:val="58B35AAD"/>
    <w:rsid w:val="58BA24F1"/>
    <w:rsid w:val="5A558E99"/>
    <w:rsid w:val="5BDF3378"/>
    <w:rsid w:val="5CFEE2CC"/>
    <w:rsid w:val="5D7F1DB6"/>
    <w:rsid w:val="5F665FB3"/>
    <w:rsid w:val="641710DF"/>
    <w:rsid w:val="642152E2"/>
    <w:rsid w:val="65077AE2"/>
    <w:rsid w:val="67B45306"/>
    <w:rsid w:val="67FC8C85"/>
    <w:rsid w:val="69201E3E"/>
    <w:rsid w:val="69B5403F"/>
    <w:rsid w:val="6A0D043F"/>
    <w:rsid w:val="6A870576"/>
    <w:rsid w:val="6AEF1016"/>
    <w:rsid w:val="6BBFC6AF"/>
    <w:rsid w:val="6BEFF7E4"/>
    <w:rsid w:val="6EC24784"/>
    <w:rsid w:val="729E74BD"/>
    <w:rsid w:val="74372A52"/>
    <w:rsid w:val="76FBAFF1"/>
    <w:rsid w:val="776E0A3D"/>
    <w:rsid w:val="77C33BE9"/>
    <w:rsid w:val="77FE5760"/>
    <w:rsid w:val="77FF1645"/>
    <w:rsid w:val="7AAA1F2A"/>
    <w:rsid w:val="7B34AC69"/>
    <w:rsid w:val="7BFDEE39"/>
    <w:rsid w:val="7BFF9D14"/>
    <w:rsid w:val="7CD2516C"/>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Body Text First Indent 2"/>
    <w:basedOn w:val="3"/>
    <w:next w:val="4"/>
    <w:link w:val="122"/>
    <w:qFormat/>
    <w:uiPriority w:val="0"/>
    <w:pPr>
      <w:adjustRightInd/>
      <w:spacing w:after="120" w:line="240" w:lineRule="auto"/>
      <w:ind w:left="420" w:leftChars="200" w:firstLine="210"/>
    </w:pPr>
    <w:rPr>
      <w:sz w:val="21"/>
    </w:rPr>
  </w:style>
  <w:style w:type="paragraph" w:styleId="3">
    <w:name w:val="Body Text Indent"/>
    <w:basedOn w:val="1"/>
    <w:next w:val="2"/>
    <w:link w:val="265"/>
    <w:qFormat/>
    <w:uiPriority w:val="0"/>
    <w:pPr>
      <w:spacing w:line="480" w:lineRule="exact"/>
      <w:ind w:firstLine="480" w:firstLineChars="200"/>
    </w:pPr>
    <w:rPr>
      <w:rFonts w:ascii="宋体" w:hAnsi="宋体"/>
      <w:sz w:val="24"/>
    </w:rPr>
  </w:style>
  <w:style w:type="paragraph" w:styleId="4">
    <w:name w:val="Body Text"/>
    <w:basedOn w:val="1"/>
    <w:next w:val="5"/>
    <w:link w:val="430"/>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30"/>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3"/>
    <w:qFormat/>
    <w:uiPriority w:val="0"/>
    <w:pPr>
      <w:shd w:val="clear" w:color="auto" w:fill="000080"/>
    </w:pPr>
  </w:style>
  <w:style w:type="paragraph" w:styleId="23">
    <w:name w:val="annotation text"/>
    <w:basedOn w:val="1"/>
    <w:link w:val="344"/>
    <w:qFormat/>
    <w:uiPriority w:val="99"/>
    <w:pPr>
      <w:jc w:val="left"/>
    </w:pPr>
  </w:style>
  <w:style w:type="paragraph" w:styleId="24">
    <w:name w:val="Salutation"/>
    <w:basedOn w:val="1"/>
    <w:next w:val="1"/>
    <w:link w:val="298"/>
    <w:qFormat/>
    <w:uiPriority w:val="0"/>
    <w:rPr>
      <w:rFonts w:ascii="仿宋_GB2312" w:eastAsia="仿宋_GB2312"/>
      <w:sz w:val="28"/>
      <w:szCs w:val="20"/>
    </w:rPr>
  </w:style>
  <w:style w:type="paragraph" w:styleId="25">
    <w:name w:val="Body Text 3"/>
    <w:basedOn w:val="1"/>
    <w:link w:val="330"/>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7"/>
    <w:qFormat/>
    <w:uiPriority w:val="0"/>
    <w:rPr>
      <w:b/>
      <w:bCs/>
    </w:rPr>
  </w:style>
  <w:style w:type="paragraph" w:styleId="62">
    <w:name w:val="Body Text First Indent"/>
    <w:basedOn w:val="4"/>
    <w:next w:val="1"/>
    <w:link w:val="321"/>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2"/>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7"/>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5"/>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9"/>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2"/>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10"/>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20"/>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3"/>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6"/>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11"/>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4"/>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10"/>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3"/>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10"/>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5"/>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3"/>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4"/>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9"/>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10"/>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7"/>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7"/>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8"/>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11"/>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8"/>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10"/>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6"/>
    <w:qFormat/>
    <w:uiPriority w:val="0"/>
    <w:pPr>
      <w:tabs>
        <w:tab w:val="left" w:pos="840"/>
      </w:tabs>
      <w:adjustRightInd/>
      <w:ind w:left="840" w:hanging="420"/>
    </w:pPr>
  </w:style>
  <w:style w:type="paragraph" w:customStyle="1" w:styleId="626">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10"/>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8"/>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9"/>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2"/>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11"/>
    <w:next w:val="1"/>
    <w:qFormat/>
    <w:uiPriority w:val="0"/>
    <w:pPr>
      <w:tabs>
        <w:tab w:val="left" w:pos="1080"/>
      </w:tabs>
      <w:ind w:left="1080" w:hanging="1080"/>
    </w:pPr>
  </w:style>
  <w:style w:type="paragraph" w:customStyle="1" w:styleId="897">
    <w:name w:val="数字标题1"/>
    <w:basedOn w:val="6"/>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40054</Words>
  <Characters>42580</Characters>
  <Paragraphs>2030</Paragraphs>
  <TotalTime>0</TotalTime>
  <ScaleCrop>false</ScaleCrop>
  <LinksUpToDate>false</LinksUpToDate>
  <CharactersWithSpaces>49831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市交易中心</cp:lastModifiedBy>
  <cp:lastPrinted>2021-12-31T11:06:00Z</cp:lastPrinted>
  <dcterms:modified xsi:type="dcterms:W3CDTF">2025-05-09T02:20:55Z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