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绍兴市中医院灭菌器和清洗机维保项目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绍兴市中医院灭菌器和清洗机维保项目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绍兴市中医院灭菌器和清洗机维保项目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750000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750000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标项名称：灭菌器和清洗机维保项目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预算金额（元）：750000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9951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21"/>
      <w:bookmarkStart w:id="15" w:name="_Toc35393808"/>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yellow"/>
              </w:rPr>
              <w:t>标的：</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u w:val="single"/>
                <w:lang w:val="en-US" w:eastAsia="zh-CN"/>
              </w:rPr>
              <w:t xml:space="preserve">01标  </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，属于</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u w:val="single"/>
                <w:lang w:val="en-US" w:eastAsia="zh-CN"/>
              </w:rPr>
              <w:t xml:space="preserve"> </w:t>
            </w:r>
            <w:r>
              <w:rPr>
                <w:rFonts w:hint="eastAsia" w:ascii="仿宋" w:hAnsi="仿宋" w:eastAsia="仿宋" w:cs="仿宋"/>
                <w:color w:val="auto"/>
                <w:kern w:val="0"/>
                <w:sz w:val="24"/>
                <w:highlight w:val="yellow"/>
                <w:u w:val="single"/>
              </w:rPr>
              <w:t>其他未列明行业</w:t>
            </w:r>
            <w:r>
              <w:rPr>
                <w:rFonts w:hint="eastAsia" w:ascii="仿宋" w:hAnsi="仿宋" w:eastAsia="仿宋" w:cs="仿宋"/>
                <w:color w:val="auto"/>
                <w:kern w:val="0"/>
                <w:sz w:val="24"/>
                <w:highlight w:val="yellow"/>
                <w:u w:val="single"/>
                <w:lang w:val="en-US" w:eastAsia="zh-CN"/>
              </w:rPr>
              <w:t xml:space="preserve">  </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w:t>
            </w:r>
            <w:bookmarkStart w:id="167" w:name="_GoBack"/>
            <w:bookmarkEnd w:id="167"/>
            <w:r>
              <w:rPr>
                <w:rFonts w:hint="eastAsia" w:ascii="仿宋" w:hAnsi="仿宋" w:eastAsia="仿宋" w:cs="仿宋"/>
                <w:color w:val="auto"/>
                <w:sz w:val="24"/>
                <w:highlight w:val="none"/>
              </w:rPr>
              <w:t>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74714665"/>
      <w:bookmarkEnd w:id="21"/>
      <w:bookmarkStart w:id="22" w:name="_Hlt68403820"/>
      <w:bookmarkEnd w:id="22"/>
      <w:bookmarkStart w:id="23" w:name="_Hlt68072998"/>
      <w:bookmarkEnd w:id="23"/>
      <w:bookmarkStart w:id="24" w:name="_Hlt75236011"/>
      <w:bookmarkEnd w:id="24"/>
      <w:bookmarkStart w:id="25" w:name="_Hlt68072990"/>
      <w:bookmarkEnd w:id="25"/>
      <w:bookmarkStart w:id="26" w:name="_Hlt68057669"/>
      <w:bookmarkEnd w:id="26"/>
      <w:bookmarkStart w:id="27" w:name="_Hlt74729768"/>
      <w:bookmarkEnd w:id="27"/>
      <w:bookmarkStart w:id="28" w:name="_Hlt68073093"/>
      <w:bookmarkEnd w:id="28"/>
      <w:bookmarkStart w:id="29" w:name="_Hlt74707468"/>
      <w:bookmarkEnd w:id="29"/>
      <w:bookmarkStart w:id="30" w:name="_Hlt75236101"/>
      <w:bookmarkEnd w:id="30"/>
      <w:bookmarkStart w:id="31" w:name="_Hlt74730295"/>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灭菌器和清洗机维保项目，预算750000元/3年，合同期限：自合同签订之日起三年。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3"/>
        <w:tblW w:w="8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735"/>
      </w:tblGrid>
      <w:tr w14:paraId="3FA1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14:paraId="17C7B20B">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735" w:type="dxa"/>
            <w:noWrap w:val="0"/>
            <w:vAlign w:val="center"/>
          </w:tcPr>
          <w:p w14:paraId="32D85793">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37A6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959" w:type="dxa"/>
            <w:noWrap w:val="0"/>
            <w:vAlign w:val="center"/>
          </w:tcPr>
          <w:p w14:paraId="393AC5B5">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w:t>
            </w:r>
          </w:p>
        </w:tc>
        <w:tc>
          <w:tcPr>
            <w:tcW w:w="7735" w:type="dxa"/>
            <w:noWrap w:val="0"/>
            <w:vAlign w:val="center"/>
          </w:tcPr>
          <w:p w14:paraId="1BC7481A">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基本保障：3台高温蒸汽灭菌器（设备型号Century V-160H，序列号：0309022-13、0307022-01、0308522-01）和3台单腔清洗机（设备型号AMSCO 3052，序列号：3602521026、3619521020、3602521025）维保服务。不限次数的人工服务；所有配件均免费更换，包括设备附件上的易损件（灭菌架，灭菌推车上的易损件，压力表和安全阀）。</w:t>
            </w:r>
          </w:p>
        </w:tc>
      </w:tr>
      <w:tr w14:paraId="2930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959" w:type="dxa"/>
            <w:noWrap w:val="0"/>
            <w:vAlign w:val="center"/>
          </w:tcPr>
          <w:p w14:paraId="0D4E7799">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bCs/>
                <w:kern w:val="2"/>
                <w:sz w:val="21"/>
                <w:szCs w:val="21"/>
                <w:highlight w:val="none"/>
              </w:rPr>
              <w:t>★</w:t>
            </w:r>
            <w:r>
              <w:rPr>
                <w:rFonts w:hint="eastAsia" w:ascii="仿宋" w:hAnsi="仿宋" w:eastAsia="仿宋" w:cs="仿宋"/>
                <w:b/>
                <w:color w:val="000000"/>
                <w:sz w:val="24"/>
                <w:szCs w:val="24"/>
                <w:highlight w:val="none"/>
              </w:rPr>
              <w:t>2</w:t>
            </w:r>
          </w:p>
        </w:tc>
        <w:tc>
          <w:tcPr>
            <w:tcW w:w="7735" w:type="dxa"/>
            <w:noWrap w:val="0"/>
            <w:vAlign w:val="center"/>
          </w:tcPr>
          <w:p w14:paraId="48DD5656">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定期保养服务：依照厂家相关标准每季度一次保养，主要内容包括：检查和调整各部分电路和机械部件；进行温度校准，水位检测校准；清洗进水，进气和排气，排水滤网；检查气动门的开关和运行；检查和润滑蠕动泵，蠕动泵管；设备控制系统自检测试；针对日常出现的问题做相应的检修；针对日常使用中的问题予以解释和指导；根据检查结果和配件的使用情况更换有问题的部件；提供设备保养计划表</w:t>
            </w:r>
            <w:r>
              <w:rPr>
                <w:rFonts w:hint="eastAsia" w:ascii="仿宋" w:hAnsi="仿宋" w:eastAsia="仿宋" w:cs="仿宋"/>
                <w:sz w:val="24"/>
                <w:szCs w:val="24"/>
                <w:highlight w:val="none"/>
                <w:lang w:val="en-US" w:eastAsia="zh-CN"/>
              </w:rPr>
              <w:t>及保养报告</w:t>
            </w:r>
            <w:r>
              <w:rPr>
                <w:rFonts w:hint="eastAsia" w:ascii="仿宋" w:hAnsi="仿宋" w:eastAsia="仿宋" w:cs="仿宋"/>
                <w:sz w:val="24"/>
                <w:szCs w:val="24"/>
                <w:highlight w:val="none"/>
                <w:lang w:eastAsia="zh-CN"/>
              </w:rPr>
              <w:t>，</w:t>
            </w:r>
            <w:r>
              <w:rPr>
                <w:rFonts w:hint="eastAsia" w:ascii="仿宋" w:hAnsi="仿宋" w:eastAsia="仿宋" w:cs="仿宋"/>
                <w:sz w:val="24"/>
                <w:highlight w:val="none"/>
                <w:lang w:val="en-US" w:eastAsia="zh-CN"/>
              </w:rPr>
              <w:t>年度结束需要提供详细的年度设备维护保养报告</w:t>
            </w:r>
            <w:r>
              <w:rPr>
                <w:rFonts w:hint="eastAsia" w:ascii="仿宋" w:hAnsi="仿宋" w:eastAsia="仿宋" w:cs="仿宋"/>
                <w:sz w:val="24"/>
                <w:szCs w:val="24"/>
                <w:highlight w:val="none"/>
              </w:rPr>
              <w:t>。</w:t>
            </w:r>
          </w:p>
        </w:tc>
      </w:tr>
      <w:tr w14:paraId="616C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59" w:type="dxa"/>
            <w:noWrap w:val="0"/>
            <w:vAlign w:val="center"/>
          </w:tcPr>
          <w:p w14:paraId="588F6A4A">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3</w:t>
            </w:r>
          </w:p>
        </w:tc>
        <w:tc>
          <w:tcPr>
            <w:tcW w:w="7735" w:type="dxa"/>
            <w:noWrap w:val="0"/>
            <w:vAlign w:val="center"/>
          </w:tcPr>
          <w:p w14:paraId="7FADECCB">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备件库：</w:t>
            </w:r>
            <w:r>
              <w:rPr>
                <w:rFonts w:hint="eastAsia" w:ascii="仿宋" w:hAnsi="仿宋" w:eastAsia="仿宋" w:cs="仿宋"/>
                <w:sz w:val="24"/>
                <w:szCs w:val="24"/>
                <w:highlight w:val="none"/>
                <w:lang w:val="en-US" w:eastAsia="zh-CN"/>
              </w:rPr>
              <w:t>投标人中标后</w:t>
            </w:r>
            <w:r>
              <w:rPr>
                <w:rFonts w:hint="eastAsia" w:ascii="仿宋" w:hAnsi="仿宋" w:eastAsia="仿宋" w:cs="仿宋"/>
                <w:sz w:val="24"/>
                <w:szCs w:val="24"/>
                <w:highlight w:val="none"/>
              </w:rPr>
              <w:t>须在江浙沪设</w:t>
            </w:r>
            <w:r>
              <w:rPr>
                <w:rFonts w:hint="eastAsia" w:ascii="仿宋" w:hAnsi="仿宋" w:eastAsia="仿宋" w:cs="仿宋"/>
                <w:sz w:val="24"/>
                <w:szCs w:val="24"/>
                <w:highlight w:val="none"/>
                <w:lang w:val="en-US" w:eastAsia="zh-CN"/>
              </w:rPr>
              <w:t>有</w:t>
            </w:r>
            <w:r>
              <w:rPr>
                <w:rFonts w:hint="eastAsia" w:ascii="仿宋" w:hAnsi="仿宋" w:eastAsia="仿宋" w:cs="仿宋"/>
                <w:sz w:val="24"/>
                <w:szCs w:val="24"/>
                <w:highlight w:val="none"/>
              </w:rPr>
              <w:t>备件库</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投标时需提供相关证明资料</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tc>
      </w:tr>
      <w:tr w14:paraId="26BA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 w:type="dxa"/>
            <w:noWrap w:val="0"/>
            <w:vAlign w:val="center"/>
          </w:tcPr>
          <w:p w14:paraId="4A343697">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bCs/>
                <w:kern w:val="2"/>
                <w:sz w:val="21"/>
                <w:szCs w:val="21"/>
                <w:highlight w:val="none"/>
              </w:rPr>
              <w:t>▲</w:t>
            </w:r>
            <w:r>
              <w:rPr>
                <w:rFonts w:hint="eastAsia" w:ascii="仿宋" w:hAnsi="仿宋" w:eastAsia="仿宋" w:cs="仿宋"/>
                <w:b/>
                <w:color w:val="000000"/>
                <w:sz w:val="24"/>
                <w:szCs w:val="24"/>
                <w:highlight w:val="none"/>
              </w:rPr>
              <w:t>4</w:t>
            </w:r>
          </w:p>
        </w:tc>
        <w:tc>
          <w:tcPr>
            <w:tcW w:w="7735" w:type="dxa"/>
            <w:noWrap w:val="0"/>
            <w:vAlign w:val="center"/>
          </w:tcPr>
          <w:p w14:paraId="5BFD2DDE">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配件品质：更换的配件须为STERIS原厂认证的全新配件，有报关单证明。（投标时提供相关证明资料）</w:t>
            </w:r>
          </w:p>
        </w:tc>
      </w:tr>
      <w:tr w14:paraId="01C7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9" w:type="dxa"/>
            <w:noWrap w:val="0"/>
            <w:vAlign w:val="center"/>
          </w:tcPr>
          <w:p w14:paraId="3850BFD1">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bCs/>
                <w:kern w:val="2"/>
                <w:sz w:val="21"/>
                <w:szCs w:val="21"/>
                <w:highlight w:val="none"/>
              </w:rPr>
              <w:t>▲</w:t>
            </w:r>
            <w:r>
              <w:rPr>
                <w:rFonts w:hint="eastAsia" w:ascii="仿宋" w:hAnsi="仿宋" w:eastAsia="仿宋" w:cs="仿宋"/>
                <w:b/>
                <w:color w:val="000000"/>
                <w:sz w:val="24"/>
                <w:szCs w:val="24"/>
                <w:highlight w:val="none"/>
              </w:rPr>
              <w:t>5</w:t>
            </w:r>
          </w:p>
        </w:tc>
        <w:tc>
          <w:tcPr>
            <w:tcW w:w="7735" w:type="dxa"/>
            <w:noWrap w:val="0"/>
            <w:vAlign w:val="center"/>
          </w:tcPr>
          <w:p w14:paraId="76AA09EE">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质控指标：保维修后的设备质量达到厂家质量标准，有原厂售后服务承诺书证明，应符合国家相关技术标准。</w:t>
            </w:r>
          </w:p>
        </w:tc>
      </w:tr>
      <w:tr w14:paraId="2CF1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59" w:type="dxa"/>
            <w:noWrap w:val="0"/>
            <w:vAlign w:val="center"/>
          </w:tcPr>
          <w:p w14:paraId="303A74F0">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6</w:t>
            </w:r>
          </w:p>
        </w:tc>
        <w:tc>
          <w:tcPr>
            <w:tcW w:w="7735" w:type="dxa"/>
            <w:noWrap w:val="0"/>
            <w:vAlign w:val="center"/>
          </w:tcPr>
          <w:p w14:paraId="49952ACC">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响应时间：工程师保证24小时内提供现场技术支持，并提供每周24小时×7天的电话支持服务。</w:t>
            </w:r>
          </w:p>
        </w:tc>
      </w:tr>
      <w:tr w14:paraId="7405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59" w:type="dxa"/>
            <w:noWrap w:val="0"/>
            <w:vAlign w:val="center"/>
          </w:tcPr>
          <w:p w14:paraId="415D1FAF">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7</w:t>
            </w:r>
          </w:p>
        </w:tc>
        <w:tc>
          <w:tcPr>
            <w:tcW w:w="7735" w:type="dxa"/>
            <w:noWrap w:val="0"/>
            <w:vAlign w:val="center"/>
          </w:tcPr>
          <w:p w14:paraId="16697D94">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维修效率：在零件齐备的情况下，保证24小时之内完成小维修，保证5个工作日内完成大维修，维修过程中根据医院要求提供备用品。（提供备品备件清单）</w:t>
            </w:r>
          </w:p>
        </w:tc>
      </w:tr>
      <w:tr w14:paraId="0CA9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59" w:type="dxa"/>
            <w:noWrap w:val="0"/>
            <w:vAlign w:val="center"/>
          </w:tcPr>
          <w:p w14:paraId="3F325AE4">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bCs/>
                <w:kern w:val="2"/>
                <w:sz w:val="24"/>
                <w:szCs w:val="24"/>
                <w:highlight w:val="none"/>
              </w:rPr>
              <w:t>★</w:t>
            </w:r>
            <w:r>
              <w:rPr>
                <w:rFonts w:hint="eastAsia" w:ascii="仿宋" w:hAnsi="仿宋" w:eastAsia="仿宋" w:cs="仿宋"/>
                <w:b/>
                <w:color w:val="000000"/>
                <w:sz w:val="24"/>
                <w:szCs w:val="24"/>
                <w:highlight w:val="none"/>
              </w:rPr>
              <w:t>8</w:t>
            </w:r>
          </w:p>
        </w:tc>
        <w:tc>
          <w:tcPr>
            <w:tcW w:w="7735" w:type="dxa"/>
            <w:noWrap w:val="0"/>
            <w:vAlign w:val="center"/>
          </w:tcPr>
          <w:p w14:paraId="6DEBE058">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开机率保证：年开机时间不低于350天，单次停机不超过1周；若未达到以上要求，每停机超过1天，保修期顺延5天。（提供承诺书）</w:t>
            </w:r>
          </w:p>
        </w:tc>
      </w:tr>
      <w:tr w14:paraId="7768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9" w:type="dxa"/>
            <w:noWrap w:val="0"/>
            <w:vAlign w:val="center"/>
          </w:tcPr>
          <w:p w14:paraId="4A003E34">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▲9</w:t>
            </w:r>
          </w:p>
        </w:tc>
        <w:tc>
          <w:tcPr>
            <w:tcW w:w="7735" w:type="dxa"/>
            <w:noWrap w:val="0"/>
            <w:vAlign w:val="center"/>
          </w:tcPr>
          <w:p w14:paraId="764E3A58">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维修人员要求：投标人在华东区至少有5位不低于10年工作经验工程师并具有厂家的培训证且培训完成日期在2024年1月1日之后，证书包含设备型号。（投标时提供相关证明资料）</w:t>
            </w:r>
          </w:p>
        </w:tc>
      </w:tr>
      <w:tr w14:paraId="36A7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9" w:type="dxa"/>
            <w:noWrap w:val="0"/>
            <w:vAlign w:val="center"/>
          </w:tcPr>
          <w:p w14:paraId="3294C254">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10</w:t>
            </w:r>
          </w:p>
        </w:tc>
        <w:tc>
          <w:tcPr>
            <w:tcW w:w="7735" w:type="dxa"/>
            <w:noWrap w:val="0"/>
            <w:vAlign w:val="center"/>
          </w:tcPr>
          <w:p w14:paraId="20802B62">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项目实施：服务必须投标人自行完成，不进行转包、分包或由无资质人员参与实施。</w:t>
            </w:r>
          </w:p>
        </w:tc>
      </w:tr>
      <w:tr w14:paraId="32B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59" w:type="dxa"/>
            <w:noWrap w:val="0"/>
            <w:vAlign w:val="center"/>
          </w:tcPr>
          <w:p w14:paraId="2419EAA2">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bCs/>
                <w:kern w:val="2"/>
                <w:sz w:val="24"/>
                <w:szCs w:val="24"/>
                <w:highlight w:val="none"/>
              </w:rPr>
              <w:t>1</w:t>
            </w:r>
            <w:r>
              <w:rPr>
                <w:rFonts w:hint="eastAsia" w:ascii="仿宋" w:hAnsi="仿宋" w:eastAsia="仿宋" w:cs="仿宋"/>
                <w:b/>
                <w:bCs/>
                <w:kern w:val="2"/>
                <w:sz w:val="24"/>
                <w:szCs w:val="24"/>
                <w:highlight w:val="none"/>
                <w:lang w:val="en-US" w:eastAsia="zh-CN"/>
              </w:rPr>
              <w:t>1</w:t>
            </w:r>
            <w:r>
              <w:rPr>
                <w:rFonts w:hint="eastAsia" w:ascii="仿宋" w:hAnsi="仿宋" w:eastAsia="仿宋" w:cs="仿宋"/>
                <w:b/>
                <w:bCs/>
                <w:kern w:val="2"/>
                <w:sz w:val="24"/>
                <w:szCs w:val="24"/>
                <w:highlight w:val="none"/>
              </w:rPr>
              <w:t xml:space="preserve"> </w:t>
            </w:r>
          </w:p>
        </w:tc>
        <w:tc>
          <w:tcPr>
            <w:tcW w:w="7735" w:type="dxa"/>
            <w:noWrap w:val="0"/>
            <w:vAlign w:val="center"/>
          </w:tcPr>
          <w:p w14:paraId="68DBE745">
            <w:pPr>
              <w:spacing w:after="0"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数据端口：具有设备数据端口维护能力</w:t>
            </w:r>
          </w:p>
        </w:tc>
      </w:tr>
    </w:tbl>
    <w:p w14:paraId="21608C5D">
      <w:pPr>
        <w:spacing w:after="0"/>
        <w:rPr>
          <w:rFonts w:hint="eastAsia" w:ascii="仿宋" w:hAnsi="仿宋" w:eastAsia="仿宋" w:cs="仿宋"/>
          <w:vanish/>
          <w:highlight w:val="none"/>
        </w:rPr>
      </w:pPr>
    </w:p>
    <w:tbl>
      <w:tblPr>
        <w:tblStyle w:val="63"/>
        <w:tblpPr w:leftFromText="180" w:rightFromText="180" w:vertAnchor="text" w:tblpX="10214" w:tblpY="-2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tblGrid>
      <w:tr w14:paraId="4176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561" w:type="dxa"/>
            <w:noWrap w:val="0"/>
            <w:vAlign w:val="top"/>
          </w:tcPr>
          <w:p w14:paraId="3542A53A">
            <w:pPr>
              <w:spacing w:after="0"/>
              <w:rPr>
                <w:rFonts w:hint="eastAsia" w:ascii="仿宋" w:hAnsi="仿宋" w:eastAsia="仿宋" w:cs="仿宋"/>
                <w:b/>
                <w:sz w:val="24"/>
                <w:szCs w:val="24"/>
                <w:highlight w:val="none"/>
              </w:rPr>
            </w:pPr>
          </w:p>
        </w:tc>
      </w:tr>
    </w:tbl>
    <w:p w14:paraId="3B3B534E">
      <w:pPr>
        <w:spacing w:after="0"/>
        <w:rPr>
          <w:rFonts w:hint="eastAsia" w:ascii="仿宋" w:hAnsi="仿宋" w:eastAsia="仿宋" w:cs="仿宋"/>
          <w:b/>
          <w:sz w:val="24"/>
          <w:szCs w:val="24"/>
          <w:highlight w:val="none"/>
        </w:rPr>
      </w:pPr>
    </w:p>
    <w:p w14:paraId="7080C46E">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考核：采购人应对中标方提供的维保服务质量，服度态度进行全面考核，考核合格方可支付服务费用，考核标准参照附件：《绍兴市中医院医疗设备维保服务考核管理办法》。</w:t>
      </w:r>
    </w:p>
    <w:p w14:paraId="7911AE3D">
      <w:pPr>
        <w:spacing w:after="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付款方式：合同签订后，60天支付本年度保修费用的50%，本年度保修服务结束后，根据医院的考核结果支付剩余保修费用的50%。</w:t>
      </w: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4"/>
        <w:ind w:firstLine="480" w:firstLineChars="200"/>
        <w:rPr>
          <w:rFonts w:hint="eastAsia" w:ascii="仿宋" w:hAnsi="仿宋" w:eastAsia="仿宋" w:cs="仿宋"/>
          <w:sz w:val="24"/>
          <w:szCs w:val="24"/>
          <w:highlight w:val="none"/>
        </w:rPr>
      </w:pPr>
    </w:p>
    <w:p w14:paraId="39304031">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2"/>
        <w:rPr>
          <w:rFonts w:hint="eastAsia" w:ascii="仿宋" w:hAnsi="仿宋" w:eastAsia="仿宋" w:cs="仿宋"/>
          <w:b/>
          <w:color w:val="auto"/>
          <w:sz w:val="36"/>
          <w:szCs w:val="36"/>
          <w:highlight w:val="none"/>
        </w:rPr>
      </w:pPr>
    </w:p>
    <w:p w14:paraId="57F43DDB">
      <w:pPr>
        <w:pStyle w:val="2"/>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4"/>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22967"/>
      <w:bookmarkStart w:id="40" w:name="_Toc19273"/>
      <w:bookmarkStart w:id="41" w:name="_Toc15367"/>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2918"/>
      <w:bookmarkStart w:id="45" w:name="_Toc18585"/>
      <w:bookmarkStart w:id="46" w:name="_Toc6773"/>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5635"/>
      <w:bookmarkStart w:id="49" w:name="_Toc1386"/>
      <w:bookmarkStart w:id="50" w:name="_Toc4929"/>
      <w:bookmarkStart w:id="51" w:name="_Toc21124"/>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14993"/>
      <w:bookmarkStart w:id="55" w:name="_Toc30158"/>
      <w:bookmarkStart w:id="56" w:name="_Toc26916"/>
      <w:bookmarkStart w:id="5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8772"/>
      <w:bookmarkStart w:id="62" w:name="_Toc31421"/>
      <w:bookmarkStart w:id="63" w:name="_Toc3625"/>
      <w:bookmarkStart w:id="64" w:name="_Toc11108"/>
      <w:bookmarkStart w:id="65" w:name="_Toc4760"/>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5698"/>
      <w:bookmarkStart w:id="68" w:name="_Toc3079"/>
      <w:bookmarkStart w:id="69" w:name="_Toc8586"/>
      <w:bookmarkStart w:id="70" w:name="_Toc24662"/>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18683"/>
      <w:bookmarkStart w:id="73" w:name="_Toc9497"/>
      <w:bookmarkStart w:id="74" w:name="_Toc32454"/>
      <w:bookmarkStart w:id="7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5583"/>
      <w:bookmarkStart w:id="78" w:name="_Toc16021"/>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14021"/>
      <w:bookmarkStart w:id="84" w:name="_Toc25079"/>
      <w:bookmarkStart w:id="85" w:name="_Toc31297"/>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19539"/>
      <w:bookmarkStart w:id="89" w:name="_Toc376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13673"/>
      <w:bookmarkStart w:id="94" w:name="_Toc12412"/>
      <w:bookmarkStart w:id="95" w:name="_Toc27945"/>
      <w:bookmarkStart w:id="96" w:name="_Toc9161"/>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15447"/>
      <w:bookmarkStart w:id="99" w:name="_Toc32670"/>
      <w:bookmarkStart w:id="100" w:name="_Toc22011"/>
      <w:bookmarkStart w:id="101" w:name="_Toc26555"/>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16163"/>
      <w:bookmarkStart w:id="104" w:name="_Toc30507"/>
      <w:bookmarkStart w:id="105" w:name="_Toc13154"/>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21830"/>
      <w:bookmarkStart w:id="112" w:name="_Toc42"/>
      <w:bookmarkStart w:id="113" w:name="_Toc10663"/>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4720"/>
      <w:bookmarkStart w:id="116" w:name="_Toc26633"/>
      <w:bookmarkStart w:id="117" w:name="_Toc14371"/>
      <w:bookmarkStart w:id="118" w:name="_Toc25571"/>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14115"/>
      <w:bookmarkStart w:id="122" w:name="_Toc25783"/>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30105"/>
      <w:bookmarkStart w:id="127" w:name="_Toc7315"/>
      <w:bookmarkStart w:id="128" w:name="_Toc2552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2308"/>
      <w:bookmarkStart w:id="138" w:name="_Toc25198"/>
      <w:bookmarkStart w:id="139" w:name="_Toc12666"/>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27644"/>
      <w:bookmarkStart w:id="145" w:name="_Toc5063"/>
      <w:bookmarkStart w:id="146" w:name="_Toc12254"/>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10330"/>
      <w:bookmarkStart w:id="153" w:name="_Toc259093692"/>
      <w:bookmarkStart w:id="154" w:name="_Toc487900373"/>
      <w:bookmarkStart w:id="155" w:name="_Toc279701263"/>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54"/>
        <w:gridCol w:w="6413"/>
        <w:gridCol w:w="816"/>
      </w:tblGrid>
      <w:tr w14:paraId="0B28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25" w:type="dxa"/>
            <w:noWrap w:val="0"/>
            <w:vAlign w:val="center"/>
          </w:tcPr>
          <w:p w14:paraId="0486B70F">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序号</w:t>
            </w:r>
          </w:p>
        </w:tc>
        <w:tc>
          <w:tcPr>
            <w:tcW w:w="1254" w:type="dxa"/>
            <w:noWrap w:val="0"/>
            <w:vAlign w:val="center"/>
          </w:tcPr>
          <w:p w14:paraId="59B7AE21">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评分内容</w:t>
            </w:r>
          </w:p>
        </w:tc>
        <w:tc>
          <w:tcPr>
            <w:tcW w:w="6413" w:type="dxa"/>
            <w:noWrap w:val="0"/>
            <w:vAlign w:val="center"/>
          </w:tcPr>
          <w:p w14:paraId="42B7AE36">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评分说明</w:t>
            </w:r>
          </w:p>
        </w:tc>
        <w:tc>
          <w:tcPr>
            <w:tcW w:w="816" w:type="dxa"/>
            <w:noWrap w:val="0"/>
            <w:vAlign w:val="center"/>
          </w:tcPr>
          <w:p w14:paraId="3659080E">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分值</w:t>
            </w:r>
          </w:p>
        </w:tc>
      </w:tr>
      <w:tr w14:paraId="3063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noWrap w:val="0"/>
            <w:vAlign w:val="center"/>
          </w:tcPr>
          <w:p w14:paraId="2917E38D">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254" w:type="dxa"/>
            <w:noWrap w:val="0"/>
            <w:vAlign w:val="center"/>
          </w:tcPr>
          <w:p w14:paraId="4C05EB86">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采购需求响应</w:t>
            </w:r>
          </w:p>
        </w:tc>
        <w:tc>
          <w:tcPr>
            <w:tcW w:w="6413" w:type="dxa"/>
            <w:noWrap w:val="0"/>
            <w:vAlign w:val="center"/>
          </w:tcPr>
          <w:p w14:paraId="08010B56">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完全</w:t>
            </w:r>
            <w:r>
              <w:rPr>
                <w:rFonts w:hint="eastAsia" w:ascii="仿宋" w:hAnsi="仿宋" w:eastAsia="仿宋" w:cs="仿宋"/>
                <w:sz w:val="21"/>
                <w:szCs w:val="21"/>
                <w:highlight w:val="none"/>
                <w:lang w:val="en-US" w:eastAsia="zh-CN"/>
              </w:rPr>
              <w:t>满足</w:t>
            </w:r>
            <w:r>
              <w:rPr>
                <w:rFonts w:hint="eastAsia" w:ascii="仿宋" w:hAnsi="仿宋" w:eastAsia="仿宋" w:cs="仿宋"/>
                <w:color w:val="000000"/>
                <w:sz w:val="21"/>
                <w:szCs w:val="21"/>
                <w:highlight w:val="none"/>
              </w:rPr>
              <w:t>招标文件要求的</w:t>
            </w:r>
            <w:r>
              <w:rPr>
                <w:rFonts w:hint="eastAsia" w:ascii="仿宋" w:hAnsi="仿宋" w:eastAsia="仿宋" w:cs="仿宋"/>
                <w:sz w:val="21"/>
                <w:szCs w:val="21"/>
                <w:highlight w:val="none"/>
              </w:rPr>
              <w:t>得38分，</w:t>
            </w:r>
            <w:r>
              <w:rPr>
                <w:rFonts w:hint="eastAsia" w:ascii="仿宋" w:hAnsi="仿宋" w:eastAsia="仿宋" w:cs="仿宋"/>
                <w:sz w:val="21"/>
                <w:szCs w:val="21"/>
                <w:highlight w:val="none"/>
                <w:lang w:val="en-US" w:eastAsia="zh-CN"/>
              </w:rPr>
              <w:t>标</w:t>
            </w:r>
            <w:r>
              <w:rPr>
                <w:rFonts w:hint="eastAsia" w:ascii="仿宋" w:hAnsi="仿宋" w:eastAsia="仿宋" w:cs="仿宋"/>
                <w:sz w:val="21"/>
                <w:szCs w:val="21"/>
                <w:highlight w:val="none"/>
              </w:rPr>
              <w:t>“</w:t>
            </w:r>
            <w:r>
              <w:rPr>
                <w:rFonts w:hint="eastAsia" w:ascii="仿宋" w:hAnsi="仿宋" w:eastAsia="仿宋" w:cs="仿宋"/>
                <w:kern w:val="2"/>
                <w:sz w:val="21"/>
                <w:szCs w:val="21"/>
                <w:highlight w:val="none"/>
              </w:rPr>
              <w:t>★</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为实质性指标</w:t>
            </w:r>
            <w:r>
              <w:rPr>
                <w:rFonts w:hint="eastAsia" w:ascii="仿宋" w:hAnsi="仿宋" w:eastAsia="仿宋" w:cs="仿宋"/>
                <w:sz w:val="21"/>
                <w:szCs w:val="21"/>
                <w:highlight w:val="none"/>
              </w:rPr>
              <w:t>，不满足者将被视为无效标。标“▲”为重要</w:t>
            </w:r>
            <w:r>
              <w:rPr>
                <w:rFonts w:hint="eastAsia" w:ascii="仿宋" w:hAnsi="仿宋" w:eastAsia="仿宋" w:cs="仿宋"/>
                <w:sz w:val="21"/>
                <w:szCs w:val="21"/>
                <w:highlight w:val="none"/>
                <w:lang w:val="en-US" w:eastAsia="zh-CN"/>
              </w:rPr>
              <w:t>指标项</w:t>
            </w:r>
            <w:r>
              <w:rPr>
                <w:rFonts w:hint="eastAsia" w:ascii="仿宋" w:hAnsi="仿宋" w:eastAsia="仿宋" w:cs="仿宋"/>
                <w:sz w:val="21"/>
                <w:szCs w:val="21"/>
                <w:highlight w:val="none"/>
              </w:rPr>
              <w:t>，每</w:t>
            </w:r>
            <w:r>
              <w:rPr>
                <w:rFonts w:hint="eastAsia" w:ascii="仿宋" w:hAnsi="仿宋" w:eastAsia="仿宋" w:cs="仿宋"/>
                <w:sz w:val="21"/>
                <w:szCs w:val="21"/>
                <w:highlight w:val="none"/>
                <w:lang w:val="en-US" w:eastAsia="zh-CN"/>
              </w:rPr>
              <w:t>负偏离</w:t>
            </w:r>
            <w:r>
              <w:rPr>
                <w:rFonts w:hint="eastAsia" w:ascii="仿宋" w:hAnsi="仿宋" w:eastAsia="仿宋" w:cs="仿宋"/>
                <w:sz w:val="21"/>
                <w:szCs w:val="21"/>
                <w:highlight w:val="none"/>
              </w:rPr>
              <w:t>一项扣4分；其它</w:t>
            </w:r>
            <w:r>
              <w:rPr>
                <w:rFonts w:hint="eastAsia" w:ascii="仿宋" w:hAnsi="仿宋" w:eastAsia="仿宋" w:cs="仿宋"/>
                <w:sz w:val="21"/>
                <w:szCs w:val="21"/>
                <w:highlight w:val="none"/>
                <w:lang w:val="en-US" w:eastAsia="zh-CN"/>
              </w:rPr>
              <w:t>一般指标项每负偏一项</w:t>
            </w:r>
            <w:r>
              <w:rPr>
                <w:rFonts w:hint="eastAsia" w:ascii="仿宋" w:hAnsi="仿宋" w:eastAsia="仿宋" w:cs="仿宋"/>
                <w:sz w:val="21"/>
                <w:szCs w:val="21"/>
                <w:highlight w:val="none"/>
              </w:rPr>
              <w:t>扣3分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扣完为止，</w:t>
            </w:r>
            <w:r>
              <w:rPr>
                <w:rFonts w:hint="eastAsia" w:ascii="仿宋" w:hAnsi="仿宋" w:eastAsia="仿宋" w:cs="仿宋"/>
                <w:sz w:val="21"/>
                <w:szCs w:val="21"/>
                <w:highlight w:val="none"/>
              </w:rPr>
              <w:t>本项最高38分。</w:t>
            </w:r>
          </w:p>
        </w:tc>
        <w:tc>
          <w:tcPr>
            <w:tcW w:w="816" w:type="dxa"/>
            <w:noWrap w:val="0"/>
            <w:vAlign w:val="center"/>
          </w:tcPr>
          <w:p w14:paraId="08DB60F4">
            <w:pPr>
              <w:spacing w:after="0" w:line="240" w:lineRule="auto"/>
              <w:jc w:val="center"/>
              <w:rPr>
                <w:rFonts w:hint="eastAsia" w:ascii="仿宋" w:hAnsi="仿宋" w:eastAsia="仿宋" w:cs="仿宋"/>
                <w:kern w:val="2"/>
                <w:sz w:val="21"/>
                <w:szCs w:val="21"/>
                <w:highlight w:val="none"/>
              </w:rPr>
            </w:pPr>
            <w:r>
              <w:rPr>
                <w:rFonts w:hint="eastAsia" w:ascii="仿宋" w:hAnsi="仿宋" w:eastAsia="仿宋" w:cs="仿宋"/>
                <w:sz w:val="21"/>
                <w:szCs w:val="21"/>
                <w:highlight w:val="none"/>
              </w:rPr>
              <w:t>38</w:t>
            </w:r>
          </w:p>
        </w:tc>
      </w:tr>
      <w:tr w14:paraId="244B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25" w:type="dxa"/>
            <w:noWrap w:val="0"/>
            <w:vAlign w:val="center"/>
          </w:tcPr>
          <w:p w14:paraId="1D64B524">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254" w:type="dxa"/>
            <w:noWrap w:val="0"/>
            <w:vAlign w:val="center"/>
          </w:tcPr>
          <w:p w14:paraId="2749FC6B">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厂家授权书</w:t>
            </w:r>
          </w:p>
        </w:tc>
        <w:tc>
          <w:tcPr>
            <w:tcW w:w="6413" w:type="dxa"/>
            <w:noWrap w:val="0"/>
            <w:vAlign w:val="center"/>
          </w:tcPr>
          <w:p w14:paraId="350B84D6">
            <w:pPr>
              <w:spacing w:after="0" w:line="240" w:lineRule="auto"/>
              <w:rPr>
                <w:rFonts w:hint="eastAsia" w:ascii="仿宋" w:hAnsi="仿宋" w:eastAsia="仿宋" w:cs="仿宋"/>
                <w:sz w:val="21"/>
                <w:szCs w:val="21"/>
                <w:highlight w:val="none"/>
              </w:rPr>
            </w:pPr>
            <w:r>
              <w:rPr>
                <w:rFonts w:hint="eastAsia" w:ascii="仿宋" w:hAnsi="仿宋" w:eastAsia="仿宋" w:cs="仿宋"/>
                <w:color w:val="auto"/>
                <w:sz w:val="21"/>
                <w:szCs w:val="21"/>
                <w:highlight w:val="none"/>
                <w:lang w:eastAsia="zh-CN"/>
              </w:rPr>
              <w:t>投标人承诺中标后</w:t>
            </w:r>
            <w:r>
              <w:rPr>
                <w:rFonts w:hint="eastAsia" w:ascii="仿宋" w:hAnsi="仿宋" w:eastAsia="仿宋" w:cs="仿宋"/>
                <w:color w:val="auto"/>
                <w:sz w:val="21"/>
                <w:szCs w:val="21"/>
                <w:highlight w:val="none"/>
              </w:rPr>
              <w:t>提供厂家授权资质的得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分，提供</w:t>
            </w:r>
            <w:r>
              <w:rPr>
                <w:rFonts w:hint="eastAsia" w:ascii="仿宋" w:hAnsi="仿宋" w:eastAsia="仿宋" w:cs="仿宋"/>
                <w:color w:val="auto"/>
                <w:sz w:val="21"/>
                <w:szCs w:val="21"/>
                <w:highlight w:val="none"/>
                <w:lang w:eastAsia="zh-CN"/>
              </w:rPr>
              <w:t>厂家</w:t>
            </w:r>
            <w:r>
              <w:rPr>
                <w:rFonts w:hint="eastAsia" w:ascii="仿宋" w:hAnsi="仿宋" w:eastAsia="仿宋" w:cs="仿宋"/>
                <w:color w:val="auto"/>
                <w:sz w:val="21"/>
                <w:szCs w:val="21"/>
                <w:highlight w:val="none"/>
              </w:rPr>
              <w:t>授权资质经销商</w:t>
            </w:r>
            <w:r>
              <w:rPr>
                <w:rFonts w:hint="eastAsia" w:ascii="仿宋" w:hAnsi="仿宋" w:eastAsia="仿宋" w:cs="仿宋"/>
                <w:color w:val="auto"/>
                <w:sz w:val="21"/>
                <w:szCs w:val="21"/>
                <w:highlight w:val="none"/>
                <w:lang w:eastAsia="zh-CN"/>
              </w:rPr>
              <w:t>授权的得</w:t>
            </w:r>
            <w:r>
              <w:rPr>
                <w:rFonts w:hint="eastAsia" w:ascii="仿宋" w:hAnsi="仿宋" w:eastAsia="仿宋" w:cs="仿宋"/>
                <w:color w:val="auto"/>
                <w:sz w:val="21"/>
                <w:szCs w:val="21"/>
                <w:highlight w:val="none"/>
                <w:lang w:val="en-US" w:eastAsia="zh-CN"/>
              </w:rPr>
              <w:t>2分，未承诺或未提供不</w:t>
            </w:r>
            <w:r>
              <w:rPr>
                <w:rFonts w:hint="eastAsia" w:ascii="仿宋" w:hAnsi="仿宋" w:eastAsia="仿宋" w:cs="仿宋"/>
                <w:color w:val="auto"/>
                <w:sz w:val="21"/>
                <w:szCs w:val="21"/>
                <w:highlight w:val="none"/>
              </w:rPr>
              <w:t>得分。</w:t>
            </w:r>
          </w:p>
        </w:tc>
        <w:tc>
          <w:tcPr>
            <w:tcW w:w="816" w:type="dxa"/>
            <w:noWrap w:val="0"/>
            <w:vAlign w:val="center"/>
          </w:tcPr>
          <w:p w14:paraId="6C1C9195">
            <w:pPr>
              <w:spacing w:after="0"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r>
      <w:tr w14:paraId="6D7E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25" w:type="dxa"/>
            <w:noWrap w:val="0"/>
            <w:vAlign w:val="center"/>
          </w:tcPr>
          <w:p w14:paraId="6B563150">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254" w:type="dxa"/>
            <w:noWrap w:val="0"/>
            <w:vAlign w:val="center"/>
          </w:tcPr>
          <w:p w14:paraId="426C9C30">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保修、保养服务方案</w:t>
            </w:r>
          </w:p>
        </w:tc>
        <w:tc>
          <w:tcPr>
            <w:tcW w:w="6413" w:type="dxa"/>
            <w:noWrap w:val="0"/>
            <w:vAlign w:val="center"/>
          </w:tcPr>
          <w:p w14:paraId="4F2DAA7F">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根据投标人提供的保修、保养服务方案；提供客户服务专线电话服务内容和方案；是否具有较强的专业技术队伍，能提供快速的售后服务响应等(本项分值设置为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p>
        </w:tc>
        <w:tc>
          <w:tcPr>
            <w:tcW w:w="816" w:type="dxa"/>
            <w:noWrap w:val="0"/>
            <w:vAlign w:val="center"/>
          </w:tcPr>
          <w:p w14:paraId="5A3A3E58">
            <w:pPr>
              <w:spacing w:after="0" w:line="240" w:lineRule="auto"/>
              <w:jc w:val="center"/>
              <w:rPr>
                <w:rFonts w:hint="default" w:ascii="仿宋" w:hAnsi="仿宋" w:eastAsia="仿宋" w:cs="仿宋"/>
                <w:kern w:val="2"/>
                <w:sz w:val="21"/>
                <w:szCs w:val="21"/>
                <w:highlight w:val="none"/>
                <w:lang w:val="en-US" w:eastAsia="zh-CN"/>
              </w:rPr>
            </w:pPr>
            <w:r>
              <w:rPr>
                <w:rFonts w:hint="eastAsia" w:ascii="仿宋" w:hAnsi="仿宋" w:eastAsia="仿宋" w:cs="仿宋"/>
                <w:sz w:val="21"/>
                <w:szCs w:val="21"/>
                <w:highlight w:val="none"/>
                <w:lang w:val="en-US" w:eastAsia="zh-CN"/>
              </w:rPr>
              <w:t>10</w:t>
            </w:r>
          </w:p>
        </w:tc>
      </w:tr>
      <w:tr w14:paraId="14B0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noWrap w:val="0"/>
            <w:vAlign w:val="center"/>
          </w:tcPr>
          <w:p w14:paraId="77F10589">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254" w:type="dxa"/>
            <w:noWrap w:val="0"/>
            <w:vAlign w:val="center"/>
          </w:tcPr>
          <w:p w14:paraId="6810125A">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备件品质</w:t>
            </w:r>
          </w:p>
        </w:tc>
        <w:tc>
          <w:tcPr>
            <w:tcW w:w="6413" w:type="dxa"/>
            <w:noWrap w:val="0"/>
            <w:vAlign w:val="center"/>
          </w:tcPr>
          <w:p w14:paraId="5C4BEA16">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投标人</w:t>
            </w:r>
            <w:r>
              <w:rPr>
                <w:rFonts w:hint="eastAsia" w:ascii="仿宋" w:hAnsi="仿宋" w:eastAsia="仿宋" w:cs="仿宋"/>
                <w:sz w:val="21"/>
                <w:szCs w:val="21"/>
                <w:highlight w:val="none"/>
              </w:rPr>
              <w:t>提供包含STERIS配件号码海关报关单复印件或进货发票复印件，实物照片等证明资料，不提供不得分。</w:t>
            </w:r>
          </w:p>
          <w:p w14:paraId="78C77DCE">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储备备件齐全且实际库存每个设备型号的主控电路板≥3，显示屏≥3套等主要部件</w:t>
            </w:r>
            <w:r>
              <w:rPr>
                <w:rFonts w:hint="eastAsia" w:ascii="仿宋" w:hAnsi="仿宋" w:eastAsia="仿宋" w:cs="仿宋"/>
                <w:sz w:val="21"/>
                <w:szCs w:val="21"/>
                <w:highlight w:val="none"/>
                <w:lang w:val="en-US" w:eastAsia="zh-CN"/>
              </w:rPr>
              <w:t>进行评审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p>
        </w:tc>
        <w:tc>
          <w:tcPr>
            <w:tcW w:w="816" w:type="dxa"/>
            <w:noWrap w:val="0"/>
            <w:vAlign w:val="center"/>
          </w:tcPr>
          <w:p w14:paraId="4E764C29">
            <w:pPr>
              <w:spacing w:after="0" w:line="240" w:lineRule="auto"/>
              <w:jc w:val="center"/>
              <w:rPr>
                <w:rFonts w:hint="default" w:ascii="仿宋" w:hAnsi="仿宋" w:eastAsia="仿宋" w:cs="仿宋"/>
                <w:kern w:val="2"/>
                <w:sz w:val="21"/>
                <w:szCs w:val="21"/>
                <w:highlight w:val="none"/>
                <w:lang w:val="en-US" w:eastAsia="zh-CN"/>
              </w:rPr>
            </w:pPr>
            <w:r>
              <w:rPr>
                <w:rFonts w:hint="eastAsia" w:ascii="仿宋" w:hAnsi="仿宋" w:eastAsia="仿宋" w:cs="仿宋"/>
                <w:sz w:val="21"/>
                <w:szCs w:val="21"/>
                <w:highlight w:val="none"/>
                <w:lang w:val="en-US" w:eastAsia="zh-CN"/>
              </w:rPr>
              <w:t>10</w:t>
            </w:r>
          </w:p>
        </w:tc>
      </w:tr>
      <w:tr w14:paraId="28C4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25" w:type="dxa"/>
            <w:noWrap w:val="0"/>
            <w:vAlign w:val="center"/>
          </w:tcPr>
          <w:p w14:paraId="0EFAF5CD">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254" w:type="dxa"/>
            <w:noWrap w:val="0"/>
            <w:vAlign w:val="center"/>
          </w:tcPr>
          <w:p w14:paraId="4E09DACA">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维修保养经验</w:t>
            </w:r>
          </w:p>
        </w:tc>
        <w:tc>
          <w:tcPr>
            <w:tcW w:w="6413" w:type="dxa"/>
            <w:noWrap w:val="0"/>
            <w:vAlign w:val="center"/>
          </w:tcPr>
          <w:p w14:paraId="7EC2C137">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投标人自2022年1月1日以来（以合同签订时间为准,）</w:t>
            </w:r>
            <w:r>
              <w:rPr>
                <w:rFonts w:hint="eastAsia" w:ascii="仿宋" w:hAnsi="仿宋" w:eastAsia="仿宋" w:cs="仿宋"/>
                <w:sz w:val="21"/>
                <w:szCs w:val="21"/>
                <w:highlight w:val="none"/>
                <w:lang w:val="en-US" w:eastAsia="zh-CN"/>
              </w:rPr>
              <w:t>承接过</w:t>
            </w:r>
            <w:r>
              <w:rPr>
                <w:rFonts w:hint="eastAsia" w:ascii="仿宋" w:hAnsi="仿宋" w:eastAsia="仿宋" w:cs="仿宋"/>
                <w:sz w:val="21"/>
                <w:szCs w:val="21"/>
                <w:highlight w:val="none"/>
              </w:rPr>
              <w:t>STERIS设备维保业绩，每提供1个业绩</w:t>
            </w:r>
            <w:r>
              <w:rPr>
                <w:rFonts w:hint="eastAsia" w:ascii="仿宋" w:hAnsi="仿宋" w:eastAsia="仿宋" w:cs="仿宋"/>
                <w:sz w:val="21"/>
                <w:szCs w:val="21"/>
                <w:highlight w:val="none"/>
                <w:lang w:val="en-US" w:eastAsia="zh-CN"/>
              </w:rPr>
              <w:t>得</w:t>
            </w:r>
            <w:r>
              <w:rPr>
                <w:rFonts w:hint="eastAsia" w:ascii="仿宋" w:hAnsi="仿宋" w:eastAsia="仿宋" w:cs="仿宋"/>
                <w:sz w:val="21"/>
                <w:szCs w:val="21"/>
                <w:highlight w:val="none"/>
              </w:rPr>
              <w:t>1分，</w:t>
            </w:r>
            <w:r>
              <w:rPr>
                <w:rFonts w:hint="eastAsia" w:ascii="仿宋" w:hAnsi="仿宋" w:eastAsia="仿宋" w:cs="仿宋"/>
                <w:sz w:val="21"/>
                <w:szCs w:val="21"/>
                <w:highlight w:val="none"/>
                <w:lang w:val="en-US" w:eastAsia="zh-CN"/>
              </w:rPr>
              <w:t>最高得</w:t>
            </w:r>
            <w:r>
              <w:rPr>
                <w:rFonts w:hint="eastAsia" w:ascii="仿宋" w:hAnsi="仿宋" w:eastAsia="仿宋" w:cs="仿宋"/>
                <w:sz w:val="21"/>
                <w:szCs w:val="21"/>
                <w:highlight w:val="none"/>
              </w:rPr>
              <w:t>2分。</w:t>
            </w:r>
            <w:r>
              <w:rPr>
                <w:rFonts w:hint="eastAsia" w:ascii="仿宋" w:hAnsi="仿宋" w:eastAsia="仿宋" w:cs="仿宋"/>
                <w:sz w:val="21"/>
                <w:szCs w:val="21"/>
                <w:highlight w:val="none"/>
                <w:lang w:val="en-US" w:eastAsia="zh-CN"/>
              </w:rPr>
              <w:t>需提供</w:t>
            </w:r>
            <w:r>
              <w:rPr>
                <w:rFonts w:hint="eastAsia" w:ascii="仿宋" w:hAnsi="仿宋" w:eastAsia="仿宋" w:cs="仿宋"/>
                <w:sz w:val="21"/>
                <w:szCs w:val="21"/>
                <w:highlight w:val="none"/>
              </w:rPr>
              <w:t>合同复印件</w:t>
            </w:r>
            <w:r>
              <w:rPr>
                <w:rFonts w:hint="eastAsia" w:ascii="仿宋" w:hAnsi="仿宋" w:eastAsia="仿宋" w:cs="仿宋"/>
                <w:sz w:val="21"/>
                <w:szCs w:val="21"/>
                <w:highlight w:val="none"/>
                <w:lang w:val="en-US" w:eastAsia="zh-CN"/>
              </w:rPr>
              <w:t>加盖投标人公章，未提供不得分。注：</w:t>
            </w:r>
            <w:r>
              <w:rPr>
                <w:rFonts w:hint="eastAsia" w:ascii="仿宋" w:hAnsi="仿宋" w:eastAsia="仿宋" w:cs="仿宋"/>
                <w:sz w:val="21"/>
                <w:szCs w:val="21"/>
                <w:highlight w:val="none"/>
              </w:rPr>
              <w:t>同一医院的业绩不重复计分</w:t>
            </w:r>
            <w:r>
              <w:rPr>
                <w:rFonts w:hint="eastAsia" w:ascii="仿宋" w:hAnsi="仿宋" w:eastAsia="仿宋" w:cs="仿宋"/>
                <w:sz w:val="21"/>
                <w:szCs w:val="21"/>
                <w:highlight w:val="none"/>
                <w:lang w:eastAsia="zh-CN"/>
              </w:rPr>
              <w:t>。</w:t>
            </w:r>
          </w:p>
        </w:tc>
        <w:tc>
          <w:tcPr>
            <w:tcW w:w="816" w:type="dxa"/>
            <w:noWrap w:val="0"/>
            <w:vAlign w:val="center"/>
          </w:tcPr>
          <w:p w14:paraId="39DF1B1C">
            <w:pPr>
              <w:spacing w:after="0" w:line="240" w:lineRule="auto"/>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2</w:t>
            </w:r>
          </w:p>
        </w:tc>
      </w:tr>
      <w:tr w14:paraId="7918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725" w:type="dxa"/>
            <w:noWrap w:val="0"/>
            <w:vAlign w:val="center"/>
          </w:tcPr>
          <w:p w14:paraId="35B4C43E">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254" w:type="dxa"/>
            <w:noWrap w:val="0"/>
            <w:vAlign w:val="center"/>
          </w:tcPr>
          <w:p w14:paraId="0AABF10C">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维保人员配备</w:t>
            </w:r>
          </w:p>
        </w:tc>
        <w:tc>
          <w:tcPr>
            <w:tcW w:w="6413" w:type="dxa"/>
            <w:noWrap w:val="0"/>
            <w:vAlign w:val="center"/>
          </w:tcPr>
          <w:p w14:paraId="7475BC0E">
            <w:pPr>
              <w:spacing w:after="0" w:line="240" w:lineRule="auto"/>
              <w:rPr>
                <w:rFonts w:hint="eastAsia" w:ascii="仿宋" w:hAnsi="仿宋" w:eastAsia="仿宋" w:cs="仿宋"/>
                <w:sz w:val="21"/>
                <w:szCs w:val="21"/>
                <w:highlight w:val="none"/>
              </w:rPr>
            </w:pPr>
            <w:r>
              <w:rPr>
                <w:rFonts w:hint="eastAsia" w:ascii="仿宋" w:hAnsi="仿宋" w:eastAsia="仿宋" w:cs="仿宋"/>
                <w:kern w:val="2"/>
                <w:sz w:val="21"/>
                <w:szCs w:val="21"/>
                <w:highlight w:val="none"/>
              </w:rPr>
              <w:t>投标人具备专业服务团队，在华东区5年工作经验工程师，提供5人得5分，每增加1人得1分，最高8分；低于5人不得分。</w:t>
            </w:r>
            <w:r>
              <w:rPr>
                <w:rFonts w:hint="eastAsia" w:ascii="仿宋" w:hAnsi="仿宋" w:eastAsia="仿宋" w:cs="仿宋"/>
                <w:kern w:val="2"/>
                <w:sz w:val="21"/>
                <w:szCs w:val="21"/>
                <w:highlight w:val="none"/>
                <w:lang w:val="en-US" w:eastAsia="zh-CN"/>
              </w:rPr>
              <w:t>需提供</w:t>
            </w:r>
            <w:r>
              <w:rPr>
                <w:rFonts w:hint="eastAsia" w:ascii="仿宋" w:hAnsi="仿宋" w:eastAsia="仿宋" w:cs="仿宋"/>
                <w:kern w:val="2"/>
                <w:sz w:val="21"/>
                <w:szCs w:val="21"/>
                <w:highlight w:val="none"/>
              </w:rPr>
              <w:t>人员原厂培训证明文件</w:t>
            </w:r>
            <w:r>
              <w:rPr>
                <w:rFonts w:hint="eastAsia" w:ascii="仿宋" w:hAnsi="仿宋" w:eastAsia="仿宋" w:cs="仿宋"/>
                <w:kern w:val="2"/>
                <w:sz w:val="21"/>
                <w:szCs w:val="21"/>
                <w:highlight w:val="none"/>
                <w:lang w:val="en-US" w:eastAsia="zh-CN"/>
              </w:rPr>
              <w:t>及</w:t>
            </w:r>
            <w:r>
              <w:rPr>
                <w:rFonts w:hint="eastAsia" w:ascii="仿宋" w:hAnsi="仿宋" w:eastAsia="仿宋" w:cs="仿宋"/>
                <w:kern w:val="2"/>
                <w:sz w:val="21"/>
                <w:szCs w:val="21"/>
                <w:highlight w:val="none"/>
              </w:rPr>
              <w:t>投标人</w:t>
            </w:r>
            <w:r>
              <w:rPr>
                <w:rFonts w:hint="eastAsia" w:ascii="仿宋" w:hAnsi="仿宋" w:eastAsia="仿宋" w:cs="仿宋"/>
                <w:kern w:val="2"/>
                <w:sz w:val="21"/>
                <w:szCs w:val="21"/>
                <w:highlight w:val="none"/>
                <w:lang w:val="en-US" w:eastAsia="zh-CN"/>
              </w:rPr>
              <w:t>为其</w:t>
            </w:r>
            <w:r>
              <w:rPr>
                <w:rFonts w:hint="eastAsia" w:ascii="仿宋" w:hAnsi="仿宋" w:eastAsia="仿宋" w:cs="仿宋"/>
                <w:kern w:val="2"/>
                <w:sz w:val="21"/>
                <w:szCs w:val="21"/>
                <w:highlight w:val="none"/>
              </w:rPr>
              <w:t>缴纳</w:t>
            </w:r>
            <w:r>
              <w:rPr>
                <w:rFonts w:hint="eastAsia" w:ascii="仿宋" w:hAnsi="仿宋" w:eastAsia="仿宋" w:cs="仿宋"/>
                <w:kern w:val="2"/>
                <w:sz w:val="21"/>
                <w:szCs w:val="21"/>
                <w:highlight w:val="none"/>
                <w:lang w:val="en-US" w:eastAsia="zh-CN"/>
              </w:rPr>
              <w:t>的</w:t>
            </w:r>
            <w:r>
              <w:rPr>
                <w:rFonts w:hint="eastAsia" w:ascii="仿宋" w:hAnsi="仿宋" w:eastAsia="仿宋" w:cs="仿宋"/>
                <w:kern w:val="2"/>
                <w:sz w:val="21"/>
                <w:szCs w:val="21"/>
                <w:highlight w:val="none"/>
              </w:rPr>
              <w:t>社保证明材料</w:t>
            </w:r>
            <w:r>
              <w:rPr>
                <w:rFonts w:hint="eastAsia" w:ascii="仿宋" w:hAnsi="仿宋" w:eastAsia="仿宋" w:cs="仿宋"/>
                <w:kern w:val="2"/>
                <w:sz w:val="21"/>
                <w:szCs w:val="21"/>
                <w:highlight w:val="none"/>
                <w:lang w:val="en-US" w:eastAsia="zh-CN"/>
              </w:rPr>
              <w:t>均加盖投标人公章，未提供不得分</w:t>
            </w:r>
            <w:r>
              <w:rPr>
                <w:rFonts w:hint="eastAsia" w:ascii="仿宋" w:hAnsi="仿宋" w:eastAsia="仿宋" w:cs="仿宋"/>
                <w:kern w:val="2"/>
                <w:sz w:val="21"/>
                <w:szCs w:val="21"/>
                <w:highlight w:val="none"/>
              </w:rPr>
              <w:t>。</w:t>
            </w:r>
          </w:p>
        </w:tc>
        <w:tc>
          <w:tcPr>
            <w:tcW w:w="816" w:type="dxa"/>
            <w:noWrap w:val="0"/>
            <w:vAlign w:val="center"/>
          </w:tcPr>
          <w:p w14:paraId="187E6767">
            <w:pPr>
              <w:spacing w:after="0" w:line="240" w:lineRule="auto"/>
              <w:jc w:val="center"/>
              <w:rPr>
                <w:rFonts w:hint="eastAsia" w:ascii="仿宋" w:hAnsi="仿宋" w:eastAsia="仿宋" w:cs="仿宋"/>
                <w:kern w:val="2"/>
                <w:sz w:val="21"/>
                <w:szCs w:val="21"/>
                <w:highlight w:val="none"/>
              </w:rPr>
            </w:pPr>
            <w:r>
              <w:rPr>
                <w:rFonts w:hint="eastAsia" w:ascii="仿宋" w:hAnsi="仿宋" w:eastAsia="仿宋" w:cs="仿宋"/>
                <w:sz w:val="21"/>
                <w:szCs w:val="21"/>
                <w:highlight w:val="none"/>
              </w:rPr>
              <w:t>8</w:t>
            </w:r>
          </w:p>
        </w:tc>
      </w:tr>
      <w:tr w14:paraId="646F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25" w:type="dxa"/>
            <w:noWrap w:val="0"/>
            <w:vAlign w:val="center"/>
          </w:tcPr>
          <w:p w14:paraId="298348A8">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254" w:type="dxa"/>
            <w:noWrap w:val="0"/>
            <w:vAlign w:val="center"/>
          </w:tcPr>
          <w:p w14:paraId="567D9193">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维修响应速度</w:t>
            </w:r>
          </w:p>
        </w:tc>
        <w:tc>
          <w:tcPr>
            <w:tcW w:w="6413" w:type="dxa"/>
            <w:noWrap w:val="0"/>
            <w:vAlign w:val="center"/>
          </w:tcPr>
          <w:p w14:paraId="6A27E57C">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根据投标人提出的针对本项目的维修响应速度服务承诺给分，维修响应速度服务承诺24小时内得3分，24-48小时内得1分，48小时以上不得0分。</w:t>
            </w:r>
          </w:p>
        </w:tc>
        <w:tc>
          <w:tcPr>
            <w:tcW w:w="816" w:type="dxa"/>
            <w:noWrap w:val="0"/>
            <w:vAlign w:val="center"/>
          </w:tcPr>
          <w:p w14:paraId="19D96F04">
            <w:pPr>
              <w:spacing w:after="0" w:line="240" w:lineRule="auto"/>
              <w:jc w:val="center"/>
              <w:rPr>
                <w:rFonts w:hint="eastAsia" w:ascii="仿宋" w:hAnsi="仿宋" w:eastAsia="仿宋" w:cs="仿宋"/>
                <w:kern w:val="2"/>
                <w:sz w:val="21"/>
                <w:szCs w:val="21"/>
                <w:highlight w:val="none"/>
              </w:rPr>
            </w:pPr>
            <w:r>
              <w:rPr>
                <w:rFonts w:hint="eastAsia" w:ascii="仿宋" w:hAnsi="仿宋" w:eastAsia="仿宋" w:cs="仿宋"/>
                <w:sz w:val="21"/>
                <w:szCs w:val="21"/>
                <w:highlight w:val="none"/>
              </w:rPr>
              <w:t>3</w:t>
            </w:r>
          </w:p>
        </w:tc>
      </w:tr>
      <w:tr w14:paraId="083D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25" w:type="dxa"/>
            <w:noWrap w:val="0"/>
            <w:vAlign w:val="center"/>
          </w:tcPr>
          <w:p w14:paraId="4AA3E696">
            <w:pPr>
              <w:spacing w:after="0"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c>
          <w:tcPr>
            <w:tcW w:w="1254" w:type="dxa"/>
            <w:noWrap w:val="0"/>
            <w:vAlign w:val="center"/>
          </w:tcPr>
          <w:p w14:paraId="2C2800B7">
            <w:pPr>
              <w:spacing w:after="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其他优惠承诺</w:t>
            </w:r>
          </w:p>
        </w:tc>
        <w:tc>
          <w:tcPr>
            <w:tcW w:w="6413" w:type="dxa"/>
            <w:noWrap w:val="0"/>
            <w:vAlign w:val="center"/>
          </w:tcPr>
          <w:p w14:paraId="11E4C177">
            <w:pPr>
              <w:spacing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投标人根据自身的能力，提供各种服务承诺（有利于医院发展，有利于科室管理及学术建设提供增值服务承诺。），由专家酌情打分(本项分值设置为4,3,2,1,0分)。</w:t>
            </w:r>
          </w:p>
        </w:tc>
        <w:tc>
          <w:tcPr>
            <w:tcW w:w="816" w:type="dxa"/>
            <w:noWrap w:val="0"/>
            <w:vAlign w:val="center"/>
          </w:tcPr>
          <w:p w14:paraId="3F7184BB">
            <w:pPr>
              <w:spacing w:after="0"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4</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6"/>
        <w:snapToGrid w:val="0"/>
        <w:spacing w:line="360" w:lineRule="auto"/>
        <w:ind w:firstLine="0" w:firstLineChars="0"/>
        <w:rPr>
          <w:rFonts w:hint="eastAsia" w:ascii="仿宋" w:hAnsi="仿宋" w:eastAsia="仿宋" w:cs="仿宋"/>
          <w:color w:val="auto"/>
          <w:highlight w:val="none"/>
        </w:rPr>
      </w:pPr>
    </w:p>
    <w:p w14:paraId="57C05F54">
      <w:pPr>
        <w:pStyle w:val="26"/>
        <w:snapToGrid w:val="0"/>
        <w:spacing w:line="360" w:lineRule="auto"/>
        <w:ind w:firstLine="0" w:firstLineChars="0"/>
        <w:rPr>
          <w:rFonts w:hint="eastAsia" w:ascii="仿宋" w:hAnsi="仿宋" w:eastAsia="仿宋" w:cs="仿宋"/>
          <w:color w:val="auto"/>
          <w:highlight w:val="none"/>
        </w:rPr>
      </w:pPr>
    </w:p>
    <w:p w14:paraId="18A34E3D">
      <w:pPr>
        <w:pStyle w:val="26"/>
        <w:snapToGrid w:val="0"/>
        <w:spacing w:line="360" w:lineRule="auto"/>
        <w:ind w:firstLine="0" w:firstLineChars="0"/>
        <w:rPr>
          <w:rFonts w:hint="eastAsia" w:ascii="仿宋" w:hAnsi="仿宋" w:eastAsia="仿宋" w:cs="仿宋"/>
          <w:color w:val="auto"/>
          <w:highlight w:val="none"/>
        </w:rPr>
      </w:pPr>
    </w:p>
    <w:p w14:paraId="5268CF28">
      <w:pPr>
        <w:pStyle w:val="26"/>
        <w:snapToGrid w:val="0"/>
        <w:spacing w:line="360" w:lineRule="auto"/>
        <w:ind w:firstLine="0" w:firstLineChars="0"/>
        <w:rPr>
          <w:rFonts w:hint="eastAsia" w:ascii="仿宋" w:hAnsi="仿宋" w:eastAsia="仿宋" w:cs="仿宋"/>
          <w:color w:val="auto"/>
          <w:highlight w:val="none"/>
        </w:rPr>
      </w:pPr>
    </w:p>
    <w:p w14:paraId="02591248">
      <w:pPr>
        <w:pStyle w:val="26"/>
        <w:snapToGrid w:val="0"/>
        <w:spacing w:line="360" w:lineRule="auto"/>
        <w:ind w:firstLine="0" w:firstLineChars="0"/>
        <w:rPr>
          <w:rFonts w:hint="eastAsia" w:ascii="仿宋" w:hAnsi="仿宋" w:eastAsia="仿宋" w:cs="仿宋"/>
          <w:color w:val="auto"/>
          <w:highlight w:val="none"/>
        </w:rPr>
      </w:pPr>
    </w:p>
    <w:p w14:paraId="3291E7FF">
      <w:pPr>
        <w:pStyle w:val="26"/>
        <w:snapToGrid w:val="0"/>
        <w:spacing w:line="360" w:lineRule="auto"/>
        <w:ind w:firstLine="0" w:firstLineChars="0"/>
        <w:rPr>
          <w:rFonts w:hint="eastAsia" w:ascii="仿宋" w:hAnsi="仿宋" w:eastAsia="仿宋" w:cs="仿宋"/>
          <w:color w:val="auto"/>
          <w:highlight w:val="none"/>
        </w:rPr>
      </w:pPr>
    </w:p>
    <w:p w14:paraId="332AAB99">
      <w:pPr>
        <w:pStyle w:val="26"/>
        <w:snapToGrid w:val="0"/>
        <w:spacing w:line="360" w:lineRule="auto"/>
        <w:ind w:firstLine="0" w:firstLineChars="0"/>
        <w:rPr>
          <w:rFonts w:hint="eastAsia" w:ascii="仿宋" w:hAnsi="仿宋" w:eastAsia="仿宋" w:cs="仿宋"/>
          <w:color w:val="auto"/>
          <w:highlight w:val="none"/>
        </w:rPr>
      </w:pPr>
    </w:p>
    <w:p w14:paraId="35CBB1C9">
      <w:pPr>
        <w:pStyle w:val="26"/>
        <w:snapToGrid w:val="0"/>
        <w:spacing w:line="360" w:lineRule="auto"/>
        <w:ind w:firstLine="0" w:firstLineChars="0"/>
        <w:rPr>
          <w:rFonts w:hint="eastAsia" w:ascii="仿宋" w:hAnsi="仿宋" w:eastAsia="仿宋" w:cs="仿宋"/>
          <w:color w:val="auto"/>
          <w:highlight w:val="none"/>
        </w:rPr>
      </w:pPr>
    </w:p>
    <w:p w14:paraId="6D2D8E82">
      <w:pPr>
        <w:pStyle w:val="26"/>
        <w:snapToGrid w:val="0"/>
        <w:spacing w:line="360" w:lineRule="auto"/>
        <w:ind w:firstLine="0" w:firstLineChars="0"/>
        <w:rPr>
          <w:rFonts w:hint="eastAsia" w:ascii="仿宋" w:hAnsi="仿宋" w:eastAsia="仿宋" w:cs="仿宋"/>
          <w:color w:val="auto"/>
          <w:highlight w:val="none"/>
        </w:rPr>
      </w:pPr>
    </w:p>
    <w:p w14:paraId="5608A928">
      <w:pPr>
        <w:pStyle w:val="26"/>
        <w:snapToGrid w:val="0"/>
        <w:spacing w:line="360" w:lineRule="auto"/>
        <w:ind w:firstLine="0" w:firstLineChars="0"/>
        <w:rPr>
          <w:rFonts w:hint="eastAsia" w:ascii="仿宋" w:hAnsi="仿宋" w:eastAsia="仿宋" w:cs="仿宋"/>
          <w:color w:val="auto"/>
          <w:highlight w:val="none"/>
        </w:rPr>
      </w:pPr>
    </w:p>
    <w:p w14:paraId="20B4811A">
      <w:pPr>
        <w:pStyle w:val="26"/>
        <w:snapToGrid w:val="0"/>
        <w:spacing w:line="360" w:lineRule="auto"/>
        <w:ind w:firstLine="0" w:firstLineChars="0"/>
        <w:rPr>
          <w:rFonts w:hint="eastAsia" w:ascii="仿宋" w:hAnsi="仿宋" w:eastAsia="仿宋" w:cs="仿宋"/>
          <w:color w:val="auto"/>
          <w:highlight w:val="none"/>
        </w:rPr>
      </w:pPr>
    </w:p>
    <w:p w14:paraId="65A88FCA">
      <w:pPr>
        <w:pStyle w:val="26"/>
        <w:snapToGrid w:val="0"/>
        <w:spacing w:line="360" w:lineRule="auto"/>
        <w:ind w:firstLine="0" w:firstLineChars="0"/>
        <w:rPr>
          <w:rFonts w:hint="eastAsia" w:ascii="仿宋" w:hAnsi="仿宋" w:eastAsia="仿宋" w:cs="仿宋"/>
          <w:color w:val="auto"/>
          <w:highlight w:val="none"/>
        </w:rPr>
      </w:pPr>
    </w:p>
    <w:p w14:paraId="1120B026">
      <w:pPr>
        <w:pStyle w:val="26"/>
        <w:snapToGrid w:val="0"/>
        <w:spacing w:line="360" w:lineRule="auto"/>
        <w:ind w:firstLine="0" w:firstLineChars="0"/>
        <w:rPr>
          <w:rFonts w:hint="eastAsia" w:ascii="仿宋" w:hAnsi="仿宋" w:eastAsia="仿宋" w:cs="仿宋"/>
          <w:color w:val="auto"/>
          <w:highlight w:val="none"/>
        </w:rPr>
      </w:pPr>
    </w:p>
    <w:p w14:paraId="05847512">
      <w:pPr>
        <w:pStyle w:val="26"/>
        <w:snapToGrid w:val="0"/>
        <w:spacing w:line="360" w:lineRule="auto"/>
        <w:ind w:firstLine="0" w:firstLineChars="0"/>
        <w:rPr>
          <w:rFonts w:hint="eastAsia" w:ascii="仿宋" w:hAnsi="仿宋" w:eastAsia="仿宋" w:cs="仿宋"/>
          <w:color w:val="auto"/>
          <w:highlight w:val="none"/>
        </w:rPr>
      </w:pPr>
    </w:p>
    <w:p w14:paraId="5E1F1240">
      <w:pPr>
        <w:pStyle w:val="26"/>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2"/>
        <w:rPr>
          <w:rFonts w:hint="eastAsia" w:ascii="仿宋" w:hAnsi="仿宋" w:eastAsia="仿宋" w:cs="仿宋"/>
          <w:b/>
          <w:bCs/>
          <w:color w:val="auto"/>
          <w:sz w:val="24"/>
          <w:highlight w:val="none"/>
        </w:rPr>
      </w:pPr>
    </w:p>
    <w:p w14:paraId="304B5D8F">
      <w:pPr>
        <w:pStyle w:val="2"/>
        <w:rPr>
          <w:rFonts w:hint="eastAsia" w:ascii="仿宋" w:hAnsi="仿宋" w:eastAsia="仿宋" w:cs="仿宋"/>
          <w:b/>
          <w:bCs/>
          <w:color w:val="auto"/>
          <w:sz w:val="24"/>
          <w:highlight w:val="none"/>
        </w:rPr>
      </w:pPr>
    </w:p>
    <w:p w14:paraId="160DF0E2">
      <w:pPr>
        <w:pStyle w:val="2"/>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4"/>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4"/>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4"/>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1"/>
      <w:framePr w:wrap="around" w:vAnchor="text" w:hAnchor="margin" w:xAlign="right" w:y="1"/>
      <w:rPr>
        <w:rStyle w:val="73"/>
      </w:rPr>
    </w:pPr>
    <w:r>
      <w:fldChar w:fldCharType="begin"/>
    </w:r>
    <w:r>
      <w:rPr>
        <w:rStyle w:val="73"/>
      </w:rPr>
      <w:instrText xml:space="preserve">PAGE  </w:instrText>
    </w:r>
    <w:r>
      <w:fldChar w:fldCharType="end"/>
    </w:r>
  </w:p>
  <w:p w14:paraId="4C5AD2EC">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1"/>
      <w:framePr w:wrap="around" w:vAnchor="text" w:hAnchor="margin" w:xAlign="right" w:y="1"/>
      <w:rPr>
        <w:rStyle w:val="73"/>
      </w:rPr>
    </w:pPr>
    <w:r>
      <w:fldChar w:fldCharType="begin"/>
    </w:r>
    <w:r>
      <w:rPr>
        <w:rStyle w:val="73"/>
      </w:rPr>
      <w:instrText xml:space="preserve">PAGE  </w:instrText>
    </w:r>
    <w:r>
      <w:fldChar w:fldCharType="end"/>
    </w:r>
  </w:p>
  <w:p w14:paraId="1C38454B">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3611018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2"/>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2"/>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EC75C6E"/>
    <w:rsid w:val="0F096B8F"/>
    <w:rsid w:val="0F63063F"/>
    <w:rsid w:val="158F6E5B"/>
    <w:rsid w:val="17E6386F"/>
    <w:rsid w:val="18E60774"/>
    <w:rsid w:val="19EF674B"/>
    <w:rsid w:val="1AAD475A"/>
    <w:rsid w:val="1D2F1C3B"/>
    <w:rsid w:val="26D112CD"/>
    <w:rsid w:val="2CE61358"/>
    <w:rsid w:val="30CD01D9"/>
    <w:rsid w:val="38872063"/>
    <w:rsid w:val="3F5E1222"/>
    <w:rsid w:val="40037E78"/>
    <w:rsid w:val="427E60E8"/>
    <w:rsid w:val="453F5652"/>
    <w:rsid w:val="490735E2"/>
    <w:rsid w:val="4ACF7AD1"/>
    <w:rsid w:val="4CB0248B"/>
    <w:rsid w:val="4F4B3D85"/>
    <w:rsid w:val="505F7017"/>
    <w:rsid w:val="5F561B6F"/>
    <w:rsid w:val="5F57E5CA"/>
    <w:rsid w:val="620B296D"/>
    <w:rsid w:val="65AA6490"/>
    <w:rsid w:val="669C35D3"/>
    <w:rsid w:val="6BD4147B"/>
    <w:rsid w:val="6F300D9A"/>
    <w:rsid w:val="6FC37AD4"/>
    <w:rsid w:val="70CC50B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24651</Words>
  <Characters>26335</Characters>
  <Paragraphs>1943</Paragraphs>
  <TotalTime>19</TotalTime>
  <ScaleCrop>false</ScaleCrop>
  <LinksUpToDate>false</LinksUpToDate>
  <CharactersWithSpaces>29297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2025-04-30T01:19:14Z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