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3BAE2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b/>
          <w:sz w:val="32"/>
          <w:szCs w:val="32"/>
        </w:rPr>
        <w:t>暂停/终止研究报告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90"/>
        <w:gridCol w:w="2131"/>
        <w:gridCol w:w="278"/>
        <w:gridCol w:w="2271"/>
        <w:gridCol w:w="138"/>
        <w:gridCol w:w="2411"/>
      </w:tblGrid>
      <w:tr w14:paraId="2C2BB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319" w:type="dxa"/>
            <w:noWrap w:val="0"/>
            <w:vAlign w:val="center"/>
          </w:tcPr>
          <w:p w14:paraId="2F8F95C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319" w:type="dxa"/>
            <w:gridSpan w:val="6"/>
            <w:noWrap w:val="0"/>
            <w:vAlign w:val="center"/>
          </w:tcPr>
          <w:p w14:paraId="6DB710B0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23497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319" w:type="dxa"/>
            <w:noWrap w:val="0"/>
            <w:vAlign w:val="center"/>
          </w:tcPr>
          <w:p w14:paraId="5DD3D9EF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319" w:type="dxa"/>
            <w:gridSpan w:val="6"/>
            <w:noWrap w:val="0"/>
            <w:vAlign w:val="center"/>
          </w:tcPr>
          <w:p w14:paraId="2A356C0E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1B9D6A2D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0924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319" w:type="dxa"/>
            <w:noWrap w:val="0"/>
            <w:vAlign w:val="center"/>
          </w:tcPr>
          <w:p w14:paraId="4AF88D1A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319" w:type="dxa"/>
            <w:gridSpan w:val="6"/>
            <w:noWrap w:val="0"/>
            <w:vAlign w:val="center"/>
          </w:tcPr>
          <w:p w14:paraId="760BF880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7B8C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319" w:type="dxa"/>
            <w:noWrap w:val="0"/>
            <w:vAlign w:val="center"/>
          </w:tcPr>
          <w:p w14:paraId="4F51F3B6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 w14:paraId="4B527C27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noWrap w:val="0"/>
            <w:vAlign w:val="center"/>
          </w:tcPr>
          <w:p w14:paraId="04A77A0D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2549" w:type="dxa"/>
            <w:gridSpan w:val="2"/>
            <w:noWrap w:val="0"/>
            <w:vAlign w:val="center"/>
          </w:tcPr>
          <w:p w14:paraId="032E1644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2E17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319" w:type="dxa"/>
            <w:noWrap w:val="0"/>
            <w:vAlign w:val="center"/>
          </w:tcPr>
          <w:p w14:paraId="293D8538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递交材料</w:t>
            </w:r>
          </w:p>
        </w:tc>
        <w:tc>
          <w:tcPr>
            <w:tcW w:w="7319" w:type="dxa"/>
            <w:gridSpan w:val="6"/>
            <w:noWrap w:val="0"/>
            <w:vAlign w:val="center"/>
          </w:tcPr>
          <w:p w14:paraId="2B15E710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4F46D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4D34105D">
            <w:pPr>
              <w:spacing w:line="276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一、一般信息</w:t>
            </w:r>
          </w:p>
          <w:p w14:paraId="789C79D3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1.研究阶段：□尚未入组 □已入组，正在实施研究 □完成入组，受试者研究干预尚未完成  □受试者的研究干预已经完成   □受试者的随访已经完成  □后期数据处理阶段</w:t>
            </w:r>
          </w:p>
          <w:p w14:paraId="650B2017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2.研究开始日期：_________________（未启动不用填写）</w:t>
            </w:r>
          </w:p>
          <w:p w14:paraId="650AD949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3.研究报告申请类型：□暂停     □终止      </w:t>
            </w:r>
          </w:p>
          <w:p w14:paraId="1027A2F2">
            <w:pPr>
              <w:tabs>
                <w:tab w:val="left" w:pos="425"/>
              </w:tabs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二、受试者信息</w:t>
            </w:r>
          </w:p>
          <w:p w14:paraId="1E90837B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1.合同研究总例数：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246C675E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2.已入组例数：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09207550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3.完成观察例数：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</w:t>
            </w:r>
          </w:p>
          <w:p w14:paraId="6A84CC92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4.提前退出例数：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例（请另附“提前退出受试者一览表”）</w:t>
            </w:r>
          </w:p>
          <w:p w14:paraId="7EB8EC3F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5.SAE/SUSAR例数：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例（请另附“SAE/SUSAR一览表”）</w:t>
            </w:r>
          </w:p>
          <w:p w14:paraId="6634779A">
            <w:pPr>
              <w:widowControl w:val="0"/>
              <w:tabs>
                <w:tab w:val="left" w:pos="425"/>
              </w:tabs>
              <w:spacing w:line="276" w:lineRule="auto"/>
              <w:jc w:val="both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6.研究过程中，发生的违背/偏离方案事件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：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例次（请另附“违背/偏离方案一览表”）</w:t>
            </w:r>
          </w:p>
          <w:p w14:paraId="584202A9">
            <w:pPr>
              <w:tabs>
                <w:tab w:val="left" w:pos="425"/>
              </w:tabs>
              <w:spacing w:line="276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三、暂停/终止研究的原因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（可另附页说明）</w:t>
            </w:r>
          </w:p>
          <w:p w14:paraId="2B400F48">
            <w:pPr>
              <w:spacing w:line="276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四、有序终止研究的程序</w:t>
            </w:r>
          </w:p>
          <w:p w14:paraId="108CE5D4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1.是否要求召回已完成研究的受试者进行随访：□是    □否   □不适用</w:t>
            </w:r>
          </w:p>
          <w:p w14:paraId="05303112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2.是否通知在研的受试者，研究已经提前终止：□是    □否（请另页说明）   □不适用</w:t>
            </w:r>
          </w:p>
          <w:p w14:paraId="7F477815">
            <w:pPr>
              <w:widowControl w:val="0"/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3.在研受试者是否提前终止研究： □是     □否（请另页说明）     □不适用</w:t>
            </w:r>
          </w:p>
          <w:p w14:paraId="0DA5C219">
            <w:pPr>
              <w:widowControl w:val="0"/>
              <w:spacing w:line="276" w:lineRule="auto"/>
              <w:ind w:left="3600" w:hanging="3600" w:hangingChars="1500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4.提前终止研究受试者的后续医疗与随访安排：□转入常规医疗      □有针对性的安排随</w:t>
            </w:r>
          </w:p>
          <w:p w14:paraId="61C0C633">
            <w:pPr>
              <w:widowControl w:val="0"/>
              <w:spacing w:line="276" w:lineRule="auto"/>
              <w:ind w:left="3600" w:hanging="3600" w:hangingChars="1500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访检测与后续治疗（请另页说明）           □不适用</w:t>
            </w:r>
          </w:p>
        </w:tc>
      </w:tr>
      <w:tr w14:paraId="2AF1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453A6CFE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主要研究者签名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70851318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2EE70832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日 期</w:t>
            </w:r>
          </w:p>
        </w:tc>
        <w:tc>
          <w:tcPr>
            <w:tcW w:w="2411" w:type="dxa"/>
            <w:noWrap w:val="0"/>
            <w:vAlign w:val="center"/>
          </w:tcPr>
          <w:p w14:paraId="38FE864A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2D0D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746FF244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项目主管部门审核意见</w:t>
            </w:r>
          </w:p>
        </w:tc>
      </w:tr>
      <w:tr w14:paraId="6B1C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36DF913F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资料完整，符合存档要求 □是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否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不适用       签字：       日期： </w:t>
            </w:r>
          </w:p>
        </w:tc>
      </w:tr>
      <w:tr w14:paraId="5F8A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8" w:type="dxa"/>
            <w:gridSpan w:val="7"/>
            <w:noWrap w:val="0"/>
            <w:vAlign w:val="center"/>
          </w:tcPr>
          <w:p w14:paraId="603FCBF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0C772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74510039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69F984B4">
            <w:pPr>
              <w:jc w:val="center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100B293C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1" w:type="dxa"/>
            <w:noWrap w:val="0"/>
            <w:vAlign w:val="center"/>
          </w:tcPr>
          <w:p w14:paraId="16043432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09C05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 w14:paraId="4C76332F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受理日期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 w14:paraId="47489548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329236FB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1" w:type="dxa"/>
            <w:noWrap w:val="0"/>
            <w:vAlign w:val="center"/>
          </w:tcPr>
          <w:p w14:paraId="39634711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</w:tbl>
    <w:p w14:paraId="3728A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ind w:firstLine="420" w:firstLineChars="200"/>
        <w:jc w:val="both"/>
        <w:textAlignment w:val="auto"/>
        <w:rPr>
          <w:rFonts w:hint="eastAsia" w:ascii="Times New Roman" w:hAnsi="Times New Roman" w:eastAsia="仿宋" w:cs="仿宋"/>
          <w:sz w:val="21"/>
          <w:szCs w:val="21"/>
        </w:rPr>
      </w:pPr>
      <w:r>
        <w:rPr>
          <w:rFonts w:hint="eastAsia" w:ascii="Times New Roman" w:hAnsi="Times New Roman" w:eastAsia="仿宋" w:cs="仿宋"/>
          <w:sz w:val="21"/>
          <w:szCs w:val="21"/>
        </w:rPr>
        <w:t>注：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①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1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提前退出受试者一览表”至少应包括：受试者编号、退出原因、退出时受试者健康情况。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②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“SAE/SUSAR一览表”至少应包括受试者编号、SAE/SUSAR、具体诊断、与该临床研究的相关性、预期性、受试者转归和是否赔偿。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包括受试者编号、发生日期、发现日期、违背/偏离方案类型、事件描述、事件发生的原因、对受试者的影响、对研究结果的影响和处理措施。其中，方案违背类型：</w:t>
      </w:r>
      <w:r>
        <w:rPr>
          <w:rFonts w:hint="eastAsia" w:ascii="Times New Roman" w:hAnsi="Times New Roman" w:eastAsia="仿宋" w:cs="仿宋"/>
          <w:sz w:val="21"/>
          <w:szCs w:val="21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。</w:t>
      </w:r>
    </w:p>
    <w:p w14:paraId="17253DE9">
      <w:pPr>
        <w:rPr>
          <w:rFonts w:ascii="Times New Roman" w:hAnsi="Times New Roman" w:eastAsia="仿宋" w:cs="Times New Roman"/>
          <w:sz w:val="24"/>
          <w:szCs w:val="28"/>
        </w:rPr>
      </w:pPr>
      <w:r>
        <w:rPr>
          <w:rFonts w:hint="eastAsia" w:ascii="华文仿宋" w:hAnsi="华文仿宋" w:eastAsia="华文仿宋" w:cs="华文仿宋"/>
        </w:rPr>
        <w:br w:type="page"/>
      </w:r>
      <w:r>
        <w:rPr>
          <w:rFonts w:ascii="Times New Roman" w:hAnsi="Times New Roman" w:eastAsia="仿宋" w:cs="Times New Roman"/>
          <w:sz w:val="24"/>
          <w:szCs w:val="28"/>
        </w:rPr>
        <w:t>附件</w:t>
      </w:r>
    </w:p>
    <w:p w14:paraId="4C5E9D2B"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44"/>
        </w:rPr>
        <w:t>暂停/终止研究审查</w:t>
      </w:r>
      <w:r>
        <w:rPr>
          <w:rFonts w:ascii="Times New Roman" w:hAnsi="Times New Roman" w:eastAsia="仿宋" w:cs="Times New Roman"/>
          <w:sz w:val="28"/>
          <w:szCs w:val="44"/>
        </w:rPr>
        <w:t>送审文件清单</w:t>
      </w:r>
    </w:p>
    <w:tbl>
      <w:tblPr>
        <w:tblStyle w:val="6"/>
        <w:tblW w:w="9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6945"/>
        <w:gridCol w:w="567"/>
        <w:gridCol w:w="567"/>
        <w:gridCol w:w="1141"/>
      </w:tblGrid>
      <w:tr w14:paraId="75D3F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00E2F91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6945" w:type="dxa"/>
            <w:noWrap w:val="0"/>
            <w:vAlign w:val="top"/>
          </w:tcPr>
          <w:p w14:paraId="40F7AD67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类型</w:t>
            </w:r>
          </w:p>
        </w:tc>
        <w:tc>
          <w:tcPr>
            <w:tcW w:w="567" w:type="dxa"/>
            <w:noWrap w:val="0"/>
            <w:vAlign w:val="top"/>
          </w:tcPr>
          <w:p w14:paraId="28158585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有</w:t>
            </w:r>
          </w:p>
        </w:tc>
        <w:tc>
          <w:tcPr>
            <w:tcW w:w="567" w:type="dxa"/>
            <w:noWrap w:val="0"/>
            <w:vAlign w:val="top"/>
          </w:tcPr>
          <w:p w14:paraId="3C1807A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无</w:t>
            </w:r>
          </w:p>
        </w:tc>
        <w:tc>
          <w:tcPr>
            <w:tcW w:w="1141" w:type="dxa"/>
            <w:noWrap w:val="0"/>
            <w:vAlign w:val="top"/>
          </w:tcPr>
          <w:p w14:paraId="09E170BD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不适用</w:t>
            </w:r>
          </w:p>
        </w:tc>
      </w:tr>
      <w:tr w14:paraId="4451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7445772C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1</w:t>
            </w:r>
          </w:p>
        </w:tc>
        <w:tc>
          <w:tcPr>
            <w:tcW w:w="6945" w:type="dxa"/>
            <w:noWrap w:val="0"/>
            <w:vAlign w:val="top"/>
          </w:tcPr>
          <w:p w14:paraId="7B75CAC4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递交信（如有，PI签署姓名与日期）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6947B46D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3A9879B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75D855C8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3B76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2F7F5DC9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2</w:t>
            </w:r>
          </w:p>
        </w:tc>
        <w:tc>
          <w:tcPr>
            <w:tcW w:w="6945" w:type="dxa"/>
            <w:noWrap w:val="0"/>
            <w:vAlign w:val="top"/>
          </w:tcPr>
          <w:p w14:paraId="6F861F94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暂停/终止研究报告（PI签署姓名与日期）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695AB32D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6D30152D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210B6C64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20003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0068BAA4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3</w:t>
            </w:r>
          </w:p>
        </w:tc>
        <w:tc>
          <w:tcPr>
            <w:tcW w:w="6945" w:type="dxa"/>
            <w:noWrap w:val="0"/>
            <w:vAlign w:val="top"/>
          </w:tcPr>
          <w:p w14:paraId="1C99FAF6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提前退出受试者一览表（如适用）</w:t>
            </w:r>
          </w:p>
        </w:tc>
        <w:tc>
          <w:tcPr>
            <w:tcW w:w="567" w:type="dxa"/>
            <w:noWrap w:val="0"/>
            <w:vAlign w:val="top"/>
          </w:tcPr>
          <w:p w14:paraId="54BB0E16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4ACEC728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7A9BFFF9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10257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3D8D30F7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4</w:t>
            </w:r>
          </w:p>
        </w:tc>
        <w:tc>
          <w:tcPr>
            <w:tcW w:w="6945" w:type="dxa"/>
            <w:noWrap w:val="0"/>
            <w:vAlign w:val="top"/>
          </w:tcPr>
          <w:p w14:paraId="1C100835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SAE/SUSAR一览表（如适用）</w:t>
            </w:r>
          </w:p>
        </w:tc>
        <w:tc>
          <w:tcPr>
            <w:tcW w:w="567" w:type="dxa"/>
            <w:noWrap w:val="0"/>
            <w:vAlign w:val="top"/>
          </w:tcPr>
          <w:p w14:paraId="0AEEB518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5B34C1F1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33FC6B78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69F0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710" w:type="dxa"/>
            <w:noWrap w:val="0"/>
            <w:vAlign w:val="top"/>
          </w:tcPr>
          <w:p w14:paraId="24BAF849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5</w:t>
            </w:r>
          </w:p>
        </w:tc>
        <w:tc>
          <w:tcPr>
            <w:tcW w:w="6945" w:type="dxa"/>
            <w:noWrap w:val="0"/>
            <w:vAlign w:val="top"/>
          </w:tcPr>
          <w:p w14:paraId="4631E673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违背/偏离方案一览表（如适用）</w:t>
            </w:r>
          </w:p>
        </w:tc>
        <w:tc>
          <w:tcPr>
            <w:tcW w:w="567" w:type="dxa"/>
            <w:noWrap w:val="0"/>
            <w:vAlign w:val="top"/>
          </w:tcPr>
          <w:p w14:paraId="6AA108F6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5B31C43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60FCDAF9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0E559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710" w:type="dxa"/>
            <w:noWrap w:val="0"/>
            <w:vAlign w:val="top"/>
          </w:tcPr>
          <w:p w14:paraId="4FA182FA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945" w:type="dxa"/>
            <w:noWrap w:val="0"/>
            <w:vAlign w:val="top"/>
          </w:tcPr>
          <w:p w14:paraId="08CBCDA0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未通知在研的受试者研究已经提前终止的说明（如适用）</w:t>
            </w:r>
          </w:p>
        </w:tc>
        <w:tc>
          <w:tcPr>
            <w:tcW w:w="567" w:type="dxa"/>
            <w:noWrap w:val="0"/>
            <w:vAlign w:val="top"/>
          </w:tcPr>
          <w:p w14:paraId="3BFFBB6E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1B1AB71B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2927A31B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7B0A4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710" w:type="dxa"/>
            <w:noWrap w:val="0"/>
            <w:vAlign w:val="top"/>
          </w:tcPr>
          <w:p w14:paraId="6DF092E1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945" w:type="dxa"/>
            <w:noWrap w:val="0"/>
            <w:vAlign w:val="top"/>
          </w:tcPr>
          <w:p w14:paraId="197DDE77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在研受试者未提前终止研究的说明（如适用）</w:t>
            </w:r>
          </w:p>
        </w:tc>
        <w:tc>
          <w:tcPr>
            <w:tcW w:w="567" w:type="dxa"/>
            <w:noWrap w:val="0"/>
            <w:vAlign w:val="top"/>
          </w:tcPr>
          <w:p w14:paraId="215C83D5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178DB761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71A119E2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7D65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710" w:type="dxa"/>
            <w:noWrap w:val="0"/>
            <w:vAlign w:val="top"/>
          </w:tcPr>
          <w:p w14:paraId="631CDE3D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45" w:type="dxa"/>
            <w:noWrap w:val="0"/>
            <w:vAlign w:val="top"/>
          </w:tcPr>
          <w:p w14:paraId="42975D13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有针对性的安排随访检测与后续治疗的说明（如适用）</w:t>
            </w:r>
          </w:p>
        </w:tc>
        <w:tc>
          <w:tcPr>
            <w:tcW w:w="567" w:type="dxa"/>
            <w:noWrap w:val="0"/>
            <w:vAlign w:val="top"/>
          </w:tcPr>
          <w:p w14:paraId="509FE1EB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59ADD7B2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599EACF5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483D7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0" w:type="dxa"/>
            <w:noWrap w:val="0"/>
            <w:vAlign w:val="top"/>
          </w:tcPr>
          <w:p w14:paraId="2CDF0F76">
            <w:pPr>
              <w:spacing w:line="30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945" w:type="dxa"/>
            <w:noWrap w:val="0"/>
            <w:vAlign w:val="top"/>
          </w:tcPr>
          <w:p w14:paraId="6F640D78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其它材料</w:t>
            </w:r>
          </w:p>
        </w:tc>
        <w:tc>
          <w:tcPr>
            <w:tcW w:w="567" w:type="dxa"/>
            <w:noWrap w:val="0"/>
            <w:vAlign w:val="top"/>
          </w:tcPr>
          <w:p w14:paraId="3C7222A8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4985FC15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78FA194D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</w:tbl>
    <w:p w14:paraId="7D2FDC28">
      <w:pPr>
        <w:spacing w:line="276" w:lineRule="auto"/>
        <w:rPr>
          <w:rFonts w:hint="eastAsia"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注</w:t>
      </w:r>
      <w:r>
        <w:rPr>
          <w:rFonts w:hint="eastAsia" w:ascii="Times New Roman" w:hAnsi="Times New Roman" w:eastAsia="仿宋" w:cs="仿宋"/>
          <w:sz w:val="24"/>
          <w:szCs w:val="24"/>
        </w:rPr>
        <w:t>：</w:t>
      </w:r>
    </w:p>
    <w:p w14:paraId="262C3B04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①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4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提前退出受试者一览表”至少应包括受试者编号、退出原因、退出时受试者健康情况。</w:t>
      </w:r>
    </w:p>
    <w:p w14:paraId="2E3B69C0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②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“SAE/SUSAR一览表”至少应包括受试者编号、SAE/SUSAR、具体诊断、与该临床研究的相关性、预期性、受试者转归和是否赔偿。</w:t>
      </w:r>
    </w:p>
    <w:p w14:paraId="33006B63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包括受试者编号、发生日期、发现日期、违背/偏离方案类型、事件描述、事件发生的原因、对受试者的影响、对研究结果的影响和处理措施。</w:t>
      </w:r>
    </w:p>
    <w:p w14:paraId="070D75E5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sz w:val="21"/>
          <w:szCs w:val="24"/>
        </w:rPr>
      </w:pP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其中，方案违背类型：</w:t>
      </w:r>
      <w:r>
        <w:rPr>
          <w:rFonts w:hint="eastAsia" w:ascii="Times New Roman" w:hAnsi="Times New Roman" w:eastAsia="仿宋" w:cs="仿宋"/>
          <w:sz w:val="21"/>
          <w:szCs w:val="24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。</w:t>
      </w:r>
    </w:p>
    <w:p w14:paraId="18A652E7"/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19730">
    <w:pPr>
      <w:pStyle w:val="4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2EC157A1">
    <w:pPr>
      <w:pStyle w:val="4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3BB21">
    <w:pPr>
      <w:pStyle w:val="5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0" w:name="_GoBack"/>
    <w:bookmarkEnd w:id="0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   </w:t>
    </w:r>
    <w:r>
      <w:t xml:space="preserve">              </w:t>
    </w:r>
    <w:r>
      <w:rPr>
        <w:rFonts w:hint="eastAsia"/>
        <w:lang w:val="en-US" w:eastAsia="zh-CN"/>
      </w:rPr>
      <w:t xml:space="preserve">                      </w:t>
    </w:r>
    <w:r>
      <w:t xml:space="preserve"> </w:t>
    </w:r>
    <w:r>
      <w:rPr>
        <w:rFonts w:hint="eastAsia"/>
      </w:rPr>
      <w:t xml:space="preserve"> </w:t>
    </w:r>
    <w:r>
      <w:t>IEC-AF/0</w:t>
    </w:r>
    <w:r>
      <w:rPr>
        <w:rFonts w:hint="eastAsia"/>
        <w:lang w:val="en-US" w:eastAsia="zh-CN"/>
      </w:rPr>
      <w:t>9</w:t>
    </w:r>
    <w:r>
      <w:t>-3.0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6D3C9A"/>
    <w:rsid w:val="0007288D"/>
    <w:rsid w:val="00085C6F"/>
    <w:rsid w:val="000A1E3B"/>
    <w:rsid w:val="000D1CA6"/>
    <w:rsid w:val="000D476E"/>
    <w:rsid w:val="00131FF2"/>
    <w:rsid w:val="001A07FB"/>
    <w:rsid w:val="001D2595"/>
    <w:rsid w:val="002B6E8E"/>
    <w:rsid w:val="00534975"/>
    <w:rsid w:val="005C2F81"/>
    <w:rsid w:val="00653589"/>
    <w:rsid w:val="006C412A"/>
    <w:rsid w:val="006D3C9A"/>
    <w:rsid w:val="007A550A"/>
    <w:rsid w:val="00835ABE"/>
    <w:rsid w:val="008E13CB"/>
    <w:rsid w:val="00917A81"/>
    <w:rsid w:val="00B25F7A"/>
    <w:rsid w:val="00B46943"/>
    <w:rsid w:val="00CD5E5B"/>
    <w:rsid w:val="00D02704"/>
    <w:rsid w:val="00D06C05"/>
    <w:rsid w:val="00D30B6F"/>
    <w:rsid w:val="00DB524C"/>
    <w:rsid w:val="00DF0380"/>
    <w:rsid w:val="00E07C24"/>
    <w:rsid w:val="00E101B8"/>
    <w:rsid w:val="00E90A14"/>
    <w:rsid w:val="00F01061"/>
    <w:rsid w:val="17ED2297"/>
    <w:rsid w:val="44241B21"/>
    <w:rsid w:val="56F07444"/>
    <w:rsid w:val="5DE570F6"/>
    <w:rsid w:val="69CC547C"/>
    <w:rsid w:val="73F37128"/>
    <w:rsid w:val="77CE64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1507</Words>
  <Characters>1625</Characters>
  <Lines>8</Lines>
  <Paragraphs>2</Paragraphs>
  <TotalTime>0</TotalTime>
  <ScaleCrop>false</ScaleCrop>
  <LinksUpToDate>false</LinksUpToDate>
  <CharactersWithSpaces>1766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郭</cp:lastModifiedBy>
  <dcterms:modified xsi:type="dcterms:W3CDTF">2024-11-25T04:20:20Z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79B1F0EF00F74799BAF994D6AFD4A37C</vt:lpwstr>
  </property>
  <property fmtid="{D5CDD505-2E9C-101B-9397-08002B2CF9AE}" pid="3" name="KSOProductBuildVer">
    <vt:lpwstr>2052-12.1.0.18912</vt:lpwstr>
  </property>
</Properties>
</file>