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 xml:space="preserve">绍兴市中医院患者疾病诊后精细化管理外包服务项目 </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bookmarkStart w:id="182" w:name="_GoBack"/>
      <w:bookmarkEnd w:id="182"/>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TYJZ2024</w:t>
      </w:r>
    </w:p>
    <w:tbl>
      <w:tblPr>
        <w:tblStyle w:val="45"/>
        <w:tblW w:w="7801" w:type="dxa"/>
        <w:jc w:val="center"/>
        <w:tblLayout w:type="fixed"/>
        <w:tblCellMar>
          <w:top w:w="0" w:type="dxa"/>
          <w:left w:w="108" w:type="dxa"/>
          <w:bottom w:w="0" w:type="dxa"/>
          <w:right w:w="108" w:type="dxa"/>
        </w:tblCellMar>
      </w:tblPr>
      <w:tblGrid>
        <w:gridCol w:w="2356"/>
        <w:gridCol w:w="5445"/>
      </w:tblGrid>
      <w:tr w14:paraId="6B762B99">
        <w:tblPrEx>
          <w:tblCellMar>
            <w:top w:w="0" w:type="dxa"/>
            <w:left w:w="108" w:type="dxa"/>
            <w:bottom w:w="0" w:type="dxa"/>
            <w:right w:w="108" w:type="dxa"/>
          </w:tblCellMar>
        </w:tblPrEx>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65514724">
        <w:tblPrEx>
          <w:tblCellMar>
            <w:top w:w="0" w:type="dxa"/>
            <w:left w:w="108" w:type="dxa"/>
            <w:bottom w:w="0" w:type="dxa"/>
            <w:right w:w="108" w:type="dxa"/>
          </w:tblCellMar>
        </w:tblPrEx>
        <w:trPr>
          <w:trHeight w:val="397" w:hRule="atLeast"/>
          <w:jc w:val="center"/>
        </w:trPr>
        <w:tc>
          <w:tcPr>
            <w:tcW w:w="2356" w:type="dxa"/>
            <w:vAlign w:val="center"/>
          </w:tcPr>
          <w:p w14:paraId="601456C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39B8B94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D79E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5"/>
        <w:tblW w:w="8789" w:type="dxa"/>
        <w:tblInd w:w="0" w:type="dxa"/>
        <w:tblLayout w:type="fixed"/>
        <w:tblCellMar>
          <w:top w:w="0" w:type="dxa"/>
          <w:left w:w="0" w:type="dxa"/>
          <w:bottom w:w="0" w:type="dxa"/>
          <w:right w:w="0" w:type="dxa"/>
        </w:tblCellMar>
      </w:tblPr>
      <w:tblGrid>
        <w:gridCol w:w="8789"/>
      </w:tblGrid>
      <w:tr w14:paraId="77156046">
        <w:tblPrEx>
          <w:tblCellMar>
            <w:top w:w="0" w:type="dxa"/>
            <w:left w:w="0" w:type="dxa"/>
            <w:bottom w:w="0" w:type="dxa"/>
            <w:right w:w="0" w:type="dxa"/>
          </w:tblCellMar>
        </w:tblPrEx>
        <w:trPr>
          <w:trHeight w:val="556" w:hRule="atLeast"/>
        </w:trPr>
        <w:tc>
          <w:tcPr>
            <w:tcW w:w="8789" w:type="dxa"/>
            <w:vAlign w:val="center"/>
          </w:tcPr>
          <w:p w14:paraId="419580B3">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5"/>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3CB375DD">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绍兴市中医院患者疾病诊后精细化管理外包服务项目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09:00（北京时间）前递交投标文件。</w:t>
                  </w:r>
                </w:p>
              </w:tc>
            </w:tr>
          </w:tbl>
          <w:p w14:paraId="330514B8">
            <w:pPr>
              <w:pStyle w:val="73"/>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TYJZ2024</w:t>
            </w:r>
          </w:p>
          <w:p w14:paraId="36BFE570">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绍兴市中医院患者疾病诊后精细化管理外包服务项目 </w:t>
            </w:r>
          </w:p>
          <w:p w14:paraId="03FCD174">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w:t>
            </w:r>
          </w:p>
          <w:p w14:paraId="55CB7CE6">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w:t>
            </w:r>
          </w:p>
          <w:p w14:paraId="5BE7D89F">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患者疾病诊后精细化管理外包服务项目 </w:t>
            </w:r>
          </w:p>
          <w:p w14:paraId="0D67D42F">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w:t>
            </w:r>
          </w:p>
          <w:p w14:paraId="277DC6A7">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3"/>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577F3561">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0EF1A710">
            <w:pPr>
              <w:pStyle w:val="73"/>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79ED8D6C">
            <w:pPr>
              <w:pStyle w:val="73"/>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99DD58B">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2CB3301B">
            <w:pPr>
              <w:pStyle w:val="73"/>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14:paraId="289A857D">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147466651"/>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9E7325F">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58176"/>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14:paraId="09C4CC65">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14:paraId="4A59F68C">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0451"/>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3FF6ECE4">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956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14:paraId="30457899">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5812DF0">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49759A6F">
            <w:pPr>
              <w:pStyle w:val="73"/>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731626A3">
            <w:pPr>
              <w:pStyle w:val="73"/>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3"/>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09:00（北京时间）</w:t>
            </w:r>
          </w:p>
          <w:p w14:paraId="508CDF2D">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年月日 09:00</w:t>
            </w:r>
          </w:p>
          <w:p w14:paraId="60498902">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14:paraId="36CBECCA">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F109410">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0BA7283A">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徐科</w:t>
            </w:r>
          </w:p>
          <w:p w14:paraId="7456E3B3">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0575-89102276</w:t>
            </w:r>
          </w:p>
          <w:p w14:paraId="413B1763">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4E684E97">
            <w:pPr>
              <w:widowControl/>
              <w:snapToGrid w:val="0"/>
              <w:spacing w:line="44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873695D">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758348E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28BBFCD6">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14:paraId="551E033F">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60027D49">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14:paraId="3285923B">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14:paraId="0589E256">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31FC378A">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4013926E">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w:t>
            </w:r>
          </w:p>
          <w:p w14:paraId="184FE855">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eastAsia="zh-CN"/>
              </w:rPr>
              <w:t>沈灿</w:t>
            </w:r>
            <w:r>
              <w:rPr>
                <w:rFonts w:hint="eastAsia" w:ascii="仿宋" w:hAnsi="仿宋" w:eastAsia="仿宋" w:cs="仿宋"/>
                <w:color w:val="auto"/>
                <w:szCs w:val="24"/>
                <w:highlight w:val="none"/>
              </w:rPr>
              <w:t xml:space="preserve">      </w:t>
            </w:r>
          </w:p>
          <w:p w14:paraId="0657B010">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806</w:t>
            </w:r>
            <w:r>
              <w:rPr>
                <w:rFonts w:hint="eastAsia" w:ascii="仿宋" w:hAnsi="仿宋" w:eastAsia="仿宋" w:cs="仿宋"/>
                <w:color w:val="auto"/>
                <w:szCs w:val="24"/>
                <w:highlight w:val="none"/>
              </w:rPr>
              <w:t xml:space="preserve">       </w:t>
            </w:r>
          </w:p>
        </w:tc>
      </w:tr>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3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4612"/>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1823"/>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20346E8">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2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38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53357"/>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E32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14:paraId="3617DDF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770CE312">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04DC6BB3">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7912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68656"/>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16CDB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3A98C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14:paraId="6DACB44B">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9E7D91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F4B9278">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BB0B353">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460F5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3B14B1B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EFA877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361D3F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95AA72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14:paraId="54251F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727AE640">
      <w:pPr>
        <w:pStyle w:val="26"/>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14:paraId="40970FEE">
      <w:pPr>
        <w:pStyle w:val="26"/>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5"/>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3093"/>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34A9FB82">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21"/>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21"/>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5"/>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5"/>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6"/>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689A37C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5"/>
        <w:snapToGrid w:val="0"/>
        <w:spacing w:line="440" w:lineRule="exact"/>
        <w:jc w:val="left"/>
        <w:rPr>
          <w:rFonts w:hint="eastAsia" w:ascii="仿宋" w:hAnsi="仿宋" w:eastAsia="仿宋" w:cs="仿宋"/>
          <w:b/>
          <w:color w:val="auto"/>
          <w:sz w:val="24"/>
          <w:szCs w:val="24"/>
          <w:highlight w:val="none"/>
        </w:rPr>
      </w:pPr>
      <w:bookmarkStart w:id="4" w:name="_Toc84325929"/>
      <w:bookmarkStart w:id="5" w:name="_Toc81372953"/>
      <w:bookmarkStart w:id="6" w:name="_Toc81372776"/>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5"/>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6"/>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5"/>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5"/>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F2BF246">
      <w:pPr>
        <w:spacing w:line="440" w:lineRule="exact"/>
        <w:ind w:right="420"/>
        <w:rPr>
          <w:rFonts w:hint="eastAsia" w:ascii="仿宋" w:hAnsi="仿宋" w:eastAsia="仿宋" w:cs="仿宋"/>
          <w:b/>
          <w:bCs/>
          <w:color w:val="auto"/>
          <w:sz w:val="24"/>
          <w:highlight w:val="none"/>
          <w:lang w:eastAsia="zh-CN"/>
        </w:rPr>
      </w:pPr>
      <w:bookmarkStart w:id="7" w:name="_Toc81372787"/>
      <w:bookmarkStart w:id="8" w:name="_Toc80157775"/>
      <w:bookmarkStart w:id="9" w:name="_Toc84325981"/>
      <w:bookmarkStart w:id="10" w:name="_Toc81372964"/>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患者疾病诊后精细化管理外包服务项目</w:t>
      </w:r>
    </w:p>
    <w:p w14:paraId="3ECAF1B0">
      <w:pPr>
        <w:pStyle w:val="2"/>
        <w:rPr>
          <w:rFonts w:hint="eastAsia" w:ascii="仿宋" w:hAnsi="仿宋" w:eastAsia="仿宋" w:cs="仿宋"/>
          <w:highlight w:val="none"/>
        </w:rPr>
      </w:pPr>
    </w:p>
    <w:p w14:paraId="31A6FE82">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一、项目背景</w:t>
      </w:r>
    </w:p>
    <w:p w14:paraId="7A58F321">
      <w:pPr>
        <w:pStyle w:val="19"/>
        <w:keepLines w:val="0"/>
        <w:pageBreakBefore w:val="0"/>
        <w:kinsoku/>
        <w:wordWrap/>
        <w:overflowPunct/>
        <w:topLinePunct w:val="0"/>
        <w:autoSpaceDE/>
        <w:autoSpaceDN/>
        <w:bidi w:val="0"/>
        <w:adjustRightInd/>
        <w:spacing w:line="360" w:lineRule="auto"/>
        <w:ind w:left="0" w:leftChars="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采购第三方的患者诊后疾病精细化管理劳务外包服务，服务时间：2年（合同约定时间起算）。</w:t>
      </w:r>
    </w:p>
    <w:p w14:paraId="07DFCCB5">
      <w:pPr>
        <w:pStyle w:val="19"/>
        <w:keepLines w:val="0"/>
        <w:pageBreakBefore w:val="0"/>
        <w:kinsoku/>
        <w:wordWrap/>
        <w:overflowPunct/>
        <w:topLinePunct w:val="0"/>
        <w:autoSpaceDE/>
        <w:autoSpaceDN/>
        <w:bidi w:val="0"/>
        <w:adjustRightInd/>
        <w:spacing w:line="360" w:lineRule="auto"/>
        <w:ind w:left="0" w:leftChars="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采购人为响应国家“健康中国”号召，拟通过劳务外包的形式引进专业的第三方患者诊后疾病精细化管理</w:t>
      </w: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（以下简称“</w:t>
      </w: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”），共同探索并建立医、防一体的具有诊后高度管理价值的患者诊后疾病精细化健康服务创新模式。由</w:t>
      </w: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协助采购人为有需要的患者提供“线上+线下、院内+院外”的全方位、多层次、个性化、连续性的4大类疾病精细化管理服务，包括</w:t>
      </w:r>
      <w:bookmarkStart w:id="11" w:name="_Hlk174980662"/>
      <w:r>
        <w:rPr>
          <w:rFonts w:hint="eastAsia" w:ascii="仿宋" w:hAnsi="仿宋" w:eastAsia="仿宋" w:cs="仿宋"/>
          <w:sz w:val="21"/>
          <w:szCs w:val="21"/>
          <w:highlight w:val="none"/>
        </w:rPr>
        <w:t>诊后疾病精细化标准管理服务</w:t>
      </w:r>
      <w:bookmarkEnd w:id="11"/>
      <w:r>
        <w:rPr>
          <w:rFonts w:hint="eastAsia" w:ascii="仿宋" w:hAnsi="仿宋" w:eastAsia="仿宋" w:cs="仿宋"/>
          <w:sz w:val="21"/>
          <w:szCs w:val="21"/>
          <w:highlight w:val="none"/>
        </w:rPr>
        <w:t>、生活方式干预管理服务、心理咨询服务和新媒体患者运营服务。服务内容包括但不限于疾病管理、复诊管理、用药指导、居家康复指导、病情症状异常健康干预、心理咨询、院内陪诊、医院公众号健康商城运营等，从而最大限度地提升采购人的医疗服务质量，大幅提升患者对医院的满意度和获得感，通过优质的诊后患者管理服务来大幅提升采购人在本区域内的竞争力。</w:t>
      </w:r>
    </w:p>
    <w:p w14:paraId="0F5BEF1C">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二、服务对象</w:t>
      </w:r>
    </w:p>
    <w:p w14:paraId="2CC53562">
      <w:pPr>
        <w:pStyle w:val="20"/>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bCs/>
          <w:sz w:val="21"/>
          <w:szCs w:val="21"/>
          <w:highlight w:val="none"/>
        </w:rPr>
      </w:pPr>
      <w:r>
        <w:rPr>
          <w:rFonts w:hint="eastAsia" w:ascii="仿宋" w:hAnsi="仿宋" w:eastAsia="仿宋" w:cs="仿宋"/>
          <w:b/>
          <w:sz w:val="21"/>
          <w:szCs w:val="21"/>
          <w:highlight w:val="none"/>
        </w:rPr>
        <w:t>1.诊后疾病精细化标准管理服务:</w:t>
      </w:r>
      <w:r>
        <w:rPr>
          <w:rFonts w:hint="eastAsia" w:ascii="仿宋" w:hAnsi="仿宋" w:eastAsia="仿宋" w:cs="仿宋"/>
          <w:bCs/>
          <w:sz w:val="21"/>
          <w:szCs w:val="21"/>
          <w:highlight w:val="none"/>
        </w:rPr>
        <w:t>主要面向具有诊后疾病精细化管理价值的患者（如慢性病类疾病、恶性肿瘤类疾病、日间手术和重大手术后类疾病、妇女和儿童类等常见病的门诊、住院患者和体检人群）提供诊后疾病精细化标准管理服务；</w:t>
      </w:r>
    </w:p>
    <w:p w14:paraId="335E2273">
      <w:pPr>
        <w:pStyle w:val="20"/>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sz w:val="21"/>
          <w:szCs w:val="21"/>
          <w:highlight w:val="none"/>
        </w:rPr>
      </w:pPr>
      <w:r>
        <w:rPr>
          <w:rFonts w:hint="eastAsia" w:ascii="仿宋" w:hAnsi="仿宋" w:eastAsia="仿宋" w:cs="仿宋"/>
          <w:b/>
          <w:bCs/>
          <w:sz w:val="21"/>
          <w:szCs w:val="21"/>
          <w:highlight w:val="none"/>
        </w:rPr>
        <w:t>2.生活方式干预管理服务：</w:t>
      </w:r>
      <w:r>
        <w:rPr>
          <w:rFonts w:hint="eastAsia" w:ascii="仿宋" w:hAnsi="仿宋" w:eastAsia="仿宋" w:cs="仿宋"/>
          <w:sz w:val="21"/>
          <w:szCs w:val="21"/>
          <w:highlight w:val="none"/>
        </w:rPr>
        <w:t>主要面向多囊卵巢综合征、脂肪肝、糖尿病伴肥胖、儿童肥胖等需要减重管理的患者群体提供生活方式干预管理服务（包括营养干预、运动康复指导等）；</w:t>
      </w:r>
    </w:p>
    <w:p w14:paraId="4558CD36">
      <w:pPr>
        <w:pStyle w:val="20"/>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sz w:val="21"/>
          <w:szCs w:val="21"/>
          <w:highlight w:val="none"/>
        </w:rPr>
      </w:pPr>
      <w:r>
        <w:rPr>
          <w:rFonts w:hint="eastAsia" w:ascii="仿宋" w:hAnsi="仿宋" w:eastAsia="仿宋" w:cs="仿宋"/>
          <w:b/>
          <w:bCs/>
          <w:sz w:val="21"/>
          <w:szCs w:val="21"/>
          <w:highlight w:val="none"/>
        </w:rPr>
        <w:t>3.心理咨询服务:</w:t>
      </w:r>
      <w:r>
        <w:rPr>
          <w:rFonts w:hint="eastAsia" w:ascii="仿宋" w:hAnsi="仿宋" w:eastAsia="仿宋" w:cs="仿宋"/>
          <w:sz w:val="21"/>
          <w:szCs w:val="21"/>
          <w:highlight w:val="none"/>
        </w:rPr>
        <w:t>主要面向儿童、青少年、成年及家庭提供心理咨询服务；</w:t>
      </w:r>
    </w:p>
    <w:p w14:paraId="1BFA775C">
      <w:pPr>
        <w:pStyle w:val="20"/>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sz w:val="21"/>
          <w:szCs w:val="21"/>
          <w:highlight w:val="none"/>
        </w:rPr>
      </w:pPr>
      <w:r>
        <w:rPr>
          <w:rFonts w:hint="eastAsia" w:ascii="仿宋" w:hAnsi="仿宋" w:eastAsia="仿宋" w:cs="仿宋"/>
          <w:b/>
          <w:bCs/>
          <w:sz w:val="21"/>
          <w:szCs w:val="21"/>
          <w:highlight w:val="none"/>
        </w:rPr>
        <w:t>4.新媒体患者运营服务：</w:t>
      </w:r>
      <w:r>
        <w:rPr>
          <w:rFonts w:hint="eastAsia" w:ascii="仿宋" w:hAnsi="仿宋" w:eastAsia="仿宋" w:cs="仿宋"/>
          <w:sz w:val="21"/>
          <w:szCs w:val="21"/>
          <w:highlight w:val="none"/>
        </w:rPr>
        <w:t>主要在医院官方抖音号、视频号、小红书或快手号等新媒体上为医生打造个人品牌IP，实现患者引流到院内就诊的全流程运营。</w:t>
      </w:r>
    </w:p>
    <w:p w14:paraId="578E6104">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三、履约团队职责及专业性要求</w:t>
      </w:r>
    </w:p>
    <w:p w14:paraId="5DD207EB">
      <w:pPr>
        <w:pStyle w:val="19"/>
        <w:keepLines w:val="0"/>
        <w:pageBreakBefore w:val="0"/>
        <w:kinsoku/>
        <w:wordWrap/>
        <w:overflowPunct/>
        <w:topLinePunct w:val="0"/>
        <w:autoSpaceDE/>
        <w:autoSpaceDN/>
        <w:bidi w:val="0"/>
        <w:adjustRightInd/>
        <w:spacing w:line="360" w:lineRule="auto"/>
        <w:ind w:left="0" w:leftChars="0"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为了保障诊后疾病精细化管理服务的规范性和科学性，采购人需与</w:t>
      </w: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共同组建一支专业的诊后疾病精细化管理服务团队。</w:t>
      </w: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需服从采购人的安排，协助采购人开展诊后疾病精细化管理正常工作所需要的相关服务。</w:t>
      </w:r>
    </w:p>
    <w:p w14:paraId="405E96C0">
      <w:pPr>
        <w:pStyle w:val="19"/>
        <w:keepLines w:val="0"/>
        <w:pageBreakBefore w:val="0"/>
        <w:kinsoku/>
        <w:wordWrap/>
        <w:overflowPunct/>
        <w:topLinePunct w:val="0"/>
        <w:autoSpaceDE/>
        <w:autoSpaceDN/>
        <w:bidi w:val="0"/>
        <w:adjustRightInd/>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1、采购人需安排相关医护人员配合整个项目的日常开展。</w:t>
      </w:r>
    </w:p>
    <w:p w14:paraId="194B809D">
      <w:pPr>
        <w:pStyle w:val="19"/>
        <w:keepLines w:val="0"/>
        <w:pageBreakBefore w:val="0"/>
        <w:kinsoku/>
        <w:wordWrap/>
        <w:overflowPunct/>
        <w:topLinePunct w:val="0"/>
        <w:autoSpaceDE/>
        <w:autoSpaceDN/>
        <w:bidi w:val="0"/>
        <w:adjustRightInd/>
        <w:spacing w:line="360" w:lineRule="auto"/>
        <w:ind w:left="0" w:leftChars="0" w:firstLine="420" w:firstLineChars="200"/>
        <w:rPr>
          <w:rFonts w:hint="eastAsia" w:ascii="仿宋" w:hAnsi="仿宋" w:eastAsia="仿宋" w:cs="仿宋"/>
          <w:bCs/>
          <w:sz w:val="21"/>
          <w:szCs w:val="21"/>
          <w:highlight w:val="none"/>
        </w:rPr>
      </w:pPr>
      <w:r>
        <w:rPr>
          <w:rFonts w:hint="eastAsia" w:ascii="仿宋" w:hAnsi="仿宋" w:eastAsia="仿宋" w:cs="仿宋"/>
          <w:sz w:val="21"/>
          <w:szCs w:val="21"/>
          <w:highlight w:val="none"/>
        </w:rPr>
        <w:t>2、</w:t>
      </w: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需为本次项目</w:t>
      </w:r>
      <w:r>
        <w:rPr>
          <w:rFonts w:hint="eastAsia" w:ascii="仿宋" w:hAnsi="仿宋" w:eastAsia="仿宋" w:cs="仿宋"/>
          <w:bCs/>
          <w:sz w:val="21"/>
          <w:szCs w:val="21"/>
          <w:highlight w:val="none"/>
        </w:rPr>
        <w:t>安排有医学背景（具备护师、医师、营养师、运动康复师、药师、心理咨询师、GCP等任一医学资格能力）的服务人员。各个团队的具体人员配置要求如下：</w:t>
      </w:r>
    </w:p>
    <w:tbl>
      <w:tblPr>
        <w:tblStyle w:val="45"/>
        <w:tblW w:w="52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45" w:type="dxa"/>
          <w:bottom w:w="17" w:type="dxa"/>
          <w:right w:w="45" w:type="dxa"/>
        </w:tblCellMar>
      </w:tblPr>
      <w:tblGrid>
        <w:gridCol w:w="716"/>
        <w:gridCol w:w="735"/>
        <w:gridCol w:w="968"/>
        <w:gridCol w:w="4036"/>
        <w:gridCol w:w="2356"/>
      </w:tblGrid>
      <w:tr w14:paraId="5370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noWrap w:val="0"/>
            <w:vAlign w:val="center"/>
          </w:tcPr>
          <w:p w14:paraId="0CB332B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966" w:type="pct"/>
            <w:gridSpan w:val="2"/>
            <w:noWrap w:val="0"/>
            <w:vAlign w:val="center"/>
          </w:tcPr>
          <w:p w14:paraId="78DEC9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名称</w:t>
            </w:r>
          </w:p>
        </w:tc>
        <w:tc>
          <w:tcPr>
            <w:tcW w:w="2289" w:type="pct"/>
            <w:noWrap w:val="0"/>
            <w:vAlign w:val="center"/>
          </w:tcPr>
          <w:p w14:paraId="36E4561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工作职责</w:t>
            </w:r>
          </w:p>
        </w:tc>
        <w:tc>
          <w:tcPr>
            <w:tcW w:w="1336" w:type="pct"/>
            <w:noWrap w:val="0"/>
            <w:vAlign w:val="center"/>
          </w:tcPr>
          <w:p w14:paraId="1FAA13C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要求</w:t>
            </w:r>
          </w:p>
        </w:tc>
      </w:tr>
      <w:tr w14:paraId="2B1C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noWrap w:val="0"/>
            <w:vAlign w:val="center"/>
          </w:tcPr>
          <w:p w14:paraId="2E77CBE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966" w:type="pct"/>
            <w:gridSpan w:val="2"/>
            <w:noWrap w:val="0"/>
            <w:vAlign w:val="center"/>
          </w:tcPr>
          <w:p w14:paraId="627F650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项目总负责人</w:t>
            </w:r>
          </w:p>
        </w:tc>
        <w:tc>
          <w:tcPr>
            <w:tcW w:w="2289" w:type="pct"/>
            <w:noWrap w:val="0"/>
            <w:vAlign w:val="center"/>
          </w:tcPr>
          <w:p w14:paraId="0E7FF0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统筹协调各分团队的工作开展和日常管理，每周输出患者情况医学报告给临床科室主任及院领导；对VIP患者就医体验进行跟踪和回访，统筹紧急异常病情患者的应急就诊，处理患者投诉等；每月输出一份报告给我方指定的负责人；陪同来访参观人员的接待和解答。</w:t>
            </w:r>
          </w:p>
        </w:tc>
        <w:tc>
          <w:tcPr>
            <w:tcW w:w="1336" w:type="pct"/>
            <w:noWrap w:val="0"/>
            <w:vAlign w:val="center"/>
          </w:tcPr>
          <w:p w14:paraId="51780F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1.1人；</w:t>
            </w:r>
          </w:p>
          <w:p w14:paraId="0D6FAA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2.具有较为丰富的医学管理经验，能够与临床科主任及以上领导进行有效沟通；</w:t>
            </w:r>
          </w:p>
          <w:p w14:paraId="73A5B69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3.具有住院医师及以上证书。</w:t>
            </w:r>
          </w:p>
        </w:tc>
      </w:tr>
      <w:tr w14:paraId="3F66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restart"/>
            <w:noWrap w:val="0"/>
            <w:vAlign w:val="center"/>
          </w:tcPr>
          <w:p w14:paraId="75F805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417" w:type="pct"/>
            <w:vMerge w:val="restart"/>
            <w:noWrap w:val="0"/>
            <w:vAlign w:val="center"/>
          </w:tcPr>
          <w:p w14:paraId="5B75D0A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运营支撑人员团队</w:t>
            </w:r>
          </w:p>
        </w:tc>
        <w:tc>
          <w:tcPr>
            <w:tcW w:w="549" w:type="pct"/>
            <w:noWrap w:val="0"/>
            <w:vAlign w:val="center"/>
          </w:tcPr>
          <w:p w14:paraId="61A0DC7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医学运营组</w:t>
            </w:r>
          </w:p>
        </w:tc>
        <w:tc>
          <w:tcPr>
            <w:tcW w:w="2289" w:type="pct"/>
            <w:noWrap w:val="0"/>
            <w:vAlign w:val="center"/>
          </w:tcPr>
          <w:p w14:paraId="10C21AA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运营管理（包括运营计划、组织、实施和风险控制），制定和执行医学运营策略；负责面向患者进行服务内容现场宣教，协助处理患者投诉，组织患友会，监控服务质量并提出改进建议；对参与本项目的我院医护人员进行培训和疑难解答；协调个案管理师团队与临床医护人员之间的沟通；提供线下非医疗诊断的健康咨询服务。</w:t>
            </w:r>
          </w:p>
        </w:tc>
        <w:tc>
          <w:tcPr>
            <w:tcW w:w="1336" w:type="pct"/>
            <w:noWrap w:val="0"/>
            <w:vAlign w:val="center"/>
          </w:tcPr>
          <w:p w14:paraId="7A05F57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1.不少于2人；</w:t>
            </w:r>
          </w:p>
          <w:p w14:paraId="15F9618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2.须具有护士及以上证书或医师及以上证书。</w:t>
            </w:r>
          </w:p>
        </w:tc>
      </w:tr>
      <w:tr w14:paraId="5334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16AE181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1C9C0C1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vMerge w:val="restart"/>
            <w:noWrap w:val="0"/>
            <w:vAlign w:val="center"/>
          </w:tcPr>
          <w:p w14:paraId="16414A2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医学路径梳理组</w:t>
            </w:r>
          </w:p>
        </w:tc>
        <w:tc>
          <w:tcPr>
            <w:tcW w:w="2289" w:type="pct"/>
            <w:noWrap w:val="0"/>
            <w:vAlign w:val="center"/>
          </w:tcPr>
          <w:p w14:paraId="2CF9DA7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负责人的工作职责：</w:t>
            </w:r>
          </w:p>
          <w:p w14:paraId="5FA1CA5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与各临床科室主任医师进行关于疾病管理方面的医学沟通、管理成效汇报、疾病管理临床科研方案探讨、临床科研成效分析、成果论文编写等；负责对疾病精细化管理的医学路径梳理有关工作的综合协调和管理。</w:t>
            </w:r>
          </w:p>
        </w:tc>
        <w:tc>
          <w:tcPr>
            <w:tcW w:w="1336" w:type="pct"/>
            <w:noWrap w:val="0"/>
            <w:vAlign w:val="center"/>
          </w:tcPr>
          <w:p w14:paraId="64BB4A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1.1人；</w:t>
            </w:r>
          </w:p>
          <w:p w14:paraId="6EA6AAA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2.具有住院医师及以上证书。</w:t>
            </w:r>
          </w:p>
        </w:tc>
      </w:tr>
      <w:tr w14:paraId="354B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62F57E9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6D1C009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vMerge w:val="continue"/>
            <w:noWrap w:val="0"/>
            <w:vAlign w:val="center"/>
          </w:tcPr>
          <w:p w14:paraId="3F0FA03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2289" w:type="pct"/>
            <w:noWrap w:val="0"/>
            <w:vAlign w:val="center"/>
          </w:tcPr>
          <w:p w14:paraId="226B678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其他成员的工作职责：</w:t>
            </w:r>
          </w:p>
          <w:p w14:paraId="219351C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负责与各临床科室的专科医生、专科护士进行医学沟通；负责诊后疾病精细化管理路径的具体医学梳理及编制；负责疾病管理过程中的疑难问题的医学解答等工作；负责对个案管理师团队提供医学支持工作；</w:t>
            </w:r>
          </w:p>
        </w:tc>
        <w:tc>
          <w:tcPr>
            <w:tcW w:w="1336" w:type="pct"/>
            <w:noWrap w:val="0"/>
            <w:vAlign w:val="center"/>
          </w:tcPr>
          <w:p w14:paraId="1CA2680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1.不少于2人；</w:t>
            </w:r>
          </w:p>
        </w:tc>
      </w:tr>
      <w:tr w14:paraId="726D7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0883EDB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168E04D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vMerge w:val="restart"/>
            <w:noWrap w:val="0"/>
            <w:vAlign w:val="center"/>
          </w:tcPr>
          <w:p w14:paraId="6026FF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医学内容编制组</w:t>
            </w:r>
          </w:p>
        </w:tc>
        <w:tc>
          <w:tcPr>
            <w:tcW w:w="2289" w:type="pct"/>
            <w:noWrap w:val="0"/>
            <w:vAlign w:val="center"/>
          </w:tcPr>
          <w:p w14:paraId="2E6222D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负责人的工作职责：</w:t>
            </w:r>
          </w:p>
          <w:p w14:paraId="7FDB665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把控整个医学内容编制团队医学内容编制工作的管理和协调工作。</w:t>
            </w:r>
          </w:p>
        </w:tc>
        <w:tc>
          <w:tcPr>
            <w:tcW w:w="1336" w:type="pct"/>
            <w:noWrap w:val="0"/>
            <w:vAlign w:val="center"/>
          </w:tcPr>
          <w:p w14:paraId="569977F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1.1人；</w:t>
            </w:r>
          </w:p>
          <w:p w14:paraId="0108D1C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2.具有住院医师及以上证书。</w:t>
            </w:r>
          </w:p>
        </w:tc>
      </w:tr>
      <w:tr w14:paraId="1D68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2C84545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4BDDCE0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vMerge w:val="continue"/>
            <w:noWrap w:val="0"/>
            <w:vAlign w:val="center"/>
          </w:tcPr>
          <w:p w14:paraId="42AF621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2289" w:type="pct"/>
            <w:noWrap w:val="0"/>
            <w:vAlign w:val="center"/>
          </w:tcPr>
          <w:p w14:paraId="057FAAB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其他成员的工作职责：</w:t>
            </w:r>
          </w:p>
          <w:p w14:paraId="7AF3406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在医生团队的指导下，根据疾病管理服务医学路径的具体要求，编制面向患者的各个健康宣教、疾病宣教内容，包括居家护理指导、居家心理宣教、用药指导、饮食指导、运动康复指导等相关的医学图文视频编制、拍摄、剪辑等；</w:t>
            </w:r>
          </w:p>
        </w:tc>
        <w:tc>
          <w:tcPr>
            <w:tcW w:w="1336" w:type="pct"/>
            <w:noWrap w:val="0"/>
            <w:vAlign w:val="center"/>
          </w:tcPr>
          <w:p w14:paraId="2FA32A33">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1.不少于10人，团队成员中有护理、营养、摄影及影片脚本创作等相关工作经验的人员配备；</w:t>
            </w:r>
          </w:p>
          <w:p w14:paraId="3D6F9F3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2.其中具有护士及以上证书的不少于3人；</w:t>
            </w:r>
          </w:p>
        </w:tc>
      </w:tr>
      <w:tr w14:paraId="5A0F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50532EE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1EE5502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noWrap w:val="0"/>
            <w:vAlign w:val="center"/>
          </w:tcPr>
          <w:p w14:paraId="24EE764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软件支持组</w:t>
            </w:r>
          </w:p>
        </w:tc>
        <w:tc>
          <w:tcPr>
            <w:tcW w:w="2289" w:type="pct"/>
            <w:noWrap w:val="0"/>
            <w:vAlign w:val="center"/>
          </w:tcPr>
          <w:p w14:paraId="1FFF6AD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负责根据采购人提出的疾病管理相关的业务需求，对疾病精细化管理软件进行持续迭代完善。</w:t>
            </w:r>
          </w:p>
        </w:tc>
        <w:tc>
          <w:tcPr>
            <w:tcW w:w="1336" w:type="pct"/>
            <w:noWrap w:val="0"/>
            <w:vAlign w:val="center"/>
          </w:tcPr>
          <w:p w14:paraId="7F2A866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1.不少于3人；</w:t>
            </w:r>
          </w:p>
          <w:p w14:paraId="7349A37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2.团队负责人有项目管理、系统集成、IT软件系统架构及开发等相关工作经验。</w:t>
            </w:r>
          </w:p>
        </w:tc>
      </w:tr>
      <w:tr w14:paraId="7A86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restart"/>
            <w:noWrap w:val="0"/>
            <w:vAlign w:val="center"/>
          </w:tcPr>
          <w:p w14:paraId="71BFAC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417" w:type="pct"/>
            <w:vMerge w:val="restart"/>
            <w:noWrap w:val="0"/>
            <w:vAlign w:val="center"/>
          </w:tcPr>
          <w:p w14:paraId="42DBB72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个案管理师团队</w:t>
            </w:r>
          </w:p>
        </w:tc>
        <w:tc>
          <w:tcPr>
            <w:tcW w:w="549" w:type="pct"/>
            <w:noWrap w:val="0"/>
            <w:vAlign w:val="center"/>
          </w:tcPr>
          <w:p w14:paraId="277085D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诊后疾病精细化标准管理服务组</w:t>
            </w:r>
          </w:p>
        </w:tc>
        <w:tc>
          <w:tcPr>
            <w:tcW w:w="2289" w:type="pct"/>
            <w:noWrap w:val="0"/>
            <w:vAlign w:val="center"/>
          </w:tcPr>
          <w:p w14:paraId="4DFED2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组长的工作职责：</w:t>
            </w:r>
          </w:p>
          <w:p w14:paraId="1C446651">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负责指导团队其他成员开展业务工作；负责与健康监测异常的患者进行深度沟通并衔接到其原主诊医生；制定患者院后疾病管理方案；处理患者管理过程中的疑难问题及制作个案管理报告等。</w:t>
            </w:r>
          </w:p>
          <w:p w14:paraId="3420ED6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其他成员的工作职责：负责根据患者精细化管理方案路径上确定的工作内容，与患者联系落实，包括受理咨询电话、专病随访、用药不良反应指导、异常症状采集、居家护理指导、居家营养指导、患者心理初步疏导等工作。</w:t>
            </w:r>
          </w:p>
        </w:tc>
        <w:tc>
          <w:tcPr>
            <w:tcW w:w="1336" w:type="pct"/>
            <w:noWrap w:val="0"/>
            <w:vAlign w:val="center"/>
          </w:tcPr>
          <w:p w14:paraId="205CF3F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1.不少于10人；</w:t>
            </w:r>
          </w:p>
          <w:p w14:paraId="6E50DBF1">
            <w:pPr>
              <w:pStyle w:val="1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2.其中具有初级护师及以上证书的人员不少于6人；</w:t>
            </w:r>
          </w:p>
        </w:tc>
      </w:tr>
      <w:tr w14:paraId="5DB5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2302438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55667B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noWrap w:val="0"/>
            <w:vAlign w:val="center"/>
          </w:tcPr>
          <w:p w14:paraId="22FE6A6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生活方式干预管理服务组</w:t>
            </w:r>
          </w:p>
        </w:tc>
        <w:tc>
          <w:tcPr>
            <w:tcW w:w="2289" w:type="pct"/>
            <w:noWrap w:val="0"/>
            <w:vAlign w:val="center"/>
          </w:tcPr>
          <w:p w14:paraId="36C3B63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负责制定个性化生活方式强化干预方案，包括饮食强化干预、运动强化干预、病情症状采集与干预指导、复诊管理强化干预、异常指标干等；并同时进行跟踪调整。</w:t>
            </w:r>
          </w:p>
        </w:tc>
        <w:tc>
          <w:tcPr>
            <w:tcW w:w="1336" w:type="pct"/>
            <w:noWrap w:val="0"/>
            <w:vAlign w:val="center"/>
          </w:tcPr>
          <w:p w14:paraId="1C4A0F8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1.不少于3人；</w:t>
            </w:r>
          </w:p>
          <w:p w14:paraId="175BE40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2.其中具有营养师相关证书至少1人；</w:t>
            </w:r>
          </w:p>
        </w:tc>
      </w:tr>
      <w:tr w14:paraId="45B6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6130D10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05F1216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noWrap w:val="0"/>
            <w:vAlign w:val="center"/>
          </w:tcPr>
          <w:p w14:paraId="5319288E">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bCs/>
                <w:sz w:val="21"/>
                <w:szCs w:val="21"/>
                <w:highlight w:val="none"/>
              </w:rPr>
              <w:t>心理咨询服务组</w:t>
            </w:r>
          </w:p>
        </w:tc>
        <w:tc>
          <w:tcPr>
            <w:tcW w:w="2289" w:type="pct"/>
            <w:noWrap w:val="0"/>
            <w:vAlign w:val="center"/>
          </w:tcPr>
          <w:p w14:paraId="35C4A46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负责患者的心理健康评估，运用量表、会谈等方式对与患者的症状进行评估；与患者建立医患联盟关系；与患者建立咨询目标，运用心理咨询技术提供患者情绪疏导、行为健康干预等服务；对咨询效果及目标进行综合分析等。</w:t>
            </w:r>
          </w:p>
        </w:tc>
        <w:tc>
          <w:tcPr>
            <w:tcW w:w="1336" w:type="pct"/>
            <w:noWrap w:val="0"/>
            <w:vAlign w:val="center"/>
          </w:tcPr>
          <w:p w14:paraId="3A54ADA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1.不少于3人；</w:t>
            </w:r>
          </w:p>
          <w:p w14:paraId="76D0CB1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2.其中具有心理咨询师相关证书至少1人；</w:t>
            </w:r>
          </w:p>
        </w:tc>
      </w:tr>
      <w:tr w14:paraId="3626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trPr>
        <w:tc>
          <w:tcPr>
            <w:tcW w:w="406" w:type="pct"/>
            <w:vMerge w:val="continue"/>
            <w:noWrap w:val="0"/>
            <w:vAlign w:val="center"/>
          </w:tcPr>
          <w:p w14:paraId="42F3CB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417" w:type="pct"/>
            <w:vMerge w:val="continue"/>
            <w:noWrap w:val="0"/>
            <w:vAlign w:val="center"/>
          </w:tcPr>
          <w:p w14:paraId="440B806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p>
        </w:tc>
        <w:tc>
          <w:tcPr>
            <w:tcW w:w="549" w:type="pct"/>
            <w:noWrap w:val="0"/>
            <w:vAlign w:val="center"/>
          </w:tcPr>
          <w:p w14:paraId="3C77988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新媒体患者运营服务组</w:t>
            </w:r>
          </w:p>
        </w:tc>
        <w:tc>
          <w:tcPr>
            <w:tcW w:w="2289" w:type="pct"/>
            <w:noWrap w:val="0"/>
            <w:vAlign w:val="center"/>
          </w:tcPr>
          <w:p w14:paraId="7818370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制定公域引流策略，制作相关短视频、图文科普等。</w:t>
            </w:r>
          </w:p>
        </w:tc>
        <w:tc>
          <w:tcPr>
            <w:tcW w:w="1336" w:type="pct"/>
            <w:noWrap w:val="0"/>
            <w:vAlign w:val="center"/>
          </w:tcPr>
          <w:p w14:paraId="004186A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1.不少于2人；</w:t>
            </w:r>
          </w:p>
          <w:p w14:paraId="6A4EB68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2.需具备新媒体患者运营服务经验。</w:t>
            </w:r>
          </w:p>
        </w:tc>
      </w:tr>
    </w:tbl>
    <w:p w14:paraId="5BFFBDBF">
      <w:pPr>
        <w:pStyle w:val="19"/>
        <w:keepLines w:val="0"/>
        <w:pageBreakBefore w:val="0"/>
        <w:tabs>
          <w:tab w:val="left" w:pos="1872"/>
        </w:tabs>
        <w:kinsoku/>
        <w:wordWrap/>
        <w:overflowPunct/>
        <w:topLinePunct w:val="0"/>
        <w:autoSpaceDE/>
        <w:autoSpaceDN/>
        <w:bidi w:val="0"/>
        <w:adjustRightInd/>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注：</w:t>
      </w:r>
    </w:p>
    <w:p w14:paraId="23F2D9AC">
      <w:pPr>
        <w:pStyle w:val="19"/>
        <w:keepLines w:val="0"/>
        <w:pageBreakBefore w:val="0"/>
        <w:tabs>
          <w:tab w:val="left" w:pos="1872"/>
        </w:tabs>
        <w:kinsoku/>
        <w:wordWrap/>
        <w:overflowPunct/>
        <w:topLinePunct w:val="0"/>
        <w:autoSpaceDE/>
        <w:autoSpaceDN/>
        <w:bidi w:val="0"/>
        <w:adjustRightInd/>
        <w:spacing w:line="360" w:lineRule="auto"/>
        <w:ind w:left="0" w:leftChars="0"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1.在服务期内，</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所有服务人员的事故由</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自行全权负责（如</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应对其员工投保人身意外险等）。</w:t>
      </w:r>
    </w:p>
    <w:p w14:paraId="082CA2D3">
      <w:pPr>
        <w:pStyle w:val="19"/>
        <w:keepLines w:val="0"/>
        <w:pageBreakBefore w:val="0"/>
        <w:tabs>
          <w:tab w:val="left" w:pos="1872"/>
        </w:tabs>
        <w:kinsoku/>
        <w:wordWrap/>
        <w:overflowPunct/>
        <w:topLinePunct w:val="0"/>
        <w:autoSpaceDE/>
        <w:autoSpaceDN/>
        <w:bidi w:val="0"/>
        <w:adjustRightInd/>
        <w:spacing w:line="360" w:lineRule="auto"/>
        <w:ind w:left="0" w:leftChars="0"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2.项目配置人员必须为</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的正式员工，并签订劳动合同。</w:t>
      </w:r>
    </w:p>
    <w:p w14:paraId="5AAD817B">
      <w:pPr>
        <w:pStyle w:val="19"/>
        <w:keepLines w:val="0"/>
        <w:pageBreakBefore w:val="0"/>
        <w:tabs>
          <w:tab w:val="left" w:pos="1872"/>
        </w:tabs>
        <w:kinsoku/>
        <w:wordWrap/>
        <w:overflowPunct/>
        <w:topLinePunct w:val="0"/>
        <w:autoSpaceDE/>
        <w:autoSpaceDN/>
        <w:bidi w:val="0"/>
        <w:adjustRightInd/>
        <w:spacing w:line="360" w:lineRule="auto"/>
        <w:ind w:left="0" w:leftChars="0"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3.</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对符合缴纳五险的服务人员按政府规定社会保险缴费基数进行缴纳，所有服务人员的工资、社保、奖金、福利均由</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承担。</w:t>
      </w:r>
    </w:p>
    <w:p w14:paraId="5755628F">
      <w:pPr>
        <w:pStyle w:val="19"/>
        <w:keepLines w:val="0"/>
        <w:pageBreakBefore w:val="0"/>
        <w:tabs>
          <w:tab w:val="left" w:pos="1872"/>
        </w:tabs>
        <w:kinsoku/>
        <w:wordWrap/>
        <w:overflowPunct/>
        <w:topLinePunct w:val="0"/>
        <w:autoSpaceDE/>
        <w:autoSpaceDN/>
        <w:bidi w:val="0"/>
        <w:adjustRightInd/>
        <w:spacing w:line="360" w:lineRule="auto"/>
        <w:ind w:left="0" w:leftChars="0" w:firstLine="422" w:firstLineChars="200"/>
        <w:rPr>
          <w:rFonts w:hint="eastAsia" w:ascii="仿宋" w:hAnsi="仿宋" w:eastAsia="仿宋" w:cs="仿宋"/>
          <w:b/>
          <w:sz w:val="21"/>
          <w:szCs w:val="21"/>
          <w:highlight w:val="none"/>
        </w:rPr>
      </w:pPr>
      <w:r>
        <w:rPr>
          <w:rFonts w:hint="eastAsia" w:ascii="仿宋" w:hAnsi="仿宋" w:eastAsia="仿宋" w:cs="仿宋"/>
          <w:b/>
          <w:sz w:val="21"/>
          <w:szCs w:val="21"/>
          <w:highlight w:val="none"/>
        </w:rPr>
        <w:t>4.</w:t>
      </w:r>
      <w:r>
        <w:rPr>
          <w:rFonts w:hint="eastAsia" w:ascii="仿宋" w:hAnsi="仿宋" w:eastAsia="仿宋" w:cs="仿宋"/>
          <w:b/>
          <w:sz w:val="21"/>
          <w:szCs w:val="21"/>
          <w:highlight w:val="none"/>
          <w:lang w:eastAsia="zh-CN"/>
        </w:rPr>
        <w:t>投标人</w:t>
      </w:r>
      <w:r>
        <w:rPr>
          <w:rFonts w:hint="eastAsia" w:ascii="仿宋" w:hAnsi="仿宋" w:eastAsia="仿宋" w:cs="仿宋"/>
          <w:b/>
          <w:sz w:val="21"/>
          <w:szCs w:val="21"/>
          <w:highlight w:val="none"/>
        </w:rPr>
        <w:t>须承诺按不少于上表要求的人数进行人员配置。</w:t>
      </w:r>
    </w:p>
    <w:p w14:paraId="68775087">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四、服务内容要求</w:t>
      </w:r>
    </w:p>
    <w:p w14:paraId="3F5DF9B0">
      <w:pPr>
        <w:pStyle w:val="20"/>
        <w:keepLines w:val="0"/>
        <w:pageBreakBefore w:val="0"/>
        <w:kinsoku/>
        <w:wordWrap/>
        <w:overflowPunct/>
        <w:topLinePunct w:val="0"/>
        <w:autoSpaceDE/>
        <w:autoSpaceDN/>
        <w:bidi w:val="0"/>
        <w:adjustRightInd/>
        <w:spacing w:line="360" w:lineRule="auto"/>
        <w:ind w:firstLine="422" w:firstLineChars="200"/>
        <w:outlineLvl w:val="2"/>
        <w:rPr>
          <w:rFonts w:hint="eastAsia" w:ascii="仿宋" w:hAnsi="仿宋" w:eastAsia="仿宋" w:cs="仿宋"/>
          <w:b/>
          <w:sz w:val="21"/>
          <w:szCs w:val="21"/>
          <w:highlight w:val="none"/>
        </w:rPr>
      </w:pPr>
      <w:r>
        <w:rPr>
          <w:rFonts w:hint="eastAsia" w:ascii="仿宋" w:hAnsi="仿宋" w:eastAsia="仿宋" w:cs="仿宋"/>
          <w:b/>
          <w:sz w:val="21"/>
          <w:szCs w:val="21"/>
          <w:highlight w:val="none"/>
        </w:rPr>
        <w:t>1.服务内容一览表</w:t>
      </w:r>
    </w:p>
    <w:p w14:paraId="5ABFB757">
      <w:pPr>
        <w:pStyle w:val="20"/>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投标人</w:t>
      </w:r>
      <w:r>
        <w:rPr>
          <w:rFonts w:hint="eastAsia" w:ascii="仿宋" w:hAnsi="仿宋" w:eastAsia="仿宋" w:cs="仿宋"/>
          <w:sz w:val="21"/>
          <w:szCs w:val="21"/>
          <w:highlight w:val="none"/>
        </w:rPr>
        <w:t>需以各套餐包形式为我院患者提供连续性的诊后疾病精细化管理服务，服务套餐包包括但不限于以下内容：</w:t>
      </w:r>
    </w:p>
    <w:p w14:paraId="37A298F9">
      <w:pPr>
        <w:pStyle w:val="20"/>
        <w:keepLines w:val="0"/>
        <w:pageBreakBefore w:val="0"/>
        <w:kinsoku/>
        <w:wordWrap/>
        <w:overflowPunct/>
        <w:topLinePunct w:val="0"/>
        <w:autoSpaceDE/>
        <w:autoSpaceDN/>
        <w:bidi w:val="0"/>
        <w:adjustRightInd/>
        <w:spacing w:line="360" w:lineRule="auto"/>
        <w:ind w:firstLine="422" w:firstLineChars="20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表-服务内容一览表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597"/>
        <w:gridCol w:w="5371"/>
        <w:gridCol w:w="807"/>
      </w:tblGrid>
      <w:tr w14:paraId="1541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402B4FDD">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序号</w:t>
            </w:r>
          </w:p>
        </w:tc>
        <w:tc>
          <w:tcPr>
            <w:tcW w:w="940" w:type="pct"/>
            <w:noWrap w:val="0"/>
            <w:vAlign w:val="center"/>
          </w:tcPr>
          <w:p w14:paraId="3DFF339C">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服务项目名称</w:t>
            </w:r>
          </w:p>
        </w:tc>
        <w:tc>
          <w:tcPr>
            <w:tcW w:w="3161" w:type="pct"/>
            <w:noWrap w:val="0"/>
            <w:vAlign w:val="top"/>
          </w:tcPr>
          <w:p w14:paraId="27B78068">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服务工作内容</w:t>
            </w:r>
          </w:p>
        </w:tc>
        <w:tc>
          <w:tcPr>
            <w:tcW w:w="475" w:type="pct"/>
            <w:noWrap w:val="0"/>
            <w:vAlign w:val="center"/>
          </w:tcPr>
          <w:p w14:paraId="18E3E465">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
                <w:sz w:val="21"/>
                <w:szCs w:val="21"/>
                <w:highlight w:val="none"/>
              </w:rPr>
            </w:pPr>
            <w:r>
              <w:rPr>
                <w:rFonts w:hint="eastAsia" w:ascii="仿宋" w:hAnsi="仿宋" w:eastAsia="仿宋" w:cs="仿宋"/>
                <w:b/>
                <w:sz w:val="21"/>
                <w:szCs w:val="21"/>
                <w:highlight w:val="none"/>
              </w:rPr>
              <w:t>单位</w:t>
            </w:r>
          </w:p>
        </w:tc>
      </w:tr>
      <w:tr w14:paraId="5190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23968243">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Cs/>
                <w:sz w:val="21"/>
                <w:szCs w:val="21"/>
                <w:highlight w:val="none"/>
              </w:rPr>
            </w:pPr>
          </w:p>
        </w:tc>
        <w:tc>
          <w:tcPr>
            <w:tcW w:w="940" w:type="pct"/>
            <w:noWrap w:val="0"/>
            <w:vAlign w:val="center"/>
          </w:tcPr>
          <w:p w14:paraId="01EADBFB">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专病精细化短期强管理</w:t>
            </w:r>
          </w:p>
        </w:tc>
        <w:tc>
          <w:tcPr>
            <w:tcW w:w="3161" w:type="pct"/>
            <w:noWrap w:val="0"/>
            <w:vAlign w:val="center"/>
          </w:tcPr>
          <w:p w14:paraId="75966096">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精细化短期强管理路径，由医生、护士、健康管理师等组成的疾病管理团队成员，通过电话、微信、小程序、APP、上门、现场等方式，对购买了此项服务的患者提供专病精细化短期强管理服务工作，包括：主动为患者提供1次疾病管理方案制订，2次疾病评估/干预指导，2次用药评估/干预指导（按患者病情及医嘱要求），1次营养评估/干预指导，2次管道伤口等护理评估/干预指导（按患者病情及医嘱要求），2次复诊提醒及1次协助预约挂号，2次阶段性管理点评，同时管理期内可根据患者需要提供4次来电或在线健康咨询服务；管理期一个月为一个疗程。</w:t>
            </w:r>
          </w:p>
        </w:tc>
        <w:tc>
          <w:tcPr>
            <w:tcW w:w="475" w:type="pct"/>
            <w:noWrap w:val="0"/>
            <w:vAlign w:val="center"/>
          </w:tcPr>
          <w:p w14:paraId="1E6E27A1">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r w14:paraId="1DD6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0FCDB5C2">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Cs/>
                <w:sz w:val="21"/>
                <w:szCs w:val="21"/>
                <w:highlight w:val="none"/>
              </w:rPr>
            </w:pPr>
          </w:p>
        </w:tc>
        <w:tc>
          <w:tcPr>
            <w:tcW w:w="940" w:type="pct"/>
            <w:noWrap w:val="0"/>
            <w:vAlign w:val="center"/>
          </w:tcPr>
          <w:p w14:paraId="6BE45A15">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专病精细化标准管理</w:t>
            </w:r>
          </w:p>
        </w:tc>
        <w:tc>
          <w:tcPr>
            <w:tcW w:w="3161" w:type="pct"/>
            <w:noWrap w:val="0"/>
            <w:vAlign w:val="center"/>
          </w:tcPr>
          <w:p w14:paraId="244891A8">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精细化标准管理路径，由医生、护士、药师、健康管理师等组成的疾病管理团队成员，通过电话、微信、小程序、APP、上门、现场等方式，对购买了此项服务的患者提供专病精细化标准管理服务工作，包括主动为患者提供1次疾病管理方案制订，4次疾病评估/干预指导，4次用药评估/干预指导（按患者病情及医嘱要求），2次营养评估/干预指导及28天营养食谱（按患者病情需求），4次运动评估/干预指导，2次睡眠（心理）评估/干预指导，2次管道伤口等护理评估/干预指导（患者病情及医嘱要求），4次复诊提醒及2次协助预约挂号（按医嘱要求），4次阶段性管理点评，同时管理期内可根据患者需要提供6次来电或在线健康咨询服务；管理期三个月为一个疗程。</w:t>
            </w:r>
          </w:p>
        </w:tc>
        <w:tc>
          <w:tcPr>
            <w:tcW w:w="475" w:type="pct"/>
            <w:noWrap w:val="0"/>
            <w:vAlign w:val="center"/>
          </w:tcPr>
          <w:p w14:paraId="3FEDC325">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r w14:paraId="57CE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02322B0C">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Cs/>
                <w:sz w:val="21"/>
                <w:szCs w:val="21"/>
                <w:highlight w:val="none"/>
              </w:rPr>
            </w:pPr>
          </w:p>
        </w:tc>
        <w:tc>
          <w:tcPr>
            <w:tcW w:w="940" w:type="pct"/>
            <w:noWrap w:val="0"/>
            <w:vAlign w:val="center"/>
          </w:tcPr>
          <w:p w14:paraId="2E30E316">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专病精细化强化管理</w:t>
            </w:r>
          </w:p>
        </w:tc>
        <w:tc>
          <w:tcPr>
            <w:tcW w:w="3161" w:type="pct"/>
            <w:noWrap w:val="0"/>
            <w:vAlign w:val="center"/>
          </w:tcPr>
          <w:p w14:paraId="2777F044">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bCs/>
                <w:color w:val="1F2329"/>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精细化强化管理路径，由医生、护士、药师、健康管理师等组成的疾病管理团队成员，通过电话、微信、小程序、APP、上门、现场等方式，对购买了此项服务的患者提供专病精细化强化管理服务工作，包括主动为患者提供1次疾病管理方案制订，4次疾病评估/干预指导，4次用药评估/干预指导（按患者病情及医嘱要求），2次营养评估/干预指导及84天营养食谱（按患者病情需求），4次运动评估/干预指导，2次睡眠（心理）评估/干预指导，2次管道伤口等护理评估/干预指导（患者病情及医嘱要求），4次复诊提醒及2次协助预约挂号（按医嘱要求），4次阶段性管理点评，同时管理期内可根据患者需要提供8次来电或在线健康咨询服务；管理期三个月为一个疗程。</w:t>
            </w:r>
          </w:p>
        </w:tc>
        <w:tc>
          <w:tcPr>
            <w:tcW w:w="475" w:type="pct"/>
            <w:noWrap w:val="0"/>
            <w:vAlign w:val="center"/>
          </w:tcPr>
          <w:p w14:paraId="7AEB1E4B">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r w14:paraId="531B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55C292FB">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Cs/>
                <w:sz w:val="21"/>
                <w:szCs w:val="21"/>
                <w:highlight w:val="none"/>
              </w:rPr>
            </w:pPr>
          </w:p>
        </w:tc>
        <w:tc>
          <w:tcPr>
            <w:tcW w:w="940" w:type="pct"/>
            <w:noWrap w:val="0"/>
            <w:vAlign w:val="center"/>
          </w:tcPr>
          <w:p w14:paraId="1F12DB1F">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专病精细化动态管理</w:t>
            </w:r>
          </w:p>
        </w:tc>
        <w:tc>
          <w:tcPr>
            <w:tcW w:w="3161" w:type="pct"/>
            <w:noWrap w:val="0"/>
            <w:vAlign w:val="center"/>
          </w:tcPr>
          <w:p w14:paraId="6A9666E0">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精细化动态管理路径，由医生、护士、健康管理师、营养师、运动康复师等组成的疾病管理团队成员，通过电话、微信、小程序、APP、上门、现场等方式，对购买了此项服务的患者提供专病精细化动态管理服务工作，包括为患者提供2次人体体成分分析及报告解读，2次人体测量，1次营养评估，1次营养方案制定，1次营养指导，1次运动评估，1次运动方案制定，1次运动指导，1个月内饮食点评，1个月内运动点评，1次复诊提醒，1次阶段性管理点评，同时管理期内可根据患者需要提供在线的社群健康咨询服务，按需提供远程健康指标异常跟踪服务；管理期一个月为一个疗程。</w:t>
            </w:r>
          </w:p>
        </w:tc>
        <w:tc>
          <w:tcPr>
            <w:tcW w:w="475" w:type="pct"/>
            <w:noWrap w:val="0"/>
            <w:vAlign w:val="center"/>
          </w:tcPr>
          <w:p w14:paraId="5EF2EAB2">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r w14:paraId="4D26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1728CDF5">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
                <w:sz w:val="21"/>
                <w:szCs w:val="21"/>
                <w:highlight w:val="none"/>
              </w:rPr>
            </w:pPr>
          </w:p>
        </w:tc>
        <w:tc>
          <w:tcPr>
            <w:tcW w:w="940" w:type="pct"/>
            <w:noWrap w:val="0"/>
            <w:vAlign w:val="center"/>
          </w:tcPr>
          <w:p w14:paraId="152200F1">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专病强干预综合管理</w:t>
            </w:r>
          </w:p>
        </w:tc>
        <w:tc>
          <w:tcPr>
            <w:tcW w:w="3161" w:type="pct"/>
            <w:noWrap w:val="0"/>
            <w:vAlign w:val="center"/>
          </w:tcPr>
          <w:p w14:paraId="1C957259">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强干预综合管理路径，由医生、护士、健康管理师、营养师、运动康复师等组成的疾病管理团队成员，通过电话、微信、小程序、APP、现场等方式，对购买了此项服务的患者提供专病强干预综合管理服务工作，包括对相关患者提供专病与生活方式综合管理工作；提供2次人体体成分分析及报告解读，2次人体测量，1次营养评估，1次营养方案制定，1次营养指导，1个月内饮食点评，1次运动评估，1次运动方案制定，1次运动指导，1个月内运动点评，1次复诊提醒，1次阶段性管理点评，同时管理期内可根据患者需要提供在线的社群健康咨询服务，按需提供远程健康指标异常跟踪服务；管理期一个月为一个疗程。</w:t>
            </w:r>
          </w:p>
        </w:tc>
        <w:tc>
          <w:tcPr>
            <w:tcW w:w="475" w:type="pct"/>
            <w:noWrap w:val="0"/>
            <w:vAlign w:val="center"/>
          </w:tcPr>
          <w:p w14:paraId="3A09A64D">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r w14:paraId="62B1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5FBA7EAE">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Cs/>
                <w:sz w:val="21"/>
                <w:szCs w:val="21"/>
                <w:highlight w:val="none"/>
              </w:rPr>
            </w:pPr>
          </w:p>
        </w:tc>
        <w:tc>
          <w:tcPr>
            <w:tcW w:w="940" w:type="pct"/>
            <w:noWrap w:val="0"/>
            <w:vAlign w:val="center"/>
          </w:tcPr>
          <w:p w14:paraId="53A608E5">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专病多学科生活方式干预管理</w:t>
            </w:r>
          </w:p>
        </w:tc>
        <w:tc>
          <w:tcPr>
            <w:tcW w:w="3161" w:type="pct"/>
            <w:noWrap w:val="0"/>
            <w:vAlign w:val="center"/>
          </w:tcPr>
          <w:p w14:paraId="1E76C699">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多学科生活方式联合干预管理路径，由医生、护士、健康管理师、药师、营养师、运动康复师等组成的疾病管理团队成员，通过电话、微信、小程序、APP、现场、面访等方式，对购买了此项服务的患者提供专病多学科生活方式联合干预管理服务工作，包括提供至少2次的人体体成分分析和报告解读，至少2次人体测量，至少2次营养评估、至少2次营养管理方案制定、至少2次营养方案指导、3个月内营养点评，至少2次运动评估、至少2次运动方案制订、至少2次运动指导、3个月内运动点评，3次复诊强化提醒，至少2次阶段性管理点评，同时管理期内可根据患者需要提供在线的社群健康咨询服务，按需提供远程健康指标异常跟踪服务；管理期3个月为一个疗程。</w:t>
            </w:r>
          </w:p>
        </w:tc>
        <w:tc>
          <w:tcPr>
            <w:tcW w:w="475" w:type="pct"/>
            <w:noWrap w:val="0"/>
            <w:vAlign w:val="center"/>
          </w:tcPr>
          <w:p w14:paraId="52FE8A2E">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r w14:paraId="5DE9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center"/>
          </w:tcPr>
          <w:p w14:paraId="2756F4B1">
            <w:pPr>
              <w:pStyle w:val="20"/>
              <w:keepNext w:val="0"/>
              <w:keepLines w:val="0"/>
              <w:pageBreakBefore w:val="0"/>
              <w:widowControl w:val="0"/>
              <w:numPr>
                <w:ilvl w:val="0"/>
                <w:numId w:val="9"/>
              </w:numPr>
              <w:kinsoku/>
              <w:wordWrap/>
              <w:overflowPunct/>
              <w:topLinePunct w:val="0"/>
              <w:autoSpaceDE/>
              <w:autoSpaceDN/>
              <w:bidi w:val="0"/>
              <w:adjustRightInd/>
              <w:snapToGrid w:val="0"/>
              <w:spacing w:line="360" w:lineRule="auto"/>
              <w:ind w:left="0" w:firstLine="0" w:firstLineChars="0"/>
              <w:jc w:val="center"/>
              <w:textAlignment w:val="auto"/>
              <w:rPr>
                <w:rFonts w:hint="eastAsia" w:ascii="仿宋" w:hAnsi="仿宋" w:eastAsia="仿宋" w:cs="仿宋"/>
                <w:bCs/>
                <w:sz w:val="21"/>
                <w:szCs w:val="21"/>
                <w:highlight w:val="none"/>
              </w:rPr>
            </w:pPr>
          </w:p>
        </w:tc>
        <w:tc>
          <w:tcPr>
            <w:tcW w:w="940" w:type="pct"/>
            <w:noWrap w:val="0"/>
            <w:vAlign w:val="center"/>
          </w:tcPr>
          <w:p w14:paraId="69739975">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多学科生活方式强化干预</w:t>
            </w:r>
          </w:p>
        </w:tc>
        <w:tc>
          <w:tcPr>
            <w:tcW w:w="3161" w:type="pct"/>
            <w:noWrap w:val="0"/>
            <w:vAlign w:val="center"/>
          </w:tcPr>
          <w:p w14:paraId="6B241D99">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基于离院诊断及专家医生确认的该专病多学科生活方式强化干预管理路径，由医生、护士、健康管理师、药师、营养师、运动康复师、心理咨询师等组成的疾病管理团队成员，通过电话、微信、小程序、APP、现场、面访等方式，对购买了此项服务的患者提供专病多学科生活方式强化干预管理服务工作，包括对相关患者提供多学科生活方式联合干预服务工作：至少2次的人体体成分分析和报告解读，至少2次人体测量，至少2次营养评估、至少2次营养管理方案制定、至少2次营养方案指导、1个月内营养点评，至少2次运动评估、至少2次运动方案制订、至少2次运动指导、1个月内运动点评，3次复诊强化提醒，提供配套硬件设备、跟踪和监测相关数据指标，结合人工智能技术为患者提供检测结果解读，至少2次阶段性管理点评，同时管理期内可根据患者需要提供在线的社群健康咨询服务；管理期3个月为一个疗程。</w:t>
            </w:r>
          </w:p>
        </w:tc>
        <w:tc>
          <w:tcPr>
            <w:tcW w:w="475" w:type="pct"/>
            <w:noWrap w:val="0"/>
            <w:vAlign w:val="center"/>
          </w:tcPr>
          <w:p w14:paraId="5D969875">
            <w:pPr>
              <w:pStyle w:val="20"/>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仿宋" w:hAnsi="仿宋" w:eastAsia="仿宋" w:cs="仿宋"/>
                <w:bCs/>
                <w:sz w:val="21"/>
                <w:szCs w:val="21"/>
                <w:highlight w:val="none"/>
              </w:rPr>
            </w:pPr>
            <w:r>
              <w:rPr>
                <w:rFonts w:hint="eastAsia" w:ascii="仿宋" w:hAnsi="仿宋" w:eastAsia="仿宋" w:cs="仿宋"/>
                <w:color w:val="000000"/>
                <w:kern w:val="0"/>
                <w:sz w:val="21"/>
                <w:szCs w:val="21"/>
                <w:highlight w:val="none"/>
                <w:lang w:bidi="ar"/>
              </w:rPr>
              <w:t>疗程</w:t>
            </w:r>
          </w:p>
        </w:tc>
      </w:tr>
    </w:tbl>
    <w:p w14:paraId="002893D7">
      <w:pPr>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color w:val="000000"/>
          <w:sz w:val="21"/>
          <w:szCs w:val="21"/>
          <w:highlight w:val="none"/>
        </w:rPr>
        <w:t>注：1）本项目不仅限于上表的服务套餐，</w:t>
      </w:r>
      <w:r>
        <w:rPr>
          <w:rFonts w:hint="eastAsia" w:ascii="仿宋" w:hAnsi="仿宋" w:eastAsia="仿宋" w:cs="仿宋"/>
          <w:b/>
          <w:sz w:val="21"/>
          <w:szCs w:val="21"/>
          <w:highlight w:val="none"/>
        </w:rPr>
        <w:t>可根据各临床科室的实际需要在本项目合同协议原则下协商一致后新增。</w:t>
      </w:r>
    </w:p>
    <w:p w14:paraId="113A2BD8">
      <w:pPr>
        <w:pStyle w:val="305"/>
        <w:keepLines w:val="0"/>
        <w:pageBreakBefore w:val="0"/>
        <w:kinsoku/>
        <w:wordWrap/>
        <w:overflowPunct/>
        <w:topLinePunct w:val="0"/>
        <w:autoSpaceDE/>
        <w:autoSpaceDN/>
        <w:bidi w:val="0"/>
        <w:adjustRightInd/>
        <w:spacing w:line="360" w:lineRule="auto"/>
        <w:ind w:right="407"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2.服务路径的梳理服务要求</w:t>
      </w:r>
    </w:p>
    <w:p w14:paraId="2321600E">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本服务项目中，有很大一块任务是要根据临床科室的患者疾病管理要求进行具体的诊后疾病管理路径规范梳理，要求</w:t>
      </w: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基于自身的疾病精细化管理路径知识储备和梳理经验，配合采购人临床医生梳理出适用的疾病和适用的诊后疾病管理路径或方案。</w:t>
      </w: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需负责与各临床科室主任医师进行关于疾病管理方面的医学沟通、管理成效汇报、疾病管理临床科研方案探讨、临床科研成效分析、成果论文编写等，负责对疾病精细化管理的医学路径梳理有关工作的综合协调和管理。另一方面，</w:t>
      </w: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还需负责与各临床科室的专科医生、专科护士进行医学沟通，负责诊后疾病精细化管理路径的具体医学梳理及编制，负责疾病管理过程中的疑难问题的医学解答等工作；负责对个案管理师团队提供医学支持工作。</w:t>
      </w:r>
    </w:p>
    <w:p w14:paraId="61A29B9B">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应在投标文件中提供不少于</w:t>
      </w:r>
      <w:r>
        <w:rPr>
          <w:rFonts w:hint="eastAsia" w:ascii="仿宋" w:hAnsi="仿宋" w:eastAsia="仿宋" w:cs="仿宋"/>
          <w:bCs/>
          <w:sz w:val="21"/>
          <w:szCs w:val="21"/>
          <w:highlight w:val="none"/>
          <w:lang w:val="en-US" w:eastAsia="zh-CN"/>
        </w:rPr>
        <w:t>4</w:t>
      </w:r>
      <w:r>
        <w:rPr>
          <w:rFonts w:hint="eastAsia" w:ascii="仿宋" w:hAnsi="仿宋" w:eastAsia="仿宋" w:cs="仿宋"/>
          <w:bCs/>
          <w:sz w:val="21"/>
          <w:szCs w:val="21"/>
          <w:highlight w:val="none"/>
        </w:rPr>
        <w:t>个诊后疾病（疾病需属于</w:t>
      </w:r>
      <w:r>
        <w:rPr>
          <w:rFonts w:hint="eastAsia" w:ascii="仿宋" w:hAnsi="仿宋" w:eastAsia="仿宋" w:cs="仿宋"/>
          <w:color w:val="0000FF"/>
          <w:kern w:val="0"/>
          <w:sz w:val="21"/>
          <w:szCs w:val="21"/>
          <w:highlight w:val="none"/>
          <w:lang w:val="zh-CN"/>
        </w:rPr>
        <w:t>慢性病、日间手术</w:t>
      </w:r>
      <w:r>
        <w:rPr>
          <w:rFonts w:hint="eastAsia" w:ascii="仿宋" w:hAnsi="仿宋" w:eastAsia="仿宋" w:cs="仿宋"/>
          <w:color w:val="0000FF"/>
          <w:kern w:val="0"/>
          <w:sz w:val="21"/>
          <w:szCs w:val="21"/>
          <w:highlight w:val="none"/>
          <w:lang w:val="zh-CN" w:eastAsia="zh-CN"/>
        </w:rPr>
        <w:t>、</w:t>
      </w:r>
      <w:r>
        <w:rPr>
          <w:rFonts w:hint="eastAsia" w:ascii="仿宋" w:hAnsi="仿宋" w:eastAsia="仿宋" w:cs="仿宋"/>
          <w:color w:val="0000FF"/>
          <w:kern w:val="0"/>
          <w:sz w:val="21"/>
          <w:szCs w:val="21"/>
          <w:highlight w:val="none"/>
          <w:lang w:val="zh-CN"/>
        </w:rPr>
        <w:t>重大手术后、减重管理类疾病</w:t>
      </w:r>
      <w:r>
        <w:rPr>
          <w:rFonts w:hint="eastAsia" w:ascii="仿宋" w:hAnsi="仿宋" w:eastAsia="仿宋" w:cs="仿宋"/>
          <w:bCs/>
          <w:sz w:val="21"/>
          <w:szCs w:val="21"/>
          <w:highlight w:val="none"/>
        </w:rPr>
        <w:t>）管理路径规范，路径规范中需详细列明每个管理阶段的具体管理内容和考核规范等，具体管理内容至少应包括上述疾病出现相关并发症、药物不良反应时的病情识别及其应对措施，包括但不限于相应的运动、饮食、关键指标干预等内容及具体病情随访表单内容，包括但不限于随访时间计划、方式方法、宣教视频等内容。</w:t>
      </w:r>
    </w:p>
    <w:p w14:paraId="40225BD6">
      <w:pPr>
        <w:pStyle w:val="305"/>
        <w:keepLines w:val="0"/>
        <w:pageBreakBefore w:val="0"/>
        <w:kinsoku/>
        <w:wordWrap/>
        <w:overflowPunct/>
        <w:topLinePunct w:val="0"/>
        <w:autoSpaceDE/>
        <w:autoSpaceDN/>
        <w:bidi w:val="0"/>
        <w:adjustRightInd/>
        <w:spacing w:line="360" w:lineRule="auto"/>
        <w:ind w:right="407"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3.医学内容的编制服务要求</w:t>
      </w:r>
    </w:p>
    <w:p w14:paraId="3F4A4973">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还需在采购人的配合下，管理和协调整个项目的医学内容编制工作。根据疾病管理服务医学路径的具体要求，编制面向患者的各个健康宣教、疾病宣教内容，包括居家护理指导、居家心理宣教、用药指导、饮食指导、运动康复指导等相关的医学图文视频编制、拍摄、剪辑等。</w:t>
      </w:r>
    </w:p>
    <w:p w14:paraId="4C5BD8F7">
      <w:pPr>
        <w:pStyle w:val="305"/>
        <w:keepLines w:val="0"/>
        <w:pageBreakBefore w:val="0"/>
        <w:kinsoku/>
        <w:wordWrap/>
        <w:overflowPunct/>
        <w:topLinePunct w:val="0"/>
        <w:autoSpaceDE/>
        <w:autoSpaceDN/>
        <w:bidi w:val="0"/>
        <w:adjustRightInd/>
        <w:spacing w:line="360" w:lineRule="auto"/>
        <w:ind w:right="407"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4.线上线下结合的健康管理服务要求</w:t>
      </w:r>
    </w:p>
    <w:p w14:paraId="2C5182FF">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
          <w:sz w:val="21"/>
          <w:szCs w:val="21"/>
          <w:highlight w:val="none"/>
        </w:rPr>
      </w:pPr>
      <w:r>
        <w:rPr>
          <w:rFonts w:hint="eastAsia" w:ascii="仿宋" w:hAnsi="仿宋" w:eastAsia="仿宋" w:cs="仿宋"/>
          <w:sz w:val="21"/>
          <w:szCs w:val="21"/>
          <w:highlight w:val="none"/>
        </w:rPr>
        <w:t>本项目为患者提供线上和线下的诊后疾病健康管理服务（需包含诊后疾病精细化标准管理服务、生活方式干预管理服务和心理咨询服务），</w:t>
      </w:r>
      <w:r>
        <w:rPr>
          <w:rFonts w:hint="eastAsia" w:ascii="仿宋" w:hAnsi="仿宋" w:eastAsia="仿宋" w:cs="仿宋"/>
          <w:bCs/>
          <w:sz w:val="21"/>
          <w:szCs w:val="21"/>
          <w:highlight w:val="none"/>
        </w:rPr>
        <w:t>以循证医学和专家共识为基础，围绕离院诊断的疾病重点，通过与临床专家医生共创设计诊后疾病管理路径，通过互联网、AI技术设计出静态和动态、线下和线上结合的患者管理服务路径，以处方化的形式提供给患者。</w:t>
      </w:r>
    </w:p>
    <w:p w14:paraId="4DA44DF6">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线下服务包括但不限于：负责运营管理（包括运营计划、组织、实施和风险控制），制定和执行医学运营策略；负责面向患者进行服务内容现场宣教，协助处理患者投诉，组织患友会，监控服务质量并提出改进建议；对参与本项目的我院医护人员进行培训和疑难解答；协调个案管理师团队与临床医护人员之间的沟通；提供线下非医疗诊断的健康咨询服务。</w:t>
      </w:r>
    </w:p>
    <w:p w14:paraId="39411B73">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线上服务包括但不限于：</w:t>
      </w:r>
    </w:p>
    <w:p w14:paraId="22791173">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负责与健康监测异常的患者进行深度沟通并衔接到其原主诊医生；审核患者院后疾病管理方案；处理患者管理过程中的疑难问题及制作个案管理报告等。</w:t>
      </w:r>
    </w:p>
    <w:p w14:paraId="49DC5B07">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负责根据诊后疾病管理路径上确定的工作内容，与患者联系落实，包括受理咨询电话、专病随访、用药不良反应指导、异常症状采集、居家护理指导、居家营养指导、患者心理初步疏导等服务工作。</w:t>
      </w:r>
    </w:p>
    <w:p w14:paraId="146EF079">
      <w:pPr>
        <w:pStyle w:val="305"/>
        <w:keepLines w:val="0"/>
        <w:pageBreakBefore w:val="0"/>
        <w:kinsoku/>
        <w:wordWrap/>
        <w:overflowPunct/>
        <w:topLinePunct w:val="0"/>
        <w:autoSpaceDE/>
        <w:autoSpaceDN/>
        <w:bidi w:val="0"/>
        <w:adjustRightInd/>
        <w:spacing w:line="360" w:lineRule="auto"/>
        <w:ind w:right="407"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5.新媒体患者运营服务</w:t>
      </w:r>
    </w:p>
    <w:p w14:paraId="0C83F243">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公域引流：根据疾病特点，制作短视频、图文科普等，并根据目标受众确定投放策略，在官方抖音、微信视频号等平台上对人群进行健康教育，并引导关注我院企业微信。</w:t>
      </w:r>
    </w:p>
    <w:p w14:paraId="790C3BDC">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私域管理：针对已关注我院企业微信的用户，进行1次疾病风险评估，并根据风险进行个性化宣教，引导至对应科室就诊或互联网医院咨询。</w:t>
      </w:r>
    </w:p>
    <w:p w14:paraId="64919ADB">
      <w:pPr>
        <w:pStyle w:val="305"/>
        <w:keepNext w:val="0"/>
        <w:keepLines w:val="0"/>
        <w:pageBreakBefore w:val="0"/>
        <w:widowControl w:val="0"/>
        <w:kinsoku/>
        <w:wordWrap/>
        <w:overflowPunct/>
        <w:topLinePunct w:val="0"/>
        <w:autoSpaceDE/>
        <w:autoSpaceDN/>
        <w:bidi w:val="0"/>
        <w:adjustRightInd/>
        <w:spacing w:line="360" w:lineRule="auto"/>
        <w:ind w:right="407"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6.支撑工具的运维服务要求</w:t>
      </w:r>
    </w:p>
    <w:p w14:paraId="0D3E0D62">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为了保障本项目的顺利落地，</w:t>
      </w: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需配套相应的软硬件支撑工具，并进行常态化的运维服务，运维服务要求：</w:t>
      </w:r>
    </w:p>
    <w:p w14:paraId="03C55CE5">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合同期内，为采购人提供7*24小时软硬件支撑工具售后服务支持。</w:t>
      </w:r>
    </w:p>
    <w:p w14:paraId="09AADB21">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向采购人提供每月1次的定期巡查维护服务，定期维护服务内容包括：检查系统软件、后台服务、数据库运行状况等。</w:t>
      </w:r>
    </w:p>
    <w:p w14:paraId="57E2338B">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对软硬件支撑工具故障进行即时处理，要求响应时间不超过半小时。</w:t>
      </w:r>
    </w:p>
    <w:p w14:paraId="4C95E30B">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对软硬件支撑工具存在的潜在性错误进行修改，以版本升级形式完成。</w:t>
      </w:r>
    </w:p>
    <w:p w14:paraId="3067494A">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五、服务进度要求</w:t>
      </w:r>
    </w:p>
    <w:p w14:paraId="6E8BB0B7">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color w:val="000000"/>
          <w:sz w:val="21"/>
          <w:szCs w:val="21"/>
          <w:highlight w:val="none"/>
        </w:rPr>
      </w:pPr>
      <w:r>
        <w:rPr>
          <w:rFonts w:hint="eastAsia" w:ascii="仿宋" w:hAnsi="仿宋" w:eastAsia="仿宋" w:cs="仿宋"/>
          <w:bCs/>
          <w:color w:val="000000"/>
          <w:sz w:val="21"/>
          <w:szCs w:val="21"/>
          <w:highlight w:val="none"/>
        </w:rPr>
        <w:t>合同签订后2个月内完成相关准备工作，包括疾病精细化管理系统软件的安装部署、接口数据对接并通过功能测试等事宜；</w:t>
      </w:r>
    </w:p>
    <w:p w14:paraId="395F08CE">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caps/>
          <w:color w:val="000000"/>
          <w:sz w:val="21"/>
          <w:szCs w:val="21"/>
          <w:highlight w:val="none"/>
        </w:rPr>
      </w:pPr>
      <w:r>
        <w:rPr>
          <w:rFonts w:hint="eastAsia" w:ascii="仿宋" w:hAnsi="仿宋" w:eastAsia="仿宋" w:cs="仿宋"/>
          <w:bCs/>
          <w:color w:val="000000"/>
          <w:sz w:val="21"/>
          <w:szCs w:val="21"/>
          <w:highlight w:val="none"/>
        </w:rPr>
        <w:t>合同签订后2个月内完成第一批出院人数最多的前50个病种的疾病管理路径医学梳理及医学内容编辑并完善到疾病精细化管理系统中；合同签订后6个月内完成全院所有病区具有诊后疾病管理价值的病种（不少于400个病种）医学梳理及医学内容编辑并完善到疾病管理软件中。</w:t>
      </w:r>
    </w:p>
    <w:p w14:paraId="6B4EECE5">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六、服务管理能力要求</w:t>
      </w:r>
    </w:p>
    <w:p w14:paraId="70AECC9E">
      <w:pPr>
        <w:pStyle w:val="19"/>
        <w:keepLines w:val="0"/>
        <w:pageBreakBefore w:val="0"/>
        <w:kinsoku/>
        <w:wordWrap/>
        <w:overflowPunct/>
        <w:topLinePunct w:val="0"/>
        <w:autoSpaceDE/>
        <w:autoSpaceDN/>
        <w:bidi w:val="0"/>
        <w:adjustRightInd/>
        <w:spacing w:line="360" w:lineRule="auto"/>
        <w:ind w:left="0" w:leftChars="0"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应负责整个项目的服务管理体系建设，服务管理体系包括服务的具体工作流程、服务规范、服务规章制度等内容，服务管理需明确每个岗位的具体工作职责及分工界面，需详细阐述患者管理过程中的风险控制、质量控制、办公场地6S标准管理规范等相关内容。</w:t>
      </w:r>
    </w:p>
    <w:p w14:paraId="2F3FE014">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七、服务质量要求</w:t>
      </w:r>
    </w:p>
    <w:p w14:paraId="2C2D2D7A">
      <w:pPr>
        <w:pStyle w:val="19"/>
        <w:keepLines w:val="0"/>
        <w:pageBreakBefore w:val="0"/>
        <w:kinsoku/>
        <w:wordWrap/>
        <w:overflowPunct/>
        <w:topLinePunct w:val="0"/>
        <w:autoSpaceDE/>
        <w:autoSpaceDN/>
        <w:bidi w:val="0"/>
        <w:adjustRightInd/>
        <w:spacing w:line="360" w:lineRule="auto"/>
        <w:ind w:left="0" w:leftChars="0"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应在投标文件中提供诊后疾病精细化管理服务工作质量的考核标准及相应的绩效考核方案。</w:t>
      </w:r>
    </w:p>
    <w:p w14:paraId="2DAF4145">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八、患者隐私保护要求</w:t>
      </w:r>
    </w:p>
    <w:p w14:paraId="2D42303D">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在患者管理过程中，应严格按照确定的工作表单的内容进行随访及采集，严禁夹带任何额外的内容，特别是软广告信息；</w:t>
      </w:r>
    </w:p>
    <w:p w14:paraId="2EAC5BA7">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需有呼叫中心系统，疾病管理团队外拨给患者的联系电话，均须采用采购人统一提供的电话线路和电话号码；</w:t>
      </w:r>
    </w:p>
    <w:p w14:paraId="2949B5BB">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rPr>
        <w:t>所有与患者的沟通电话均须有电话录音（要求保存一年及以上），如果采用微信、app等方式随访的，均应保存原始记录备查；</w:t>
      </w:r>
    </w:p>
    <w:p w14:paraId="558009B0">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应与所有有可能接触到本项目相关工作内容的服务人员签署保密协议并备案一份给采购人留档；</w:t>
      </w:r>
    </w:p>
    <w:p w14:paraId="162B48E2">
      <w:pPr>
        <w:keepLines w:val="0"/>
        <w:pageBreakBefore w:val="0"/>
        <w:kinsoku/>
        <w:wordWrap/>
        <w:overflowPunct/>
        <w:topLinePunct w:val="0"/>
        <w:autoSpaceDE/>
        <w:autoSpaceDN/>
        <w:bidi w:val="0"/>
        <w:adjustRightInd/>
        <w:spacing w:line="360" w:lineRule="auto"/>
        <w:ind w:firstLine="420" w:firstLineChars="200"/>
        <w:rPr>
          <w:rFonts w:hint="eastAsia" w:ascii="仿宋" w:hAnsi="仿宋" w:eastAsia="仿宋" w:cs="仿宋"/>
          <w:bCs/>
          <w:sz w:val="21"/>
          <w:szCs w:val="21"/>
          <w:highlight w:val="none"/>
        </w:rPr>
      </w:pPr>
      <w:r>
        <w:rPr>
          <w:rFonts w:hint="eastAsia" w:ascii="仿宋" w:hAnsi="仿宋" w:eastAsia="仿宋" w:cs="仿宋"/>
          <w:bCs/>
          <w:sz w:val="21"/>
          <w:szCs w:val="21"/>
          <w:highlight w:val="none"/>
          <w:lang w:eastAsia="zh-CN"/>
        </w:rPr>
        <w:t>投标人</w:t>
      </w:r>
      <w:r>
        <w:rPr>
          <w:rFonts w:hint="eastAsia" w:ascii="仿宋" w:hAnsi="仿宋" w:eastAsia="仿宋" w:cs="仿宋"/>
          <w:bCs/>
          <w:sz w:val="21"/>
          <w:szCs w:val="21"/>
          <w:highlight w:val="none"/>
        </w:rPr>
        <w:t>需提供患者隐私保护的解决方案。</w:t>
      </w:r>
    </w:p>
    <w:p w14:paraId="38ECF6B3">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九、其他要求</w:t>
      </w:r>
    </w:p>
    <w:p w14:paraId="5064A94A">
      <w:pPr>
        <w:keepLines w:val="0"/>
        <w:pageBreakBefore w:val="0"/>
        <w:kinsoku/>
        <w:wordWrap/>
        <w:overflowPunct/>
        <w:topLinePunct w:val="0"/>
        <w:autoSpaceDE/>
        <w:autoSpaceDN/>
        <w:bidi w:val="0"/>
        <w:adjustRightInd/>
        <w:snapToGrid w:val="0"/>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1.采购人需为本项目提供办公场所，旨在为患者提供一站式、全流程的科学化、规范化、系统化健康管理服务。</w:t>
      </w:r>
    </w:p>
    <w:p w14:paraId="43ED445F">
      <w:pPr>
        <w:keepLines w:val="0"/>
        <w:pageBreakBefore w:val="0"/>
        <w:kinsoku/>
        <w:wordWrap/>
        <w:overflowPunct/>
        <w:topLinePunct w:val="0"/>
        <w:autoSpaceDE/>
        <w:autoSpaceDN/>
        <w:bidi w:val="0"/>
        <w:adjustRightInd/>
        <w:snapToGrid w:val="0"/>
        <w:spacing w:line="360" w:lineRule="auto"/>
        <w:ind w:firstLine="420" w:firstLineChars="200"/>
        <w:jc w:val="left"/>
        <w:rPr>
          <w:rFonts w:hint="eastAsia" w:ascii="仿宋" w:hAnsi="仿宋" w:eastAsia="仿宋" w:cs="仿宋"/>
          <w:sz w:val="21"/>
          <w:szCs w:val="21"/>
          <w:highlight w:val="none"/>
        </w:rPr>
      </w:pPr>
      <w:r>
        <w:rPr>
          <w:rFonts w:hint="eastAsia" w:ascii="仿宋" w:hAnsi="仿宋" w:eastAsia="仿宋" w:cs="仿宋"/>
          <w:kern w:val="0"/>
          <w:sz w:val="21"/>
          <w:szCs w:val="21"/>
          <w:highlight w:val="none"/>
        </w:rPr>
        <w:t>2.</w:t>
      </w:r>
      <w:r>
        <w:rPr>
          <w:rFonts w:hint="eastAsia" w:ascii="仿宋" w:hAnsi="仿宋" w:eastAsia="仿宋" w:cs="仿宋"/>
          <w:kern w:val="0"/>
          <w:sz w:val="21"/>
          <w:szCs w:val="21"/>
          <w:highlight w:val="none"/>
          <w:lang w:eastAsia="zh-CN"/>
        </w:rPr>
        <w:t>投标人</w:t>
      </w:r>
      <w:r>
        <w:rPr>
          <w:rFonts w:hint="eastAsia" w:ascii="仿宋" w:hAnsi="仿宋" w:eastAsia="仿宋" w:cs="仿宋"/>
          <w:kern w:val="0"/>
          <w:sz w:val="21"/>
          <w:szCs w:val="21"/>
          <w:highlight w:val="none"/>
        </w:rPr>
        <w:t>需对本项目所涉及到的所有业务具有完整的理解，并对项目业务可能涉及到的企业资质均须具备。</w:t>
      </w:r>
    </w:p>
    <w:p w14:paraId="47A2FF7E">
      <w:pPr>
        <w:keepLines w:val="0"/>
        <w:pageBreakBefore w:val="0"/>
        <w:kinsoku/>
        <w:wordWrap/>
        <w:overflowPunct/>
        <w:topLinePunct w:val="0"/>
        <w:autoSpaceDE/>
        <w:autoSpaceDN/>
        <w:bidi w:val="0"/>
        <w:adjustRightInd/>
        <w:snapToGrid w:val="0"/>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r>
        <w:rPr>
          <w:rFonts w:hint="eastAsia" w:ascii="仿宋" w:hAnsi="仿宋" w:eastAsia="仿宋" w:cs="仿宋"/>
          <w:kern w:val="0"/>
          <w:sz w:val="21"/>
          <w:szCs w:val="21"/>
          <w:highlight w:val="none"/>
          <w:lang w:eastAsia="zh-CN"/>
        </w:rPr>
        <w:t>投标人</w:t>
      </w:r>
      <w:r>
        <w:rPr>
          <w:rFonts w:hint="eastAsia" w:ascii="仿宋" w:hAnsi="仿宋" w:eastAsia="仿宋" w:cs="仿宋"/>
          <w:kern w:val="0"/>
          <w:sz w:val="21"/>
          <w:szCs w:val="21"/>
          <w:highlight w:val="none"/>
        </w:rPr>
        <w:t>需配置疾病精细化管理软件工具、呼叫中心设备、网络交换机和平板电脑，上述内容所有权归</w:t>
      </w:r>
      <w:r>
        <w:rPr>
          <w:rFonts w:hint="eastAsia" w:ascii="仿宋" w:hAnsi="仿宋" w:eastAsia="仿宋" w:cs="仿宋"/>
          <w:kern w:val="0"/>
          <w:sz w:val="21"/>
          <w:szCs w:val="21"/>
          <w:highlight w:val="none"/>
          <w:lang w:eastAsia="zh-CN"/>
        </w:rPr>
        <w:t>投标人</w:t>
      </w:r>
      <w:r>
        <w:rPr>
          <w:rFonts w:hint="eastAsia" w:ascii="仿宋" w:hAnsi="仿宋" w:eastAsia="仿宋" w:cs="仿宋"/>
          <w:kern w:val="0"/>
          <w:sz w:val="21"/>
          <w:szCs w:val="21"/>
          <w:highlight w:val="none"/>
        </w:rPr>
        <w:t>所有。</w:t>
      </w:r>
    </w:p>
    <w:p w14:paraId="61646F63">
      <w:pPr>
        <w:keepLines w:val="0"/>
        <w:pageBreakBefore w:val="0"/>
        <w:kinsoku/>
        <w:wordWrap/>
        <w:overflowPunct/>
        <w:topLinePunct w:val="0"/>
        <w:autoSpaceDE/>
        <w:autoSpaceDN/>
        <w:bidi w:val="0"/>
        <w:adjustRightInd/>
        <w:snapToGrid w:val="0"/>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 xml:space="preserve">4. </w:t>
      </w:r>
      <w:r>
        <w:rPr>
          <w:rFonts w:hint="eastAsia" w:ascii="仿宋" w:hAnsi="仿宋" w:eastAsia="仿宋" w:cs="仿宋"/>
          <w:kern w:val="0"/>
          <w:sz w:val="21"/>
          <w:szCs w:val="21"/>
          <w:highlight w:val="none"/>
          <w:lang w:eastAsia="zh-CN"/>
        </w:rPr>
        <w:t>投标人</w:t>
      </w:r>
      <w:r>
        <w:rPr>
          <w:rFonts w:hint="eastAsia" w:ascii="仿宋" w:hAnsi="仿宋" w:eastAsia="仿宋" w:cs="仿宋"/>
          <w:kern w:val="0"/>
          <w:sz w:val="21"/>
          <w:szCs w:val="21"/>
          <w:highlight w:val="none"/>
        </w:rPr>
        <w:t>需具备视频制作及在APP、微信公众号或微信小程序上推送宣教视频的相关资质和能力（根据疾病的特点，通过APP、微信公众号或微信小程序定期向患者精准推送图片、文本、视频等形式的健康宣教知识）。</w:t>
      </w:r>
    </w:p>
    <w:p w14:paraId="0E65691A">
      <w:pPr>
        <w:keepLines w:val="0"/>
        <w:pageBreakBefore w:val="0"/>
        <w:kinsoku/>
        <w:wordWrap/>
        <w:overflowPunct/>
        <w:topLinePunct w:val="0"/>
        <w:autoSpaceDE/>
        <w:autoSpaceDN/>
        <w:bidi w:val="0"/>
        <w:adjustRightInd/>
        <w:snapToGrid w:val="0"/>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5.</w:t>
      </w:r>
      <w:r>
        <w:rPr>
          <w:rFonts w:hint="eastAsia" w:ascii="仿宋" w:hAnsi="仿宋" w:eastAsia="仿宋" w:cs="仿宋"/>
          <w:kern w:val="0"/>
          <w:sz w:val="21"/>
          <w:szCs w:val="21"/>
          <w:highlight w:val="none"/>
          <w:lang w:eastAsia="zh-CN"/>
        </w:rPr>
        <w:t>投标人</w:t>
      </w:r>
      <w:r>
        <w:rPr>
          <w:rFonts w:hint="eastAsia" w:ascii="仿宋" w:hAnsi="仿宋" w:eastAsia="仿宋" w:cs="仿宋"/>
          <w:kern w:val="0"/>
          <w:sz w:val="21"/>
          <w:szCs w:val="21"/>
          <w:highlight w:val="none"/>
        </w:rPr>
        <w:t>提供的疾病精细化管理软件工具，其功能应能满足疾病管理业务开展的需要，并能够按照临床要求对该软件进行持续迭代完善。疾病精细化管理软件工具需包括运营支撑端（支持PC和PAD）、个案管理师端（PC端）、院内医护端（支持PC端和小程序端）、患者端（微信小程序端），</w:t>
      </w:r>
      <w:r>
        <w:rPr>
          <w:rFonts w:hint="eastAsia" w:ascii="仿宋" w:hAnsi="仿宋" w:eastAsia="仿宋" w:cs="仿宋"/>
          <w:kern w:val="0"/>
          <w:sz w:val="21"/>
          <w:szCs w:val="21"/>
          <w:highlight w:val="none"/>
          <w:lang w:eastAsia="zh-CN"/>
        </w:rPr>
        <w:t>投标人</w:t>
      </w:r>
      <w:r>
        <w:rPr>
          <w:rFonts w:hint="eastAsia" w:ascii="仿宋" w:hAnsi="仿宋" w:eastAsia="仿宋" w:cs="仿宋"/>
          <w:kern w:val="0"/>
          <w:sz w:val="21"/>
          <w:szCs w:val="21"/>
          <w:highlight w:val="none"/>
        </w:rPr>
        <w:t>需提供疾病精细化管理软件工具的功能介绍方案。</w:t>
      </w:r>
    </w:p>
    <w:p w14:paraId="5EFEBD11">
      <w:pPr>
        <w:pStyle w:val="304"/>
        <w:keepLines w:val="0"/>
        <w:pageBreakBefore w:val="0"/>
        <w:kinsoku/>
        <w:wordWrap/>
        <w:overflowPunct/>
        <w:topLinePunct w:val="0"/>
        <w:autoSpaceDE/>
        <w:autoSpaceDN/>
        <w:bidi w:val="0"/>
        <w:adjustRightInd/>
        <w:spacing w:before="31" w:after="31" w:line="360" w:lineRule="auto"/>
        <w:ind w:firstLine="422"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十、报价要求</w:t>
      </w:r>
    </w:p>
    <w:p w14:paraId="67E69AA9">
      <w:pPr>
        <w:keepLines w:val="0"/>
        <w:pageBreakBefore w:val="0"/>
        <w:kinsoku/>
        <w:wordWrap/>
        <w:overflowPunct/>
        <w:topLinePunct w:val="0"/>
        <w:autoSpaceDE/>
        <w:autoSpaceDN/>
        <w:bidi w:val="0"/>
        <w:adjustRightInd/>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1.单项报价包含各服务套餐有关的所有费用，包含但不限于人员的工资、社保、奖金、福利、服务工具安装调试费、人工差旅费、培训费、税费等；</w:t>
      </w:r>
    </w:p>
    <w:p w14:paraId="7B1C20D4">
      <w:pPr>
        <w:keepLines w:val="0"/>
        <w:pageBreakBefore w:val="0"/>
        <w:kinsoku/>
        <w:wordWrap/>
        <w:overflowPunct/>
        <w:topLinePunct w:val="0"/>
        <w:autoSpaceDE/>
        <w:autoSpaceDN/>
        <w:bidi w:val="0"/>
        <w:adjustRightInd/>
        <w:spacing w:line="360" w:lineRule="auto"/>
        <w:ind w:firstLine="422" w:firstLineChars="200"/>
        <w:jc w:val="left"/>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2.投标折扣不高于70%</w:t>
      </w:r>
      <w:r>
        <w:rPr>
          <w:rFonts w:hint="eastAsia" w:ascii="仿宋" w:hAnsi="仿宋" w:eastAsia="仿宋" w:cs="仿宋"/>
          <w:b/>
          <w:bCs/>
          <w:kern w:val="0"/>
          <w:sz w:val="21"/>
          <w:szCs w:val="21"/>
          <w:highlight w:val="none"/>
          <w:lang w:eastAsia="zh-CN"/>
        </w:rPr>
        <w:t>，</w:t>
      </w:r>
      <w:r>
        <w:rPr>
          <w:rFonts w:hint="eastAsia" w:ascii="仿宋" w:hAnsi="仿宋" w:eastAsia="仿宋" w:cs="仿宋"/>
          <w:b/>
          <w:bCs/>
          <w:kern w:val="0"/>
          <w:sz w:val="21"/>
          <w:szCs w:val="21"/>
          <w:highlight w:val="none"/>
        </w:rPr>
        <w:t>否则作无效投标处理。</w:t>
      </w:r>
    </w:p>
    <w:p w14:paraId="1FB6F022">
      <w:pPr>
        <w:keepLines w:val="0"/>
        <w:pageBreakBefore w:val="0"/>
        <w:kinsoku/>
        <w:wordWrap/>
        <w:overflowPunct/>
        <w:topLinePunct w:val="0"/>
        <w:autoSpaceDE/>
        <w:autoSpaceDN/>
        <w:bidi w:val="0"/>
        <w:adjustRightInd/>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3.合同服务期内，最终结算总金额不超预算金额的按实际金额支付，最终结算金额超过预算金额的，超过部分双方另行协商。</w:t>
      </w:r>
    </w:p>
    <w:p w14:paraId="274E5270">
      <w:pPr>
        <w:keepLines w:val="0"/>
        <w:pageBreakBefore w:val="0"/>
        <w:kinsoku/>
        <w:wordWrap/>
        <w:overflowPunct/>
        <w:topLinePunct w:val="0"/>
        <w:autoSpaceDE/>
        <w:autoSpaceDN/>
        <w:bidi w:val="0"/>
        <w:adjustRightInd/>
        <w:spacing w:line="360" w:lineRule="auto"/>
        <w:ind w:firstLine="422" w:firstLineChars="200"/>
        <w:jc w:val="left"/>
        <w:rPr>
          <w:rFonts w:hint="eastAsia" w:ascii="仿宋" w:hAnsi="仿宋" w:eastAsia="仿宋" w:cs="仿宋"/>
          <w:b/>
          <w:bCs/>
          <w:kern w:val="0"/>
          <w:sz w:val="21"/>
          <w:szCs w:val="21"/>
          <w:highlight w:val="none"/>
        </w:rPr>
      </w:pPr>
      <w:r>
        <w:rPr>
          <w:rFonts w:hint="eastAsia" w:ascii="仿宋" w:hAnsi="仿宋" w:eastAsia="仿宋" w:cs="仿宋"/>
          <w:b/>
          <w:bCs/>
          <w:kern w:val="0"/>
          <w:sz w:val="21"/>
          <w:szCs w:val="21"/>
          <w:highlight w:val="none"/>
        </w:rPr>
        <w:t>结算总金额=∑（各项</w:t>
      </w:r>
      <w:r>
        <w:rPr>
          <w:rFonts w:hint="eastAsia" w:ascii="仿宋" w:hAnsi="仿宋" w:eastAsia="仿宋" w:cs="仿宋"/>
          <w:b/>
          <w:bCs/>
          <w:kern w:val="0"/>
          <w:sz w:val="21"/>
          <w:szCs w:val="21"/>
          <w:highlight w:val="none"/>
          <w:lang w:eastAsia="zh-CN"/>
        </w:rPr>
        <w:t>服务</w:t>
      </w:r>
      <w:r>
        <w:rPr>
          <w:rFonts w:hint="eastAsia" w:ascii="仿宋" w:hAnsi="仿宋" w:eastAsia="仿宋" w:cs="仿宋"/>
          <w:b/>
          <w:bCs/>
          <w:kern w:val="0"/>
          <w:sz w:val="21"/>
          <w:szCs w:val="21"/>
          <w:highlight w:val="none"/>
        </w:rPr>
        <w:t>套餐</w:t>
      </w:r>
      <w:r>
        <w:rPr>
          <w:rFonts w:hint="eastAsia" w:ascii="仿宋" w:hAnsi="仿宋" w:eastAsia="仿宋" w:cs="仿宋"/>
          <w:b/>
          <w:bCs/>
          <w:kern w:val="0"/>
          <w:sz w:val="21"/>
          <w:szCs w:val="21"/>
          <w:highlight w:val="none"/>
          <w:lang w:eastAsia="zh-CN"/>
        </w:rPr>
        <w:t>项目</w:t>
      </w:r>
      <w:r>
        <w:rPr>
          <w:rFonts w:hint="eastAsia" w:ascii="仿宋" w:hAnsi="仿宋" w:eastAsia="仿宋" w:cs="仿宋"/>
          <w:b/>
          <w:bCs/>
          <w:kern w:val="0"/>
          <w:sz w:val="21"/>
          <w:szCs w:val="21"/>
          <w:highlight w:val="none"/>
        </w:rPr>
        <w:t>实际数量*</w:t>
      </w:r>
      <w:r>
        <w:rPr>
          <w:rFonts w:hint="eastAsia" w:ascii="仿宋" w:hAnsi="仿宋" w:eastAsia="仿宋" w:cs="仿宋"/>
          <w:b/>
          <w:bCs/>
          <w:kern w:val="0"/>
          <w:sz w:val="21"/>
          <w:szCs w:val="21"/>
          <w:highlight w:val="none"/>
          <w:lang w:eastAsia="zh-CN"/>
        </w:rPr>
        <w:t>对应服务</w:t>
      </w:r>
      <w:r>
        <w:rPr>
          <w:rFonts w:hint="eastAsia" w:ascii="仿宋" w:hAnsi="仿宋" w:eastAsia="仿宋" w:cs="仿宋"/>
          <w:b/>
          <w:bCs/>
          <w:kern w:val="0"/>
          <w:sz w:val="21"/>
          <w:szCs w:val="21"/>
          <w:highlight w:val="none"/>
        </w:rPr>
        <w:t>套餐</w:t>
      </w:r>
      <w:r>
        <w:rPr>
          <w:rFonts w:hint="eastAsia" w:ascii="仿宋" w:hAnsi="仿宋" w:eastAsia="仿宋" w:cs="仿宋"/>
          <w:b/>
          <w:bCs/>
          <w:kern w:val="0"/>
          <w:sz w:val="21"/>
          <w:szCs w:val="21"/>
          <w:highlight w:val="none"/>
          <w:lang w:eastAsia="zh-CN"/>
        </w:rPr>
        <w:t>项目</w:t>
      </w:r>
      <w:r>
        <w:rPr>
          <w:rFonts w:hint="eastAsia" w:ascii="仿宋" w:hAnsi="仿宋" w:eastAsia="仿宋" w:cs="仿宋"/>
          <w:b/>
          <w:bCs/>
          <w:kern w:val="0"/>
          <w:sz w:val="21"/>
          <w:szCs w:val="21"/>
          <w:highlight w:val="none"/>
        </w:rPr>
        <w:t>价</w:t>
      </w:r>
      <w:r>
        <w:rPr>
          <w:rFonts w:hint="eastAsia" w:ascii="仿宋" w:hAnsi="仿宋" w:eastAsia="仿宋" w:cs="仿宋"/>
          <w:b/>
          <w:bCs/>
          <w:kern w:val="0"/>
          <w:sz w:val="21"/>
          <w:szCs w:val="21"/>
          <w:highlight w:val="none"/>
          <w:lang w:eastAsia="zh-CN"/>
        </w:rPr>
        <w:t>格</w:t>
      </w:r>
      <w:r>
        <w:rPr>
          <w:rFonts w:hint="eastAsia" w:ascii="仿宋" w:hAnsi="仿宋" w:eastAsia="仿宋" w:cs="仿宋"/>
          <w:b/>
          <w:bCs/>
          <w:kern w:val="0"/>
          <w:sz w:val="21"/>
          <w:szCs w:val="21"/>
          <w:highlight w:val="none"/>
          <w:lang w:val="en-US" w:eastAsia="zh-CN"/>
        </w:rPr>
        <w:t>*中标折扣</w:t>
      </w:r>
      <w:r>
        <w:rPr>
          <w:rFonts w:hint="eastAsia" w:ascii="仿宋" w:hAnsi="仿宋" w:eastAsia="仿宋" w:cs="仿宋"/>
          <w:b/>
          <w:bCs/>
          <w:kern w:val="0"/>
          <w:sz w:val="21"/>
          <w:szCs w:val="21"/>
          <w:highlight w:val="none"/>
        </w:rPr>
        <w:t>）</w:t>
      </w:r>
    </w:p>
    <w:p w14:paraId="54DB5143">
      <w:pPr>
        <w:keepLines w:val="0"/>
        <w:pageBreakBefore w:val="0"/>
        <w:kinsoku/>
        <w:wordWrap/>
        <w:overflowPunct/>
        <w:topLinePunct w:val="0"/>
        <w:autoSpaceDE/>
        <w:autoSpaceDN/>
        <w:bidi w:val="0"/>
        <w:adjustRightInd/>
        <w:spacing w:line="360" w:lineRule="auto"/>
        <w:ind w:firstLine="420" w:firstLineChars="200"/>
        <w:jc w:val="left"/>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各套餐包单价最高限价及单价</w:t>
      </w:r>
      <w:r>
        <w:rPr>
          <w:rFonts w:hint="eastAsia" w:ascii="仿宋" w:hAnsi="仿宋" w:eastAsia="仿宋" w:cs="仿宋"/>
          <w:color w:val="000000"/>
          <w:kern w:val="0"/>
          <w:sz w:val="21"/>
          <w:szCs w:val="21"/>
          <w:highlight w:val="none"/>
          <w:lang w:val="en-US" w:eastAsia="zh-CN"/>
        </w:rPr>
        <w:t>预估</w:t>
      </w:r>
      <w:r>
        <w:rPr>
          <w:rFonts w:hint="eastAsia" w:ascii="仿宋" w:hAnsi="仿宋" w:eastAsia="仿宋" w:cs="仿宋"/>
          <w:kern w:val="0"/>
          <w:sz w:val="21"/>
          <w:szCs w:val="21"/>
          <w:highlight w:val="none"/>
        </w:rPr>
        <w:t>权重见下表。最终结果四舍五入保留小数点后两位。</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395"/>
        <w:gridCol w:w="1452"/>
        <w:gridCol w:w="1700"/>
        <w:gridCol w:w="1104"/>
      </w:tblGrid>
      <w:tr w14:paraId="5876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4F4FA119">
            <w:pPr>
              <w:pStyle w:val="93"/>
              <w:keepLines w:val="0"/>
              <w:pageBreakBefore w:val="0"/>
              <w:kinsoku/>
              <w:wordWrap/>
              <w:overflowPunct/>
              <w:topLinePunct w:val="0"/>
              <w:autoSpaceDE/>
              <w:autoSpaceDN/>
              <w:bidi w:val="0"/>
              <w:adjustRightInd/>
              <w:spacing w:line="360" w:lineRule="auto"/>
              <w:ind w:left="0" w:leftChars="0" w:firstLine="0" w:firstLineChars="0"/>
              <w:jc w:val="both"/>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rPr>
              <w:t>序号</w:t>
            </w:r>
          </w:p>
        </w:tc>
        <w:tc>
          <w:tcPr>
            <w:tcW w:w="1998" w:type="pct"/>
            <w:noWrap w:val="0"/>
            <w:vAlign w:val="center"/>
          </w:tcPr>
          <w:p w14:paraId="0A577D4C">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000000"/>
                <w:kern w:val="0"/>
                <w:sz w:val="21"/>
                <w:szCs w:val="21"/>
                <w:highlight w:val="none"/>
              </w:rPr>
            </w:pPr>
            <w:r>
              <w:rPr>
                <w:rFonts w:hint="eastAsia" w:ascii="仿宋" w:hAnsi="仿宋" w:eastAsia="仿宋" w:cs="仿宋"/>
                <w:sz w:val="21"/>
                <w:szCs w:val="21"/>
                <w:highlight w:val="none"/>
              </w:rPr>
              <w:t>服务项目名称</w:t>
            </w:r>
          </w:p>
        </w:tc>
        <w:tc>
          <w:tcPr>
            <w:tcW w:w="854" w:type="pct"/>
            <w:noWrap/>
            <w:vAlign w:val="center"/>
          </w:tcPr>
          <w:p w14:paraId="38315B77">
            <w:pPr>
              <w:keepLines w:val="0"/>
              <w:pageBreakBefore w:val="0"/>
              <w:kinsoku/>
              <w:wordWrap/>
              <w:overflowPunct/>
              <w:topLinePunct w:val="0"/>
              <w:autoSpaceDE/>
              <w:autoSpaceDN/>
              <w:bidi w:val="0"/>
              <w:adjustRightInd/>
              <w:spacing w:line="360" w:lineRule="auto"/>
              <w:ind w:firstLine="420" w:firstLineChars="200"/>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单位</w:t>
            </w:r>
          </w:p>
          <w:p w14:paraId="5BC59AA8">
            <w:pPr>
              <w:keepLines w:val="0"/>
              <w:pageBreakBefore w:val="0"/>
              <w:kinsoku/>
              <w:wordWrap/>
              <w:overflowPunct/>
              <w:topLinePunct w:val="0"/>
              <w:autoSpaceDE/>
              <w:autoSpaceDN/>
              <w:bidi w:val="0"/>
              <w:adjustRightInd/>
              <w:spacing w:line="360" w:lineRule="auto"/>
              <w:ind w:firstLine="210" w:firstLineChars="100"/>
              <w:jc w:val="left"/>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(疗程）</w:t>
            </w:r>
          </w:p>
        </w:tc>
        <w:tc>
          <w:tcPr>
            <w:tcW w:w="1000" w:type="pct"/>
            <w:noWrap/>
            <w:vAlign w:val="center"/>
          </w:tcPr>
          <w:p w14:paraId="7F75532A">
            <w:pPr>
              <w:keepLines w:val="0"/>
              <w:pageBreakBefore w:val="0"/>
              <w:kinsoku/>
              <w:wordWrap/>
              <w:overflowPunct/>
              <w:topLinePunct w:val="0"/>
              <w:autoSpaceDE/>
              <w:autoSpaceDN/>
              <w:bidi w:val="0"/>
              <w:adjustRightInd/>
              <w:spacing w:line="360" w:lineRule="auto"/>
              <w:ind w:firstLine="420" w:firstLineChars="200"/>
              <w:jc w:val="both"/>
              <w:rPr>
                <w:rFonts w:hint="eastAsia" w:ascii="仿宋" w:hAnsi="仿宋" w:eastAsia="仿宋" w:cs="仿宋"/>
                <w:color w:val="000000"/>
                <w:sz w:val="21"/>
                <w:szCs w:val="21"/>
                <w:highlight w:val="none"/>
                <w:lang w:val="en-US"/>
              </w:rPr>
            </w:pPr>
            <w:r>
              <w:rPr>
                <w:rFonts w:hint="eastAsia" w:ascii="仿宋" w:hAnsi="仿宋" w:eastAsia="仿宋" w:cs="仿宋"/>
                <w:color w:val="000000"/>
                <w:sz w:val="21"/>
                <w:szCs w:val="21"/>
                <w:highlight w:val="none"/>
                <w:lang w:val="en-US" w:eastAsia="zh-CN"/>
              </w:rPr>
              <w:t>参考价格</w:t>
            </w:r>
          </w:p>
          <w:p w14:paraId="14A26F28">
            <w:pPr>
              <w:keepLines w:val="0"/>
              <w:pageBreakBefore w:val="0"/>
              <w:kinsoku/>
              <w:wordWrap/>
              <w:overflowPunct/>
              <w:topLinePunct w:val="0"/>
              <w:autoSpaceDE/>
              <w:autoSpaceDN/>
              <w:bidi w:val="0"/>
              <w:adjustRightInd/>
              <w:spacing w:line="360" w:lineRule="auto"/>
              <w:ind w:firstLine="210" w:firstLineChars="100"/>
              <w:jc w:val="both"/>
              <w:rPr>
                <w:rFonts w:hint="eastAsia" w:ascii="仿宋" w:hAnsi="仿宋" w:eastAsia="仿宋" w:cs="仿宋"/>
                <w:color w:val="000000"/>
                <w:kern w:val="0"/>
                <w:sz w:val="21"/>
                <w:szCs w:val="21"/>
                <w:highlight w:val="none"/>
              </w:rPr>
            </w:pPr>
            <w:r>
              <w:rPr>
                <w:rFonts w:hint="eastAsia" w:ascii="仿宋" w:hAnsi="仿宋" w:eastAsia="仿宋" w:cs="仿宋"/>
                <w:color w:val="000000"/>
                <w:sz w:val="21"/>
                <w:szCs w:val="21"/>
                <w:highlight w:val="none"/>
              </w:rPr>
              <w:t>（元/疗程）</w:t>
            </w:r>
          </w:p>
        </w:tc>
        <w:tc>
          <w:tcPr>
            <w:tcW w:w="650" w:type="pct"/>
            <w:noWrap w:val="0"/>
            <w:vAlign w:val="center"/>
          </w:tcPr>
          <w:p w14:paraId="176DD4C6">
            <w:pPr>
              <w:keepLines w:val="0"/>
              <w:pageBreakBefore w:val="0"/>
              <w:kinsoku/>
              <w:wordWrap/>
              <w:overflowPunct/>
              <w:topLinePunct w:val="0"/>
              <w:autoSpaceDE/>
              <w:autoSpaceDN/>
              <w:bidi w:val="0"/>
              <w:adjustRightInd/>
              <w:spacing w:line="360" w:lineRule="auto"/>
              <w:jc w:val="both"/>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lang w:val="en-US" w:eastAsia="zh-CN"/>
              </w:rPr>
              <w:t>预估</w:t>
            </w:r>
            <w:r>
              <w:rPr>
                <w:rFonts w:hint="eastAsia" w:ascii="仿宋" w:hAnsi="仿宋" w:eastAsia="仿宋" w:cs="仿宋"/>
                <w:color w:val="000000"/>
                <w:kern w:val="0"/>
                <w:sz w:val="21"/>
                <w:szCs w:val="21"/>
                <w:highlight w:val="none"/>
              </w:rPr>
              <w:t>权重</w:t>
            </w:r>
          </w:p>
        </w:tc>
      </w:tr>
      <w:tr w14:paraId="287A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105CC923">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47AC5C70">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专病精细化短期强管理</w:t>
            </w:r>
          </w:p>
        </w:tc>
        <w:tc>
          <w:tcPr>
            <w:tcW w:w="854" w:type="pct"/>
            <w:noWrap/>
            <w:vAlign w:val="center"/>
          </w:tcPr>
          <w:p w14:paraId="22C5B1D4">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000" w:type="pct"/>
            <w:noWrap/>
            <w:vAlign w:val="center"/>
          </w:tcPr>
          <w:p w14:paraId="55717469">
            <w:pPr>
              <w:keepLines w:val="0"/>
              <w:pageBreakBefore w:val="0"/>
              <w:widowControl/>
              <w:kinsoku/>
              <w:wordWrap/>
              <w:overflowPunct/>
              <w:topLinePunct w:val="0"/>
              <w:autoSpaceDE/>
              <w:autoSpaceDN/>
              <w:bidi w:val="0"/>
              <w:adjustRightInd/>
              <w:spacing w:line="360" w:lineRule="auto"/>
              <w:ind w:firstLine="422" w:firstLineChars="200"/>
              <w:jc w:val="center"/>
              <w:rPr>
                <w:rFonts w:hint="eastAsia" w:ascii="仿宋" w:hAnsi="仿宋" w:eastAsia="仿宋" w:cs="仿宋"/>
                <w:sz w:val="21"/>
                <w:szCs w:val="21"/>
                <w:highlight w:val="none"/>
              </w:rPr>
            </w:pPr>
            <w:r>
              <w:rPr>
                <w:rFonts w:hint="eastAsia" w:ascii="仿宋" w:hAnsi="仿宋" w:eastAsia="仿宋" w:cs="仿宋"/>
                <w:b/>
                <w:bCs/>
                <w:sz w:val="21"/>
                <w:szCs w:val="21"/>
                <w:highlight w:val="none"/>
              </w:rPr>
              <w:t>99</w:t>
            </w:r>
          </w:p>
        </w:tc>
        <w:tc>
          <w:tcPr>
            <w:tcW w:w="650" w:type="pct"/>
            <w:noWrap w:val="0"/>
            <w:vAlign w:val="center"/>
          </w:tcPr>
          <w:p w14:paraId="7061C3BD">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b/>
                <w:bCs/>
                <w:sz w:val="21"/>
                <w:szCs w:val="21"/>
                <w:highlight w:val="none"/>
              </w:rPr>
              <w:t>10%</w:t>
            </w:r>
          </w:p>
        </w:tc>
      </w:tr>
      <w:tr w14:paraId="5C94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6A3DE4C1">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04F47FDE">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专病精细化标准管理</w:t>
            </w:r>
          </w:p>
        </w:tc>
        <w:tc>
          <w:tcPr>
            <w:tcW w:w="854" w:type="pct"/>
            <w:noWrap/>
            <w:vAlign w:val="center"/>
          </w:tcPr>
          <w:p w14:paraId="2ED773C7">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000" w:type="pct"/>
            <w:noWrap/>
            <w:vAlign w:val="center"/>
          </w:tcPr>
          <w:p w14:paraId="22D1831B">
            <w:pPr>
              <w:keepLines w:val="0"/>
              <w:pageBreakBefore w:val="0"/>
              <w:widowControl/>
              <w:kinsoku/>
              <w:wordWrap/>
              <w:overflowPunct/>
              <w:topLinePunct w:val="0"/>
              <w:autoSpaceDE/>
              <w:autoSpaceDN/>
              <w:bidi w:val="0"/>
              <w:adjustRightInd/>
              <w:spacing w:line="360" w:lineRule="auto"/>
              <w:ind w:firstLine="422" w:firstLineChars="200"/>
              <w:jc w:val="center"/>
              <w:rPr>
                <w:rFonts w:hint="eastAsia" w:ascii="仿宋" w:hAnsi="仿宋" w:eastAsia="仿宋" w:cs="仿宋"/>
                <w:sz w:val="21"/>
                <w:szCs w:val="21"/>
                <w:highlight w:val="none"/>
              </w:rPr>
            </w:pPr>
            <w:r>
              <w:rPr>
                <w:rFonts w:hint="eastAsia" w:ascii="仿宋" w:hAnsi="仿宋" w:eastAsia="仿宋" w:cs="仿宋"/>
                <w:b/>
                <w:bCs/>
                <w:sz w:val="21"/>
                <w:szCs w:val="21"/>
                <w:highlight w:val="none"/>
              </w:rPr>
              <w:t>295</w:t>
            </w:r>
          </w:p>
        </w:tc>
        <w:tc>
          <w:tcPr>
            <w:tcW w:w="650" w:type="pct"/>
            <w:noWrap w:val="0"/>
            <w:vAlign w:val="center"/>
          </w:tcPr>
          <w:p w14:paraId="094C53E3">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b/>
                <w:bCs/>
                <w:sz w:val="21"/>
                <w:szCs w:val="21"/>
                <w:highlight w:val="none"/>
              </w:rPr>
              <w:t>60%</w:t>
            </w:r>
          </w:p>
        </w:tc>
      </w:tr>
      <w:tr w14:paraId="49A1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3A800CED">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379621F8">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专病精细化强化管理</w:t>
            </w:r>
          </w:p>
        </w:tc>
        <w:tc>
          <w:tcPr>
            <w:tcW w:w="854" w:type="pct"/>
            <w:noWrap/>
            <w:vAlign w:val="center"/>
          </w:tcPr>
          <w:p w14:paraId="13A20589">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000" w:type="pct"/>
            <w:noWrap/>
            <w:vAlign w:val="center"/>
          </w:tcPr>
          <w:p w14:paraId="7A0B6D44">
            <w:pPr>
              <w:keepLines w:val="0"/>
              <w:pageBreakBefore w:val="0"/>
              <w:widowControl/>
              <w:kinsoku/>
              <w:wordWrap/>
              <w:overflowPunct/>
              <w:topLinePunct w:val="0"/>
              <w:autoSpaceDE/>
              <w:autoSpaceDN/>
              <w:bidi w:val="0"/>
              <w:adjustRightInd/>
              <w:spacing w:line="360" w:lineRule="auto"/>
              <w:ind w:firstLine="422" w:firstLineChars="200"/>
              <w:jc w:val="center"/>
              <w:rPr>
                <w:rFonts w:hint="eastAsia" w:ascii="仿宋" w:hAnsi="仿宋" w:eastAsia="仿宋" w:cs="仿宋"/>
                <w:sz w:val="21"/>
                <w:szCs w:val="21"/>
                <w:highlight w:val="none"/>
              </w:rPr>
            </w:pPr>
            <w:r>
              <w:rPr>
                <w:rFonts w:hint="eastAsia" w:ascii="仿宋" w:hAnsi="仿宋" w:eastAsia="仿宋" w:cs="仿宋"/>
                <w:b/>
                <w:bCs/>
                <w:sz w:val="21"/>
                <w:szCs w:val="21"/>
                <w:highlight w:val="none"/>
              </w:rPr>
              <w:t>395</w:t>
            </w:r>
          </w:p>
        </w:tc>
        <w:tc>
          <w:tcPr>
            <w:tcW w:w="650" w:type="pct"/>
            <w:noWrap w:val="0"/>
            <w:vAlign w:val="center"/>
          </w:tcPr>
          <w:p w14:paraId="6D872191">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b/>
                <w:bCs/>
                <w:sz w:val="21"/>
                <w:szCs w:val="21"/>
                <w:highlight w:val="none"/>
              </w:rPr>
              <w:t>10%</w:t>
            </w:r>
          </w:p>
        </w:tc>
      </w:tr>
      <w:tr w14:paraId="7842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5E246D20">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6DAAD2B0">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专病精细化动态管理</w:t>
            </w:r>
          </w:p>
        </w:tc>
        <w:tc>
          <w:tcPr>
            <w:tcW w:w="854" w:type="pct"/>
            <w:noWrap/>
            <w:vAlign w:val="center"/>
          </w:tcPr>
          <w:p w14:paraId="6D297A1B">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1</w:t>
            </w:r>
          </w:p>
        </w:tc>
        <w:tc>
          <w:tcPr>
            <w:tcW w:w="1000" w:type="pct"/>
            <w:noWrap/>
            <w:vAlign w:val="center"/>
          </w:tcPr>
          <w:p w14:paraId="39DC67CB">
            <w:pPr>
              <w:keepLines w:val="0"/>
              <w:pageBreakBefore w:val="0"/>
              <w:widowControl/>
              <w:kinsoku/>
              <w:wordWrap/>
              <w:overflowPunct/>
              <w:topLinePunct w:val="0"/>
              <w:autoSpaceDE/>
              <w:autoSpaceDN/>
              <w:bidi w:val="0"/>
              <w:adjustRightInd/>
              <w:spacing w:line="360" w:lineRule="auto"/>
              <w:ind w:firstLine="422" w:firstLineChars="200"/>
              <w:jc w:val="center"/>
              <w:rPr>
                <w:rFonts w:hint="eastAsia" w:ascii="仿宋" w:hAnsi="仿宋" w:eastAsia="仿宋" w:cs="仿宋"/>
                <w:sz w:val="21"/>
                <w:szCs w:val="21"/>
                <w:highlight w:val="none"/>
              </w:rPr>
            </w:pPr>
            <w:r>
              <w:rPr>
                <w:rFonts w:hint="eastAsia" w:ascii="仿宋" w:hAnsi="仿宋" w:eastAsia="仿宋" w:cs="仿宋"/>
                <w:b/>
                <w:bCs/>
                <w:sz w:val="21"/>
                <w:szCs w:val="21"/>
                <w:highlight w:val="none"/>
              </w:rPr>
              <w:t>795</w:t>
            </w:r>
          </w:p>
        </w:tc>
        <w:tc>
          <w:tcPr>
            <w:tcW w:w="650" w:type="pct"/>
            <w:noWrap w:val="0"/>
            <w:vAlign w:val="center"/>
          </w:tcPr>
          <w:p w14:paraId="56A31EB3">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kern w:val="0"/>
                <w:sz w:val="21"/>
                <w:szCs w:val="21"/>
                <w:highlight w:val="none"/>
              </w:rPr>
            </w:pPr>
            <w:r>
              <w:rPr>
                <w:rFonts w:hint="eastAsia" w:ascii="仿宋" w:hAnsi="仿宋" w:eastAsia="仿宋" w:cs="仿宋"/>
                <w:b/>
                <w:bCs/>
                <w:sz w:val="21"/>
                <w:szCs w:val="21"/>
                <w:highlight w:val="none"/>
              </w:rPr>
              <w:t>5%</w:t>
            </w:r>
          </w:p>
        </w:tc>
      </w:tr>
      <w:tr w14:paraId="4197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708DBF72">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3CE11C51">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专病强干预综合管理</w:t>
            </w:r>
          </w:p>
        </w:tc>
        <w:tc>
          <w:tcPr>
            <w:tcW w:w="854" w:type="pct"/>
            <w:noWrap/>
            <w:vAlign w:val="center"/>
          </w:tcPr>
          <w:p w14:paraId="4819E4FA">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000" w:type="pct"/>
            <w:noWrap/>
            <w:vAlign w:val="center"/>
          </w:tcPr>
          <w:p w14:paraId="140A2DB4">
            <w:pPr>
              <w:keepLines w:val="0"/>
              <w:pageBreakBefore w:val="0"/>
              <w:kinsoku/>
              <w:wordWrap/>
              <w:overflowPunct/>
              <w:topLinePunct w:val="0"/>
              <w:autoSpaceDE/>
              <w:autoSpaceDN/>
              <w:bidi w:val="0"/>
              <w:adjustRightInd/>
              <w:spacing w:line="360" w:lineRule="auto"/>
              <w:ind w:firstLine="422" w:firstLineChars="200"/>
              <w:jc w:val="center"/>
              <w:rPr>
                <w:rFonts w:hint="eastAsia" w:ascii="仿宋" w:hAnsi="仿宋" w:eastAsia="仿宋" w:cs="仿宋"/>
                <w:kern w:val="0"/>
                <w:sz w:val="21"/>
                <w:szCs w:val="21"/>
                <w:highlight w:val="none"/>
                <w:lang w:bidi="ar"/>
              </w:rPr>
            </w:pPr>
            <w:r>
              <w:rPr>
                <w:rFonts w:hint="eastAsia" w:ascii="仿宋" w:hAnsi="仿宋" w:eastAsia="仿宋" w:cs="仿宋"/>
                <w:b/>
                <w:bCs/>
                <w:sz w:val="21"/>
                <w:szCs w:val="21"/>
                <w:highlight w:val="none"/>
              </w:rPr>
              <w:t>1590</w:t>
            </w:r>
          </w:p>
        </w:tc>
        <w:tc>
          <w:tcPr>
            <w:tcW w:w="650" w:type="pct"/>
            <w:noWrap w:val="0"/>
            <w:vAlign w:val="center"/>
          </w:tcPr>
          <w:p w14:paraId="7781C8C6">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b/>
                <w:bCs/>
                <w:sz w:val="21"/>
                <w:szCs w:val="21"/>
                <w:highlight w:val="none"/>
              </w:rPr>
              <w:t>5%</w:t>
            </w:r>
          </w:p>
        </w:tc>
      </w:tr>
      <w:tr w14:paraId="6938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79439989">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77BDBAEF">
            <w:pPr>
              <w:pStyle w:val="20"/>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专病多学科生活方式干预管理</w:t>
            </w:r>
          </w:p>
        </w:tc>
        <w:tc>
          <w:tcPr>
            <w:tcW w:w="854" w:type="pct"/>
            <w:noWrap/>
            <w:vAlign w:val="center"/>
          </w:tcPr>
          <w:p w14:paraId="58DBF71B">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000" w:type="pct"/>
            <w:noWrap/>
            <w:vAlign w:val="center"/>
          </w:tcPr>
          <w:p w14:paraId="73B35D05">
            <w:pPr>
              <w:keepLines w:val="0"/>
              <w:pageBreakBefore w:val="0"/>
              <w:widowControl/>
              <w:kinsoku/>
              <w:wordWrap/>
              <w:overflowPunct/>
              <w:topLinePunct w:val="0"/>
              <w:autoSpaceDE/>
              <w:autoSpaceDN/>
              <w:bidi w:val="0"/>
              <w:adjustRightInd/>
              <w:spacing w:line="360" w:lineRule="auto"/>
              <w:ind w:firstLine="422" w:firstLineChars="200"/>
              <w:jc w:val="center"/>
              <w:rPr>
                <w:rFonts w:hint="eastAsia" w:ascii="仿宋" w:hAnsi="仿宋" w:eastAsia="仿宋" w:cs="仿宋"/>
                <w:sz w:val="21"/>
                <w:szCs w:val="21"/>
                <w:highlight w:val="none"/>
              </w:rPr>
            </w:pPr>
            <w:r>
              <w:rPr>
                <w:rFonts w:hint="eastAsia" w:ascii="仿宋" w:hAnsi="仿宋" w:eastAsia="仿宋" w:cs="仿宋"/>
                <w:b/>
                <w:bCs/>
                <w:sz w:val="21"/>
                <w:szCs w:val="21"/>
                <w:highlight w:val="none"/>
              </w:rPr>
              <w:t>2616</w:t>
            </w:r>
          </w:p>
        </w:tc>
        <w:tc>
          <w:tcPr>
            <w:tcW w:w="650" w:type="pct"/>
            <w:noWrap w:val="0"/>
            <w:vAlign w:val="center"/>
          </w:tcPr>
          <w:p w14:paraId="0090587D">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b/>
                <w:bCs/>
                <w:sz w:val="21"/>
                <w:szCs w:val="21"/>
                <w:highlight w:val="none"/>
              </w:rPr>
              <w:t>5%</w:t>
            </w:r>
          </w:p>
        </w:tc>
      </w:tr>
      <w:tr w14:paraId="1E9E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96" w:type="pct"/>
            <w:noWrap w:val="0"/>
            <w:vAlign w:val="center"/>
          </w:tcPr>
          <w:p w14:paraId="67049F1B">
            <w:pPr>
              <w:pStyle w:val="93"/>
              <w:keepLines w:val="0"/>
              <w:pageBreakBefore w:val="0"/>
              <w:numPr>
                <w:ilvl w:val="0"/>
                <w:numId w:val="10"/>
              </w:numPr>
              <w:kinsoku/>
              <w:wordWrap/>
              <w:overflowPunct/>
              <w:topLinePunct w:val="0"/>
              <w:autoSpaceDE/>
              <w:autoSpaceDN/>
              <w:bidi w:val="0"/>
              <w:adjustRightInd/>
              <w:spacing w:line="360" w:lineRule="auto"/>
              <w:ind w:left="0" w:firstLine="420" w:firstLineChars="200"/>
              <w:jc w:val="center"/>
              <w:rPr>
                <w:rFonts w:hint="eastAsia" w:ascii="仿宋" w:hAnsi="仿宋" w:eastAsia="仿宋" w:cs="仿宋"/>
                <w:sz w:val="21"/>
                <w:szCs w:val="21"/>
                <w:highlight w:val="none"/>
              </w:rPr>
            </w:pPr>
          </w:p>
        </w:tc>
        <w:tc>
          <w:tcPr>
            <w:tcW w:w="1998" w:type="pct"/>
            <w:noWrap w:val="0"/>
            <w:vAlign w:val="center"/>
          </w:tcPr>
          <w:p w14:paraId="6B818285">
            <w:pPr>
              <w:keepLines w:val="0"/>
              <w:pageBreakBefore w:val="0"/>
              <w:kinsoku/>
              <w:wordWrap/>
              <w:overflowPunct/>
              <w:topLinePunct w:val="0"/>
              <w:autoSpaceDE/>
              <w:autoSpaceDN/>
              <w:bidi w:val="0"/>
              <w:adjustRightInd/>
              <w:spacing w:line="360" w:lineRule="auto"/>
              <w:ind w:firstLine="420" w:firstLineChars="200"/>
              <w:jc w:val="center"/>
              <w:rPr>
                <w:rFonts w:hint="eastAsia" w:ascii="仿宋" w:hAnsi="仿宋" w:eastAsia="仿宋" w:cs="仿宋"/>
                <w:color w:val="333F4F"/>
                <w:kern w:val="0"/>
                <w:sz w:val="21"/>
                <w:szCs w:val="21"/>
                <w:highlight w:val="none"/>
              </w:rPr>
            </w:pPr>
            <w:r>
              <w:rPr>
                <w:rFonts w:hint="eastAsia" w:ascii="仿宋" w:hAnsi="仿宋" w:eastAsia="仿宋" w:cs="仿宋"/>
                <w:color w:val="000000"/>
                <w:kern w:val="0"/>
                <w:sz w:val="21"/>
                <w:szCs w:val="21"/>
                <w:highlight w:val="none"/>
                <w:lang w:bidi="ar"/>
              </w:rPr>
              <w:t>多学科生活方式强化干预</w:t>
            </w:r>
          </w:p>
        </w:tc>
        <w:tc>
          <w:tcPr>
            <w:tcW w:w="854" w:type="pct"/>
            <w:noWrap/>
            <w:vAlign w:val="center"/>
          </w:tcPr>
          <w:p w14:paraId="7FB3E2DF">
            <w:pPr>
              <w:keepLines w:val="0"/>
              <w:pageBreakBefore w:val="0"/>
              <w:widowControl/>
              <w:kinsoku/>
              <w:wordWrap/>
              <w:overflowPunct/>
              <w:topLinePunct w:val="0"/>
              <w:autoSpaceDE/>
              <w:autoSpaceDN/>
              <w:bidi w:val="0"/>
              <w:adjustRightInd/>
              <w:spacing w:line="360" w:lineRule="auto"/>
              <w:ind w:firstLine="420"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000" w:type="pct"/>
            <w:noWrap/>
            <w:vAlign w:val="center"/>
          </w:tcPr>
          <w:p w14:paraId="739093ED">
            <w:pPr>
              <w:keepLines w:val="0"/>
              <w:pageBreakBefore w:val="0"/>
              <w:kinsoku/>
              <w:wordWrap/>
              <w:overflowPunct/>
              <w:topLinePunct w:val="0"/>
              <w:autoSpaceDE/>
              <w:autoSpaceDN/>
              <w:bidi w:val="0"/>
              <w:adjustRightInd/>
              <w:spacing w:line="360" w:lineRule="auto"/>
              <w:ind w:firstLine="422" w:firstLineChars="200"/>
              <w:jc w:val="center"/>
              <w:rPr>
                <w:rFonts w:hint="eastAsia" w:ascii="仿宋" w:hAnsi="仿宋" w:eastAsia="仿宋" w:cs="仿宋"/>
                <w:sz w:val="21"/>
                <w:szCs w:val="21"/>
                <w:highlight w:val="none"/>
              </w:rPr>
            </w:pPr>
            <w:r>
              <w:rPr>
                <w:rFonts w:hint="eastAsia" w:ascii="仿宋" w:hAnsi="仿宋" w:eastAsia="仿宋" w:cs="仿宋"/>
                <w:b/>
                <w:bCs/>
                <w:sz w:val="21"/>
                <w:szCs w:val="21"/>
                <w:highlight w:val="none"/>
              </w:rPr>
              <w:t>3180</w:t>
            </w:r>
          </w:p>
        </w:tc>
        <w:tc>
          <w:tcPr>
            <w:tcW w:w="650" w:type="pct"/>
            <w:noWrap w:val="0"/>
            <w:vAlign w:val="center"/>
          </w:tcPr>
          <w:p w14:paraId="384378FB">
            <w:pPr>
              <w:keepLines w:val="0"/>
              <w:pageBreakBefore w:val="0"/>
              <w:widowControl/>
              <w:kinsoku/>
              <w:wordWrap/>
              <w:overflowPunct/>
              <w:topLinePunct w:val="0"/>
              <w:autoSpaceDE/>
              <w:autoSpaceDN/>
              <w:bidi w:val="0"/>
              <w:adjustRightInd/>
              <w:spacing w:line="360" w:lineRule="auto"/>
              <w:ind w:firstLine="422" w:firstLineChars="200"/>
              <w:jc w:val="both"/>
              <w:textAlignment w:val="center"/>
              <w:rPr>
                <w:rFonts w:hint="eastAsia" w:ascii="仿宋" w:hAnsi="仿宋" w:eastAsia="仿宋" w:cs="仿宋"/>
                <w:color w:val="000000"/>
                <w:sz w:val="21"/>
                <w:szCs w:val="21"/>
                <w:highlight w:val="none"/>
              </w:rPr>
            </w:pPr>
            <w:r>
              <w:rPr>
                <w:rFonts w:hint="eastAsia" w:ascii="仿宋" w:hAnsi="仿宋" w:eastAsia="仿宋" w:cs="仿宋"/>
                <w:b/>
                <w:bCs/>
                <w:sz w:val="21"/>
                <w:szCs w:val="21"/>
                <w:highlight w:val="none"/>
              </w:rPr>
              <w:t>5%</w:t>
            </w:r>
          </w:p>
        </w:tc>
      </w:tr>
    </w:tbl>
    <w:p w14:paraId="092CF021">
      <w:pPr>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b/>
          <w:sz w:val="21"/>
          <w:szCs w:val="21"/>
          <w:highlight w:val="none"/>
        </w:rPr>
      </w:pPr>
      <w:r>
        <w:rPr>
          <w:rFonts w:hint="eastAsia" w:ascii="仿宋" w:hAnsi="仿宋" w:eastAsia="仿宋" w:cs="仿宋"/>
          <w:b/>
          <w:color w:val="000000"/>
          <w:sz w:val="21"/>
          <w:szCs w:val="21"/>
          <w:highlight w:val="none"/>
        </w:rPr>
        <w:t>注：本项目不仅限于上表的服务套餐，</w:t>
      </w:r>
      <w:r>
        <w:rPr>
          <w:rFonts w:hint="eastAsia" w:ascii="仿宋" w:hAnsi="仿宋" w:eastAsia="仿宋" w:cs="仿宋"/>
          <w:b/>
          <w:sz w:val="21"/>
          <w:szCs w:val="21"/>
          <w:highlight w:val="none"/>
        </w:rPr>
        <w:t>可根据各临床科室的实际需要在本项目合同协议原则下协商一致后新增。</w:t>
      </w:r>
    </w:p>
    <w:p w14:paraId="7CCA862C">
      <w:pPr>
        <w:keepLines w:val="0"/>
        <w:pageBreakBefore w:val="0"/>
        <w:widowControl/>
        <w:kinsoku/>
        <w:wordWrap/>
        <w:overflowPunct/>
        <w:topLinePunct w:val="0"/>
        <w:autoSpaceDE/>
        <w:autoSpaceDN/>
        <w:bidi w:val="0"/>
        <w:adjustRightInd/>
        <w:spacing w:line="360" w:lineRule="auto"/>
        <w:ind w:firstLine="422" w:firstLineChars="200"/>
        <w:jc w:val="left"/>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lang w:eastAsia="zh-CN"/>
        </w:rPr>
        <w:t>十一</w:t>
      </w:r>
      <w:r>
        <w:rPr>
          <w:rFonts w:hint="eastAsia" w:ascii="仿宋" w:hAnsi="仿宋" w:eastAsia="仿宋" w:cs="仿宋"/>
          <w:b/>
          <w:color w:val="000000"/>
          <w:sz w:val="21"/>
          <w:szCs w:val="21"/>
          <w:highlight w:val="none"/>
        </w:rPr>
        <w:t>、付款方式与履约保证金</w:t>
      </w:r>
    </w:p>
    <w:p w14:paraId="0F2C0478">
      <w:pPr>
        <w:keepLines w:val="0"/>
        <w:pageBreakBefore w:val="0"/>
        <w:tabs>
          <w:tab w:val="left" w:pos="312"/>
        </w:tabs>
        <w:kinsoku/>
        <w:wordWrap/>
        <w:overflowPunct/>
        <w:topLinePunct w:val="0"/>
        <w:autoSpaceDE/>
        <w:autoSpaceDN/>
        <w:bidi w:val="0"/>
        <w:adjustRightInd/>
        <w:spacing w:line="360" w:lineRule="auto"/>
        <w:ind w:firstLine="422" w:firstLineChars="200"/>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1.付款方式：</w:t>
      </w:r>
    </w:p>
    <w:p w14:paraId="5BC20C79">
      <w:pPr>
        <w:pStyle w:val="93"/>
        <w:keepLines w:val="0"/>
        <w:pageBreakBefore w:val="0"/>
        <w:numPr>
          <w:ilvl w:val="0"/>
          <w:numId w:val="11"/>
        </w:numPr>
        <w:kinsoku/>
        <w:wordWrap/>
        <w:overflowPunct/>
        <w:topLinePunct w:val="0"/>
        <w:autoSpaceDE/>
        <w:autoSpaceDN/>
        <w:bidi w:val="0"/>
        <w:adjustRightInd/>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按</w:t>
      </w:r>
      <w:r>
        <w:rPr>
          <w:rFonts w:hint="eastAsia" w:ascii="仿宋" w:hAnsi="仿宋" w:eastAsia="仿宋" w:cs="仿宋"/>
          <w:color w:val="000000"/>
          <w:sz w:val="21"/>
          <w:szCs w:val="21"/>
          <w:highlight w:val="none"/>
          <w:lang w:eastAsia="zh-CN"/>
        </w:rPr>
        <w:t>季度</w:t>
      </w:r>
      <w:r>
        <w:rPr>
          <w:rFonts w:hint="eastAsia" w:ascii="仿宋" w:hAnsi="仿宋" w:eastAsia="仿宋" w:cs="仿宋"/>
          <w:color w:val="000000"/>
          <w:sz w:val="21"/>
          <w:szCs w:val="21"/>
          <w:highlight w:val="none"/>
        </w:rPr>
        <w:t>结算：每</w:t>
      </w:r>
      <w:r>
        <w:rPr>
          <w:rFonts w:hint="eastAsia" w:ascii="仿宋" w:hAnsi="仿宋" w:eastAsia="仿宋" w:cs="仿宋"/>
          <w:color w:val="000000"/>
          <w:sz w:val="21"/>
          <w:szCs w:val="21"/>
          <w:highlight w:val="none"/>
          <w:lang w:eastAsia="zh-CN"/>
        </w:rPr>
        <w:t>季度</w:t>
      </w:r>
      <w:r>
        <w:rPr>
          <w:rFonts w:hint="eastAsia" w:ascii="仿宋" w:hAnsi="仿宋" w:eastAsia="仿宋" w:cs="仿宋"/>
          <w:color w:val="000000"/>
          <w:sz w:val="21"/>
          <w:szCs w:val="21"/>
          <w:highlight w:val="none"/>
        </w:rPr>
        <w:t>结算金额以实际开单量进行按</w:t>
      </w:r>
      <w:r>
        <w:rPr>
          <w:rFonts w:hint="eastAsia" w:ascii="仿宋" w:hAnsi="仿宋" w:eastAsia="仿宋" w:cs="仿宋"/>
          <w:color w:val="000000"/>
          <w:sz w:val="21"/>
          <w:szCs w:val="21"/>
          <w:highlight w:val="none"/>
          <w:lang w:eastAsia="zh-CN"/>
        </w:rPr>
        <w:t>季度</w:t>
      </w:r>
      <w:r>
        <w:rPr>
          <w:rFonts w:hint="eastAsia" w:ascii="仿宋" w:hAnsi="仿宋" w:eastAsia="仿宋" w:cs="仿宋"/>
          <w:color w:val="000000"/>
          <w:sz w:val="21"/>
          <w:szCs w:val="21"/>
          <w:highlight w:val="none"/>
        </w:rPr>
        <w:t>结算，自收到正规发票之日起30日内完成付款。</w:t>
      </w:r>
    </w:p>
    <w:p w14:paraId="43DE4D0C">
      <w:pPr>
        <w:pStyle w:val="93"/>
        <w:keepLines w:val="0"/>
        <w:pageBreakBefore w:val="0"/>
        <w:numPr>
          <w:ilvl w:val="0"/>
          <w:numId w:val="11"/>
        </w:numPr>
        <w:kinsoku/>
        <w:wordWrap/>
        <w:overflowPunct/>
        <w:topLinePunct w:val="0"/>
        <w:autoSpaceDE/>
        <w:autoSpaceDN/>
        <w:bidi w:val="0"/>
        <w:adjustRightInd/>
        <w:spacing w:line="360" w:lineRule="auto"/>
        <w:ind w:firstLine="420" w:firstLineChars="20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每</w:t>
      </w:r>
      <w:r>
        <w:rPr>
          <w:rFonts w:hint="eastAsia" w:ascii="仿宋" w:hAnsi="仿宋" w:eastAsia="仿宋" w:cs="仿宋"/>
          <w:color w:val="000000"/>
          <w:sz w:val="21"/>
          <w:szCs w:val="21"/>
          <w:highlight w:val="none"/>
          <w:lang w:eastAsia="zh-CN"/>
        </w:rPr>
        <w:t>季度</w:t>
      </w:r>
      <w:r>
        <w:rPr>
          <w:rFonts w:hint="eastAsia" w:ascii="仿宋" w:hAnsi="仿宋" w:eastAsia="仿宋" w:cs="仿宋"/>
          <w:color w:val="000000"/>
          <w:sz w:val="21"/>
          <w:szCs w:val="21"/>
          <w:highlight w:val="none"/>
        </w:rPr>
        <w:t>结算金额=∑（每</w:t>
      </w:r>
      <w:r>
        <w:rPr>
          <w:rFonts w:hint="eastAsia" w:ascii="仿宋" w:hAnsi="仿宋" w:eastAsia="仿宋" w:cs="仿宋"/>
          <w:color w:val="000000"/>
          <w:sz w:val="21"/>
          <w:szCs w:val="21"/>
          <w:highlight w:val="none"/>
          <w:lang w:eastAsia="zh-CN"/>
        </w:rPr>
        <w:t>季度</w:t>
      </w:r>
      <w:r>
        <w:rPr>
          <w:rFonts w:hint="eastAsia" w:ascii="仿宋" w:hAnsi="仿宋" w:eastAsia="仿宋" w:cs="仿宋"/>
          <w:color w:val="000000"/>
          <w:sz w:val="21"/>
          <w:szCs w:val="21"/>
          <w:highlight w:val="none"/>
        </w:rPr>
        <w:t>各项</w:t>
      </w:r>
      <w:r>
        <w:rPr>
          <w:rFonts w:hint="eastAsia" w:ascii="仿宋" w:hAnsi="仿宋" w:eastAsia="仿宋" w:cs="仿宋"/>
          <w:color w:val="000000"/>
          <w:sz w:val="21"/>
          <w:szCs w:val="21"/>
          <w:highlight w:val="none"/>
          <w:lang w:eastAsia="zh-CN"/>
        </w:rPr>
        <w:t>服务</w:t>
      </w:r>
      <w:r>
        <w:rPr>
          <w:rFonts w:hint="eastAsia" w:ascii="仿宋" w:hAnsi="仿宋" w:eastAsia="仿宋" w:cs="仿宋"/>
          <w:color w:val="000000"/>
          <w:sz w:val="21"/>
          <w:szCs w:val="21"/>
          <w:highlight w:val="none"/>
        </w:rPr>
        <w:t>套餐</w:t>
      </w:r>
      <w:r>
        <w:rPr>
          <w:rFonts w:hint="eastAsia" w:ascii="仿宋" w:hAnsi="仿宋" w:eastAsia="仿宋" w:cs="仿宋"/>
          <w:color w:val="000000"/>
          <w:sz w:val="21"/>
          <w:szCs w:val="21"/>
          <w:highlight w:val="none"/>
          <w:lang w:eastAsia="zh-CN"/>
        </w:rPr>
        <w:t>项目</w:t>
      </w:r>
      <w:r>
        <w:rPr>
          <w:rFonts w:hint="eastAsia" w:ascii="仿宋" w:hAnsi="仿宋" w:eastAsia="仿宋" w:cs="仿宋"/>
          <w:color w:val="000000"/>
          <w:sz w:val="21"/>
          <w:szCs w:val="21"/>
          <w:highlight w:val="none"/>
        </w:rPr>
        <w:t>实际数量*</w:t>
      </w:r>
      <w:r>
        <w:rPr>
          <w:rFonts w:hint="eastAsia" w:ascii="仿宋" w:hAnsi="仿宋" w:eastAsia="仿宋" w:cs="仿宋"/>
          <w:color w:val="000000"/>
          <w:sz w:val="21"/>
          <w:szCs w:val="21"/>
          <w:highlight w:val="none"/>
          <w:lang w:eastAsia="zh-CN"/>
        </w:rPr>
        <w:t>对应服务</w:t>
      </w:r>
      <w:r>
        <w:rPr>
          <w:rFonts w:hint="eastAsia" w:ascii="仿宋" w:hAnsi="仿宋" w:eastAsia="仿宋" w:cs="仿宋"/>
          <w:color w:val="000000"/>
          <w:sz w:val="21"/>
          <w:szCs w:val="21"/>
          <w:highlight w:val="none"/>
        </w:rPr>
        <w:t>套餐</w:t>
      </w:r>
      <w:r>
        <w:rPr>
          <w:rFonts w:hint="eastAsia" w:ascii="仿宋" w:hAnsi="仿宋" w:eastAsia="仿宋" w:cs="仿宋"/>
          <w:color w:val="000000"/>
          <w:sz w:val="21"/>
          <w:szCs w:val="21"/>
          <w:highlight w:val="none"/>
          <w:lang w:eastAsia="zh-CN"/>
        </w:rPr>
        <w:t>项目</w:t>
      </w:r>
      <w:r>
        <w:rPr>
          <w:rFonts w:hint="eastAsia" w:ascii="仿宋" w:hAnsi="仿宋" w:eastAsia="仿宋" w:cs="仿宋"/>
          <w:color w:val="000000"/>
          <w:sz w:val="21"/>
          <w:szCs w:val="21"/>
          <w:highlight w:val="none"/>
        </w:rPr>
        <w:t>价</w:t>
      </w:r>
      <w:r>
        <w:rPr>
          <w:rFonts w:hint="eastAsia" w:ascii="仿宋" w:hAnsi="仿宋" w:eastAsia="仿宋" w:cs="仿宋"/>
          <w:color w:val="000000"/>
          <w:sz w:val="21"/>
          <w:szCs w:val="21"/>
          <w:highlight w:val="none"/>
          <w:lang w:eastAsia="zh-CN"/>
        </w:rPr>
        <w:t>格</w:t>
      </w:r>
      <w:r>
        <w:rPr>
          <w:rFonts w:hint="eastAsia" w:ascii="仿宋" w:hAnsi="仿宋" w:eastAsia="仿宋" w:cs="仿宋"/>
          <w:color w:val="000000"/>
          <w:sz w:val="21"/>
          <w:szCs w:val="21"/>
          <w:highlight w:val="none"/>
          <w:lang w:val="en-US" w:eastAsia="zh-CN"/>
        </w:rPr>
        <w:t>*中标折扣</w:t>
      </w:r>
      <w:r>
        <w:rPr>
          <w:rFonts w:hint="eastAsia" w:ascii="仿宋" w:hAnsi="仿宋" w:eastAsia="仿宋" w:cs="仿宋"/>
          <w:color w:val="000000"/>
          <w:sz w:val="21"/>
          <w:szCs w:val="21"/>
          <w:highlight w:val="none"/>
        </w:rPr>
        <w:t>）</w:t>
      </w:r>
    </w:p>
    <w:p w14:paraId="384713F3">
      <w:pPr>
        <w:keepLines w:val="0"/>
        <w:pageBreakBefore w:val="0"/>
        <w:kinsoku/>
        <w:wordWrap/>
        <w:overflowPunct/>
        <w:topLinePunct w:val="0"/>
        <w:autoSpaceDE/>
        <w:autoSpaceDN/>
        <w:bidi w:val="0"/>
        <w:adjustRightInd/>
        <w:spacing w:line="360" w:lineRule="auto"/>
        <w:ind w:firstLine="422" w:firstLineChars="200"/>
        <w:rPr>
          <w:rFonts w:hint="eastAsia" w:ascii="仿宋" w:hAnsi="仿宋" w:eastAsia="仿宋" w:cs="仿宋"/>
          <w:b/>
          <w:bCs/>
          <w:color w:val="000000"/>
          <w:sz w:val="21"/>
          <w:szCs w:val="21"/>
          <w:highlight w:val="none"/>
          <w:lang w:eastAsia="zh-CN"/>
        </w:rPr>
      </w:pPr>
      <w:r>
        <w:rPr>
          <w:rFonts w:hint="eastAsia" w:ascii="仿宋" w:hAnsi="仿宋" w:eastAsia="仿宋" w:cs="仿宋"/>
          <w:b/>
          <w:bCs/>
          <w:color w:val="000000"/>
          <w:sz w:val="21"/>
          <w:szCs w:val="21"/>
          <w:highlight w:val="none"/>
        </w:rPr>
        <w:t>2.履约保证金:</w:t>
      </w:r>
      <w:r>
        <w:rPr>
          <w:rFonts w:hint="eastAsia" w:ascii="仿宋" w:hAnsi="仿宋" w:eastAsia="仿宋" w:cs="仿宋"/>
          <w:b/>
          <w:bCs/>
          <w:color w:val="000000"/>
          <w:sz w:val="21"/>
          <w:szCs w:val="21"/>
          <w:highlight w:val="none"/>
          <w:lang w:eastAsia="zh-CN"/>
        </w:rPr>
        <w:t>无</w:t>
      </w:r>
    </w:p>
    <w:p w14:paraId="6687ECF5">
      <w:pPr>
        <w:rPr>
          <w:rFonts w:hint="eastAsia" w:ascii="仿宋" w:hAnsi="仿宋" w:eastAsia="仿宋" w:cs="仿宋"/>
          <w:highlight w:val="none"/>
          <w:lang w:val="en-US" w:eastAsia="zh-CN"/>
        </w:rPr>
      </w:pPr>
    </w:p>
    <w:p w14:paraId="7BFDB229">
      <w:pPr>
        <w:pStyle w:val="54"/>
        <w:numPr>
          <w:ilvl w:val="0"/>
          <w:numId w:val="0"/>
        </w:numPr>
        <w:ind w:leftChars="0"/>
        <w:rPr>
          <w:rFonts w:hint="eastAsia" w:ascii="仿宋" w:hAnsi="仿宋" w:eastAsia="仿宋" w:cs="仿宋"/>
          <w:b/>
          <w:color w:val="auto"/>
          <w:sz w:val="24"/>
          <w:szCs w:val="24"/>
          <w:highlight w:val="none"/>
          <w:lang w:val="en-US" w:eastAsia="zh-CN"/>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0319F9BC">
      <w:pPr>
        <w:spacing w:line="480" w:lineRule="auto"/>
        <w:jc w:val="center"/>
        <w:rPr>
          <w:rFonts w:hint="eastAsia" w:ascii="仿宋" w:hAnsi="仿宋" w:eastAsia="仿宋" w:cs="仿宋"/>
          <w:b/>
          <w:color w:val="auto"/>
          <w:sz w:val="24"/>
          <w:highlight w:val="none"/>
        </w:rPr>
      </w:pPr>
    </w:p>
    <w:p w14:paraId="442D10EC">
      <w:pPr>
        <w:spacing w:line="480" w:lineRule="auto"/>
        <w:jc w:val="center"/>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4"/>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4"/>
        <w:spacing w:before="120" w:line="22" w:lineRule="atLeast"/>
        <w:rPr>
          <w:rFonts w:hint="eastAsia" w:ascii="仿宋" w:hAnsi="仿宋" w:eastAsia="仿宋" w:cs="仿宋"/>
          <w:color w:val="auto"/>
          <w:szCs w:val="24"/>
          <w:highlight w:val="none"/>
        </w:rPr>
      </w:pPr>
    </w:p>
    <w:p w14:paraId="217F68FB">
      <w:pPr>
        <w:pStyle w:val="284"/>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D71358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2" w:name="_Toc20421"/>
      <w:bookmarkStart w:id="13" w:name="_Toc19273"/>
      <w:bookmarkStart w:id="14" w:name="_Toc28855"/>
      <w:bookmarkStart w:id="15" w:name="_Toc22967"/>
      <w:bookmarkStart w:id="16" w:name="_Toc15367"/>
      <w:r>
        <w:rPr>
          <w:rFonts w:hint="eastAsia" w:ascii="仿宋" w:hAnsi="仿宋" w:eastAsia="仿宋" w:cs="仿宋"/>
          <w:b/>
          <w:color w:val="auto"/>
          <w:sz w:val="24"/>
          <w:highlight w:val="none"/>
        </w:rPr>
        <w:t>1.1 合同组成部分</w:t>
      </w:r>
      <w:bookmarkEnd w:id="12"/>
      <w:bookmarkEnd w:id="13"/>
      <w:bookmarkEnd w:id="14"/>
      <w:bookmarkEnd w:id="15"/>
      <w:bookmarkEnd w:id="16"/>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7" w:name="_Toc22185"/>
      <w:bookmarkStart w:id="18" w:name="_Toc2918"/>
      <w:bookmarkStart w:id="19" w:name="_Toc18585"/>
      <w:bookmarkStart w:id="20" w:name="_Toc6773"/>
      <w:bookmarkStart w:id="21" w:name="_Toc6311"/>
      <w:r>
        <w:rPr>
          <w:rFonts w:hint="eastAsia" w:ascii="仿宋" w:hAnsi="仿宋" w:eastAsia="仿宋" w:cs="仿宋"/>
          <w:b/>
          <w:color w:val="auto"/>
          <w:sz w:val="24"/>
          <w:highlight w:val="none"/>
        </w:rPr>
        <w:t>1.2 标的</w:t>
      </w:r>
      <w:bookmarkEnd w:id="17"/>
      <w:bookmarkEnd w:id="18"/>
      <w:bookmarkEnd w:id="19"/>
      <w:bookmarkEnd w:id="20"/>
      <w:bookmarkEnd w:id="21"/>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2" w:name="_Toc21124"/>
      <w:bookmarkStart w:id="23" w:name="_Toc4929"/>
      <w:bookmarkStart w:id="24" w:name="_Toc1386"/>
      <w:bookmarkStart w:id="25" w:name="_Toc5635"/>
      <w:bookmarkStart w:id="26"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2"/>
      <w:bookmarkEnd w:id="23"/>
      <w:bookmarkEnd w:id="24"/>
      <w:bookmarkEnd w:id="25"/>
      <w:bookmarkEnd w:id="26"/>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3"/>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7" w:name="_Toc3654"/>
      <w:bookmarkStart w:id="28" w:name="_Toc26916"/>
      <w:bookmarkStart w:id="29" w:name="_Toc30158"/>
      <w:bookmarkStart w:id="30" w:name="_Toc14993"/>
      <w:bookmarkStart w:id="31"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7"/>
    <w:bookmarkEnd w:id="28"/>
    <w:bookmarkEnd w:id="29"/>
    <w:bookmarkEnd w:id="30"/>
    <w:bookmarkEnd w:id="31"/>
    <w:p w14:paraId="567ED352">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2" w:name="_Toc1814"/>
      <w:bookmarkStart w:id="33" w:name="_Toc10340"/>
      <w:bookmarkStart w:id="34" w:name="_Toc22618"/>
      <w:bookmarkStart w:id="35" w:name="_Toc3625"/>
      <w:bookmarkStart w:id="36" w:name="_Toc8772"/>
      <w:bookmarkStart w:id="37" w:name="_Toc31421"/>
      <w:bookmarkStart w:id="38" w:name="_Toc11108"/>
      <w:bookmarkStart w:id="39" w:name="_Toc4760"/>
      <w:r>
        <w:rPr>
          <w:rFonts w:hint="eastAsia" w:ascii="仿宋" w:hAnsi="仿宋" w:eastAsia="仿宋" w:cs="仿宋"/>
          <w:b/>
          <w:color w:val="auto"/>
          <w:highlight w:val="none"/>
        </w:rPr>
        <w:t>1.4履约保证金</w:t>
      </w:r>
    </w:p>
    <w:p w14:paraId="6CF871C9">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4"/>
        <w:pageBreakBefore w:val="0"/>
        <w:tabs>
          <w:tab w:val="left" w:pos="0"/>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2"/>
      <w:bookmarkEnd w:id="33"/>
      <w:bookmarkEnd w:id="34"/>
      <w:r>
        <w:rPr>
          <w:rFonts w:hint="eastAsia" w:ascii="仿宋" w:hAnsi="仿宋" w:eastAsia="仿宋" w:cs="仿宋"/>
          <w:b/>
          <w:color w:val="auto"/>
          <w:sz w:val="24"/>
          <w:highlight w:val="none"/>
        </w:rPr>
        <w:t>预付款</w:t>
      </w:r>
    </w:p>
    <w:p w14:paraId="09ED0695">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6"/>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5"/>
      <w:bookmarkEnd w:id="36"/>
      <w:bookmarkEnd w:id="37"/>
      <w:bookmarkEnd w:id="38"/>
      <w:bookmarkEnd w:id="39"/>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40" w:name="_Toc5698"/>
      <w:bookmarkStart w:id="41" w:name="_Toc2375"/>
      <w:bookmarkStart w:id="42" w:name="_Toc24662"/>
      <w:bookmarkStart w:id="43" w:name="_Toc3079"/>
      <w:bookmarkStart w:id="44" w:name="_Toc8586"/>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0"/>
      <w:bookmarkEnd w:id="41"/>
      <w:bookmarkEnd w:id="42"/>
      <w:bookmarkEnd w:id="43"/>
      <w:bookmarkEnd w:id="44"/>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26807"/>
      <w:bookmarkStart w:id="46" w:name="_Toc9497"/>
      <w:bookmarkStart w:id="47" w:name="_Toc32454"/>
      <w:bookmarkStart w:id="48" w:name="_Toc30329"/>
      <w:bookmarkStart w:id="49"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5"/>
    <w:bookmarkEnd w:id="46"/>
    <w:bookmarkEnd w:id="47"/>
    <w:bookmarkEnd w:id="48"/>
    <w:bookmarkEnd w:id="49"/>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0" w:name="_Toc16021"/>
      <w:bookmarkStart w:id="51" w:name="_Toc28375"/>
      <w:bookmarkStart w:id="52" w:name="_Toc15583"/>
      <w:r>
        <w:rPr>
          <w:rFonts w:hint="eastAsia" w:ascii="仿宋" w:hAnsi="仿宋" w:eastAsia="仿宋" w:cs="仿宋"/>
          <w:b/>
          <w:color w:val="auto"/>
          <w:sz w:val="24"/>
          <w:highlight w:val="none"/>
        </w:rPr>
        <w:t>1.9合同争议的解决</w:t>
      </w:r>
      <w:bookmarkEnd w:id="50"/>
      <w:bookmarkEnd w:id="51"/>
      <w:bookmarkEnd w:id="52"/>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11173"/>
      <w:bookmarkStart w:id="54" w:name="_Toc15322"/>
      <w:bookmarkStart w:id="55" w:name="_Toc7245"/>
      <w:r>
        <w:rPr>
          <w:rFonts w:hint="eastAsia" w:ascii="仿宋" w:hAnsi="仿宋" w:eastAsia="仿宋" w:cs="仿宋"/>
          <w:b/>
          <w:color w:val="auto"/>
          <w:sz w:val="24"/>
          <w:highlight w:val="none"/>
        </w:rPr>
        <w:t>2.0 合同生效</w:t>
      </w:r>
      <w:bookmarkEnd w:id="53"/>
      <w:bookmarkEnd w:id="54"/>
      <w:bookmarkEnd w:id="55"/>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5"/>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hint="eastAsia" w:ascii="仿宋" w:hAnsi="仿宋" w:eastAsia="仿宋" w:cs="仿宋"/>
          <w:b/>
          <w:color w:val="auto"/>
          <w:sz w:val="24"/>
          <w:highlight w:val="none"/>
        </w:rPr>
      </w:pPr>
      <w:bookmarkStart w:id="56" w:name="_Toc259093669"/>
      <w:bookmarkStart w:id="57" w:name="_Ref467378404"/>
      <w:bookmarkStart w:id="58" w:name="_Ref467379094"/>
      <w:bookmarkStart w:id="59" w:name="_Ref467379225"/>
      <w:bookmarkStart w:id="60" w:name="_Toc487900349"/>
      <w:bookmarkStart w:id="61" w:name="_Toc28763"/>
      <w:bookmarkStart w:id="62" w:name="_Toc19614"/>
      <w:bookmarkStart w:id="63" w:name="_Toc279701240"/>
      <w:bookmarkStart w:id="64" w:name="_Ref467379101"/>
      <w:bookmarkStart w:id="65" w:name="_Ref467379109"/>
      <w:bookmarkStart w:id="66" w:name="_Ref467379205"/>
      <w:bookmarkStart w:id="67" w:name="_Ref467379195"/>
      <w:bookmarkStart w:id="68" w:name="_Toc16917"/>
      <w:bookmarkStart w:id="69" w:name="_Ref467378499"/>
      <w:bookmarkStart w:id="70" w:name="_Ref467378463"/>
      <w:bookmarkStart w:id="71" w:name="_Ref467379214"/>
      <w:r>
        <w:rPr>
          <w:rFonts w:hint="eastAsia" w:ascii="仿宋" w:hAnsi="仿宋" w:eastAsia="仿宋" w:cs="仿宋"/>
          <w:b/>
          <w:color w:val="auto"/>
          <w:sz w:val="24"/>
          <w:highlight w:val="none"/>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360ED8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hint="eastAsia" w:ascii="仿宋" w:hAnsi="仿宋" w:eastAsia="仿宋" w:cs="仿宋"/>
          <w:color w:val="auto"/>
          <w:sz w:val="24"/>
          <w:highlight w:val="none"/>
        </w:rPr>
      </w:pPr>
      <w:bookmarkStart w:id="72" w:name="_Ref467378840"/>
      <w:r>
        <w:rPr>
          <w:rFonts w:hint="eastAsia" w:ascii="仿宋" w:hAnsi="仿宋" w:eastAsia="仿宋" w:cs="仿宋"/>
          <w:color w:val="auto"/>
          <w:sz w:val="24"/>
          <w:highlight w:val="none"/>
        </w:rPr>
        <w:t>2.1.4 “甲方”系指与中标或成交供应商签署合同的采购人</w:t>
      </w:r>
      <w:bookmarkEnd w:id="72"/>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hint="eastAsia" w:ascii="仿宋" w:hAnsi="仿宋" w:eastAsia="仿宋" w:cs="仿宋"/>
          <w:color w:val="auto"/>
          <w:sz w:val="24"/>
          <w:highlight w:val="none"/>
        </w:rPr>
      </w:pPr>
      <w:bookmarkStart w:id="73" w:name="_Ref467379400"/>
      <w:r>
        <w:rPr>
          <w:rFonts w:hint="eastAsia" w:ascii="仿宋" w:hAnsi="仿宋" w:eastAsia="仿宋" w:cs="仿宋"/>
          <w:color w:val="auto"/>
          <w:sz w:val="24"/>
          <w:highlight w:val="none"/>
        </w:rPr>
        <w:t>2.1.5 “乙方”系指根据合同约定交付货物的中标或成交供应商</w:t>
      </w:r>
      <w:bookmarkEnd w:id="7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hint="eastAsia" w:ascii="仿宋" w:hAnsi="仿宋" w:eastAsia="仿宋" w:cs="仿宋"/>
          <w:color w:val="auto"/>
          <w:sz w:val="24"/>
          <w:highlight w:val="none"/>
        </w:rPr>
      </w:pPr>
      <w:bookmarkStart w:id="74" w:name="_Ref467379436"/>
      <w:r>
        <w:rPr>
          <w:rFonts w:hint="eastAsia" w:ascii="仿宋" w:hAnsi="仿宋" w:eastAsia="仿宋" w:cs="仿宋"/>
          <w:color w:val="auto"/>
          <w:sz w:val="24"/>
          <w:highlight w:val="none"/>
        </w:rPr>
        <w:t>2.1.6 “现场”系指合同约定货物将要运至或者安装的地点。</w:t>
      </w:r>
      <w:bookmarkEnd w:id="74"/>
    </w:p>
    <w:p w14:paraId="7A9FF55C">
      <w:pPr>
        <w:spacing w:line="560" w:lineRule="exact"/>
        <w:ind w:firstLine="482" w:firstLineChars="200"/>
        <w:outlineLvl w:val="0"/>
        <w:rPr>
          <w:rFonts w:hint="eastAsia" w:ascii="仿宋" w:hAnsi="仿宋" w:eastAsia="仿宋" w:cs="仿宋"/>
          <w:b/>
          <w:color w:val="auto"/>
          <w:sz w:val="24"/>
          <w:highlight w:val="none"/>
        </w:rPr>
      </w:pPr>
      <w:bookmarkStart w:id="75" w:name="_Toc279701241"/>
      <w:bookmarkStart w:id="76" w:name="_Toc259093670"/>
      <w:bookmarkStart w:id="77" w:name="_Toc27635"/>
      <w:bookmarkStart w:id="78" w:name="_Toc487900350"/>
      <w:bookmarkStart w:id="79" w:name="_Toc32504"/>
      <w:bookmarkStart w:id="80" w:name="_Toc13336"/>
      <w:r>
        <w:rPr>
          <w:rFonts w:hint="eastAsia" w:ascii="仿宋" w:hAnsi="仿宋" w:eastAsia="仿宋" w:cs="仿宋"/>
          <w:b/>
          <w:color w:val="auto"/>
          <w:sz w:val="24"/>
          <w:highlight w:val="none"/>
        </w:rPr>
        <w:t>2.2 技术规范</w:t>
      </w:r>
      <w:bookmarkEnd w:id="75"/>
      <w:bookmarkEnd w:id="76"/>
      <w:bookmarkEnd w:id="77"/>
      <w:bookmarkEnd w:id="78"/>
      <w:bookmarkEnd w:id="79"/>
      <w:bookmarkEnd w:id="80"/>
    </w:p>
    <w:p w14:paraId="4E5225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hint="eastAsia" w:ascii="仿宋" w:hAnsi="仿宋" w:eastAsia="仿宋" w:cs="仿宋"/>
          <w:b/>
          <w:color w:val="auto"/>
          <w:sz w:val="24"/>
          <w:highlight w:val="none"/>
        </w:rPr>
      </w:pPr>
      <w:bookmarkStart w:id="81" w:name="_Toc31634"/>
      <w:bookmarkStart w:id="82" w:name="_Toc9829"/>
      <w:bookmarkStart w:id="83" w:name="_Toc259093671"/>
      <w:bookmarkStart w:id="84" w:name="_Toc279701242"/>
      <w:bookmarkStart w:id="85" w:name="_Toc27853"/>
      <w:bookmarkStart w:id="86" w:name="_Toc487900351"/>
      <w:r>
        <w:rPr>
          <w:rFonts w:hint="eastAsia" w:ascii="仿宋" w:hAnsi="仿宋" w:eastAsia="仿宋" w:cs="仿宋"/>
          <w:b/>
          <w:color w:val="auto"/>
          <w:sz w:val="24"/>
          <w:highlight w:val="none"/>
        </w:rPr>
        <w:t>2.3 知识产权</w:t>
      </w:r>
      <w:bookmarkEnd w:id="81"/>
      <w:bookmarkEnd w:id="82"/>
      <w:bookmarkEnd w:id="83"/>
      <w:bookmarkEnd w:id="84"/>
      <w:bookmarkEnd w:id="85"/>
      <w:bookmarkEnd w:id="86"/>
    </w:p>
    <w:p w14:paraId="1FBAFA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hint="eastAsia" w:ascii="仿宋" w:hAnsi="仿宋" w:eastAsia="仿宋" w:cs="仿宋"/>
          <w:b/>
          <w:color w:val="auto"/>
          <w:sz w:val="24"/>
          <w:highlight w:val="none"/>
        </w:rPr>
      </w:pPr>
      <w:bookmarkStart w:id="87" w:name="_Toc4194"/>
      <w:bookmarkStart w:id="88" w:name="_Toc29149"/>
      <w:bookmarkStart w:id="89" w:name="_Toc11932"/>
      <w:r>
        <w:rPr>
          <w:rFonts w:hint="eastAsia" w:ascii="仿宋" w:hAnsi="仿宋" w:eastAsia="仿宋" w:cs="仿宋"/>
          <w:b/>
          <w:color w:val="auto"/>
          <w:sz w:val="24"/>
          <w:highlight w:val="none"/>
        </w:rPr>
        <w:t>2.4 包装和装运</w:t>
      </w:r>
      <w:bookmarkEnd w:id="87"/>
      <w:bookmarkEnd w:id="88"/>
      <w:bookmarkEnd w:id="89"/>
    </w:p>
    <w:p w14:paraId="2250A9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hint="eastAsia" w:ascii="仿宋" w:hAnsi="仿宋" w:eastAsia="仿宋" w:cs="仿宋"/>
          <w:b/>
          <w:color w:val="auto"/>
          <w:sz w:val="24"/>
          <w:highlight w:val="none"/>
        </w:rPr>
      </w:pPr>
      <w:bookmarkStart w:id="90" w:name="_Toc279701245"/>
      <w:bookmarkStart w:id="91" w:name="_Ref467378591"/>
      <w:bookmarkStart w:id="92" w:name="_Toc487900354"/>
      <w:bookmarkStart w:id="93" w:name="_Ref467379542"/>
      <w:bookmarkStart w:id="94" w:name="_Toc259093674"/>
      <w:bookmarkStart w:id="95" w:name="_Ref467379527"/>
      <w:bookmarkStart w:id="96" w:name="_Ref467378541"/>
      <w:bookmarkStart w:id="97" w:name="_Ref467379536"/>
      <w:bookmarkStart w:id="98" w:name="_Toc30272"/>
      <w:bookmarkStart w:id="99" w:name="_Toc26182"/>
      <w:bookmarkStart w:id="100" w:name="_Toc19074"/>
      <w:r>
        <w:rPr>
          <w:rFonts w:hint="eastAsia" w:ascii="仿宋" w:hAnsi="仿宋" w:eastAsia="仿宋" w:cs="仿宋"/>
          <w:b/>
          <w:color w:val="auto"/>
          <w:sz w:val="24"/>
          <w:highlight w:val="none"/>
        </w:rPr>
        <w:t>2.</w:t>
      </w:r>
      <w:bookmarkEnd w:id="90"/>
      <w:bookmarkEnd w:id="91"/>
      <w:bookmarkEnd w:id="92"/>
      <w:bookmarkEnd w:id="93"/>
      <w:bookmarkEnd w:id="94"/>
      <w:bookmarkEnd w:id="95"/>
      <w:bookmarkEnd w:id="96"/>
      <w:bookmarkEnd w:id="97"/>
      <w:r>
        <w:rPr>
          <w:rFonts w:hint="eastAsia" w:ascii="仿宋" w:hAnsi="仿宋" w:eastAsia="仿宋" w:cs="仿宋"/>
          <w:b/>
          <w:color w:val="auto"/>
          <w:sz w:val="24"/>
          <w:highlight w:val="none"/>
        </w:rPr>
        <w:t>5 履约检查和问题反馈</w:t>
      </w:r>
      <w:bookmarkEnd w:id="98"/>
      <w:bookmarkEnd w:id="99"/>
      <w:bookmarkEnd w:id="100"/>
    </w:p>
    <w:p w14:paraId="1E90EF19">
      <w:pPr>
        <w:spacing w:line="560" w:lineRule="exact"/>
        <w:ind w:firstLine="480" w:firstLineChars="200"/>
        <w:rPr>
          <w:rFonts w:hint="eastAsia" w:ascii="仿宋" w:hAnsi="仿宋" w:eastAsia="仿宋" w:cs="仿宋"/>
          <w:color w:val="auto"/>
          <w:sz w:val="24"/>
          <w:highlight w:val="none"/>
        </w:rPr>
      </w:pPr>
      <w:bookmarkStart w:id="101" w:name="_Ref467379657"/>
      <w:r>
        <w:rPr>
          <w:rFonts w:hint="eastAsia" w:ascii="仿宋" w:hAnsi="仿宋" w:eastAsia="仿宋" w:cs="仿宋"/>
          <w:color w:val="auto"/>
          <w:sz w:val="24"/>
          <w:highlight w:val="none"/>
        </w:rPr>
        <w:t>2.5.1</w:t>
      </w:r>
      <w:bookmarkEnd w:id="101"/>
      <w:bookmarkStart w:id="102" w:name="_Toc186431854"/>
      <w:bookmarkStart w:id="103" w:name="_Toc279701247"/>
      <w:bookmarkStart w:id="104" w:name="_Toc487900357"/>
      <w:bookmarkStart w:id="105" w:name="_Ref467379807"/>
      <w:bookmarkStart w:id="106" w:name="_Toc259093676"/>
      <w:bookmarkStart w:id="107" w:name="_Ref467379793"/>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color w:val="auto"/>
          <w:sz w:val="24"/>
          <w:highlight w:val="none"/>
        </w:rPr>
        <w:t>。</w:t>
      </w:r>
    </w:p>
    <w:bookmarkEnd w:id="103"/>
    <w:bookmarkEnd w:id="104"/>
    <w:bookmarkEnd w:id="105"/>
    <w:bookmarkEnd w:id="106"/>
    <w:bookmarkEnd w:id="107"/>
    <w:bookmarkEnd w:id="108"/>
    <w:p w14:paraId="000B5F36">
      <w:pPr>
        <w:spacing w:line="560" w:lineRule="exact"/>
        <w:ind w:firstLine="482" w:firstLineChars="200"/>
        <w:outlineLvl w:val="0"/>
        <w:rPr>
          <w:rFonts w:hint="eastAsia" w:ascii="仿宋" w:hAnsi="仿宋" w:eastAsia="仿宋" w:cs="仿宋"/>
          <w:b/>
          <w:color w:val="auto"/>
          <w:sz w:val="24"/>
          <w:highlight w:val="none"/>
        </w:rPr>
      </w:pPr>
      <w:bookmarkStart w:id="109" w:name="_Ref467379923"/>
      <w:bookmarkStart w:id="110" w:name="_Toc279701248"/>
      <w:bookmarkStart w:id="111" w:name="_Toc259093677"/>
      <w:bookmarkStart w:id="112" w:name="_Ref467379863"/>
      <w:bookmarkStart w:id="113" w:name="_Toc487900358"/>
      <w:bookmarkStart w:id="114" w:name="_Ref467379852"/>
      <w:bookmarkStart w:id="115" w:name="_Toc16110"/>
      <w:bookmarkStart w:id="116" w:name="_Toc3225"/>
      <w:bookmarkStart w:id="117" w:name="_Toc774"/>
      <w:r>
        <w:rPr>
          <w:rFonts w:hint="eastAsia" w:ascii="仿宋" w:hAnsi="仿宋" w:eastAsia="仿宋" w:cs="仿宋"/>
          <w:b/>
          <w:color w:val="auto"/>
          <w:sz w:val="24"/>
          <w:highlight w:val="none"/>
        </w:rPr>
        <w:t>2.6 技术资料</w:t>
      </w:r>
      <w:bookmarkEnd w:id="109"/>
      <w:bookmarkEnd w:id="110"/>
      <w:bookmarkEnd w:id="111"/>
      <w:bookmarkEnd w:id="112"/>
      <w:bookmarkEnd w:id="113"/>
      <w:bookmarkEnd w:id="114"/>
      <w:r>
        <w:rPr>
          <w:rFonts w:hint="eastAsia" w:ascii="仿宋" w:hAnsi="仿宋" w:eastAsia="仿宋" w:cs="仿宋"/>
          <w:b/>
          <w:color w:val="auto"/>
          <w:sz w:val="24"/>
          <w:highlight w:val="none"/>
        </w:rPr>
        <w:t>和保密义务</w:t>
      </w:r>
      <w:bookmarkEnd w:id="115"/>
      <w:bookmarkEnd w:id="116"/>
      <w:bookmarkEnd w:id="117"/>
    </w:p>
    <w:p w14:paraId="2C49F3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hint="eastAsia" w:ascii="仿宋" w:hAnsi="仿宋" w:eastAsia="仿宋" w:cs="仿宋"/>
          <w:b/>
          <w:color w:val="auto"/>
          <w:sz w:val="24"/>
          <w:highlight w:val="none"/>
        </w:rPr>
      </w:pPr>
      <w:bookmarkStart w:id="118" w:name="_Toc7860"/>
      <w:r>
        <w:rPr>
          <w:rFonts w:hint="eastAsia" w:ascii="仿宋" w:hAnsi="仿宋" w:eastAsia="仿宋" w:cs="仿宋"/>
          <w:b/>
          <w:color w:val="auto"/>
          <w:sz w:val="24"/>
          <w:highlight w:val="none"/>
        </w:rPr>
        <w:t>2.7 质量保证</w:t>
      </w:r>
      <w:bookmarkEnd w:id="118"/>
    </w:p>
    <w:p w14:paraId="5E24F1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hint="eastAsia" w:ascii="仿宋" w:hAnsi="仿宋" w:eastAsia="仿宋" w:cs="仿宋"/>
          <w:b/>
          <w:color w:val="auto"/>
          <w:sz w:val="24"/>
          <w:highlight w:val="none"/>
        </w:rPr>
      </w:pPr>
      <w:bookmarkStart w:id="119" w:name="_Toc17244"/>
      <w:bookmarkStart w:id="120" w:name="_Toc279701252"/>
      <w:bookmarkStart w:id="121" w:name="_Toc259093681"/>
      <w:bookmarkStart w:id="122" w:name="_Toc487900362"/>
      <w:r>
        <w:rPr>
          <w:rFonts w:hint="eastAsia" w:ascii="仿宋" w:hAnsi="仿宋" w:eastAsia="仿宋" w:cs="仿宋"/>
          <w:b/>
          <w:color w:val="auto"/>
          <w:sz w:val="24"/>
          <w:highlight w:val="none"/>
        </w:rPr>
        <w:t>2.8 货物的风险负担</w:t>
      </w:r>
      <w:bookmarkEnd w:id="119"/>
    </w:p>
    <w:p w14:paraId="39EA884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hint="eastAsia" w:ascii="仿宋" w:hAnsi="仿宋" w:eastAsia="仿宋" w:cs="仿宋"/>
          <w:b/>
          <w:color w:val="auto"/>
          <w:sz w:val="24"/>
          <w:highlight w:val="none"/>
        </w:rPr>
      </w:pPr>
      <w:bookmarkStart w:id="123" w:name="_Toc14055"/>
      <w:r>
        <w:rPr>
          <w:rFonts w:hint="eastAsia" w:ascii="仿宋" w:hAnsi="仿宋" w:eastAsia="仿宋" w:cs="仿宋"/>
          <w:b/>
          <w:color w:val="auto"/>
          <w:sz w:val="24"/>
          <w:highlight w:val="none"/>
        </w:rPr>
        <w:t>2.9 延迟交货</w:t>
      </w:r>
      <w:bookmarkEnd w:id="120"/>
      <w:bookmarkEnd w:id="121"/>
      <w:bookmarkEnd w:id="122"/>
      <w:bookmarkEnd w:id="123"/>
    </w:p>
    <w:p w14:paraId="52472D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hint="eastAsia" w:ascii="仿宋" w:hAnsi="仿宋" w:eastAsia="仿宋" w:cs="仿宋"/>
          <w:b/>
          <w:color w:val="auto"/>
          <w:sz w:val="24"/>
          <w:highlight w:val="none"/>
        </w:rPr>
      </w:pPr>
      <w:bookmarkStart w:id="124" w:name="_Toc7502"/>
      <w:bookmarkStart w:id="125" w:name="_Ref467378121"/>
      <w:bookmarkStart w:id="126" w:name="_Toc279701254"/>
      <w:bookmarkStart w:id="127" w:name="_Toc487900364"/>
      <w:bookmarkStart w:id="128" w:name="_Toc259093683"/>
      <w:r>
        <w:rPr>
          <w:rFonts w:hint="eastAsia" w:ascii="仿宋" w:hAnsi="仿宋" w:eastAsia="仿宋" w:cs="仿宋"/>
          <w:b/>
          <w:color w:val="auto"/>
          <w:sz w:val="24"/>
          <w:highlight w:val="none"/>
        </w:rPr>
        <w:t>2.10 合同变更</w:t>
      </w:r>
      <w:bookmarkEnd w:id="124"/>
    </w:p>
    <w:p w14:paraId="0C5360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9" w:name="_Toc487900369"/>
      <w:bookmarkStart w:id="130" w:name="_Toc259093688"/>
      <w:bookmarkStart w:id="131" w:name="_Toc279701259"/>
    </w:p>
    <w:p w14:paraId="596F432F">
      <w:pPr>
        <w:spacing w:line="560" w:lineRule="exact"/>
        <w:ind w:firstLine="482" w:firstLineChars="200"/>
        <w:outlineLvl w:val="0"/>
        <w:rPr>
          <w:rFonts w:hint="eastAsia" w:ascii="仿宋" w:hAnsi="仿宋" w:eastAsia="仿宋" w:cs="仿宋"/>
          <w:b/>
          <w:color w:val="auto"/>
          <w:sz w:val="24"/>
          <w:highlight w:val="none"/>
        </w:rPr>
      </w:pPr>
      <w:bookmarkStart w:id="132" w:name="_Toc10366"/>
      <w:bookmarkStart w:id="133" w:name="_Toc15237"/>
      <w:bookmarkStart w:id="134" w:name="_Toc22955"/>
      <w:r>
        <w:rPr>
          <w:rFonts w:hint="eastAsia" w:ascii="仿宋" w:hAnsi="仿宋" w:eastAsia="仿宋" w:cs="仿宋"/>
          <w:b/>
          <w:color w:val="auto"/>
          <w:sz w:val="24"/>
          <w:highlight w:val="none"/>
        </w:rPr>
        <w:t>2.11 合同转让</w:t>
      </w:r>
      <w:bookmarkEnd w:id="129"/>
      <w:bookmarkEnd w:id="130"/>
      <w:bookmarkEnd w:id="131"/>
      <w:r>
        <w:rPr>
          <w:rFonts w:hint="eastAsia" w:ascii="仿宋" w:hAnsi="仿宋" w:eastAsia="仿宋" w:cs="仿宋"/>
          <w:b/>
          <w:color w:val="auto"/>
          <w:sz w:val="24"/>
          <w:highlight w:val="none"/>
        </w:rPr>
        <w:t>和分包</w:t>
      </w:r>
      <w:bookmarkEnd w:id="132"/>
      <w:bookmarkEnd w:id="133"/>
      <w:bookmarkEnd w:id="134"/>
    </w:p>
    <w:p w14:paraId="7925B5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hint="eastAsia" w:ascii="仿宋" w:hAnsi="仿宋" w:eastAsia="仿宋" w:cs="仿宋"/>
          <w:b/>
          <w:color w:val="auto"/>
          <w:sz w:val="24"/>
          <w:highlight w:val="none"/>
        </w:rPr>
      </w:pPr>
      <w:bookmarkStart w:id="135" w:name="_Toc16508"/>
      <w:bookmarkStart w:id="136" w:name="_Toc14066"/>
      <w:bookmarkStart w:id="137" w:name="_Toc13566"/>
      <w:r>
        <w:rPr>
          <w:rFonts w:hint="eastAsia" w:ascii="仿宋" w:hAnsi="仿宋" w:eastAsia="仿宋" w:cs="仿宋"/>
          <w:b/>
          <w:color w:val="auto"/>
          <w:sz w:val="24"/>
          <w:highlight w:val="none"/>
        </w:rPr>
        <w:t>2.12 不可抗力</w:t>
      </w:r>
      <w:bookmarkEnd w:id="135"/>
      <w:bookmarkEnd w:id="136"/>
      <w:bookmarkEnd w:id="137"/>
    </w:p>
    <w:p w14:paraId="0AE97D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hint="eastAsia" w:ascii="仿宋" w:hAnsi="仿宋" w:eastAsia="仿宋" w:cs="仿宋"/>
          <w:b/>
          <w:color w:val="auto"/>
          <w:sz w:val="24"/>
          <w:highlight w:val="none"/>
        </w:rPr>
      </w:pPr>
      <w:bookmarkStart w:id="138" w:name="_Toc30676"/>
      <w:bookmarkStart w:id="139" w:name="_Toc259093684"/>
      <w:bookmarkStart w:id="140" w:name="_Toc487900365"/>
      <w:bookmarkStart w:id="141" w:name="_Toc279701255"/>
      <w:bookmarkStart w:id="142" w:name="_Toc6969"/>
      <w:bookmarkStart w:id="143" w:name="_Toc689"/>
      <w:r>
        <w:rPr>
          <w:rFonts w:hint="eastAsia" w:ascii="仿宋" w:hAnsi="仿宋" w:eastAsia="仿宋" w:cs="仿宋"/>
          <w:b/>
          <w:color w:val="auto"/>
          <w:sz w:val="24"/>
          <w:highlight w:val="none"/>
        </w:rPr>
        <w:t>2.13 税费</w:t>
      </w:r>
      <w:bookmarkEnd w:id="138"/>
      <w:bookmarkEnd w:id="139"/>
      <w:bookmarkEnd w:id="140"/>
      <w:bookmarkEnd w:id="141"/>
      <w:bookmarkEnd w:id="142"/>
      <w:bookmarkEnd w:id="143"/>
    </w:p>
    <w:p w14:paraId="2F46F5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hint="eastAsia" w:ascii="仿宋" w:hAnsi="仿宋" w:eastAsia="仿宋" w:cs="仿宋"/>
          <w:b/>
          <w:color w:val="auto"/>
          <w:sz w:val="24"/>
          <w:highlight w:val="none"/>
        </w:rPr>
      </w:pPr>
      <w:bookmarkStart w:id="144" w:name="_Toc487900368"/>
      <w:bookmarkStart w:id="145" w:name="_Toc7102"/>
      <w:bookmarkStart w:id="146" w:name="_Toc279701258"/>
      <w:bookmarkStart w:id="147" w:name="_Toc16959"/>
      <w:bookmarkStart w:id="148" w:name="_Toc259093687"/>
      <w:bookmarkStart w:id="149" w:name="_Toc8298"/>
      <w:r>
        <w:rPr>
          <w:rFonts w:hint="eastAsia" w:ascii="仿宋" w:hAnsi="仿宋" w:eastAsia="仿宋" w:cs="仿宋"/>
          <w:b/>
          <w:color w:val="auto"/>
          <w:sz w:val="24"/>
          <w:highlight w:val="none"/>
        </w:rPr>
        <w:t>2.14乙方破产</w:t>
      </w:r>
      <w:bookmarkEnd w:id="144"/>
      <w:bookmarkEnd w:id="145"/>
      <w:bookmarkEnd w:id="146"/>
      <w:bookmarkEnd w:id="147"/>
      <w:bookmarkEnd w:id="148"/>
      <w:bookmarkEnd w:id="149"/>
    </w:p>
    <w:p w14:paraId="172D9C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hint="eastAsia" w:ascii="仿宋" w:hAnsi="仿宋" w:eastAsia="仿宋" w:cs="仿宋"/>
          <w:b/>
          <w:color w:val="auto"/>
          <w:sz w:val="24"/>
          <w:highlight w:val="none"/>
        </w:rPr>
      </w:pPr>
      <w:bookmarkStart w:id="150" w:name="_Toc15387"/>
      <w:bookmarkStart w:id="151" w:name="_Toc29333"/>
      <w:bookmarkStart w:id="152" w:name="_Toc6134"/>
      <w:r>
        <w:rPr>
          <w:rFonts w:hint="eastAsia" w:ascii="仿宋" w:hAnsi="仿宋" w:eastAsia="仿宋" w:cs="仿宋"/>
          <w:b/>
          <w:color w:val="auto"/>
          <w:sz w:val="24"/>
          <w:highlight w:val="none"/>
        </w:rPr>
        <w:t>2.15 合同中止、终止</w:t>
      </w:r>
      <w:bookmarkEnd w:id="150"/>
      <w:bookmarkEnd w:id="151"/>
      <w:bookmarkEnd w:id="152"/>
    </w:p>
    <w:p w14:paraId="30DEA7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hint="eastAsia" w:ascii="仿宋" w:hAnsi="仿宋" w:eastAsia="仿宋" w:cs="仿宋"/>
          <w:b/>
          <w:color w:val="auto"/>
          <w:sz w:val="24"/>
          <w:highlight w:val="none"/>
        </w:rPr>
      </w:pPr>
      <w:bookmarkStart w:id="153" w:name="_Toc6596"/>
      <w:bookmarkStart w:id="154" w:name="_Toc1125"/>
      <w:bookmarkStart w:id="155" w:name="_Toc14563"/>
      <w:r>
        <w:rPr>
          <w:rFonts w:hint="eastAsia" w:ascii="仿宋" w:hAnsi="仿宋" w:eastAsia="仿宋" w:cs="仿宋"/>
          <w:b/>
          <w:color w:val="auto"/>
          <w:sz w:val="24"/>
          <w:highlight w:val="none"/>
        </w:rPr>
        <w:t>2.16检验和验收</w:t>
      </w:r>
      <w:bookmarkEnd w:id="153"/>
      <w:bookmarkEnd w:id="154"/>
      <w:bookmarkEnd w:id="155"/>
    </w:p>
    <w:p w14:paraId="2512401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5"/>
    <w:bookmarkEnd w:id="126"/>
    <w:bookmarkEnd w:id="127"/>
    <w:bookmarkEnd w:id="128"/>
    <w:p w14:paraId="1C659249">
      <w:pPr>
        <w:spacing w:line="560" w:lineRule="exact"/>
        <w:ind w:firstLine="482" w:firstLineChars="200"/>
        <w:outlineLvl w:val="0"/>
        <w:rPr>
          <w:rFonts w:hint="eastAsia" w:ascii="仿宋" w:hAnsi="仿宋" w:eastAsia="仿宋" w:cs="仿宋"/>
          <w:b/>
          <w:color w:val="auto"/>
          <w:sz w:val="24"/>
          <w:highlight w:val="none"/>
        </w:rPr>
      </w:pPr>
      <w:bookmarkStart w:id="156" w:name="_Toc259093690"/>
      <w:bookmarkStart w:id="157" w:name="_Toc487900371"/>
      <w:bookmarkStart w:id="158" w:name="_Toc279701261"/>
      <w:bookmarkStart w:id="159" w:name="_Toc11284"/>
      <w:bookmarkStart w:id="160" w:name="_Toc19604"/>
      <w:bookmarkStart w:id="161" w:name="_Toc25182"/>
      <w:r>
        <w:rPr>
          <w:rFonts w:hint="eastAsia" w:ascii="仿宋" w:hAnsi="仿宋" w:eastAsia="仿宋" w:cs="仿宋"/>
          <w:b/>
          <w:color w:val="auto"/>
          <w:sz w:val="24"/>
          <w:highlight w:val="none"/>
        </w:rPr>
        <w:t>2.17 通知</w:t>
      </w:r>
      <w:bookmarkEnd w:id="156"/>
      <w:bookmarkEnd w:id="157"/>
      <w:bookmarkEnd w:id="158"/>
      <w:r>
        <w:rPr>
          <w:rFonts w:hint="eastAsia" w:ascii="仿宋" w:hAnsi="仿宋" w:eastAsia="仿宋" w:cs="仿宋"/>
          <w:b/>
          <w:color w:val="auto"/>
          <w:sz w:val="24"/>
          <w:highlight w:val="none"/>
        </w:rPr>
        <w:t>和送达</w:t>
      </w:r>
      <w:bookmarkEnd w:id="159"/>
      <w:bookmarkEnd w:id="160"/>
      <w:bookmarkEnd w:id="161"/>
    </w:p>
    <w:p w14:paraId="0467D0A3">
      <w:pPr>
        <w:spacing w:line="560" w:lineRule="exact"/>
        <w:ind w:firstLine="480" w:firstLineChars="200"/>
        <w:rPr>
          <w:rFonts w:hint="eastAsia" w:ascii="仿宋" w:hAnsi="仿宋" w:eastAsia="仿宋" w:cs="仿宋"/>
          <w:color w:val="auto"/>
          <w:sz w:val="24"/>
          <w:highlight w:val="none"/>
        </w:rPr>
      </w:pPr>
      <w:bookmarkStart w:id="162" w:name="_Toc3135"/>
      <w:bookmarkStart w:id="163" w:name="_Toc6698"/>
      <w:bookmarkStart w:id="164" w:name="_Toc279701262"/>
      <w:bookmarkStart w:id="165" w:name="_Toc487900372"/>
      <w:bookmarkStart w:id="166"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2"/>
      <w:bookmarkEnd w:id="163"/>
    </w:p>
    <w:p w14:paraId="6E02052A">
      <w:pPr>
        <w:spacing w:line="560" w:lineRule="exact"/>
        <w:ind w:firstLine="480" w:firstLineChars="200"/>
        <w:rPr>
          <w:rFonts w:hint="eastAsia" w:ascii="仿宋" w:hAnsi="仿宋" w:eastAsia="仿宋" w:cs="仿宋"/>
          <w:color w:val="auto"/>
          <w:sz w:val="24"/>
          <w:highlight w:val="none"/>
        </w:rPr>
      </w:pPr>
      <w:bookmarkStart w:id="167" w:name="_Toc23294"/>
      <w:bookmarkStart w:id="16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14:paraId="3E022699">
      <w:pPr>
        <w:spacing w:line="560" w:lineRule="exact"/>
        <w:ind w:firstLine="482" w:firstLineChars="200"/>
        <w:outlineLvl w:val="0"/>
        <w:rPr>
          <w:rFonts w:hint="eastAsia" w:ascii="仿宋" w:hAnsi="仿宋" w:eastAsia="仿宋" w:cs="仿宋"/>
          <w:b/>
          <w:color w:val="auto"/>
          <w:sz w:val="24"/>
          <w:highlight w:val="none"/>
        </w:rPr>
      </w:pPr>
      <w:bookmarkStart w:id="169" w:name="_Toc30599"/>
      <w:bookmarkStart w:id="170" w:name="_Toc18540"/>
      <w:bookmarkStart w:id="171" w:name="_Toc4355"/>
      <w:r>
        <w:rPr>
          <w:rFonts w:hint="eastAsia" w:ascii="仿宋" w:hAnsi="仿宋" w:eastAsia="仿宋" w:cs="仿宋"/>
          <w:b/>
          <w:color w:val="auto"/>
          <w:sz w:val="24"/>
          <w:highlight w:val="none"/>
        </w:rPr>
        <w:t>2.18 计量单位</w:t>
      </w:r>
      <w:bookmarkEnd w:id="164"/>
      <w:bookmarkEnd w:id="165"/>
      <w:bookmarkEnd w:id="166"/>
      <w:bookmarkEnd w:id="169"/>
      <w:bookmarkEnd w:id="170"/>
      <w:bookmarkEnd w:id="171"/>
    </w:p>
    <w:p w14:paraId="6F8C82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hint="eastAsia" w:ascii="仿宋" w:hAnsi="仿宋" w:eastAsia="仿宋" w:cs="仿宋"/>
          <w:b/>
          <w:color w:val="auto"/>
          <w:sz w:val="24"/>
          <w:highlight w:val="none"/>
        </w:rPr>
      </w:pPr>
      <w:bookmarkStart w:id="172" w:name="_Toc12773"/>
      <w:bookmarkStart w:id="173" w:name="_Toc10330"/>
      <w:bookmarkStart w:id="174" w:name="_Toc259093692"/>
      <w:bookmarkStart w:id="175" w:name="_Toc279701263"/>
      <w:bookmarkStart w:id="176" w:name="_Toc487900373"/>
      <w:bookmarkStart w:id="177" w:name="_Toc18567"/>
      <w:r>
        <w:rPr>
          <w:rFonts w:hint="eastAsia" w:ascii="仿宋" w:hAnsi="仿宋" w:eastAsia="仿宋" w:cs="仿宋"/>
          <w:b/>
          <w:color w:val="auto"/>
          <w:sz w:val="24"/>
          <w:highlight w:val="none"/>
        </w:rPr>
        <w:t>2.19 合同使用的文字和适用的法律</w:t>
      </w:r>
      <w:bookmarkEnd w:id="172"/>
      <w:bookmarkEnd w:id="173"/>
      <w:bookmarkEnd w:id="174"/>
      <w:bookmarkEnd w:id="175"/>
      <w:bookmarkEnd w:id="176"/>
      <w:bookmarkEnd w:id="177"/>
    </w:p>
    <w:p w14:paraId="6F90E1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hint="eastAsia" w:ascii="仿宋" w:hAnsi="仿宋" w:eastAsia="仿宋" w:cs="仿宋"/>
          <w:b/>
          <w:color w:val="auto"/>
          <w:sz w:val="24"/>
          <w:highlight w:val="none"/>
        </w:rPr>
      </w:pPr>
      <w:bookmarkStart w:id="178" w:name="_Toc19890"/>
      <w:bookmarkStart w:id="179" w:name="_Toc6885"/>
      <w:bookmarkStart w:id="180" w:name="_Toc14001"/>
      <w:r>
        <w:rPr>
          <w:rFonts w:hint="eastAsia" w:ascii="仿宋" w:hAnsi="仿宋" w:eastAsia="仿宋" w:cs="仿宋"/>
          <w:b/>
          <w:color w:val="auto"/>
          <w:sz w:val="24"/>
          <w:highlight w:val="none"/>
        </w:rPr>
        <w:t>2.20 合同份数</w:t>
      </w:r>
      <w:bookmarkEnd w:id="178"/>
      <w:bookmarkEnd w:id="179"/>
      <w:bookmarkEnd w:id="180"/>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1" w:name="_Toc331685784"/>
      <w:bookmarkEnd w:id="181"/>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p w14:paraId="067BB045">
      <w:pPr>
        <w:pStyle w:val="18"/>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1</w:t>
      </w:r>
      <w:r>
        <w:rPr>
          <w:rFonts w:hint="eastAsia" w:ascii="仿宋" w:hAnsi="仿宋" w:eastAsia="仿宋" w:cs="仿宋"/>
          <w:b/>
          <w:bCs/>
          <w:color w:val="auto"/>
          <w:sz w:val="24"/>
          <w:highlight w:val="none"/>
          <w:bdr w:val="single" w:color="auto" w:sz="4" w:space="0"/>
        </w:rPr>
        <w:t>标</w:t>
      </w:r>
    </w:p>
    <w:tbl>
      <w:tblPr>
        <w:tblStyle w:val="45"/>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789"/>
        <w:gridCol w:w="750"/>
        <w:gridCol w:w="6270"/>
        <w:gridCol w:w="741"/>
      </w:tblGrid>
      <w:tr w14:paraId="1BC1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7" w:type="pct"/>
            <w:noWrap w:val="0"/>
            <w:vAlign w:val="center"/>
          </w:tcPr>
          <w:p w14:paraId="72859E1A">
            <w:pPr>
              <w:widowControl/>
              <w:jc w:val="center"/>
              <w:rPr>
                <w:rFonts w:hint="eastAsia" w:ascii="仿宋" w:hAnsi="仿宋" w:eastAsia="仿宋" w:cs="仿宋"/>
                <w:color w:val="0000FF"/>
                <w:highlight w:val="none"/>
                <w:lang w:val="en-US" w:eastAsia="zh-CN"/>
              </w:rPr>
            </w:pPr>
            <w:r>
              <w:rPr>
                <w:rFonts w:hint="eastAsia" w:ascii="仿宋" w:hAnsi="仿宋" w:eastAsia="仿宋" w:cs="仿宋"/>
                <w:color w:val="0000FF"/>
                <w:highlight w:val="none"/>
                <w:lang w:val="en-US" w:eastAsia="zh-CN"/>
              </w:rPr>
              <w:t>序号</w:t>
            </w:r>
          </w:p>
        </w:tc>
        <w:tc>
          <w:tcPr>
            <w:tcW w:w="835" w:type="pct"/>
            <w:gridSpan w:val="2"/>
            <w:noWrap w:val="0"/>
            <w:vAlign w:val="center"/>
          </w:tcPr>
          <w:p w14:paraId="6C60D5F4">
            <w:pPr>
              <w:widowControl/>
              <w:jc w:val="center"/>
              <w:rPr>
                <w:rFonts w:hint="eastAsia" w:ascii="仿宋" w:hAnsi="仿宋" w:eastAsia="仿宋" w:cs="仿宋"/>
                <w:b/>
                <w:bCs/>
                <w:color w:val="000000"/>
                <w:kern w:val="0"/>
                <w:szCs w:val="21"/>
                <w:highlight w:val="none"/>
              </w:rPr>
            </w:pPr>
            <w:r>
              <w:rPr>
                <w:rFonts w:hint="eastAsia" w:ascii="仿宋" w:hAnsi="仿宋" w:eastAsia="仿宋" w:cs="仿宋"/>
                <w:color w:val="0000FF"/>
                <w:highlight w:val="none"/>
                <w:lang w:val="en-US" w:eastAsia="zh-CN"/>
              </w:rPr>
              <w:t xml:space="preserve"> </w:t>
            </w:r>
            <w:r>
              <w:rPr>
                <w:rFonts w:hint="eastAsia" w:ascii="仿宋" w:hAnsi="仿宋" w:eastAsia="仿宋" w:cs="仿宋"/>
                <w:b/>
                <w:bCs/>
                <w:color w:val="000000"/>
                <w:kern w:val="0"/>
                <w:szCs w:val="21"/>
                <w:highlight w:val="none"/>
              </w:rPr>
              <w:t>评审内容</w:t>
            </w:r>
          </w:p>
        </w:tc>
        <w:tc>
          <w:tcPr>
            <w:tcW w:w="3404" w:type="pct"/>
            <w:noWrap w:val="0"/>
            <w:vAlign w:val="top"/>
          </w:tcPr>
          <w:p w14:paraId="799C184B">
            <w:pPr>
              <w:widowControl/>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评分标准</w:t>
            </w:r>
          </w:p>
        </w:tc>
        <w:tc>
          <w:tcPr>
            <w:tcW w:w="402" w:type="pct"/>
            <w:noWrap w:val="0"/>
            <w:vAlign w:val="center"/>
          </w:tcPr>
          <w:p w14:paraId="173D6095">
            <w:pPr>
              <w:widowControl/>
              <w:jc w:val="center"/>
              <w:rPr>
                <w:rFonts w:hint="eastAsia" w:ascii="仿宋" w:hAnsi="仿宋" w:eastAsia="仿宋" w:cs="仿宋"/>
                <w:b/>
                <w:bCs/>
                <w:color w:val="000000"/>
                <w:kern w:val="0"/>
                <w:szCs w:val="21"/>
                <w:highlight w:val="none"/>
              </w:rPr>
            </w:pPr>
            <w:r>
              <w:rPr>
                <w:rFonts w:hint="eastAsia" w:ascii="仿宋" w:hAnsi="仿宋" w:eastAsia="仿宋" w:cs="仿宋"/>
                <w:b/>
                <w:bCs/>
                <w:color w:val="000000"/>
                <w:kern w:val="0"/>
                <w:szCs w:val="21"/>
                <w:highlight w:val="none"/>
              </w:rPr>
              <w:t>分值</w:t>
            </w:r>
          </w:p>
        </w:tc>
      </w:tr>
      <w:tr w14:paraId="0A0A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1C5A0B41">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w:t>
            </w:r>
          </w:p>
        </w:tc>
        <w:tc>
          <w:tcPr>
            <w:tcW w:w="835" w:type="pct"/>
            <w:gridSpan w:val="2"/>
            <w:noWrap w:val="0"/>
            <w:vAlign w:val="center"/>
          </w:tcPr>
          <w:p w14:paraId="5133C642">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类似业绩</w:t>
            </w:r>
          </w:p>
        </w:tc>
        <w:tc>
          <w:tcPr>
            <w:tcW w:w="3404" w:type="pct"/>
            <w:noWrap w:val="0"/>
            <w:vAlign w:val="center"/>
          </w:tcPr>
          <w:p w14:paraId="129D8541">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投标人提供</w:t>
            </w:r>
            <w:r>
              <w:rPr>
                <w:rFonts w:hint="eastAsia" w:ascii="仿宋" w:hAnsi="仿宋" w:eastAsia="仿宋" w:cs="仿宋"/>
                <w:color w:val="000000"/>
                <w:szCs w:val="21"/>
                <w:highlight w:val="none"/>
              </w:rPr>
              <w:t>202</w:t>
            </w:r>
            <w:r>
              <w:rPr>
                <w:rFonts w:hint="eastAsia" w:ascii="仿宋" w:hAnsi="仿宋" w:eastAsia="仿宋" w:cs="仿宋"/>
                <w:color w:val="000000"/>
                <w:szCs w:val="21"/>
                <w:highlight w:val="none"/>
                <w:lang w:val="en-US" w:eastAsia="zh-CN"/>
              </w:rPr>
              <w:t>1</w:t>
            </w:r>
            <w:r>
              <w:rPr>
                <w:rFonts w:hint="eastAsia" w:ascii="仿宋" w:hAnsi="仿宋" w:eastAsia="仿宋" w:cs="仿宋"/>
                <w:color w:val="000000"/>
                <w:szCs w:val="21"/>
                <w:highlight w:val="none"/>
              </w:rPr>
              <w:t>年1月1日以来</w:t>
            </w:r>
            <w:r>
              <w:rPr>
                <w:rFonts w:hint="eastAsia" w:ascii="仿宋" w:hAnsi="仿宋" w:eastAsia="仿宋" w:cs="仿宋"/>
                <w:color w:val="000000"/>
                <w:szCs w:val="21"/>
                <w:highlight w:val="none"/>
              </w:rPr>
              <w:t>三级医院同类案例（合同文本中须有“疾病精细化管理服务”字样），每个得0.5分，本项最高得2分。</w:t>
            </w:r>
          </w:p>
          <w:p w14:paraId="63A54151">
            <w:pPr>
              <w:widowControl/>
              <w:rPr>
                <w:rFonts w:hint="eastAsia" w:ascii="仿宋" w:hAnsi="仿宋" w:eastAsia="仿宋" w:cs="仿宋"/>
                <w:color w:val="000000"/>
                <w:kern w:val="0"/>
                <w:szCs w:val="21"/>
                <w:highlight w:val="none"/>
              </w:rPr>
            </w:pPr>
            <w:r>
              <w:rPr>
                <w:rFonts w:hint="eastAsia" w:ascii="仿宋" w:hAnsi="仿宋" w:eastAsia="仿宋" w:cs="仿宋"/>
                <w:b/>
                <w:color w:val="000000"/>
                <w:szCs w:val="21"/>
                <w:highlight w:val="none"/>
              </w:rPr>
              <w:t>（提供合同复印件加盖公章。合同须能反映签订时间、合同盖章页、关键内容页等相关信息，提供的合同若不能体现相关信息的，不得分）</w:t>
            </w:r>
          </w:p>
        </w:tc>
        <w:tc>
          <w:tcPr>
            <w:tcW w:w="402" w:type="pct"/>
            <w:noWrap w:val="0"/>
            <w:vAlign w:val="center"/>
          </w:tcPr>
          <w:p w14:paraId="19C835A2">
            <w:pPr>
              <w:widowControl/>
              <w:jc w:val="center"/>
              <w:rPr>
                <w:rFonts w:hint="eastAsia" w:ascii="仿宋" w:hAnsi="仿宋" w:eastAsia="仿宋" w:cs="仿宋"/>
                <w:color w:val="000000"/>
                <w:szCs w:val="21"/>
                <w:highlight w:val="none"/>
              </w:rPr>
            </w:pPr>
            <w:r>
              <w:rPr>
                <w:rFonts w:hint="eastAsia" w:ascii="仿宋" w:hAnsi="仿宋" w:eastAsia="仿宋" w:cs="仿宋"/>
                <w:color w:val="000000"/>
                <w:kern w:val="0"/>
                <w:szCs w:val="21"/>
                <w:highlight w:val="none"/>
              </w:rPr>
              <w:t>2</w:t>
            </w:r>
          </w:p>
        </w:tc>
      </w:tr>
      <w:tr w14:paraId="0816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7DAE8129">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2</w:t>
            </w:r>
          </w:p>
        </w:tc>
        <w:tc>
          <w:tcPr>
            <w:tcW w:w="835" w:type="pct"/>
            <w:gridSpan w:val="2"/>
            <w:noWrap w:val="0"/>
            <w:vAlign w:val="center"/>
          </w:tcPr>
          <w:p w14:paraId="2948D84B">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履约能力</w:t>
            </w:r>
          </w:p>
        </w:tc>
        <w:tc>
          <w:tcPr>
            <w:tcW w:w="3404" w:type="pct"/>
            <w:noWrap w:val="0"/>
            <w:vAlign w:val="center"/>
          </w:tcPr>
          <w:p w14:paraId="1CA7EA82">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lang w:eastAsia="zh-CN"/>
              </w:rPr>
              <w:t>投标人</w:t>
            </w:r>
            <w:r>
              <w:rPr>
                <w:rFonts w:hint="eastAsia" w:ascii="仿宋" w:hAnsi="仿宋" w:eastAsia="仿宋" w:cs="仿宋"/>
                <w:color w:val="000000"/>
                <w:szCs w:val="21"/>
                <w:highlight w:val="none"/>
              </w:rPr>
              <w:t>需具备履约能力，本项最高8分。</w:t>
            </w:r>
          </w:p>
          <w:p w14:paraId="3F8EB4D5">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1）提供疾病精细化管理系统类、医学减重管理系统类、智能营养管理系统类和智能运动康复系统类计算机软件著作权登记证书的，每提供1类得1分，本项得最高4分；每类证书不重复计分。</w:t>
            </w:r>
          </w:p>
          <w:p w14:paraId="5F037E5F">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2</w:t>
            </w:r>
            <w:r>
              <w:rPr>
                <w:rFonts w:hint="eastAsia" w:ascii="仿宋" w:hAnsi="仿宋" w:eastAsia="仿宋" w:cs="仿宋"/>
                <w:color w:val="000000"/>
                <w:szCs w:val="21"/>
                <w:highlight w:val="none"/>
                <w:lang w:eastAsia="zh-CN"/>
              </w:rPr>
              <w:t>）</w:t>
            </w:r>
            <w:r>
              <w:rPr>
                <w:rFonts w:hint="eastAsia" w:ascii="仿宋" w:hAnsi="仿宋" w:eastAsia="仿宋" w:cs="仿宋"/>
                <w:color w:val="000000"/>
                <w:szCs w:val="21"/>
                <w:highlight w:val="none"/>
              </w:rPr>
              <w:t>提供广播电视节目制作经营许可证证书的，得1分；</w:t>
            </w:r>
          </w:p>
          <w:p w14:paraId="42F0B1E0">
            <w:pPr>
              <w:widowControl/>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3）提供信息安全管理体系认证证书，得1分；</w:t>
            </w:r>
          </w:p>
          <w:p w14:paraId="4B8895A9">
            <w:pPr>
              <w:pStyle w:val="19"/>
              <w:ind w:left="0" w:leftChars="0"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4）提供信息技术服务管理体系认证证书，得1分；</w:t>
            </w:r>
          </w:p>
          <w:p w14:paraId="639CDA5E">
            <w:pPr>
              <w:pStyle w:val="19"/>
              <w:ind w:left="0" w:leftChars="0" w:firstLine="0" w:firstLineChars="0"/>
              <w:rPr>
                <w:rFonts w:hint="eastAsia" w:ascii="仿宋" w:hAnsi="仿宋" w:eastAsia="仿宋" w:cs="仿宋"/>
                <w:color w:val="0000FF"/>
                <w:highlight w:val="none"/>
              </w:rPr>
            </w:pPr>
            <w:r>
              <w:rPr>
                <w:rFonts w:hint="eastAsia" w:ascii="仿宋" w:hAnsi="仿宋" w:eastAsia="仿宋" w:cs="仿宋"/>
                <w:bCs/>
                <w:kern w:val="2"/>
                <w:sz w:val="21"/>
                <w:szCs w:val="24"/>
                <w:highlight w:val="none"/>
                <w:lang w:val="en-US" w:eastAsia="zh-CN" w:bidi="ar-SA"/>
              </w:rPr>
              <w:t>5）提供近三年内有与省级或以上卫生医疗机构合作有诊后疾病管理相关的课题的，每提供1个得1分，本项最高1分。</w:t>
            </w:r>
          </w:p>
          <w:p w14:paraId="5CC35837">
            <w:pPr>
              <w:widowControl/>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szCs w:val="21"/>
                <w:highlight w:val="none"/>
              </w:rPr>
              <w:t>（上述1--4提供证书复印件并加盖</w:t>
            </w:r>
            <w:r>
              <w:rPr>
                <w:rFonts w:hint="eastAsia" w:ascii="仿宋" w:hAnsi="仿宋" w:eastAsia="仿宋" w:cs="仿宋"/>
                <w:color w:val="000000"/>
                <w:szCs w:val="21"/>
                <w:highlight w:val="none"/>
                <w:lang w:eastAsia="zh-CN"/>
              </w:rPr>
              <w:t>投标人</w:t>
            </w:r>
            <w:r>
              <w:rPr>
                <w:rFonts w:hint="eastAsia" w:ascii="仿宋" w:hAnsi="仿宋" w:eastAsia="仿宋" w:cs="仿宋"/>
                <w:color w:val="000000"/>
                <w:szCs w:val="21"/>
                <w:highlight w:val="none"/>
              </w:rPr>
              <w:t>公章，上述5提供相关协议复印件并</w:t>
            </w:r>
            <w:r>
              <w:rPr>
                <w:rFonts w:hint="eastAsia" w:ascii="仿宋" w:hAnsi="仿宋" w:eastAsia="仿宋" w:cs="仿宋"/>
                <w:color w:val="000000"/>
                <w:szCs w:val="21"/>
                <w:highlight w:val="none"/>
                <w:lang w:eastAsia="zh-CN"/>
              </w:rPr>
              <w:t>投标人</w:t>
            </w:r>
            <w:r>
              <w:rPr>
                <w:rFonts w:hint="eastAsia" w:ascii="仿宋" w:hAnsi="仿宋" w:eastAsia="仿宋" w:cs="仿宋"/>
                <w:color w:val="000000"/>
                <w:szCs w:val="21"/>
                <w:highlight w:val="none"/>
              </w:rPr>
              <w:t>加盖公章，未提供不得分）</w:t>
            </w:r>
            <w:r>
              <w:rPr>
                <w:rFonts w:hint="eastAsia" w:ascii="仿宋" w:hAnsi="仿宋" w:eastAsia="仿宋" w:cs="仿宋"/>
                <w:color w:val="00B050"/>
                <w:highlight w:val="none"/>
                <w:lang w:val="en-US" w:eastAsia="zh-CN"/>
              </w:rPr>
              <w:t xml:space="preserve"> </w:t>
            </w:r>
          </w:p>
        </w:tc>
        <w:tc>
          <w:tcPr>
            <w:tcW w:w="402" w:type="pct"/>
            <w:noWrap w:val="0"/>
            <w:vAlign w:val="center"/>
          </w:tcPr>
          <w:p w14:paraId="57E3DBD1">
            <w:pPr>
              <w:widowControl/>
              <w:jc w:val="center"/>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8</w:t>
            </w:r>
          </w:p>
        </w:tc>
      </w:tr>
      <w:tr w14:paraId="3067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56C8D1E1">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3</w:t>
            </w:r>
          </w:p>
        </w:tc>
        <w:tc>
          <w:tcPr>
            <w:tcW w:w="835" w:type="pct"/>
            <w:gridSpan w:val="2"/>
            <w:noWrap w:val="0"/>
            <w:vAlign w:val="center"/>
          </w:tcPr>
          <w:p w14:paraId="7B5A832E">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服务方案</w:t>
            </w:r>
          </w:p>
          <w:p w14:paraId="689B6E6A">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制定能力</w:t>
            </w:r>
          </w:p>
        </w:tc>
        <w:tc>
          <w:tcPr>
            <w:tcW w:w="3404" w:type="pct"/>
            <w:noWrap w:val="0"/>
            <w:vAlign w:val="center"/>
          </w:tcPr>
          <w:p w14:paraId="3A50298C">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根据投标人针对本项目制定的服务方案进行综合评分，内容包括</w:t>
            </w:r>
          </w:p>
          <w:p w14:paraId="13A1C782">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1)诊后疾病精细化标准管理服务方案；</w:t>
            </w:r>
          </w:p>
          <w:p w14:paraId="0888993F">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2)生活方式干预管理服务方案；</w:t>
            </w:r>
          </w:p>
          <w:p w14:paraId="695F4267">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3)心理咨询服务方案；</w:t>
            </w:r>
          </w:p>
          <w:p w14:paraId="67494C96">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4)新媒体患者运营服务方案。</w:t>
            </w:r>
          </w:p>
          <w:p w14:paraId="2DB73256">
            <w:pPr>
              <w:widowControl/>
              <w:rPr>
                <w:rFonts w:hint="eastAsia" w:ascii="仿宋" w:hAnsi="仿宋" w:eastAsia="仿宋" w:cs="仿宋"/>
                <w:color w:val="000000"/>
                <w:szCs w:val="21"/>
                <w:highlight w:val="none"/>
              </w:rPr>
            </w:pPr>
            <w:r>
              <w:rPr>
                <w:rFonts w:hint="eastAsia" w:ascii="仿宋" w:hAnsi="仿宋" w:eastAsia="仿宋" w:cs="仿宋"/>
                <w:color w:val="000000"/>
                <w:kern w:val="0"/>
                <w:szCs w:val="21"/>
                <w:highlight w:val="none"/>
                <w:lang w:val="zh-CN"/>
              </w:rPr>
              <w:t>每提供一个</w:t>
            </w:r>
            <w:r>
              <w:rPr>
                <w:rFonts w:hint="eastAsia" w:ascii="仿宋" w:hAnsi="仿宋" w:eastAsia="仿宋" w:cs="仿宋"/>
                <w:color w:val="000000"/>
                <w:szCs w:val="21"/>
                <w:highlight w:val="none"/>
                <w:lang w:val="zh-CN"/>
              </w:rPr>
              <w:t>科学</w:t>
            </w:r>
            <w:r>
              <w:rPr>
                <w:rFonts w:hint="eastAsia" w:ascii="仿宋" w:hAnsi="仿宋" w:eastAsia="仿宋" w:cs="仿宋"/>
                <w:color w:val="000000"/>
                <w:szCs w:val="21"/>
                <w:highlight w:val="none"/>
              </w:rPr>
              <w:t>可行、实操性强且内容完整的以上服务方案，得</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2分</w:t>
            </w:r>
            <w:r>
              <w:rPr>
                <w:rFonts w:hint="eastAsia" w:ascii="仿宋" w:hAnsi="仿宋" w:eastAsia="仿宋" w:cs="仿宋"/>
                <w:color w:val="000000"/>
                <w:szCs w:val="21"/>
                <w:highlight w:val="none"/>
              </w:rPr>
              <w:t>，本项最高8分。</w:t>
            </w:r>
          </w:p>
          <w:p w14:paraId="41B04639">
            <w:pPr>
              <w:widowControl/>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zh-CN"/>
              </w:rPr>
              <w:t>未提及或内容有缺陷的服务方案不得分。</w:t>
            </w:r>
          </w:p>
        </w:tc>
        <w:tc>
          <w:tcPr>
            <w:tcW w:w="402" w:type="pct"/>
            <w:noWrap w:val="0"/>
            <w:vAlign w:val="center"/>
          </w:tcPr>
          <w:p w14:paraId="5672E64F">
            <w:pPr>
              <w:widowControl/>
              <w:jc w:val="center"/>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rPr>
              <w:t>8</w:t>
            </w:r>
          </w:p>
        </w:tc>
      </w:tr>
      <w:tr w14:paraId="4136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7CE71817">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4</w:t>
            </w:r>
          </w:p>
        </w:tc>
        <w:tc>
          <w:tcPr>
            <w:tcW w:w="835" w:type="pct"/>
            <w:gridSpan w:val="2"/>
            <w:noWrap w:val="0"/>
            <w:vAlign w:val="center"/>
          </w:tcPr>
          <w:p w14:paraId="5A1CC39E">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zh-CN"/>
              </w:rPr>
              <w:t>工作管理体系及绩效考核方案</w:t>
            </w:r>
          </w:p>
        </w:tc>
        <w:tc>
          <w:tcPr>
            <w:tcW w:w="3404" w:type="pct"/>
            <w:noWrap w:val="0"/>
            <w:vAlign w:val="center"/>
          </w:tcPr>
          <w:p w14:paraId="3EE7237F">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根据投标人为本项目提供的服务工作管理体系及绩效考核方案，内容包括但不限于服务人员的工作流程、办公场地6S标准管理规范、服务人员绩效考核办法、关键节点SOP操作规范、岗位具体工作职责、岗位分工等的情况进行综合评分：</w:t>
            </w:r>
          </w:p>
          <w:p w14:paraId="27843325">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人员安排合理、工作流程全面完善、绩效考核办法操作性强、6S标准管理规范合理的，得</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5</w:t>
            </w:r>
            <w:r>
              <w:rPr>
                <w:rFonts w:hint="eastAsia" w:ascii="仿宋" w:hAnsi="仿宋" w:eastAsia="仿宋" w:cs="仿宋"/>
                <w:color w:val="auto"/>
                <w:kern w:val="0"/>
                <w:szCs w:val="21"/>
                <w:highlight w:val="none"/>
                <w:lang w:val="zh-CN"/>
              </w:rPr>
              <w:t>分；</w:t>
            </w:r>
          </w:p>
          <w:p w14:paraId="053DEF90">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人员安排较合理、工作流程较全面完善、绩效考核办法操作性较强、6S标准管理规范较合理的，得</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3.9</w:t>
            </w:r>
            <w:r>
              <w:rPr>
                <w:rFonts w:hint="eastAsia" w:ascii="仿宋" w:hAnsi="仿宋" w:eastAsia="仿宋" w:cs="仿宋"/>
                <w:color w:val="auto"/>
                <w:kern w:val="0"/>
                <w:szCs w:val="21"/>
                <w:highlight w:val="none"/>
                <w:lang w:val="zh-CN"/>
              </w:rPr>
              <w:t>分；</w:t>
            </w:r>
          </w:p>
          <w:p w14:paraId="143F7223">
            <w:pPr>
              <w:widowControl/>
              <w:rPr>
                <w:rFonts w:hint="eastAsia" w:ascii="仿宋" w:hAnsi="仿宋" w:eastAsia="仿宋" w:cs="仿宋"/>
                <w:color w:val="000000"/>
                <w:kern w:val="0"/>
                <w:szCs w:val="21"/>
                <w:highlight w:val="none"/>
              </w:rPr>
            </w:pPr>
            <w:r>
              <w:rPr>
                <w:rFonts w:hint="eastAsia" w:ascii="仿宋" w:hAnsi="仿宋" w:eastAsia="仿宋" w:cs="仿宋"/>
                <w:color w:val="auto"/>
                <w:kern w:val="0"/>
                <w:szCs w:val="21"/>
                <w:highlight w:val="none"/>
                <w:lang w:val="zh-CN"/>
              </w:rPr>
              <w:t>人员安排及工作流程合理性一般、绩效考核办法操作性一般、6S标准管理规范一般的，得</w:t>
            </w:r>
            <w:r>
              <w:rPr>
                <w:rFonts w:hint="eastAsia" w:ascii="仿宋" w:hAnsi="仿宋" w:eastAsia="仿宋" w:cs="仿宋"/>
                <w:color w:val="auto"/>
                <w:kern w:val="0"/>
                <w:szCs w:val="21"/>
                <w:highlight w:val="none"/>
                <w:lang w:val="en-US" w:eastAsia="zh-CN"/>
              </w:rPr>
              <w:t>0</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1.9</w:t>
            </w:r>
            <w:r>
              <w:rPr>
                <w:rFonts w:hint="eastAsia" w:ascii="仿宋" w:hAnsi="仿宋" w:eastAsia="仿宋" w:cs="仿宋"/>
                <w:color w:val="auto"/>
                <w:kern w:val="0"/>
                <w:szCs w:val="21"/>
                <w:highlight w:val="none"/>
                <w:lang w:val="zh-CN"/>
              </w:rPr>
              <w:t>分。</w:t>
            </w:r>
          </w:p>
        </w:tc>
        <w:tc>
          <w:tcPr>
            <w:tcW w:w="402" w:type="pct"/>
            <w:noWrap w:val="0"/>
            <w:vAlign w:val="center"/>
          </w:tcPr>
          <w:p w14:paraId="231F9BE1">
            <w:pPr>
              <w:widowControl/>
              <w:jc w:val="center"/>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rPr>
              <w:t>5</w:t>
            </w:r>
          </w:p>
        </w:tc>
      </w:tr>
      <w:tr w14:paraId="64F0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3D20FEBF">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5</w:t>
            </w:r>
          </w:p>
        </w:tc>
        <w:tc>
          <w:tcPr>
            <w:tcW w:w="835" w:type="pct"/>
            <w:gridSpan w:val="2"/>
            <w:noWrap w:val="0"/>
            <w:vAlign w:val="center"/>
          </w:tcPr>
          <w:p w14:paraId="0F2773ED">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安全保密方案</w:t>
            </w:r>
          </w:p>
        </w:tc>
        <w:tc>
          <w:tcPr>
            <w:tcW w:w="3404" w:type="pct"/>
            <w:noWrap w:val="0"/>
            <w:vAlign w:val="center"/>
          </w:tcPr>
          <w:p w14:paraId="40989B12">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根据投标人为本项目提供的安全保密方案，内容包括但不限于安全责任制度、数据资料保密管理措施等的情况进行综合评分：</w:t>
            </w:r>
          </w:p>
          <w:p w14:paraId="5FCC00F9">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安全责任制度内容详细完善可行、数据资料保密制度齐全、措施到位的，得</w:t>
            </w:r>
            <w:r>
              <w:rPr>
                <w:rFonts w:hint="eastAsia" w:ascii="仿宋" w:hAnsi="仿宋" w:eastAsia="仿宋" w:cs="仿宋"/>
                <w:color w:val="auto"/>
                <w:kern w:val="0"/>
                <w:szCs w:val="21"/>
                <w:highlight w:val="none"/>
                <w:lang w:val="en-US" w:eastAsia="zh-CN"/>
              </w:rPr>
              <w:t>4-</w:t>
            </w:r>
            <w:r>
              <w:rPr>
                <w:rFonts w:hint="eastAsia" w:ascii="仿宋" w:hAnsi="仿宋" w:eastAsia="仿宋" w:cs="仿宋"/>
                <w:color w:val="auto"/>
                <w:kern w:val="0"/>
                <w:szCs w:val="21"/>
                <w:highlight w:val="none"/>
              </w:rPr>
              <w:t>5</w:t>
            </w:r>
            <w:r>
              <w:rPr>
                <w:rFonts w:hint="eastAsia" w:ascii="仿宋" w:hAnsi="仿宋" w:eastAsia="仿宋" w:cs="仿宋"/>
                <w:color w:val="auto"/>
                <w:kern w:val="0"/>
                <w:szCs w:val="21"/>
                <w:highlight w:val="none"/>
                <w:lang w:val="zh-CN"/>
              </w:rPr>
              <w:t>分；</w:t>
            </w:r>
          </w:p>
          <w:p w14:paraId="24050275">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安全责任制度内容较详细完善可行、数据资料保密制度较齐全、措施较到位的，得</w:t>
            </w: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3.9</w:t>
            </w:r>
            <w:r>
              <w:rPr>
                <w:rFonts w:hint="eastAsia" w:ascii="仿宋" w:hAnsi="仿宋" w:eastAsia="仿宋" w:cs="仿宋"/>
                <w:color w:val="auto"/>
                <w:kern w:val="0"/>
                <w:szCs w:val="21"/>
                <w:highlight w:val="none"/>
                <w:lang w:val="zh-CN"/>
              </w:rPr>
              <w:t>分；</w:t>
            </w:r>
          </w:p>
          <w:p w14:paraId="306129C1">
            <w:pPr>
              <w:widowControl/>
              <w:rPr>
                <w:rFonts w:hint="eastAsia" w:ascii="仿宋" w:hAnsi="仿宋" w:eastAsia="仿宋" w:cs="仿宋"/>
                <w:color w:val="000000"/>
                <w:kern w:val="0"/>
                <w:szCs w:val="21"/>
                <w:highlight w:val="none"/>
              </w:rPr>
            </w:pPr>
            <w:r>
              <w:rPr>
                <w:rFonts w:hint="eastAsia" w:ascii="仿宋" w:hAnsi="仿宋" w:eastAsia="仿宋" w:cs="仿宋"/>
                <w:color w:val="auto"/>
                <w:kern w:val="0"/>
                <w:szCs w:val="21"/>
                <w:highlight w:val="none"/>
                <w:lang w:val="zh-CN"/>
              </w:rPr>
              <w:t>安全责任制度、数据资料保密制度内容简单、措施可行性一般的，得</w:t>
            </w:r>
            <w:r>
              <w:rPr>
                <w:rFonts w:hint="eastAsia" w:ascii="仿宋" w:hAnsi="仿宋" w:eastAsia="仿宋" w:cs="仿宋"/>
                <w:color w:val="auto"/>
                <w:kern w:val="0"/>
                <w:szCs w:val="21"/>
                <w:highlight w:val="none"/>
                <w:lang w:val="en-US" w:eastAsia="zh-CN"/>
              </w:rPr>
              <w:t>0</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1.9</w:t>
            </w:r>
            <w:r>
              <w:rPr>
                <w:rFonts w:hint="eastAsia" w:ascii="仿宋" w:hAnsi="仿宋" w:eastAsia="仿宋" w:cs="仿宋"/>
                <w:color w:val="auto"/>
                <w:kern w:val="0"/>
                <w:szCs w:val="21"/>
                <w:highlight w:val="none"/>
                <w:lang w:val="zh-CN"/>
              </w:rPr>
              <w:t>分。</w:t>
            </w:r>
          </w:p>
        </w:tc>
        <w:tc>
          <w:tcPr>
            <w:tcW w:w="402" w:type="pct"/>
            <w:noWrap w:val="0"/>
            <w:vAlign w:val="center"/>
          </w:tcPr>
          <w:p w14:paraId="0174127D">
            <w:pPr>
              <w:widowControl/>
              <w:jc w:val="center"/>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rPr>
              <w:t>5</w:t>
            </w:r>
          </w:p>
        </w:tc>
      </w:tr>
      <w:tr w14:paraId="0D2E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vMerge w:val="restart"/>
            <w:noWrap w:val="0"/>
            <w:vAlign w:val="center"/>
          </w:tcPr>
          <w:p w14:paraId="05FAF8DA">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6</w:t>
            </w:r>
          </w:p>
        </w:tc>
        <w:tc>
          <w:tcPr>
            <w:tcW w:w="428" w:type="pct"/>
            <w:vMerge w:val="restart"/>
            <w:noWrap w:val="0"/>
            <w:vAlign w:val="center"/>
          </w:tcPr>
          <w:p w14:paraId="003410B5">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服务路径的梳理能力</w:t>
            </w:r>
          </w:p>
        </w:tc>
        <w:tc>
          <w:tcPr>
            <w:tcW w:w="407" w:type="pct"/>
            <w:vMerge w:val="restart"/>
            <w:noWrap w:val="0"/>
            <w:vAlign w:val="center"/>
          </w:tcPr>
          <w:p w14:paraId="5F21162B">
            <w:pPr>
              <w:widowControl/>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bidi="ar"/>
              </w:rPr>
              <w:t>医学路径内容的完整性</w:t>
            </w:r>
          </w:p>
        </w:tc>
        <w:tc>
          <w:tcPr>
            <w:tcW w:w="3404" w:type="pct"/>
            <w:noWrap w:val="0"/>
            <w:vAlign w:val="center"/>
          </w:tcPr>
          <w:p w14:paraId="0ACA804D">
            <w:pPr>
              <w:widowControl/>
              <w:rPr>
                <w:rFonts w:hint="eastAsia" w:ascii="仿宋" w:hAnsi="仿宋" w:eastAsia="仿宋" w:cs="仿宋"/>
                <w:color w:val="000000"/>
                <w:kern w:val="0"/>
                <w:szCs w:val="21"/>
                <w:highlight w:val="none"/>
                <w:lang w:val="en-US" w:eastAsia="zh-CN"/>
              </w:rPr>
            </w:pPr>
            <w:r>
              <w:rPr>
                <w:rFonts w:hint="eastAsia" w:ascii="仿宋" w:hAnsi="仿宋" w:eastAsia="仿宋" w:cs="仿宋"/>
                <w:color w:val="auto"/>
                <w:kern w:val="0"/>
                <w:szCs w:val="21"/>
                <w:highlight w:val="none"/>
                <w:lang w:val="zh-CN" w:eastAsia="zh-CN"/>
              </w:rPr>
              <w:t>根据投标人提供的几大类疾病管理服务路径</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000000"/>
                <w:kern w:val="0"/>
                <w:szCs w:val="21"/>
                <w:highlight w:val="none"/>
                <w:lang w:val="zh-CN"/>
              </w:rPr>
              <w:t>需属于慢性病、日间手术、重大手术后、减重管理类疾病</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lang w:val="zh-CN" w:eastAsia="zh-CN"/>
              </w:rPr>
              <w:t>，内容需包含疾病评估量表、QA问答、</w:t>
            </w:r>
            <w:r>
              <w:rPr>
                <w:rFonts w:hint="eastAsia" w:ascii="仿宋" w:hAnsi="仿宋" w:eastAsia="仿宋" w:cs="仿宋"/>
                <w:color w:val="000000"/>
                <w:kern w:val="0"/>
                <w:szCs w:val="21"/>
                <w:highlight w:val="none"/>
                <w:lang w:val="zh-CN"/>
              </w:rPr>
              <w:t>健康宣教和复诊提醒。本项最高</w:t>
            </w:r>
            <w:r>
              <w:rPr>
                <w:rFonts w:hint="eastAsia" w:ascii="仿宋" w:hAnsi="仿宋" w:eastAsia="仿宋" w:cs="仿宋"/>
                <w:color w:val="000000"/>
                <w:kern w:val="0"/>
                <w:szCs w:val="21"/>
                <w:highlight w:val="none"/>
                <w:lang w:val="en-US" w:eastAsia="zh-CN"/>
              </w:rPr>
              <w:t>16分</w:t>
            </w:r>
          </w:p>
          <w:p w14:paraId="74B8165D">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每提供上述一种疾病路径且内容详细完善可行的，得</w:t>
            </w:r>
            <w:r>
              <w:rPr>
                <w:rFonts w:hint="eastAsia" w:ascii="仿宋" w:hAnsi="仿宋" w:eastAsia="仿宋" w:cs="仿宋"/>
                <w:color w:val="auto"/>
                <w:kern w:val="0"/>
                <w:szCs w:val="21"/>
                <w:highlight w:val="none"/>
                <w:lang w:val="en-US" w:eastAsia="zh-CN"/>
              </w:rPr>
              <w:t>3-4</w:t>
            </w:r>
            <w:r>
              <w:rPr>
                <w:rFonts w:hint="eastAsia" w:ascii="仿宋" w:hAnsi="仿宋" w:eastAsia="仿宋" w:cs="仿宋"/>
                <w:color w:val="auto"/>
                <w:kern w:val="0"/>
                <w:szCs w:val="21"/>
                <w:highlight w:val="none"/>
                <w:lang w:val="zh-CN"/>
              </w:rPr>
              <w:t>分；</w:t>
            </w:r>
          </w:p>
          <w:p w14:paraId="6CFEC218">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每提供上述一种疾病路径且</w:t>
            </w:r>
            <w:r>
              <w:rPr>
                <w:rFonts w:hint="eastAsia" w:ascii="仿宋" w:hAnsi="仿宋" w:eastAsia="仿宋" w:cs="仿宋"/>
                <w:color w:val="auto"/>
                <w:kern w:val="0"/>
                <w:szCs w:val="21"/>
                <w:highlight w:val="none"/>
                <w:lang w:val="en-US" w:eastAsia="zh-CN"/>
              </w:rPr>
              <w:t>内容不够完善、较为简单的</w:t>
            </w:r>
            <w:r>
              <w:rPr>
                <w:rFonts w:hint="eastAsia" w:ascii="仿宋" w:hAnsi="仿宋" w:eastAsia="仿宋" w:cs="仿宋"/>
                <w:color w:val="auto"/>
                <w:kern w:val="0"/>
                <w:szCs w:val="21"/>
                <w:highlight w:val="none"/>
                <w:lang w:val="zh-CN"/>
              </w:rPr>
              <w:t>，得</w:t>
            </w:r>
            <w:r>
              <w:rPr>
                <w:rFonts w:hint="eastAsia" w:ascii="仿宋" w:hAnsi="仿宋" w:eastAsia="仿宋" w:cs="仿宋"/>
                <w:color w:val="auto"/>
                <w:kern w:val="0"/>
                <w:szCs w:val="21"/>
                <w:highlight w:val="none"/>
                <w:lang w:val="en-US" w:eastAsia="zh-CN"/>
              </w:rPr>
              <w:t>0</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2.9</w:t>
            </w:r>
            <w:r>
              <w:rPr>
                <w:rFonts w:hint="eastAsia" w:ascii="仿宋" w:hAnsi="仿宋" w:eastAsia="仿宋" w:cs="仿宋"/>
                <w:color w:val="auto"/>
                <w:kern w:val="0"/>
                <w:szCs w:val="21"/>
                <w:highlight w:val="none"/>
                <w:lang w:val="zh-CN"/>
              </w:rPr>
              <w:t>分；</w:t>
            </w:r>
          </w:p>
          <w:p w14:paraId="3C11DDBD">
            <w:pPr>
              <w:widowControl/>
              <w:rPr>
                <w:rFonts w:hint="eastAsia" w:ascii="仿宋" w:hAnsi="仿宋" w:eastAsia="仿宋" w:cs="仿宋"/>
                <w:color w:val="000000"/>
                <w:kern w:val="0"/>
                <w:szCs w:val="21"/>
                <w:highlight w:val="none"/>
              </w:rPr>
            </w:pPr>
            <w:r>
              <w:rPr>
                <w:rFonts w:hint="eastAsia" w:ascii="仿宋" w:hAnsi="仿宋" w:eastAsia="仿宋" w:cs="仿宋"/>
                <w:color w:val="auto"/>
                <w:kern w:val="0"/>
                <w:szCs w:val="21"/>
                <w:highlight w:val="none"/>
                <w:lang w:val="zh-CN"/>
              </w:rPr>
              <w:t>未提及或有缺陷的不得分。</w:t>
            </w:r>
          </w:p>
        </w:tc>
        <w:tc>
          <w:tcPr>
            <w:tcW w:w="402" w:type="pct"/>
            <w:noWrap w:val="0"/>
            <w:vAlign w:val="center"/>
          </w:tcPr>
          <w:p w14:paraId="3ED6EECC">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16</w:t>
            </w:r>
          </w:p>
        </w:tc>
      </w:tr>
      <w:tr w14:paraId="343D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vMerge w:val="continue"/>
            <w:noWrap w:val="0"/>
            <w:vAlign w:val="center"/>
          </w:tcPr>
          <w:p w14:paraId="2382335A">
            <w:pPr>
              <w:pStyle w:val="44"/>
              <w:spacing w:after="0"/>
              <w:ind w:left="0" w:leftChars="0" w:firstLine="0" w:firstLineChars="0"/>
              <w:rPr>
                <w:rFonts w:hint="eastAsia" w:ascii="仿宋" w:hAnsi="仿宋" w:eastAsia="仿宋" w:cs="仿宋"/>
                <w:color w:val="000000"/>
                <w:szCs w:val="21"/>
                <w:highlight w:val="none"/>
              </w:rPr>
            </w:pPr>
          </w:p>
        </w:tc>
        <w:tc>
          <w:tcPr>
            <w:tcW w:w="428" w:type="pct"/>
            <w:vMerge w:val="continue"/>
            <w:noWrap w:val="0"/>
            <w:vAlign w:val="center"/>
          </w:tcPr>
          <w:p w14:paraId="7C359D3D">
            <w:pPr>
              <w:pStyle w:val="44"/>
              <w:spacing w:after="0"/>
              <w:ind w:left="0" w:leftChars="0" w:firstLine="0" w:firstLineChars="0"/>
              <w:rPr>
                <w:rFonts w:hint="eastAsia" w:ascii="仿宋" w:hAnsi="仿宋" w:eastAsia="仿宋" w:cs="仿宋"/>
                <w:color w:val="000000"/>
                <w:szCs w:val="21"/>
                <w:highlight w:val="none"/>
              </w:rPr>
            </w:pPr>
          </w:p>
        </w:tc>
        <w:tc>
          <w:tcPr>
            <w:tcW w:w="407" w:type="pct"/>
            <w:vMerge w:val="continue"/>
            <w:noWrap w:val="0"/>
            <w:vAlign w:val="top"/>
          </w:tcPr>
          <w:p w14:paraId="0572CC02">
            <w:pPr>
              <w:widowControl/>
              <w:jc w:val="center"/>
              <w:rPr>
                <w:rFonts w:hint="eastAsia" w:ascii="仿宋" w:hAnsi="仿宋" w:eastAsia="仿宋" w:cs="仿宋"/>
                <w:color w:val="000000"/>
                <w:kern w:val="0"/>
                <w:szCs w:val="21"/>
                <w:highlight w:val="none"/>
              </w:rPr>
            </w:pPr>
          </w:p>
        </w:tc>
        <w:tc>
          <w:tcPr>
            <w:tcW w:w="3404" w:type="pct"/>
            <w:noWrap w:val="0"/>
            <w:vAlign w:val="center"/>
          </w:tcPr>
          <w:p w14:paraId="7C0DE8E7">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根据投标人提供的减重管理类疾病管理服务路径，内容需包含疾病评估量表、QA问答、健康宣教和复诊提醒。</w:t>
            </w:r>
          </w:p>
          <w:p w14:paraId="71CF059D">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zh-CN"/>
              </w:rPr>
              <w:t>内容详细完善可行的，得</w:t>
            </w:r>
            <w:r>
              <w:rPr>
                <w:rFonts w:hint="eastAsia" w:ascii="仿宋" w:hAnsi="仿宋" w:eastAsia="仿宋" w:cs="仿宋"/>
                <w:color w:val="auto"/>
                <w:kern w:val="0"/>
                <w:szCs w:val="21"/>
                <w:highlight w:val="none"/>
                <w:lang w:val="en-US" w:eastAsia="zh-CN"/>
              </w:rPr>
              <w:t>3-4</w:t>
            </w:r>
            <w:r>
              <w:rPr>
                <w:rFonts w:hint="eastAsia" w:ascii="仿宋" w:hAnsi="仿宋" w:eastAsia="仿宋" w:cs="仿宋"/>
                <w:color w:val="auto"/>
                <w:kern w:val="0"/>
                <w:szCs w:val="21"/>
                <w:highlight w:val="none"/>
                <w:lang w:val="zh-CN"/>
              </w:rPr>
              <w:t>分；</w:t>
            </w:r>
          </w:p>
          <w:p w14:paraId="1A3F1D5F">
            <w:pPr>
              <w:widowControl/>
              <w:rPr>
                <w:rFonts w:hint="eastAsia" w:ascii="仿宋" w:hAnsi="仿宋" w:eastAsia="仿宋" w:cs="仿宋"/>
                <w:color w:val="auto"/>
                <w:kern w:val="0"/>
                <w:szCs w:val="21"/>
                <w:highlight w:val="none"/>
                <w:lang w:val="zh-CN"/>
              </w:rPr>
            </w:pPr>
            <w:r>
              <w:rPr>
                <w:rFonts w:hint="eastAsia" w:ascii="仿宋" w:hAnsi="仿宋" w:eastAsia="仿宋" w:cs="仿宋"/>
                <w:color w:val="auto"/>
                <w:kern w:val="0"/>
                <w:szCs w:val="21"/>
                <w:highlight w:val="none"/>
                <w:lang w:val="en-US" w:eastAsia="zh-CN"/>
              </w:rPr>
              <w:t>内容不够完善、较为简单的</w:t>
            </w:r>
            <w:r>
              <w:rPr>
                <w:rFonts w:hint="eastAsia" w:ascii="仿宋" w:hAnsi="仿宋" w:eastAsia="仿宋" w:cs="仿宋"/>
                <w:color w:val="auto"/>
                <w:kern w:val="0"/>
                <w:szCs w:val="21"/>
                <w:highlight w:val="none"/>
                <w:lang w:val="zh-CN"/>
              </w:rPr>
              <w:t>，得</w:t>
            </w:r>
            <w:r>
              <w:rPr>
                <w:rFonts w:hint="eastAsia" w:ascii="仿宋" w:hAnsi="仿宋" w:eastAsia="仿宋" w:cs="仿宋"/>
                <w:color w:val="auto"/>
                <w:kern w:val="0"/>
                <w:szCs w:val="21"/>
                <w:highlight w:val="none"/>
                <w:lang w:val="en-US" w:eastAsia="zh-CN"/>
              </w:rPr>
              <w:t>0</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val="en-US" w:eastAsia="zh-CN"/>
              </w:rPr>
              <w:t>2.9</w:t>
            </w:r>
            <w:r>
              <w:rPr>
                <w:rFonts w:hint="eastAsia" w:ascii="仿宋" w:hAnsi="仿宋" w:eastAsia="仿宋" w:cs="仿宋"/>
                <w:color w:val="auto"/>
                <w:kern w:val="0"/>
                <w:szCs w:val="21"/>
                <w:highlight w:val="none"/>
                <w:lang w:val="zh-CN"/>
              </w:rPr>
              <w:t>分；</w:t>
            </w:r>
          </w:p>
          <w:p w14:paraId="4BC63C79">
            <w:pPr>
              <w:widowControl/>
              <w:rPr>
                <w:rFonts w:hint="eastAsia" w:ascii="仿宋" w:hAnsi="仿宋" w:eastAsia="仿宋" w:cs="仿宋"/>
                <w:highlight w:val="none"/>
                <w:lang w:val="zh-CN"/>
              </w:rPr>
            </w:pPr>
            <w:r>
              <w:rPr>
                <w:rFonts w:hint="eastAsia" w:ascii="仿宋" w:hAnsi="仿宋" w:eastAsia="仿宋" w:cs="仿宋"/>
                <w:color w:val="auto"/>
                <w:kern w:val="0"/>
                <w:szCs w:val="21"/>
                <w:highlight w:val="none"/>
                <w:lang w:val="zh-CN"/>
              </w:rPr>
              <w:t>未提及或有缺陷的不得分。</w:t>
            </w:r>
          </w:p>
        </w:tc>
        <w:tc>
          <w:tcPr>
            <w:tcW w:w="402" w:type="pct"/>
            <w:noWrap w:val="0"/>
            <w:vAlign w:val="center"/>
          </w:tcPr>
          <w:p w14:paraId="17348178">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zh-CN"/>
              </w:rPr>
              <w:t>4</w:t>
            </w:r>
          </w:p>
        </w:tc>
      </w:tr>
      <w:tr w14:paraId="45B7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vMerge w:val="continue"/>
            <w:noWrap w:val="0"/>
            <w:vAlign w:val="center"/>
          </w:tcPr>
          <w:p w14:paraId="02CBDAAB">
            <w:pPr>
              <w:widowControl/>
              <w:jc w:val="center"/>
              <w:rPr>
                <w:rFonts w:hint="eastAsia" w:ascii="仿宋" w:hAnsi="仿宋" w:eastAsia="仿宋" w:cs="仿宋"/>
                <w:color w:val="000000"/>
                <w:kern w:val="0"/>
                <w:szCs w:val="21"/>
                <w:highlight w:val="none"/>
              </w:rPr>
            </w:pPr>
          </w:p>
        </w:tc>
        <w:tc>
          <w:tcPr>
            <w:tcW w:w="428" w:type="pct"/>
            <w:vMerge w:val="continue"/>
            <w:noWrap w:val="0"/>
            <w:vAlign w:val="center"/>
          </w:tcPr>
          <w:p w14:paraId="16BD3323">
            <w:pPr>
              <w:widowControl/>
              <w:jc w:val="center"/>
              <w:rPr>
                <w:rFonts w:hint="eastAsia" w:ascii="仿宋" w:hAnsi="仿宋" w:eastAsia="仿宋" w:cs="仿宋"/>
                <w:color w:val="000000"/>
                <w:kern w:val="0"/>
                <w:szCs w:val="21"/>
                <w:highlight w:val="none"/>
              </w:rPr>
            </w:pPr>
          </w:p>
        </w:tc>
        <w:tc>
          <w:tcPr>
            <w:tcW w:w="407" w:type="pct"/>
            <w:noWrap w:val="0"/>
            <w:vAlign w:val="center"/>
          </w:tcPr>
          <w:p w14:paraId="65054F96">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医学路径内容的可行性</w:t>
            </w:r>
          </w:p>
        </w:tc>
        <w:tc>
          <w:tcPr>
            <w:tcW w:w="3404" w:type="pct"/>
            <w:noWrap w:val="0"/>
            <w:vAlign w:val="center"/>
          </w:tcPr>
          <w:p w14:paraId="3A59B73C">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eastAsia="zh-CN"/>
              </w:rPr>
              <w:t>投标人</w:t>
            </w:r>
            <w:r>
              <w:rPr>
                <w:rFonts w:hint="eastAsia" w:ascii="仿宋" w:hAnsi="仿宋" w:eastAsia="仿宋" w:cs="仿宋"/>
                <w:color w:val="000000"/>
                <w:kern w:val="0"/>
                <w:szCs w:val="21"/>
                <w:highlight w:val="none"/>
                <w:lang w:val="zh-CN"/>
              </w:rPr>
              <w:t>提供的疾病（需属于慢性病、日间手术、重大手术后、减重管理类疾病）精细化管理医学路径，须在三级医院通过可行性确认，每类疾病的精细化管理医学路径均须提供2家及以上医院的路径确认函，每提供一类的，得0.5分，本项最高2分。</w:t>
            </w:r>
          </w:p>
          <w:p w14:paraId="73AE49EB">
            <w:pPr>
              <w:widowControl/>
              <w:rPr>
                <w:rFonts w:hint="eastAsia" w:ascii="仿宋" w:hAnsi="仿宋" w:eastAsia="仿宋" w:cs="仿宋"/>
                <w:color w:val="000000"/>
                <w:kern w:val="0"/>
                <w:szCs w:val="21"/>
                <w:highlight w:val="none"/>
              </w:rPr>
            </w:pPr>
            <w:r>
              <w:rPr>
                <w:rFonts w:hint="eastAsia" w:ascii="仿宋" w:hAnsi="仿宋" w:eastAsia="仿宋" w:cs="仿宋"/>
                <w:b/>
                <w:szCs w:val="21"/>
                <w:highlight w:val="none"/>
              </w:rPr>
              <w:t>（路径确认函须包括执行医院、科室或病区负责人确认签字并盖医院章，否则不得分。每类疾病只提供1家医院的路径确认函或不提供的，不得分）</w:t>
            </w:r>
          </w:p>
        </w:tc>
        <w:tc>
          <w:tcPr>
            <w:tcW w:w="402" w:type="pct"/>
            <w:noWrap w:val="0"/>
            <w:vAlign w:val="center"/>
          </w:tcPr>
          <w:p w14:paraId="17B79912">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2</w:t>
            </w:r>
          </w:p>
        </w:tc>
      </w:tr>
      <w:tr w14:paraId="4A80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vMerge w:val="continue"/>
            <w:noWrap w:val="0"/>
            <w:vAlign w:val="center"/>
          </w:tcPr>
          <w:p w14:paraId="05674F90">
            <w:pPr>
              <w:widowControl/>
              <w:jc w:val="center"/>
              <w:rPr>
                <w:rFonts w:hint="eastAsia" w:ascii="仿宋" w:hAnsi="仿宋" w:eastAsia="仿宋" w:cs="仿宋"/>
                <w:color w:val="000000"/>
                <w:kern w:val="0"/>
                <w:szCs w:val="21"/>
                <w:highlight w:val="none"/>
              </w:rPr>
            </w:pPr>
          </w:p>
        </w:tc>
        <w:tc>
          <w:tcPr>
            <w:tcW w:w="428" w:type="pct"/>
            <w:vMerge w:val="continue"/>
            <w:noWrap w:val="0"/>
            <w:vAlign w:val="center"/>
          </w:tcPr>
          <w:p w14:paraId="46364A6A">
            <w:pPr>
              <w:widowControl/>
              <w:jc w:val="center"/>
              <w:rPr>
                <w:rFonts w:hint="eastAsia" w:ascii="仿宋" w:hAnsi="仿宋" w:eastAsia="仿宋" w:cs="仿宋"/>
                <w:color w:val="000000"/>
                <w:kern w:val="0"/>
                <w:szCs w:val="21"/>
                <w:highlight w:val="none"/>
              </w:rPr>
            </w:pPr>
          </w:p>
        </w:tc>
        <w:tc>
          <w:tcPr>
            <w:tcW w:w="407" w:type="pct"/>
            <w:noWrap w:val="0"/>
            <w:vAlign w:val="center"/>
          </w:tcPr>
          <w:p w14:paraId="3211D711">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医学路径梳理团队的专业性</w:t>
            </w:r>
          </w:p>
        </w:tc>
        <w:tc>
          <w:tcPr>
            <w:tcW w:w="3404" w:type="pct"/>
            <w:noWrap w:val="0"/>
            <w:vAlign w:val="center"/>
          </w:tcPr>
          <w:p w14:paraId="1E603B4F">
            <w:pPr>
              <w:widowControl/>
              <w:numPr>
                <w:ilvl w:val="0"/>
                <w:numId w:val="12"/>
              </w:numPr>
              <w:rPr>
                <w:rFonts w:hint="eastAsia" w:ascii="仿宋" w:hAnsi="仿宋" w:eastAsia="仿宋" w:cs="仿宋"/>
                <w:color w:val="000000"/>
                <w:kern w:val="0"/>
                <w:szCs w:val="21"/>
                <w:highlight w:val="none"/>
                <w:lang w:val="zh-CN" w:eastAsia="zh-CN"/>
              </w:rPr>
            </w:pPr>
            <w:r>
              <w:rPr>
                <w:rFonts w:hint="eastAsia" w:ascii="仿宋" w:hAnsi="仿宋" w:eastAsia="仿宋" w:cs="仿宋"/>
                <w:color w:val="000000"/>
                <w:kern w:val="0"/>
                <w:szCs w:val="21"/>
                <w:highlight w:val="none"/>
                <w:lang w:val="zh-CN" w:eastAsia="zh-CN"/>
              </w:rPr>
              <w:t>负责人具有主治医师及以上证书，且有医学博士学位的得2分，有医学硕士学位的得1分，</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p>
          <w:p w14:paraId="4687DA38">
            <w:pPr>
              <w:widowControl/>
              <w:numPr>
                <w:ilvl w:val="0"/>
                <w:numId w:val="12"/>
              </w:numP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zh-CN" w:eastAsia="zh-CN"/>
              </w:rPr>
              <w:t>其他成员具有住院医师及以上证书的，得2分，</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p>
        </w:tc>
        <w:tc>
          <w:tcPr>
            <w:tcW w:w="402" w:type="pct"/>
            <w:noWrap w:val="0"/>
            <w:vAlign w:val="center"/>
          </w:tcPr>
          <w:p w14:paraId="52D81250">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4</w:t>
            </w:r>
          </w:p>
        </w:tc>
      </w:tr>
      <w:tr w14:paraId="2BF7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vMerge w:val="restart"/>
            <w:noWrap w:val="0"/>
            <w:vAlign w:val="center"/>
          </w:tcPr>
          <w:p w14:paraId="196ACB4D">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7</w:t>
            </w:r>
          </w:p>
        </w:tc>
        <w:tc>
          <w:tcPr>
            <w:tcW w:w="428" w:type="pct"/>
            <w:vMerge w:val="restart"/>
            <w:noWrap w:val="0"/>
            <w:vAlign w:val="center"/>
          </w:tcPr>
          <w:p w14:paraId="32073A5E">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软件支持能力</w:t>
            </w:r>
          </w:p>
        </w:tc>
        <w:tc>
          <w:tcPr>
            <w:tcW w:w="407" w:type="pct"/>
            <w:noWrap w:val="0"/>
            <w:vAlign w:val="center"/>
          </w:tcPr>
          <w:p w14:paraId="2C81BF00">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软件支持方案</w:t>
            </w:r>
          </w:p>
        </w:tc>
        <w:tc>
          <w:tcPr>
            <w:tcW w:w="3404" w:type="pct"/>
            <w:noWrap w:val="0"/>
            <w:vAlign w:val="center"/>
          </w:tcPr>
          <w:p w14:paraId="245FBAE0">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根据投标人为本项目提供软件支持方案，内容包括但不限于软件研发管理体系，系统软件的功能点及适用场景描述，诊后疾病精细化管理系统与现有系统的对接方案等的情况进行综合评分：</w:t>
            </w:r>
          </w:p>
          <w:p w14:paraId="0ACDC4DB">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软件研发管理体系支撑能力强，软件功能完善、操作便捷、信息安全保障程度高，与现有系统的对接方案合理可行的</w:t>
            </w:r>
            <w:r>
              <w:rPr>
                <w:rFonts w:hint="eastAsia" w:ascii="仿宋" w:hAnsi="仿宋" w:eastAsia="仿宋" w:cs="仿宋"/>
                <w:color w:val="FF0000"/>
                <w:kern w:val="0"/>
                <w:szCs w:val="21"/>
                <w:highlight w:val="none"/>
                <w:lang w:val="zh-CN"/>
              </w:rPr>
              <w:t>，</w:t>
            </w:r>
            <w:r>
              <w:rPr>
                <w:rFonts w:hint="eastAsia" w:ascii="仿宋" w:hAnsi="仿宋" w:eastAsia="仿宋" w:cs="仿宋"/>
                <w:color w:val="auto"/>
                <w:kern w:val="0"/>
                <w:szCs w:val="21"/>
                <w:highlight w:val="none"/>
                <w:lang w:val="en-US" w:eastAsia="zh-CN"/>
              </w:rPr>
              <w:t>且可提供系统演示证明软件专业性的</w:t>
            </w:r>
            <w:r>
              <w:rPr>
                <w:rFonts w:hint="eastAsia" w:ascii="仿宋" w:hAnsi="仿宋" w:eastAsia="仿宋" w:cs="仿宋"/>
                <w:color w:val="000000"/>
                <w:kern w:val="0"/>
                <w:szCs w:val="21"/>
                <w:highlight w:val="none"/>
                <w:lang w:val="en-US" w:eastAsia="zh-CN"/>
              </w:rPr>
              <w:t>，</w:t>
            </w:r>
            <w:r>
              <w:rPr>
                <w:rFonts w:hint="eastAsia" w:ascii="仿宋" w:hAnsi="仿宋" w:eastAsia="仿宋" w:cs="仿宋"/>
                <w:color w:val="000000"/>
                <w:kern w:val="0"/>
                <w:szCs w:val="21"/>
                <w:highlight w:val="none"/>
                <w:lang w:val="zh-CN"/>
              </w:rPr>
              <w:t>得</w:t>
            </w:r>
            <w:r>
              <w:rPr>
                <w:rFonts w:hint="eastAsia" w:ascii="仿宋" w:hAnsi="仿宋" w:eastAsia="仿宋" w:cs="仿宋"/>
                <w:color w:val="000000"/>
                <w:kern w:val="0"/>
                <w:szCs w:val="21"/>
                <w:highlight w:val="none"/>
              </w:rPr>
              <w:t>3-4</w:t>
            </w:r>
            <w:r>
              <w:rPr>
                <w:rFonts w:hint="eastAsia" w:ascii="仿宋" w:hAnsi="仿宋" w:eastAsia="仿宋" w:cs="仿宋"/>
                <w:color w:val="000000"/>
                <w:kern w:val="0"/>
                <w:szCs w:val="21"/>
                <w:highlight w:val="none"/>
                <w:lang w:val="zh-CN"/>
              </w:rPr>
              <w:t>分；</w:t>
            </w:r>
          </w:p>
          <w:p w14:paraId="58FC8E12">
            <w:pPr>
              <w:widowControl/>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lang w:val="zh-CN"/>
              </w:rPr>
              <w:t>软件研发管理体系支撑能力一般，软件功能不够完善、操作不够便捷、信息安全保障程度一般，与现有系统的对接方案可行性一般的，得</w:t>
            </w:r>
            <w:r>
              <w:rPr>
                <w:rFonts w:hint="eastAsia" w:ascii="仿宋" w:hAnsi="仿宋" w:eastAsia="仿宋" w:cs="仿宋"/>
                <w:color w:val="000000"/>
                <w:kern w:val="0"/>
                <w:szCs w:val="21"/>
                <w:highlight w:val="none"/>
              </w:rPr>
              <w:t>1-2</w:t>
            </w:r>
            <w:r>
              <w:rPr>
                <w:rFonts w:hint="eastAsia" w:ascii="仿宋" w:hAnsi="仿宋" w:eastAsia="仿宋" w:cs="仿宋"/>
                <w:color w:val="000000"/>
                <w:kern w:val="0"/>
                <w:szCs w:val="21"/>
                <w:highlight w:val="none"/>
                <w:lang w:val="zh-CN"/>
              </w:rPr>
              <w:t>分；</w:t>
            </w:r>
          </w:p>
          <w:p w14:paraId="55B7DA01">
            <w:pPr>
              <w:widowControl/>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zh-CN"/>
              </w:rPr>
              <w:t>未提及不得分。</w:t>
            </w:r>
          </w:p>
        </w:tc>
        <w:tc>
          <w:tcPr>
            <w:tcW w:w="402" w:type="pct"/>
            <w:noWrap w:val="0"/>
            <w:vAlign w:val="center"/>
          </w:tcPr>
          <w:p w14:paraId="0C3CFD71">
            <w:pPr>
              <w:widowControl/>
              <w:jc w:val="center"/>
              <w:rPr>
                <w:rFonts w:hint="eastAsia" w:ascii="仿宋" w:hAnsi="仿宋" w:eastAsia="仿宋" w:cs="仿宋"/>
                <w:color w:val="000000"/>
                <w:kern w:val="0"/>
                <w:szCs w:val="21"/>
                <w:highlight w:val="none"/>
                <w:lang w:val="zh-CN"/>
              </w:rPr>
            </w:pPr>
            <w:r>
              <w:rPr>
                <w:rFonts w:hint="eastAsia" w:ascii="仿宋" w:hAnsi="仿宋" w:eastAsia="仿宋" w:cs="仿宋"/>
                <w:color w:val="000000"/>
                <w:kern w:val="0"/>
                <w:szCs w:val="21"/>
                <w:highlight w:val="none"/>
              </w:rPr>
              <w:t>4</w:t>
            </w:r>
          </w:p>
        </w:tc>
      </w:tr>
      <w:tr w14:paraId="76E6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vMerge w:val="continue"/>
            <w:noWrap w:val="0"/>
            <w:vAlign w:val="center"/>
          </w:tcPr>
          <w:p w14:paraId="20E06950">
            <w:pPr>
              <w:widowControl/>
              <w:jc w:val="center"/>
              <w:rPr>
                <w:rFonts w:hint="eastAsia" w:ascii="仿宋" w:hAnsi="仿宋" w:eastAsia="仿宋" w:cs="仿宋"/>
                <w:color w:val="000000"/>
                <w:kern w:val="0"/>
                <w:szCs w:val="21"/>
                <w:highlight w:val="none"/>
              </w:rPr>
            </w:pPr>
          </w:p>
        </w:tc>
        <w:tc>
          <w:tcPr>
            <w:tcW w:w="428" w:type="pct"/>
            <w:vMerge w:val="continue"/>
            <w:noWrap w:val="0"/>
            <w:vAlign w:val="center"/>
          </w:tcPr>
          <w:p w14:paraId="7981EEDF">
            <w:pPr>
              <w:widowControl/>
              <w:jc w:val="center"/>
              <w:rPr>
                <w:rFonts w:hint="eastAsia" w:ascii="仿宋" w:hAnsi="仿宋" w:eastAsia="仿宋" w:cs="仿宋"/>
                <w:color w:val="000000"/>
                <w:kern w:val="0"/>
                <w:szCs w:val="21"/>
                <w:highlight w:val="none"/>
              </w:rPr>
            </w:pPr>
          </w:p>
        </w:tc>
        <w:tc>
          <w:tcPr>
            <w:tcW w:w="407" w:type="pct"/>
            <w:noWrap w:val="0"/>
            <w:vAlign w:val="center"/>
          </w:tcPr>
          <w:p w14:paraId="61C561FE">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软件支持团队的专业性</w:t>
            </w:r>
          </w:p>
        </w:tc>
        <w:tc>
          <w:tcPr>
            <w:tcW w:w="3404" w:type="pct"/>
            <w:noWrap w:val="0"/>
            <w:vAlign w:val="center"/>
          </w:tcPr>
          <w:p w14:paraId="76E29034">
            <w:pPr>
              <w:widowControl/>
              <w:jc w:val="left"/>
              <w:rPr>
                <w:rFonts w:hint="eastAsia" w:ascii="仿宋" w:hAnsi="仿宋" w:eastAsia="仿宋" w:cs="仿宋"/>
                <w:highlight w:val="none"/>
              </w:rPr>
            </w:pPr>
            <w:r>
              <w:rPr>
                <w:rFonts w:hint="eastAsia" w:ascii="仿宋" w:hAnsi="仿宋" w:eastAsia="仿宋" w:cs="仿宋"/>
                <w:color w:val="000000"/>
                <w:kern w:val="0"/>
                <w:szCs w:val="21"/>
                <w:highlight w:val="none"/>
              </w:rPr>
              <w:t>软件支持团队负责人同时具有信息系统项目管理师（高级）和系统集成项目管理师的，得2分。</w:t>
            </w:r>
            <w:r>
              <w:rPr>
                <w:rFonts w:hint="eastAsia" w:ascii="仿宋" w:hAnsi="仿宋" w:eastAsia="仿宋" w:cs="仿宋"/>
                <w:color w:val="000000"/>
                <w:kern w:val="0"/>
                <w:szCs w:val="21"/>
                <w:highlight w:val="none"/>
                <w:lang w:val="en-US" w:eastAsia="zh-CN"/>
              </w:rPr>
              <w:t>需提供相关人员证书复印件及社保证明均加盖投标人公章，未提供不得分</w:t>
            </w:r>
            <w:r>
              <w:rPr>
                <w:rFonts w:hint="eastAsia" w:ascii="仿宋" w:hAnsi="仿宋" w:eastAsia="仿宋" w:cs="仿宋"/>
                <w:color w:val="000000"/>
                <w:kern w:val="0"/>
                <w:szCs w:val="21"/>
                <w:highlight w:val="none"/>
              </w:rPr>
              <w:t>。</w:t>
            </w:r>
          </w:p>
        </w:tc>
        <w:tc>
          <w:tcPr>
            <w:tcW w:w="402" w:type="pct"/>
            <w:noWrap w:val="0"/>
            <w:vAlign w:val="center"/>
          </w:tcPr>
          <w:p w14:paraId="77A5D699">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2</w:t>
            </w:r>
          </w:p>
        </w:tc>
      </w:tr>
      <w:tr w14:paraId="0AB0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1C0C1E3C">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8</w:t>
            </w:r>
          </w:p>
        </w:tc>
        <w:tc>
          <w:tcPr>
            <w:tcW w:w="835" w:type="pct"/>
            <w:gridSpan w:val="2"/>
            <w:noWrap w:val="0"/>
            <w:vAlign w:val="center"/>
          </w:tcPr>
          <w:p w14:paraId="79543601">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项目总负责人</w:t>
            </w:r>
          </w:p>
        </w:tc>
        <w:tc>
          <w:tcPr>
            <w:tcW w:w="3404" w:type="pct"/>
            <w:noWrap w:val="0"/>
            <w:vAlign w:val="top"/>
          </w:tcPr>
          <w:p w14:paraId="00A9F7A6">
            <w:pPr>
              <w:widowControl/>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具有主治医师及以上证书，且有医学博士学位的得2分；</w:t>
            </w:r>
          </w:p>
          <w:p w14:paraId="56277FAD">
            <w:pPr>
              <w:widowControl/>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具有主治医师及以上证书，且有医学硕士学位的得1分；</w:t>
            </w:r>
          </w:p>
          <w:p w14:paraId="30759B36">
            <w:pPr>
              <w:widowControl/>
              <w:jc w:val="left"/>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其他不得分；本项最高2分</w:t>
            </w:r>
            <w:r>
              <w:rPr>
                <w:rFonts w:hint="eastAsia" w:ascii="仿宋" w:hAnsi="仿宋" w:eastAsia="仿宋" w:cs="仿宋"/>
                <w:color w:val="000000"/>
                <w:kern w:val="0"/>
                <w:szCs w:val="21"/>
                <w:highlight w:val="none"/>
                <w:lang w:eastAsia="zh-CN"/>
              </w:rPr>
              <w:t>，</w:t>
            </w:r>
            <w:r>
              <w:rPr>
                <w:rFonts w:hint="eastAsia" w:ascii="仿宋" w:hAnsi="仿宋" w:eastAsia="仿宋" w:cs="仿宋"/>
                <w:color w:val="000000"/>
                <w:kern w:val="0"/>
                <w:szCs w:val="21"/>
                <w:highlight w:val="none"/>
                <w:lang w:val="en-US" w:eastAsia="zh-CN"/>
              </w:rPr>
              <w:t>需提供相关人员证书复印件及社保证明均加盖投标人公章</w:t>
            </w:r>
            <w:r>
              <w:rPr>
                <w:rFonts w:hint="eastAsia" w:ascii="仿宋" w:hAnsi="仿宋" w:eastAsia="仿宋" w:cs="仿宋"/>
                <w:color w:val="000000"/>
                <w:kern w:val="0"/>
                <w:szCs w:val="21"/>
                <w:highlight w:val="none"/>
              </w:rPr>
              <w:t>。</w:t>
            </w:r>
          </w:p>
        </w:tc>
        <w:tc>
          <w:tcPr>
            <w:tcW w:w="402" w:type="pct"/>
            <w:noWrap w:val="0"/>
            <w:vAlign w:val="center"/>
          </w:tcPr>
          <w:p w14:paraId="24932E7B">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2</w:t>
            </w:r>
          </w:p>
        </w:tc>
      </w:tr>
      <w:tr w14:paraId="43C0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57" w:type="pct"/>
            <w:noWrap w:val="0"/>
            <w:vAlign w:val="center"/>
          </w:tcPr>
          <w:p w14:paraId="1FFD9F1C">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9</w:t>
            </w:r>
          </w:p>
        </w:tc>
        <w:tc>
          <w:tcPr>
            <w:tcW w:w="428" w:type="pct"/>
            <w:noWrap w:val="0"/>
            <w:vAlign w:val="center"/>
          </w:tcPr>
          <w:p w14:paraId="0631216B">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运营支撑人员</w:t>
            </w:r>
          </w:p>
          <w:p w14:paraId="5FE6E456">
            <w:pPr>
              <w:widowControl/>
              <w:jc w:val="center"/>
              <w:rPr>
                <w:rFonts w:hint="eastAsia" w:ascii="仿宋" w:hAnsi="仿宋" w:eastAsia="仿宋" w:cs="仿宋"/>
                <w:szCs w:val="21"/>
                <w:highlight w:val="none"/>
              </w:rPr>
            </w:pPr>
            <w:r>
              <w:rPr>
                <w:rFonts w:hint="eastAsia" w:ascii="仿宋" w:hAnsi="仿宋" w:eastAsia="仿宋" w:cs="仿宋"/>
                <w:color w:val="000000"/>
                <w:kern w:val="0"/>
                <w:szCs w:val="21"/>
                <w:highlight w:val="none"/>
              </w:rPr>
              <w:t>医学资格能力</w:t>
            </w:r>
          </w:p>
        </w:tc>
        <w:tc>
          <w:tcPr>
            <w:tcW w:w="407" w:type="pct"/>
            <w:noWrap w:val="0"/>
            <w:vAlign w:val="center"/>
          </w:tcPr>
          <w:p w14:paraId="2CCF3827">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医学运营组</w:t>
            </w:r>
          </w:p>
        </w:tc>
        <w:tc>
          <w:tcPr>
            <w:tcW w:w="3404" w:type="pct"/>
            <w:noWrap w:val="0"/>
            <w:vAlign w:val="center"/>
          </w:tcPr>
          <w:p w14:paraId="6B9A0A71">
            <w:pPr>
              <w:widowControl/>
              <w:numPr>
                <w:ilvl w:val="0"/>
                <w:numId w:val="13"/>
              </w:numP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zh-CN" w:eastAsia="zh-CN"/>
              </w:rPr>
              <w:t>医学运营组中具有主管护师证书的专业人员，</w:t>
            </w:r>
            <w:r>
              <w:rPr>
                <w:rFonts w:hint="eastAsia" w:ascii="仿宋" w:hAnsi="仿宋" w:eastAsia="仿宋" w:cs="仿宋"/>
                <w:color w:val="000000"/>
                <w:kern w:val="0"/>
                <w:szCs w:val="21"/>
                <w:highlight w:val="none"/>
                <w:lang w:val="en-US" w:eastAsia="zh-CN"/>
              </w:rPr>
              <w:t>1人得1分</w:t>
            </w:r>
            <w:r>
              <w:rPr>
                <w:rFonts w:hint="eastAsia" w:ascii="仿宋" w:hAnsi="仿宋" w:eastAsia="仿宋" w:cs="仿宋"/>
                <w:color w:val="000000"/>
                <w:kern w:val="0"/>
                <w:szCs w:val="21"/>
                <w:highlight w:val="none"/>
                <w:lang w:val="zh-CN" w:eastAsia="zh-CN"/>
              </w:rPr>
              <w:t>，</w:t>
            </w:r>
            <w:r>
              <w:rPr>
                <w:rFonts w:hint="eastAsia" w:ascii="仿宋" w:hAnsi="仿宋" w:eastAsia="仿宋" w:cs="仿宋"/>
                <w:color w:val="000000"/>
                <w:kern w:val="0"/>
                <w:szCs w:val="21"/>
                <w:highlight w:val="none"/>
                <w:lang w:val="en-US" w:eastAsia="zh-CN"/>
              </w:rPr>
              <w:t>最多得3分；</w:t>
            </w:r>
          </w:p>
          <w:p w14:paraId="5684AFDB">
            <w:pPr>
              <w:widowControl/>
              <w:numPr>
                <w:ilvl w:val="0"/>
                <w:numId w:val="13"/>
              </w:numP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zh-CN" w:eastAsia="zh-CN"/>
              </w:rPr>
              <w:t>具有主治医师及以上证书，且有医学硕士学位的得2分，有医学学士学位的得1分，</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p>
          <w:p w14:paraId="0FE20510">
            <w:pPr>
              <w:widowControl/>
              <w:numPr>
                <w:ilvl w:val="0"/>
                <w:numId w:val="13"/>
              </w:numP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zh-CN" w:eastAsia="zh-CN"/>
              </w:rPr>
              <w:t>具有公共营养师证书的专业人员得</w:t>
            </w:r>
            <w:r>
              <w:rPr>
                <w:rFonts w:hint="eastAsia" w:ascii="仿宋" w:hAnsi="仿宋" w:eastAsia="仿宋" w:cs="仿宋"/>
                <w:color w:val="000000"/>
                <w:kern w:val="0"/>
                <w:szCs w:val="21"/>
                <w:highlight w:val="none"/>
                <w:lang w:val="en-US" w:eastAsia="zh-CN"/>
              </w:rPr>
              <w:t>1</w:t>
            </w:r>
            <w:r>
              <w:rPr>
                <w:rFonts w:hint="eastAsia" w:ascii="仿宋" w:hAnsi="仿宋" w:eastAsia="仿宋" w:cs="仿宋"/>
                <w:color w:val="000000"/>
                <w:kern w:val="0"/>
                <w:szCs w:val="21"/>
                <w:highlight w:val="none"/>
                <w:lang w:val="zh-CN" w:eastAsia="zh-CN"/>
              </w:rPr>
              <w:t>分，</w:t>
            </w:r>
            <w:r>
              <w:rPr>
                <w:rFonts w:hint="eastAsia" w:ascii="仿宋" w:hAnsi="仿宋" w:eastAsia="仿宋" w:cs="仿宋"/>
                <w:color w:val="000000"/>
                <w:kern w:val="0"/>
                <w:szCs w:val="21"/>
                <w:highlight w:val="none"/>
                <w:lang w:val="en-US" w:eastAsia="zh-CN"/>
              </w:rPr>
              <w:t>最多得1分；</w:t>
            </w:r>
          </w:p>
          <w:p w14:paraId="6F5DFE2F">
            <w:pPr>
              <w:widowControl/>
              <w:numPr>
                <w:ilvl w:val="0"/>
                <w:numId w:val="13"/>
              </w:numP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zh-CN" w:eastAsia="zh-CN"/>
              </w:rPr>
              <w:t>具有药师证书的专业人员得</w:t>
            </w:r>
            <w:r>
              <w:rPr>
                <w:rFonts w:hint="eastAsia" w:ascii="仿宋" w:hAnsi="仿宋" w:eastAsia="仿宋" w:cs="仿宋"/>
                <w:color w:val="000000"/>
                <w:kern w:val="0"/>
                <w:szCs w:val="21"/>
                <w:highlight w:val="none"/>
                <w:lang w:val="en-US" w:eastAsia="zh-CN"/>
              </w:rPr>
              <w:t>1</w:t>
            </w:r>
            <w:r>
              <w:rPr>
                <w:rFonts w:hint="eastAsia" w:ascii="仿宋" w:hAnsi="仿宋" w:eastAsia="仿宋" w:cs="仿宋"/>
                <w:color w:val="000000"/>
                <w:kern w:val="0"/>
                <w:szCs w:val="21"/>
                <w:highlight w:val="none"/>
                <w:lang w:val="zh-CN" w:eastAsia="zh-CN"/>
              </w:rPr>
              <w:t>分，</w:t>
            </w:r>
            <w:r>
              <w:rPr>
                <w:rFonts w:hint="eastAsia" w:ascii="仿宋" w:hAnsi="仿宋" w:eastAsia="仿宋" w:cs="仿宋"/>
                <w:color w:val="000000"/>
                <w:kern w:val="0"/>
                <w:szCs w:val="21"/>
                <w:highlight w:val="none"/>
                <w:lang w:val="en-US" w:eastAsia="zh-CN"/>
              </w:rPr>
              <w:t>最多得1分；</w:t>
            </w:r>
          </w:p>
          <w:p w14:paraId="4F3A4C9A">
            <w:pPr>
              <w:widowControl/>
              <w:numPr>
                <w:ilvl w:val="0"/>
                <w:numId w:val="13"/>
              </w:numP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zh-CN" w:eastAsia="zh-CN"/>
              </w:rPr>
              <w:t>具有康复治疗师证书的专业人员得</w:t>
            </w:r>
            <w:r>
              <w:rPr>
                <w:rFonts w:hint="eastAsia" w:ascii="仿宋" w:hAnsi="仿宋" w:eastAsia="仿宋" w:cs="仿宋"/>
                <w:color w:val="000000"/>
                <w:kern w:val="0"/>
                <w:szCs w:val="21"/>
                <w:highlight w:val="none"/>
                <w:lang w:val="en-US" w:eastAsia="zh-CN"/>
              </w:rPr>
              <w:t>1</w:t>
            </w:r>
            <w:r>
              <w:rPr>
                <w:rFonts w:hint="eastAsia" w:ascii="仿宋" w:hAnsi="仿宋" w:eastAsia="仿宋" w:cs="仿宋"/>
                <w:color w:val="000000"/>
                <w:kern w:val="0"/>
                <w:szCs w:val="21"/>
                <w:highlight w:val="none"/>
                <w:lang w:val="zh-CN" w:eastAsia="zh-CN"/>
              </w:rPr>
              <w:t>分，</w:t>
            </w:r>
            <w:r>
              <w:rPr>
                <w:rFonts w:hint="eastAsia" w:ascii="仿宋" w:hAnsi="仿宋" w:eastAsia="仿宋" w:cs="仿宋"/>
                <w:color w:val="000000"/>
                <w:kern w:val="0"/>
                <w:szCs w:val="21"/>
                <w:highlight w:val="none"/>
                <w:lang w:val="en-US" w:eastAsia="zh-CN"/>
              </w:rPr>
              <w:t>最多得1分；</w:t>
            </w:r>
          </w:p>
          <w:p w14:paraId="7A520ABC">
            <w:pPr>
              <w:widowControl/>
              <w:numPr>
                <w:ilvl w:val="0"/>
                <w:numId w:val="13"/>
              </w:numPr>
              <w:rPr>
                <w:rFonts w:hint="eastAsia" w:ascii="仿宋" w:hAnsi="仿宋" w:eastAsia="仿宋" w:cs="仿宋"/>
                <w:color w:val="000000"/>
                <w:kern w:val="0"/>
                <w:szCs w:val="21"/>
                <w:highlight w:val="none"/>
                <w:lang w:val="zh-CN" w:eastAsia="zh-CN"/>
              </w:rPr>
            </w:pPr>
            <w:r>
              <w:rPr>
                <w:rFonts w:hint="eastAsia" w:ascii="仿宋" w:hAnsi="仿宋" w:eastAsia="仿宋" w:cs="仿宋"/>
                <w:color w:val="000000"/>
                <w:kern w:val="0"/>
                <w:szCs w:val="21"/>
                <w:highlight w:val="none"/>
                <w:lang w:val="zh-CN" w:eastAsia="zh-CN"/>
              </w:rPr>
              <w:t>具有GCP医学资格证书的专业人员得</w:t>
            </w:r>
            <w:r>
              <w:rPr>
                <w:rFonts w:hint="eastAsia" w:ascii="仿宋" w:hAnsi="仿宋" w:eastAsia="仿宋" w:cs="仿宋"/>
                <w:color w:val="000000"/>
                <w:kern w:val="0"/>
                <w:szCs w:val="21"/>
                <w:highlight w:val="none"/>
                <w:lang w:val="en-US" w:eastAsia="zh-CN"/>
              </w:rPr>
              <w:t>1</w:t>
            </w:r>
            <w:r>
              <w:rPr>
                <w:rFonts w:hint="eastAsia" w:ascii="仿宋" w:hAnsi="仿宋" w:eastAsia="仿宋" w:cs="仿宋"/>
                <w:color w:val="000000"/>
                <w:kern w:val="0"/>
                <w:szCs w:val="21"/>
                <w:highlight w:val="none"/>
                <w:lang w:val="zh-CN" w:eastAsia="zh-CN"/>
              </w:rPr>
              <w:t>分，</w:t>
            </w:r>
            <w:r>
              <w:rPr>
                <w:rFonts w:hint="eastAsia" w:ascii="仿宋" w:hAnsi="仿宋" w:eastAsia="仿宋" w:cs="仿宋"/>
                <w:color w:val="000000"/>
                <w:kern w:val="0"/>
                <w:szCs w:val="21"/>
                <w:highlight w:val="none"/>
                <w:lang w:val="en-US" w:eastAsia="zh-CN"/>
              </w:rPr>
              <w:t>最多得1分；</w:t>
            </w:r>
          </w:p>
          <w:p w14:paraId="7C777273">
            <w:pPr>
              <w:widowControl/>
              <w:numPr>
                <w:ilvl w:val="0"/>
                <w:numId w:val="13"/>
              </w:numPr>
              <w:rPr>
                <w:rFonts w:hint="eastAsia"/>
                <w:highlight w:val="none"/>
                <w:lang w:val="zh-CN" w:eastAsia="zh-CN"/>
              </w:rPr>
            </w:pPr>
            <w:r>
              <w:rPr>
                <w:rFonts w:hint="eastAsia" w:ascii="仿宋" w:hAnsi="仿宋" w:eastAsia="仿宋" w:cs="仿宋"/>
                <w:color w:val="000000"/>
                <w:kern w:val="0"/>
                <w:szCs w:val="21"/>
                <w:highlight w:val="none"/>
                <w:lang w:val="zh-CN" w:eastAsia="zh-CN"/>
              </w:rPr>
              <w:t>具有心理咨询师证书的专业人员得</w:t>
            </w:r>
            <w:r>
              <w:rPr>
                <w:rFonts w:hint="eastAsia" w:ascii="仿宋" w:hAnsi="仿宋" w:eastAsia="仿宋" w:cs="仿宋"/>
                <w:color w:val="000000"/>
                <w:kern w:val="0"/>
                <w:szCs w:val="21"/>
                <w:highlight w:val="none"/>
                <w:lang w:val="en-US" w:eastAsia="zh-CN"/>
              </w:rPr>
              <w:t>1</w:t>
            </w:r>
            <w:r>
              <w:rPr>
                <w:rFonts w:hint="eastAsia" w:ascii="仿宋" w:hAnsi="仿宋" w:eastAsia="仿宋" w:cs="仿宋"/>
                <w:color w:val="000000"/>
                <w:kern w:val="0"/>
                <w:szCs w:val="21"/>
                <w:highlight w:val="none"/>
                <w:lang w:val="zh-CN" w:eastAsia="zh-CN"/>
              </w:rPr>
              <w:t>分，</w:t>
            </w:r>
            <w:r>
              <w:rPr>
                <w:rFonts w:hint="eastAsia" w:ascii="仿宋" w:hAnsi="仿宋" w:eastAsia="仿宋" w:cs="仿宋"/>
                <w:color w:val="000000"/>
                <w:kern w:val="0"/>
                <w:szCs w:val="21"/>
                <w:highlight w:val="none"/>
                <w:lang w:val="en-US" w:eastAsia="zh-CN"/>
              </w:rPr>
              <w:t>最多得1分。</w:t>
            </w:r>
          </w:p>
          <w:p w14:paraId="4C5BE08F">
            <w:pPr>
              <w:widowControl/>
              <w:numPr>
                <w:ilvl w:val="0"/>
                <w:numId w:val="0"/>
              </w:numPr>
              <w:rPr>
                <w:rFonts w:hint="eastAsia"/>
                <w:highlight w:val="none"/>
                <w:lang w:val="zh-CN" w:eastAsia="zh-CN"/>
              </w:rPr>
            </w:pPr>
            <w:r>
              <w:rPr>
                <w:rFonts w:hint="eastAsia" w:ascii="仿宋" w:hAnsi="仿宋" w:eastAsia="仿宋" w:cs="仿宋"/>
                <w:color w:val="000000"/>
                <w:kern w:val="0"/>
                <w:szCs w:val="21"/>
                <w:highlight w:val="none"/>
                <w:lang w:val="en-US" w:eastAsia="zh-CN"/>
              </w:rPr>
              <w:t>注：上述一人多证不重复计取，需提供相关人员证书复印件及社保证明均加盖投标人公章，未提供不得分。</w:t>
            </w:r>
          </w:p>
        </w:tc>
        <w:tc>
          <w:tcPr>
            <w:tcW w:w="402" w:type="pct"/>
            <w:noWrap w:val="0"/>
            <w:vAlign w:val="center"/>
          </w:tcPr>
          <w:p w14:paraId="3E1D6FDC">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10</w:t>
            </w:r>
          </w:p>
        </w:tc>
      </w:tr>
      <w:tr w14:paraId="7998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357" w:type="pct"/>
            <w:noWrap w:val="0"/>
            <w:vAlign w:val="center"/>
          </w:tcPr>
          <w:p w14:paraId="40695CEB">
            <w:pPr>
              <w:widowControl/>
              <w:jc w:val="center"/>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Cs w:val="21"/>
                <w:highlight w:val="none"/>
                <w:lang w:val="en-US" w:eastAsia="zh-CN"/>
              </w:rPr>
              <w:t>10</w:t>
            </w:r>
          </w:p>
        </w:tc>
        <w:tc>
          <w:tcPr>
            <w:tcW w:w="428" w:type="pct"/>
            <w:noWrap w:val="0"/>
            <w:vAlign w:val="center"/>
          </w:tcPr>
          <w:p w14:paraId="45A6A5B7">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个案管理师团队</w:t>
            </w:r>
          </w:p>
          <w:p w14:paraId="478B090F">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rPr>
              <w:t>医学资格能力</w:t>
            </w:r>
          </w:p>
        </w:tc>
        <w:tc>
          <w:tcPr>
            <w:tcW w:w="407" w:type="pct"/>
            <w:noWrap w:val="0"/>
            <w:vAlign w:val="center"/>
          </w:tcPr>
          <w:p w14:paraId="3D01D758">
            <w:pPr>
              <w:widowControl/>
              <w:jc w:val="center"/>
              <w:rPr>
                <w:rFonts w:hint="eastAsia" w:ascii="仿宋" w:hAnsi="仿宋" w:eastAsia="仿宋" w:cs="仿宋"/>
                <w:color w:val="000000"/>
                <w:kern w:val="0"/>
                <w:szCs w:val="21"/>
                <w:highlight w:val="none"/>
              </w:rPr>
            </w:pPr>
            <w:r>
              <w:rPr>
                <w:rFonts w:hint="eastAsia" w:ascii="仿宋" w:hAnsi="仿宋" w:eastAsia="仿宋" w:cs="仿宋"/>
                <w:color w:val="000000"/>
                <w:kern w:val="0"/>
                <w:szCs w:val="21"/>
                <w:highlight w:val="none"/>
                <w:lang w:val="en-US" w:eastAsia="zh-CN"/>
              </w:rPr>
              <w:t>个案</w:t>
            </w:r>
            <w:r>
              <w:rPr>
                <w:rFonts w:hint="eastAsia" w:ascii="仿宋" w:hAnsi="仿宋" w:eastAsia="仿宋" w:cs="仿宋"/>
                <w:color w:val="000000"/>
                <w:kern w:val="0"/>
                <w:szCs w:val="21"/>
                <w:highlight w:val="none"/>
              </w:rPr>
              <w:t>管理服务组</w:t>
            </w:r>
          </w:p>
        </w:tc>
        <w:tc>
          <w:tcPr>
            <w:tcW w:w="3404" w:type="pct"/>
            <w:noWrap w:val="0"/>
            <w:vAlign w:val="center"/>
          </w:tcPr>
          <w:p w14:paraId="03D29899">
            <w:pPr>
              <w:widowControl/>
              <w:numPr>
                <w:ilvl w:val="0"/>
                <w:numId w:val="14"/>
              </w:numPr>
              <w:rPr>
                <w:rFonts w:hint="eastAsia" w:ascii="仿宋" w:hAnsi="仿宋" w:eastAsia="仿宋" w:cs="仿宋"/>
                <w:color w:val="000000"/>
                <w:kern w:val="0"/>
                <w:szCs w:val="21"/>
                <w:highlight w:val="none"/>
                <w:lang w:val="zh-CN" w:eastAsia="zh-CN"/>
              </w:rPr>
            </w:pPr>
            <w:r>
              <w:rPr>
                <w:rFonts w:hint="eastAsia" w:ascii="仿宋" w:hAnsi="仿宋" w:eastAsia="仿宋" w:cs="仿宋"/>
                <w:color w:val="000000"/>
                <w:kern w:val="0"/>
                <w:szCs w:val="21"/>
                <w:highlight w:val="none"/>
                <w:lang w:val="zh-CN" w:eastAsia="zh-CN"/>
              </w:rPr>
              <w:t>组长具有主管护师及以上证书的得2分，</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p>
          <w:p w14:paraId="1A349CC6">
            <w:pPr>
              <w:widowControl/>
              <w:numPr>
                <w:ilvl w:val="0"/>
                <w:numId w:val="14"/>
              </w:numPr>
              <w:rPr>
                <w:rFonts w:hint="eastAsia" w:ascii="仿宋" w:hAnsi="仿宋" w:eastAsia="仿宋" w:cs="仿宋"/>
                <w:color w:val="000000"/>
                <w:kern w:val="0"/>
                <w:szCs w:val="21"/>
                <w:highlight w:val="none"/>
                <w:lang w:val="zh-CN" w:eastAsia="zh-CN"/>
              </w:rPr>
            </w:pPr>
            <w:r>
              <w:rPr>
                <w:rFonts w:hint="eastAsia" w:ascii="仿宋" w:hAnsi="仿宋" w:eastAsia="仿宋" w:cs="仿宋"/>
                <w:color w:val="000000"/>
                <w:kern w:val="0"/>
                <w:szCs w:val="21"/>
                <w:highlight w:val="none"/>
                <w:lang w:val="zh-CN" w:eastAsia="zh-CN"/>
              </w:rPr>
              <w:t>团队人员具有初级护师</w:t>
            </w:r>
            <w:r>
              <w:rPr>
                <w:rFonts w:hint="eastAsia" w:ascii="仿宋" w:hAnsi="仿宋" w:eastAsia="仿宋" w:cs="仿宋"/>
                <w:color w:val="000000"/>
                <w:kern w:val="0"/>
                <w:szCs w:val="21"/>
                <w:highlight w:val="none"/>
                <w:lang w:val="en-US" w:eastAsia="zh-CN"/>
              </w:rPr>
              <w:t>证书的专业人员不少于6人，每增加一名具有初级护师以以上的专业人员得0.5</w:t>
            </w:r>
            <w:r>
              <w:rPr>
                <w:rFonts w:hint="eastAsia" w:ascii="仿宋" w:hAnsi="仿宋" w:eastAsia="仿宋" w:cs="仿宋"/>
                <w:color w:val="000000"/>
                <w:kern w:val="0"/>
                <w:szCs w:val="21"/>
                <w:highlight w:val="none"/>
                <w:lang w:val="zh-CN" w:eastAsia="zh-CN"/>
              </w:rPr>
              <w:t>，</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p>
          <w:p w14:paraId="5BE30A24">
            <w:pPr>
              <w:widowControl/>
              <w:numPr>
                <w:ilvl w:val="0"/>
                <w:numId w:val="14"/>
              </w:numPr>
              <w:rPr>
                <w:rFonts w:hint="eastAsia" w:ascii="仿宋" w:hAnsi="仿宋" w:eastAsia="仿宋" w:cs="仿宋"/>
                <w:color w:val="000000"/>
                <w:kern w:val="0"/>
                <w:szCs w:val="21"/>
                <w:highlight w:val="none"/>
                <w:lang w:val="zh-CN" w:eastAsia="zh-CN"/>
              </w:rPr>
            </w:pPr>
            <w:r>
              <w:rPr>
                <w:rFonts w:hint="eastAsia" w:ascii="仿宋" w:hAnsi="仿宋" w:eastAsia="仿宋" w:cs="仿宋"/>
                <w:color w:val="000000"/>
                <w:kern w:val="0"/>
                <w:szCs w:val="21"/>
                <w:highlight w:val="none"/>
                <w:lang w:val="zh-CN" w:eastAsia="zh-CN"/>
              </w:rPr>
              <w:t>团队人员具有营养师证书的专业人员得2分，</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p>
          <w:p w14:paraId="5AF12D17">
            <w:pPr>
              <w:widowControl/>
              <w:numPr>
                <w:ilvl w:val="0"/>
                <w:numId w:val="14"/>
              </w:numPr>
              <w:rPr>
                <w:rFonts w:hint="eastAsia" w:ascii="仿宋" w:hAnsi="仿宋" w:eastAsia="仿宋" w:cs="仿宋"/>
                <w:color w:val="000000"/>
                <w:kern w:val="0"/>
                <w:szCs w:val="21"/>
                <w:highlight w:val="none"/>
                <w:lang w:val="zh-CN" w:eastAsia="zh-CN"/>
              </w:rPr>
            </w:pPr>
            <w:r>
              <w:rPr>
                <w:rFonts w:hint="eastAsia" w:ascii="仿宋" w:hAnsi="仿宋" w:eastAsia="仿宋" w:cs="仿宋"/>
                <w:color w:val="000000"/>
                <w:kern w:val="0"/>
                <w:szCs w:val="21"/>
                <w:highlight w:val="none"/>
                <w:lang w:val="zh-CN" w:eastAsia="zh-CN"/>
              </w:rPr>
              <w:t>团队人员具有心理咨询师证书的专业人员得2分，</w:t>
            </w:r>
            <w:r>
              <w:rPr>
                <w:rFonts w:hint="eastAsia" w:ascii="仿宋" w:hAnsi="仿宋" w:eastAsia="仿宋" w:cs="仿宋"/>
                <w:color w:val="000000"/>
                <w:kern w:val="0"/>
                <w:szCs w:val="21"/>
                <w:highlight w:val="none"/>
                <w:lang w:val="en-US" w:eastAsia="zh-CN"/>
              </w:rPr>
              <w:t>最多得2分</w:t>
            </w:r>
            <w:r>
              <w:rPr>
                <w:rFonts w:hint="eastAsia" w:ascii="仿宋" w:hAnsi="仿宋" w:eastAsia="仿宋" w:cs="仿宋"/>
                <w:color w:val="000000"/>
                <w:kern w:val="0"/>
                <w:szCs w:val="21"/>
                <w:highlight w:val="none"/>
                <w:lang w:val="zh-CN" w:eastAsia="zh-CN"/>
              </w:rPr>
              <w:t>。</w:t>
            </w:r>
            <w:r>
              <w:rPr>
                <w:rFonts w:hint="eastAsia" w:ascii="仿宋" w:hAnsi="仿宋" w:eastAsia="仿宋" w:cs="仿宋"/>
                <w:color w:val="000000"/>
                <w:kern w:val="0"/>
                <w:szCs w:val="21"/>
                <w:highlight w:val="none"/>
                <w:lang w:val="en-US" w:eastAsia="zh-CN"/>
              </w:rPr>
              <w:t>注：上述一人多证不重复计取，需提供相关人员证书复印件及社保证明均加盖投标人公章，未提供不得分。</w:t>
            </w:r>
          </w:p>
        </w:tc>
        <w:tc>
          <w:tcPr>
            <w:tcW w:w="402" w:type="pct"/>
            <w:noWrap w:val="0"/>
            <w:vAlign w:val="center"/>
          </w:tcPr>
          <w:p w14:paraId="32F455A2">
            <w:pPr>
              <w:widowControl/>
              <w:jc w:val="center"/>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lang w:val="en-US" w:eastAsia="zh-CN"/>
              </w:rPr>
              <w:t>8</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rPr>
        <w:t>0分）</w:t>
      </w:r>
    </w:p>
    <w:p w14:paraId="03C44BB4">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2.2.1评标基准价：</w:t>
      </w:r>
      <w:r>
        <w:rPr>
          <w:rFonts w:hint="eastAsia" w:ascii="仿宋" w:hAnsi="仿宋" w:eastAsia="仿宋" w:cs="仿宋"/>
          <w:bCs/>
          <w:iCs/>
          <w:color w:val="auto"/>
          <w:sz w:val="24"/>
          <w:highlight w:val="none"/>
          <w:lang w:val="en-US" w:eastAsia="zh-CN"/>
        </w:rPr>
        <w:t>即满足招标文件要求且投标价格最低的折扣为评标基准价，其价格分为满分。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w:t>
      </w:r>
      <w:r>
        <w:rPr>
          <w:rFonts w:hint="eastAsia" w:ascii="仿宋" w:hAnsi="仿宋" w:eastAsia="仿宋" w:cs="仿宋"/>
          <w:bCs/>
          <w:iCs/>
          <w:color w:val="auto"/>
          <w:sz w:val="24"/>
          <w:highlight w:val="none"/>
        </w:rPr>
        <w:t>0</w:t>
      </w:r>
      <w:bookmarkEnd w:id="7"/>
      <w:bookmarkEnd w:id="8"/>
      <w:bookmarkEnd w:id="9"/>
      <w:bookmarkEnd w:id="10"/>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8F81DC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14:paraId="2568A2AF">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14:paraId="4D95C3EA">
      <w:pPr>
        <w:pStyle w:val="19"/>
        <w:spacing w:line="800" w:lineRule="atLeast"/>
        <w:ind w:left="0" w:leftChars="0"/>
        <w:rPr>
          <w:rFonts w:hint="eastAsia" w:ascii="仿宋" w:hAnsi="仿宋" w:eastAsia="仿宋" w:cs="仿宋"/>
          <w:b/>
          <w:color w:val="auto"/>
          <w:sz w:val="36"/>
          <w:szCs w:val="36"/>
          <w:highlight w:val="none"/>
        </w:rPr>
      </w:pPr>
    </w:p>
    <w:p w14:paraId="619DF818">
      <w:pPr>
        <w:pStyle w:val="19"/>
        <w:spacing w:line="800" w:lineRule="atLeast"/>
        <w:ind w:left="0" w:leftChars="0"/>
        <w:rPr>
          <w:rFonts w:hint="eastAsia" w:ascii="仿宋" w:hAnsi="仿宋" w:eastAsia="仿宋" w:cs="仿宋"/>
          <w:b/>
          <w:color w:val="auto"/>
          <w:sz w:val="36"/>
          <w:szCs w:val="36"/>
          <w:highlight w:val="none"/>
        </w:rPr>
      </w:pPr>
    </w:p>
    <w:p w14:paraId="22E9617B">
      <w:pPr>
        <w:pStyle w:val="19"/>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3"/>
        <w:spacing w:afterLines="0" w:line="440" w:lineRule="exact"/>
        <w:ind w:firstLine="0" w:firstLineChars="0"/>
        <w:rPr>
          <w:rFonts w:hint="eastAsia" w:ascii="仿宋" w:hAnsi="仿宋" w:eastAsia="仿宋" w:cs="仿宋"/>
          <w:color w:val="auto"/>
          <w:szCs w:val="24"/>
          <w:highlight w:val="none"/>
        </w:rPr>
      </w:pPr>
    </w:p>
    <w:p w14:paraId="6ED098D7">
      <w:pPr>
        <w:pStyle w:val="73"/>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3"/>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3"/>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3"/>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655B1F3">
      <w:pPr>
        <w:pStyle w:val="73"/>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5"/>
        <w:tblW w:w="4998"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41"/>
        <w:gridCol w:w="6568"/>
        <w:gridCol w:w="1773"/>
      </w:tblGrid>
      <w:tr w14:paraId="19382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3" w:hRule="atLeast"/>
          <w:jc w:val="center"/>
        </w:trPr>
        <w:tc>
          <w:tcPr>
            <w:tcW w:w="507" w:type="pct"/>
            <w:vAlign w:val="center"/>
          </w:tcPr>
          <w:p w14:paraId="77B661D0">
            <w:pPr>
              <w:tabs>
                <w:tab w:val="left" w:pos="540"/>
              </w:tabs>
              <w:adjustRightInd w:val="0"/>
              <w:snapToGrid w:val="0"/>
              <w:jc w:val="center"/>
              <w:rPr>
                <w:rFonts w:hint="eastAsia" w:ascii="仿宋" w:hAnsi="仿宋" w:eastAsia="仿宋" w:cs="仿宋"/>
                <w:b/>
                <w:bCs/>
                <w:spacing w:val="20"/>
                <w:szCs w:val="21"/>
                <w:highlight w:val="none"/>
                <w:lang w:eastAsia="zh-CN"/>
              </w:rPr>
            </w:pPr>
            <w:r>
              <w:rPr>
                <w:rFonts w:hint="eastAsia" w:ascii="仿宋" w:hAnsi="仿宋" w:eastAsia="仿宋" w:cs="仿宋"/>
                <w:b/>
                <w:bCs/>
                <w:spacing w:val="20"/>
                <w:szCs w:val="21"/>
                <w:highlight w:val="none"/>
                <w:lang w:eastAsia="zh-CN"/>
              </w:rPr>
              <w:t>序号</w:t>
            </w:r>
          </w:p>
        </w:tc>
        <w:tc>
          <w:tcPr>
            <w:tcW w:w="3537" w:type="pct"/>
            <w:tcBorders>
              <w:right w:val="single" w:color="auto" w:sz="4" w:space="0"/>
            </w:tcBorders>
            <w:vAlign w:val="center"/>
          </w:tcPr>
          <w:p w14:paraId="4416AC7E">
            <w:pPr>
              <w:spacing w:line="360" w:lineRule="auto"/>
              <w:ind w:left="418" w:leftChars="199" w:firstLine="482" w:firstLineChars="200"/>
              <w:jc w:val="center"/>
              <w:rPr>
                <w:rFonts w:hint="eastAsia" w:ascii="仿宋" w:hAnsi="仿宋" w:eastAsia="仿宋" w:cs="仿宋"/>
                <w:b/>
                <w:bCs/>
                <w:sz w:val="24"/>
                <w:highlight w:val="none"/>
              </w:rPr>
            </w:pPr>
            <w:r>
              <w:rPr>
                <w:rFonts w:hint="eastAsia" w:ascii="仿宋" w:hAnsi="仿宋" w:eastAsia="仿宋" w:cs="仿宋"/>
                <w:b/>
                <w:bCs/>
                <w:sz w:val="24"/>
                <w:highlight w:val="none"/>
              </w:rPr>
              <w:t>标段名称</w:t>
            </w:r>
          </w:p>
        </w:tc>
        <w:tc>
          <w:tcPr>
            <w:tcW w:w="955" w:type="pct"/>
            <w:tcBorders>
              <w:right w:val="single" w:color="auto" w:sz="4" w:space="0"/>
            </w:tcBorders>
            <w:vAlign w:val="center"/>
          </w:tcPr>
          <w:p w14:paraId="3A4918E9">
            <w:pPr>
              <w:adjustRightInd w:val="0"/>
              <w:snapToGrid w:val="0"/>
              <w:ind w:left="-107" w:leftChars="-51" w:right="-107" w:rightChars="-51" w:firstLine="1"/>
              <w:jc w:val="center"/>
              <w:rPr>
                <w:rFonts w:ascii="仿宋" w:hAnsi="仿宋" w:eastAsia="仿宋" w:cs="仿宋"/>
                <w:b/>
                <w:bCs/>
                <w:spacing w:val="20"/>
                <w:szCs w:val="21"/>
                <w:highlight w:val="none"/>
              </w:rPr>
            </w:pPr>
            <w:r>
              <w:rPr>
                <w:rFonts w:hint="eastAsia" w:ascii="仿宋" w:hAnsi="仿宋" w:eastAsia="仿宋" w:cs="仿宋"/>
                <w:b/>
                <w:bCs/>
                <w:spacing w:val="20"/>
                <w:szCs w:val="21"/>
                <w:highlight w:val="none"/>
              </w:rPr>
              <w:t>投标折扣</w:t>
            </w:r>
          </w:p>
        </w:tc>
      </w:tr>
      <w:tr w14:paraId="3C33B2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jc w:val="center"/>
        </w:trPr>
        <w:tc>
          <w:tcPr>
            <w:tcW w:w="507" w:type="pct"/>
            <w:vAlign w:val="center"/>
          </w:tcPr>
          <w:p w14:paraId="2DC7E686">
            <w:pPr>
              <w:adjustRightInd w:val="0"/>
              <w:snapToGrid w:val="0"/>
              <w:ind w:right="-134" w:rightChars="-64"/>
              <w:jc w:val="center"/>
              <w:rPr>
                <w:rFonts w:ascii="仿宋" w:hAnsi="仿宋" w:eastAsia="仿宋" w:cs="仿宋"/>
                <w:spacing w:val="20"/>
                <w:szCs w:val="21"/>
                <w:highlight w:val="none"/>
              </w:rPr>
            </w:pPr>
            <w:r>
              <w:rPr>
                <w:rFonts w:hint="eastAsia" w:ascii="仿宋" w:hAnsi="仿宋" w:eastAsia="仿宋" w:cs="仿宋"/>
                <w:spacing w:val="20"/>
                <w:szCs w:val="21"/>
                <w:highlight w:val="none"/>
              </w:rPr>
              <w:t>1</w:t>
            </w:r>
          </w:p>
        </w:tc>
        <w:tc>
          <w:tcPr>
            <w:tcW w:w="3537" w:type="pct"/>
            <w:tcBorders>
              <w:right w:val="single" w:color="auto" w:sz="4" w:space="0"/>
            </w:tcBorders>
            <w:vAlign w:val="center"/>
          </w:tcPr>
          <w:p w14:paraId="0D71E7ED">
            <w:pPr>
              <w:spacing w:line="360" w:lineRule="auto"/>
              <w:rPr>
                <w:rFonts w:hint="eastAsia" w:ascii="仿宋" w:hAnsi="仿宋" w:eastAsia="仿宋" w:cs="仿宋"/>
                <w:sz w:val="24"/>
                <w:highlight w:val="none"/>
              </w:rPr>
            </w:pPr>
            <w:r>
              <w:rPr>
                <w:rFonts w:hint="eastAsia" w:ascii="仿宋" w:hAnsi="仿宋" w:eastAsia="仿宋" w:cs="仿宋"/>
                <w:sz w:val="24"/>
                <w:highlight w:val="none"/>
                <w:lang w:eastAsia="zh-CN"/>
              </w:rPr>
              <w:t>绍兴市中医院患者疾病诊后精细化管理外包服务项目</w:t>
            </w:r>
          </w:p>
        </w:tc>
        <w:tc>
          <w:tcPr>
            <w:tcW w:w="955" w:type="pct"/>
            <w:tcBorders>
              <w:right w:val="single" w:color="auto" w:sz="4" w:space="0"/>
            </w:tcBorders>
            <w:vAlign w:val="center"/>
          </w:tcPr>
          <w:p w14:paraId="5A2F8312">
            <w:pPr>
              <w:adjustRightInd w:val="0"/>
              <w:snapToGrid w:val="0"/>
              <w:ind w:right="172" w:rightChars="82" w:firstLine="960" w:firstLineChars="400"/>
              <w:jc w:val="center"/>
              <w:rPr>
                <w:rFonts w:ascii="仿宋" w:hAnsi="仿宋" w:eastAsia="仿宋" w:cs="仿宋"/>
                <w:spacing w:val="20"/>
                <w:szCs w:val="21"/>
                <w:highlight w:val="none"/>
              </w:rPr>
            </w:pPr>
            <w:r>
              <w:rPr>
                <w:rFonts w:hint="eastAsia" w:ascii="仿宋" w:hAnsi="仿宋" w:eastAsia="仿宋" w:cs="仿宋"/>
                <w:sz w:val="24"/>
                <w:highlight w:val="none"/>
              </w:rPr>
              <w:t>%</w:t>
            </w:r>
          </w:p>
        </w:tc>
      </w:tr>
    </w:tbl>
    <w:p w14:paraId="36E91A37">
      <w:pPr>
        <w:numPr>
          <w:ilvl w:val="0"/>
          <w:numId w:val="15"/>
        </w:num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注: </w:t>
      </w:r>
      <w:r>
        <w:rPr>
          <w:rFonts w:hint="eastAsia" w:ascii="仿宋" w:hAnsi="仿宋" w:eastAsia="仿宋" w:cs="仿宋"/>
          <w:color w:val="auto"/>
          <w:sz w:val="24"/>
          <w:highlight w:val="none"/>
        </w:rPr>
        <w:sym w:font="Wingdings" w:char="F0AB"/>
      </w:r>
      <w:r>
        <w:rPr>
          <w:rFonts w:hint="eastAsia" w:ascii="仿宋" w:hAnsi="仿宋" w:eastAsia="仿宋" w:cs="仿宋"/>
          <w:color w:val="auto"/>
          <w:sz w:val="24"/>
          <w:highlight w:val="none"/>
        </w:rPr>
        <w:t>投标折扣不高于70%，否则视作无效投标。</w:t>
      </w:r>
    </w:p>
    <w:p w14:paraId="58309CCD">
      <w:pPr>
        <w:numPr>
          <w:ilvl w:val="0"/>
          <w:numId w:val="15"/>
        </w:num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本项目统一填报</w:t>
      </w:r>
      <w:r>
        <w:rPr>
          <w:rFonts w:hint="eastAsia" w:ascii="仿宋" w:hAnsi="仿宋" w:eastAsia="仿宋" w:cs="仿宋"/>
          <w:color w:val="auto"/>
          <w:sz w:val="24"/>
          <w:highlight w:val="none"/>
          <w:lang w:eastAsia="zh-CN"/>
        </w:rPr>
        <w:t>折扣</w:t>
      </w:r>
      <w:r>
        <w:rPr>
          <w:rFonts w:hint="eastAsia" w:ascii="仿宋" w:hAnsi="仿宋" w:eastAsia="仿宋" w:cs="仿宋"/>
          <w:color w:val="auto"/>
          <w:sz w:val="24"/>
          <w:highlight w:val="none"/>
        </w:rPr>
        <w:t>，结算总金额=∑（</w:t>
      </w:r>
      <w:r>
        <w:rPr>
          <w:rFonts w:hint="eastAsia" w:ascii="仿宋" w:hAnsi="仿宋" w:eastAsia="仿宋" w:cs="仿宋"/>
          <w:b/>
          <w:bCs/>
          <w:kern w:val="0"/>
          <w:sz w:val="21"/>
          <w:szCs w:val="21"/>
          <w:highlight w:val="none"/>
        </w:rPr>
        <w:t>各项</w:t>
      </w:r>
      <w:r>
        <w:rPr>
          <w:rFonts w:hint="eastAsia" w:ascii="仿宋" w:hAnsi="仿宋" w:eastAsia="仿宋" w:cs="仿宋"/>
          <w:b/>
          <w:bCs/>
          <w:kern w:val="0"/>
          <w:sz w:val="21"/>
          <w:szCs w:val="21"/>
          <w:highlight w:val="none"/>
          <w:lang w:eastAsia="zh-CN"/>
        </w:rPr>
        <w:t>服务</w:t>
      </w:r>
      <w:r>
        <w:rPr>
          <w:rFonts w:hint="eastAsia" w:ascii="仿宋" w:hAnsi="仿宋" w:eastAsia="仿宋" w:cs="仿宋"/>
          <w:b/>
          <w:bCs/>
          <w:kern w:val="0"/>
          <w:sz w:val="21"/>
          <w:szCs w:val="21"/>
          <w:highlight w:val="none"/>
        </w:rPr>
        <w:t>套餐</w:t>
      </w:r>
      <w:r>
        <w:rPr>
          <w:rFonts w:hint="eastAsia" w:ascii="仿宋" w:hAnsi="仿宋" w:eastAsia="仿宋" w:cs="仿宋"/>
          <w:b/>
          <w:bCs/>
          <w:kern w:val="0"/>
          <w:sz w:val="21"/>
          <w:szCs w:val="21"/>
          <w:highlight w:val="none"/>
          <w:lang w:eastAsia="zh-CN"/>
        </w:rPr>
        <w:t>项目</w:t>
      </w:r>
      <w:r>
        <w:rPr>
          <w:rFonts w:hint="eastAsia" w:ascii="仿宋" w:hAnsi="仿宋" w:eastAsia="仿宋" w:cs="仿宋"/>
          <w:b/>
          <w:bCs/>
          <w:kern w:val="0"/>
          <w:sz w:val="21"/>
          <w:szCs w:val="21"/>
          <w:highlight w:val="none"/>
        </w:rPr>
        <w:t>实际数量*</w:t>
      </w:r>
      <w:r>
        <w:rPr>
          <w:rFonts w:hint="eastAsia" w:ascii="仿宋" w:hAnsi="仿宋" w:eastAsia="仿宋" w:cs="仿宋"/>
          <w:b/>
          <w:bCs/>
          <w:kern w:val="0"/>
          <w:sz w:val="21"/>
          <w:szCs w:val="21"/>
          <w:highlight w:val="none"/>
          <w:lang w:eastAsia="zh-CN"/>
        </w:rPr>
        <w:t>对应服务</w:t>
      </w:r>
      <w:r>
        <w:rPr>
          <w:rFonts w:hint="eastAsia" w:ascii="仿宋" w:hAnsi="仿宋" w:eastAsia="仿宋" w:cs="仿宋"/>
          <w:b/>
          <w:bCs/>
          <w:kern w:val="0"/>
          <w:sz w:val="21"/>
          <w:szCs w:val="21"/>
          <w:highlight w:val="none"/>
        </w:rPr>
        <w:t>套餐</w:t>
      </w:r>
      <w:r>
        <w:rPr>
          <w:rFonts w:hint="eastAsia" w:ascii="仿宋" w:hAnsi="仿宋" w:eastAsia="仿宋" w:cs="仿宋"/>
          <w:b/>
          <w:bCs/>
          <w:kern w:val="0"/>
          <w:sz w:val="21"/>
          <w:szCs w:val="21"/>
          <w:highlight w:val="none"/>
          <w:lang w:eastAsia="zh-CN"/>
        </w:rPr>
        <w:t>项目</w:t>
      </w:r>
      <w:r>
        <w:rPr>
          <w:rFonts w:hint="eastAsia" w:ascii="仿宋" w:hAnsi="仿宋" w:eastAsia="仿宋" w:cs="仿宋"/>
          <w:b/>
          <w:bCs/>
          <w:kern w:val="0"/>
          <w:sz w:val="21"/>
          <w:szCs w:val="21"/>
          <w:highlight w:val="none"/>
        </w:rPr>
        <w:t>价</w:t>
      </w:r>
      <w:r>
        <w:rPr>
          <w:rFonts w:hint="eastAsia" w:ascii="仿宋" w:hAnsi="仿宋" w:eastAsia="仿宋" w:cs="仿宋"/>
          <w:b/>
          <w:bCs/>
          <w:kern w:val="0"/>
          <w:sz w:val="21"/>
          <w:szCs w:val="21"/>
          <w:highlight w:val="none"/>
          <w:lang w:eastAsia="zh-CN"/>
        </w:rPr>
        <w:t>格</w:t>
      </w:r>
      <w:r>
        <w:rPr>
          <w:rFonts w:hint="eastAsia" w:ascii="仿宋" w:hAnsi="仿宋" w:eastAsia="仿宋" w:cs="仿宋"/>
          <w:b/>
          <w:bCs/>
          <w:kern w:val="0"/>
          <w:sz w:val="21"/>
          <w:szCs w:val="21"/>
          <w:highlight w:val="none"/>
          <w:lang w:val="en-US" w:eastAsia="zh-CN"/>
        </w:rPr>
        <w:t>*中标折扣</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最终结果四舍五入保留小数点后两位。</w:t>
      </w:r>
    </w:p>
    <w:p w14:paraId="613F855B">
      <w:pPr>
        <w:numPr>
          <w:ilvl w:val="0"/>
          <w:numId w:val="15"/>
        </w:num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14:paraId="3B8F68BD">
      <w:pPr>
        <w:numPr>
          <w:ilvl w:val="0"/>
          <w:numId w:val="15"/>
        </w:numPr>
        <w:snapToGrid w:val="0"/>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招标人不接受某一标项中有2个(含)以上的报价或方案，若投标人在此表中有2个（含）以上的报价或方案，其投标作无效投标处理。</w:t>
      </w:r>
    </w:p>
    <w:p w14:paraId="60FCC78A">
      <w:pPr>
        <w:numPr>
          <w:ilvl w:val="0"/>
          <w:numId w:val="15"/>
        </w:num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有关本项目实施所涉及的一切费用均计入报价。</w:t>
      </w: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0BD040F">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6"/>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33BD13">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患者疾病诊后精细化管理外包服务项目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患者疾病诊后精细化管理外包服务项目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绍兴市中医院患者疾病诊后精细化管理外包服务项目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TYJZ2024</w:t>
      </w:r>
      <w:r>
        <w:rPr>
          <w:rFonts w:hint="eastAsia" w:ascii="仿宋" w:hAnsi="仿宋" w:eastAsia="仿宋" w:cs="仿宋"/>
          <w:color w:val="auto"/>
          <w:sz w:val="24"/>
          <w:highlight w:val="none"/>
        </w:rPr>
        <w:t>）招标文件中关于申请人资格要求的下列条件：</w:t>
      </w:r>
    </w:p>
    <w:p w14:paraId="161EB0BE">
      <w:pPr>
        <w:pStyle w:val="73"/>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5"/>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7"/>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5"/>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5"/>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160C6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BAD2EF">
      <w:pPr>
        <w:snapToGrid w:val="0"/>
        <w:spacing w:line="360" w:lineRule="auto"/>
        <w:ind w:right="480"/>
        <w:rPr>
          <w:rFonts w:hint="eastAsia" w:ascii="仿宋" w:hAnsi="仿宋" w:eastAsia="仿宋" w:cs="仿宋"/>
          <w:b/>
          <w:color w:val="auto"/>
          <w:kern w:val="0"/>
          <w:sz w:val="32"/>
          <w:szCs w:val="32"/>
          <w:highlight w:val="none"/>
          <w:lang w:val="zh-CN"/>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38AD1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6AF03B0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83AF5E0">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14:paraId="465224B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14:paraId="0D1EA5CE">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14:paraId="37FB1581">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4ED660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45EDF811">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7A5F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0A6C0FE1">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14:paraId="6E577393">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14:paraId="2E95BEED">
      <w:pPr>
        <w:pageBreakBefore/>
        <w:rPr>
          <w:rFonts w:hint="eastAsia" w:ascii="仿宋" w:hAnsi="仿宋" w:eastAsia="仿宋" w:cs="仿宋"/>
          <w:b/>
          <w:color w:val="auto"/>
          <w:sz w:val="32"/>
          <w:szCs w:val="32"/>
          <w:highlight w:val="none"/>
        </w:rPr>
      </w:pPr>
    </w:p>
    <w:p w14:paraId="51DA02CC">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14:paraId="1E994F2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14:paraId="1C69DBF9">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643A593">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3FC343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112C282">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F1BE3FA">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2AD8758">
      <w:pPr>
        <w:ind w:right="420" w:firstLine="5880" w:firstLineChars="2450"/>
        <w:jc w:val="left"/>
        <w:rPr>
          <w:rFonts w:hint="eastAsia" w:ascii="仿宋" w:hAnsi="仿宋" w:eastAsia="仿宋" w:cs="仿宋"/>
          <w:color w:val="auto"/>
          <w:sz w:val="24"/>
          <w:highlight w:val="none"/>
        </w:rPr>
      </w:pPr>
    </w:p>
    <w:p w14:paraId="1B8BB3E8">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2E22395E">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3B5B04B9">
      <w:pPr>
        <w:jc w:val="center"/>
        <w:rPr>
          <w:rFonts w:hint="eastAsia" w:ascii="仿宋" w:hAnsi="仿宋" w:eastAsia="仿宋" w:cs="仿宋"/>
          <w:b/>
          <w:color w:val="auto"/>
          <w:sz w:val="32"/>
          <w:highlight w:val="none"/>
        </w:rPr>
      </w:pPr>
    </w:p>
    <w:p w14:paraId="0FFB3F69">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10EE4FC">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241C357A">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14:paraId="69DE3C07">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14:paraId="1495B49B">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07930C65">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E3873DC">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93278B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EB20721">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8F2FCDE">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0055462">
      <w:pPr>
        <w:ind w:right="420" w:firstLine="5880" w:firstLineChars="2450"/>
        <w:jc w:val="left"/>
        <w:rPr>
          <w:rFonts w:hint="eastAsia" w:ascii="仿宋" w:hAnsi="仿宋" w:eastAsia="仿宋" w:cs="仿宋"/>
          <w:color w:val="auto"/>
          <w:sz w:val="24"/>
          <w:highlight w:val="none"/>
        </w:rPr>
      </w:pPr>
    </w:p>
    <w:p w14:paraId="07ADC482">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081DE31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23E1E0AC">
      <w:pPr>
        <w:rPr>
          <w:rFonts w:hint="eastAsia" w:ascii="仿宋" w:hAnsi="仿宋" w:eastAsia="仿宋" w:cs="仿宋"/>
          <w:color w:val="auto"/>
          <w:sz w:val="24"/>
          <w:highlight w:val="none"/>
        </w:rPr>
      </w:pPr>
    </w:p>
    <w:p w14:paraId="207C1351">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0E6D8EE7">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14:paraId="0B52C4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14:paraId="59E3585B">
      <w:pPr>
        <w:rPr>
          <w:rFonts w:hint="eastAsia" w:ascii="仿宋" w:hAnsi="仿宋" w:eastAsia="仿宋" w:cs="仿宋"/>
          <w:color w:val="auto"/>
          <w:sz w:val="24"/>
          <w:highlight w:val="none"/>
        </w:rPr>
      </w:pPr>
    </w:p>
    <w:p w14:paraId="20D7C4CF">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13BE27E4">
      <w:pPr>
        <w:spacing w:line="588" w:lineRule="exact"/>
        <w:rPr>
          <w:rFonts w:hint="eastAsia" w:ascii="仿宋" w:hAnsi="仿宋" w:eastAsia="仿宋" w:cs="仿宋"/>
          <w:b/>
          <w:color w:val="auto"/>
          <w:spacing w:val="6"/>
          <w:sz w:val="30"/>
          <w:szCs w:val="30"/>
          <w:highlight w:val="none"/>
        </w:rPr>
      </w:pPr>
    </w:p>
    <w:p w14:paraId="430D10EB">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63D910A3">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C9B01F6">
      <w:pPr>
        <w:spacing w:line="588" w:lineRule="exact"/>
        <w:ind w:firstLine="480" w:firstLineChars="200"/>
        <w:rPr>
          <w:rFonts w:hint="eastAsia" w:ascii="仿宋" w:hAnsi="仿宋" w:eastAsia="仿宋" w:cs="仿宋"/>
          <w:color w:val="auto"/>
          <w:sz w:val="24"/>
          <w:highlight w:val="none"/>
        </w:rPr>
      </w:pPr>
    </w:p>
    <w:p w14:paraId="5B021ADE">
      <w:pPr>
        <w:spacing w:line="588" w:lineRule="exact"/>
        <w:ind w:firstLine="480" w:firstLineChars="200"/>
        <w:rPr>
          <w:rFonts w:hint="eastAsia" w:ascii="仿宋" w:hAnsi="仿宋" w:eastAsia="仿宋" w:cs="仿宋"/>
          <w:color w:val="auto"/>
          <w:sz w:val="24"/>
          <w:highlight w:val="none"/>
        </w:rPr>
      </w:pPr>
    </w:p>
    <w:p w14:paraId="193E0A81">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14:paraId="0FE7892A">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14:paraId="5294EE0E">
      <w:pPr>
        <w:rPr>
          <w:rFonts w:hint="eastAsia" w:ascii="仿宋" w:hAnsi="仿宋" w:eastAsia="仿宋" w:cs="仿宋"/>
          <w:color w:val="auto"/>
          <w:sz w:val="24"/>
          <w:highlight w:val="none"/>
        </w:rPr>
      </w:pPr>
    </w:p>
    <w:p w14:paraId="12F5B010">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14:paraId="609E6DBA">
      <w:pPr>
        <w:rPr>
          <w:rFonts w:hint="eastAsia" w:ascii="仿宋" w:hAnsi="仿宋" w:eastAsia="仿宋" w:cs="仿宋"/>
          <w:color w:val="auto"/>
          <w:highlight w:val="none"/>
        </w:rPr>
      </w:pPr>
    </w:p>
    <w:p w14:paraId="04AA20AF">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14:paraId="0DFB30A6">
      <w:pPr>
        <w:ind w:firstLine="420" w:firstLineChars="200"/>
        <w:rPr>
          <w:rFonts w:hint="eastAsia" w:ascii="仿宋" w:hAnsi="仿宋" w:eastAsia="仿宋" w:cs="仿宋"/>
          <w:color w:val="auto"/>
          <w:highlight w:val="none"/>
        </w:rPr>
      </w:pPr>
    </w:p>
    <w:p w14:paraId="3FBD7C2C">
      <w:pPr>
        <w:ind w:firstLine="420" w:firstLineChars="200"/>
        <w:rPr>
          <w:rFonts w:hint="eastAsia" w:ascii="仿宋" w:hAnsi="仿宋" w:eastAsia="仿宋" w:cs="仿宋"/>
          <w:color w:val="auto"/>
          <w:highlight w:val="none"/>
        </w:rPr>
      </w:pPr>
    </w:p>
    <w:p w14:paraId="64375E2A">
      <w:pPr>
        <w:ind w:firstLine="420" w:firstLineChars="200"/>
        <w:rPr>
          <w:rFonts w:hint="eastAsia" w:ascii="仿宋" w:hAnsi="仿宋" w:eastAsia="仿宋" w:cs="仿宋"/>
          <w:color w:val="auto"/>
          <w:highlight w:val="none"/>
        </w:rPr>
      </w:pPr>
    </w:p>
    <w:p w14:paraId="34894149">
      <w:pPr>
        <w:ind w:firstLine="420" w:firstLineChars="200"/>
        <w:rPr>
          <w:rFonts w:hint="eastAsia" w:ascii="仿宋" w:hAnsi="仿宋" w:eastAsia="仿宋" w:cs="仿宋"/>
          <w:color w:val="auto"/>
          <w:highlight w:val="none"/>
        </w:rPr>
      </w:pPr>
    </w:p>
    <w:p w14:paraId="263225A0">
      <w:pPr>
        <w:rPr>
          <w:rFonts w:hint="eastAsia" w:ascii="仿宋" w:hAnsi="仿宋" w:eastAsia="仿宋" w:cs="仿宋"/>
          <w:b/>
          <w:color w:val="auto"/>
          <w:sz w:val="24"/>
          <w:highlight w:val="none"/>
        </w:rPr>
      </w:pPr>
    </w:p>
    <w:p w14:paraId="1A724D7D">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45997AB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41CCA3B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B5112F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810929E">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F4756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BEA0A9B">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BB491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2959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14:paraId="67F94E3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A6E2C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7D75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54178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7EF1F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B07D0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D5D32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5EC41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F9FE896">
      <w:pPr>
        <w:widowControl/>
        <w:jc w:val="left"/>
        <w:rPr>
          <w:rFonts w:hint="eastAsia" w:ascii="仿宋" w:hAnsi="仿宋" w:eastAsia="仿宋" w:cs="仿宋"/>
          <w:color w:val="auto"/>
          <w:kern w:val="0"/>
          <w:sz w:val="24"/>
          <w:highlight w:val="none"/>
        </w:rPr>
      </w:pPr>
    </w:p>
    <w:p w14:paraId="712A911C">
      <w:pPr>
        <w:widowControl/>
        <w:jc w:val="left"/>
        <w:rPr>
          <w:rFonts w:hint="eastAsia" w:ascii="仿宋" w:hAnsi="仿宋" w:eastAsia="仿宋" w:cs="仿宋"/>
          <w:color w:val="auto"/>
          <w:kern w:val="0"/>
          <w:sz w:val="24"/>
          <w:highlight w:val="none"/>
        </w:rPr>
      </w:pPr>
    </w:p>
    <w:p w14:paraId="784F7D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5"/>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8AB585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F88EB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FAFCC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96AA6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42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321971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04AEC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BD4D0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73D9B8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3A3295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684E3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040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7E2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19F1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652E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A4F7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1B6894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5AF5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74651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C39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367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032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949F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E19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6E2750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7215F264">
            <w:pPr>
              <w:widowControl/>
              <w:jc w:val="left"/>
              <w:rPr>
                <w:rFonts w:hint="eastAsia" w:ascii="仿宋" w:hAnsi="仿宋" w:eastAsia="仿宋" w:cs="仿宋"/>
                <w:color w:val="auto"/>
                <w:kern w:val="0"/>
                <w:sz w:val="24"/>
                <w:highlight w:val="none"/>
              </w:rPr>
            </w:pPr>
          </w:p>
        </w:tc>
        <w:tc>
          <w:tcPr>
            <w:tcW w:w="1560" w:type="dxa"/>
            <w:vAlign w:val="center"/>
          </w:tcPr>
          <w:p w14:paraId="16569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DE1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9457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553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5EA8F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28C5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D25DA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65CB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9A9E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257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6AC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6AD53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C281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8D178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2C46D7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9A135C1">
            <w:pPr>
              <w:widowControl/>
              <w:jc w:val="left"/>
              <w:rPr>
                <w:rFonts w:hint="eastAsia" w:ascii="仿宋" w:hAnsi="仿宋" w:eastAsia="仿宋" w:cs="仿宋"/>
                <w:color w:val="auto"/>
                <w:kern w:val="0"/>
                <w:sz w:val="24"/>
                <w:highlight w:val="none"/>
              </w:rPr>
            </w:pPr>
          </w:p>
        </w:tc>
        <w:tc>
          <w:tcPr>
            <w:tcW w:w="1560" w:type="dxa"/>
            <w:vAlign w:val="center"/>
          </w:tcPr>
          <w:p w14:paraId="24F766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2709B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52A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402DF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5968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FD85A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66ABE0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17CD4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34FF3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85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E69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94298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3543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06179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B7B362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9703C7E">
            <w:pPr>
              <w:widowControl/>
              <w:jc w:val="left"/>
              <w:rPr>
                <w:rFonts w:hint="eastAsia" w:ascii="仿宋" w:hAnsi="仿宋" w:eastAsia="仿宋" w:cs="仿宋"/>
                <w:color w:val="auto"/>
                <w:kern w:val="0"/>
                <w:sz w:val="24"/>
                <w:highlight w:val="none"/>
              </w:rPr>
            </w:pPr>
          </w:p>
        </w:tc>
        <w:tc>
          <w:tcPr>
            <w:tcW w:w="1560" w:type="dxa"/>
            <w:vAlign w:val="center"/>
          </w:tcPr>
          <w:p w14:paraId="59E8A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DB8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721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1D700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4DA6D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4679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D45FCE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4EF9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ED156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329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8B32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4ED2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5297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F135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3EF8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7652866">
            <w:pPr>
              <w:widowControl/>
              <w:jc w:val="left"/>
              <w:rPr>
                <w:rFonts w:hint="eastAsia" w:ascii="仿宋" w:hAnsi="仿宋" w:eastAsia="仿宋" w:cs="仿宋"/>
                <w:color w:val="auto"/>
                <w:kern w:val="0"/>
                <w:sz w:val="24"/>
                <w:highlight w:val="none"/>
              </w:rPr>
            </w:pPr>
          </w:p>
        </w:tc>
        <w:tc>
          <w:tcPr>
            <w:tcW w:w="1560" w:type="dxa"/>
            <w:vAlign w:val="center"/>
          </w:tcPr>
          <w:p w14:paraId="6E55B7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2374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F485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EB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717D5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A84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D7DF9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2F39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CE19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A35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97F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61DA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9891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4B5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7ED64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5F26BB6">
            <w:pPr>
              <w:widowControl/>
              <w:jc w:val="left"/>
              <w:rPr>
                <w:rFonts w:hint="eastAsia" w:ascii="仿宋" w:hAnsi="仿宋" w:eastAsia="仿宋" w:cs="仿宋"/>
                <w:color w:val="auto"/>
                <w:kern w:val="0"/>
                <w:sz w:val="24"/>
                <w:highlight w:val="none"/>
              </w:rPr>
            </w:pPr>
          </w:p>
        </w:tc>
        <w:tc>
          <w:tcPr>
            <w:tcW w:w="1560" w:type="dxa"/>
            <w:vAlign w:val="center"/>
          </w:tcPr>
          <w:p w14:paraId="0218D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57D4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D30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4BDA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9A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2EA0D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DCBB48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6AA95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AB409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4FCC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10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D98C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3B9A4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EE73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1A85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415761A">
            <w:pPr>
              <w:widowControl/>
              <w:jc w:val="left"/>
              <w:rPr>
                <w:rFonts w:hint="eastAsia" w:ascii="仿宋" w:hAnsi="仿宋" w:eastAsia="仿宋" w:cs="仿宋"/>
                <w:color w:val="auto"/>
                <w:kern w:val="0"/>
                <w:sz w:val="24"/>
                <w:highlight w:val="none"/>
              </w:rPr>
            </w:pPr>
          </w:p>
        </w:tc>
        <w:tc>
          <w:tcPr>
            <w:tcW w:w="1560" w:type="dxa"/>
            <w:vAlign w:val="center"/>
          </w:tcPr>
          <w:p w14:paraId="51CE9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998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D63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4B83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872A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03194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00876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6DE33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FDF5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ECD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2E6B5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40B7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D23B8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450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F543F6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373D41A">
            <w:pPr>
              <w:widowControl/>
              <w:jc w:val="left"/>
              <w:rPr>
                <w:rFonts w:hint="eastAsia" w:ascii="仿宋" w:hAnsi="仿宋" w:eastAsia="仿宋" w:cs="仿宋"/>
                <w:color w:val="auto"/>
                <w:kern w:val="0"/>
                <w:sz w:val="24"/>
                <w:highlight w:val="none"/>
              </w:rPr>
            </w:pPr>
          </w:p>
        </w:tc>
        <w:tc>
          <w:tcPr>
            <w:tcW w:w="1560" w:type="dxa"/>
            <w:vAlign w:val="center"/>
          </w:tcPr>
          <w:p w14:paraId="7B4C26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0A78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9ED5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CA3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47051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0AD0D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988E1D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F3B7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81F6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49A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D8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7E71D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7D7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6C5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D5125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3933">
            <w:pPr>
              <w:widowControl/>
              <w:jc w:val="left"/>
              <w:rPr>
                <w:rFonts w:hint="eastAsia" w:ascii="仿宋" w:hAnsi="仿宋" w:eastAsia="仿宋" w:cs="仿宋"/>
                <w:color w:val="auto"/>
                <w:kern w:val="0"/>
                <w:sz w:val="24"/>
                <w:highlight w:val="none"/>
              </w:rPr>
            </w:pPr>
          </w:p>
        </w:tc>
        <w:tc>
          <w:tcPr>
            <w:tcW w:w="1560" w:type="dxa"/>
            <w:vAlign w:val="center"/>
          </w:tcPr>
          <w:p w14:paraId="007F7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6F51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D29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537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F69F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6F4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9ED5C6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100762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C480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5A10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420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1EE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AA2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5B6A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70AE0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47B4FB83">
            <w:pPr>
              <w:widowControl/>
              <w:jc w:val="left"/>
              <w:rPr>
                <w:rFonts w:hint="eastAsia" w:ascii="仿宋" w:hAnsi="仿宋" w:eastAsia="仿宋" w:cs="仿宋"/>
                <w:color w:val="auto"/>
                <w:kern w:val="0"/>
                <w:sz w:val="24"/>
                <w:highlight w:val="none"/>
              </w:rPr>
            </w:pPr>
          </w:p>
        </w:tc>
        <w:tc>
          <w:tcPr>
            <w:tcW w:w="1560" w:type="dxa"/>
            <w:vAlign w:val="center"/>
          </w:tcPr>
          <w:p w14:paraId="4A276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7777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F23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B6D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A12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360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6DA06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5865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0EB4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FD8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822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38E6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C570E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96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DCD968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0B2D7BE6">
            <w:pPr>
              <w:widowControl/>
              <w:jc w:val="left"/>
              <w:rPr>
                <w:rFonts w:hint="eastAsia" w:ascii="仿宋" w:hAnsi="仿宋" w:eastAsia="仿宋" w:cs="仿宋"/>
                <w:color w:val="auto"/>
                <w:kern w:val="0"/>
                <w:sz w:val="24"/>
                <w:highlight w:val="none"/>
              </w:rPr>
            </w:pPr>
          </w:p>
        </w:tc>
        <w:tc>
          <w:tcPr>
            <w:tcW w:w="1560" w:type="dxa"/>
            <w:vAlign w:val="center"/>
          </w:tcPr>
          <w:p w14:paraId="684160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63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37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3A5F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40233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5A67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61AA6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0BA50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5C86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B7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A53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B66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A101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E5C5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65F42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E32C67E">
            <w:pPr>
              <w:widowControl/>
              <w:jc w:val="left"/>
              <w:rPr>
                <w:rFonts w:hint="eastAsia" w:ascii="仿宋" w:hAnsi="仿宋" w:eastAsia="仿宋" w:cs="仿宋"/>
                <w:color w:val="auto"/>
                <w:kern w:val="0"/>
                <w:sz w:val="24"/>
                <w:highlight w:val="none"/>
              </w:rPr>
            </w:pPr>
          </w:p>
        </w:tc>
        <w:tc>
          <w:tcPr>
            <w:tcW w:w="1560" w:type="dxa"/>
            <w:vAlign w:val="center"/>
          </w:tcPr>
          <w:p w14:paraId="41CC59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129B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BF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BA64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58C3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029B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FAF0F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72DB1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86E5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575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4914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CF15C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3962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454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B471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5889C7CC">
            <w:pPr>
              <w:widowControl/>
              <w:jc w:val="left"/>
              <w:rPr>
                <w:rFonts w:hint="eastAsia" w:ascii="仿宋" w:hAnsi="仿宋" w:eastAsia="仿宋" w:cs="仿宋"/>
                <w:color w:val="auto"/>
                <w:kern w:val="0"/>
                <w:sz w:val="24"/>
                <w:highlight w:val="none"/>
              </w:rPr>
            </w:pPr>
          </w:p>
        </w:tc>
        <w:tc>
          <w:tcPr>
            <w:tcW w:w="1560" w:type="dxa"/>
            <w:vAlign w:val="center"/>
          </w:tcPr>
          <w:p w14:paraId="55F2A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7965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9456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5E45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C988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8BF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20DFB7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55B837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11D5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3A3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0FBD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908B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F90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6D99D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A14F7E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AF17C78">
            <w:pPr>
              <w:widowControl/>
              <w:jc w:val="left"/>
              <w:rPr>
                <w:rFonts w:hint="eastAsia" w:ascii="仿宋" w:hAnsi="仿宋" w:eastAsia="仿宋" w:cs="仿宋"/>
                <w:color w:val="auto"/>
                <w:kern w:val="0"/>
                <w:sz w:val="24"/>
                <w:highlight w:val="none"/>
              </w:rPr>
            </w:pPr>
          </w:p>
        </w:tc>
        <w:tc>
          <w:tcPr>
            <w:tcW w:w="1560" w:type="dxa"/>
            <w:vAlign w:val="center"/>
          </w:tcPr>
          <w:p w14:paraId="3B47D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D7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8A7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557F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96DF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593C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4BEBCD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14:paraId="30B5A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5379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AC0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5B5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EBA4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EDEB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578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12048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14:paraId="2835B29E">
            <w:pPr>
              <w:widowControl/>
              <w:jc w:val="left"/>
              <w:rPr>
                <w:rFonts w:hint="eastAsia" w:ascii="仿宋" w:hAnsi="仿宋" w:eastAsia="仿宋" w:cs="仿宋"/>
                <w:color w:val="auto"/>
                <w:kern w:val="0"/>
                <w:sz w:val="24"/>
                <w:highlight w:val="none"/>
              </w:rPr>
            </w:pPr>
          </w:p>
        </w:tc>
        <w:tc>
          <w:tcPr>
            <w:tcW w:w="1560" w:type="dxa"/>
            <w:vAlign w:val="center"/>
          </w:tcPr>
          <w:p w14:paraId="33E55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0D895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B5E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7915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080A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9F43F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C68A4E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14:paraId="62864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3054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44269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29EA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0A34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8427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0CF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C2C60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65719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6C3F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D634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00EF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C294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77AF6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65C3421">
      <w:pPr>
        <w:widowControl/>
        <w:jc w:val="left"/>
        <w:rPr>
          <w:rFonts w:hint="eastAsia" w:ascii="仿宋" w:hAnsi="仿宋" w:eastAsia="仿宋" w:cs="仿宋"/>
          <w:color w:val="auto"/>
          <w:kern w:val="0"/>
          <w:sz w:val="24"/>
          <w:highlight w:val="none"/>
        </w:rPr>
      </w:pPr>
    </w:p>
    <w:p w14:paraId="348A56E5">
      <w:pPr>
        <w:widowControl/>
        <w:jc w:val="left"/>
        <w:rPr>
          <w:rFonts w:hint="eastAsia" w:ascii="仿宋" w:hAnsi="仿宋" w:eastAsia="仿宋" w:cs="仿宋"/>
          <w:color w:val="auto"/>
          <w:kern w:val="0"/>
          <w:sz w:val="24"/>
          <w:highlight w:val="none"/>
        </w:rPr>
      </w:pPr>
    </w:p>
    <w:p w14:paraId="120D3EA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9BF5A2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A923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8705B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2EFC3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5C650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4E249A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D710D6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761C8D6">
      <w:pPr>
        <w:widowControl/>
        <w:jc w:val="left"/>
        <w:rPr>
          <w:rFonts w:hint="eastAsia" w:ascii="仿宋" w:hAnsi="仿宋" w:eastAsia="仿宋" w:cs="仿宋"/>
          <w:color w:val="auto"/>
          <w:kern w:val="0"/>
          <w:sz w:val="18"/>
          <w:szCs w:val="18"/>
          <w:highlight w:val="none"/>
        </w:rPr>
      </w:pPr>
    </w:p>
    <w:p w14:paraId="10C0E02A">
      <w:pPr>
        <w:widowControl/>
        <w:jc w:val="left"/>
        <w:rPr>
          <w:rFonts w:hint="eastAsia" w:ascii="仿宋" w:hAnsi="仿宋" w:eastAsia="仿宋" w:cs="仿宋"/>
          <w:color w:val="auto"/>
          <w:kern w:val="0"/>
          <w:sz w:val="18"/>
          <w:szCs w:val="18"/>
          <w:highlight w:val="none"/>
        </w:rPr>
      </w:pPr>
    </w:p>
    <w:p w14:paraId="79EA1CE7">
      <w:pPr>
        <w:widowControl/>
        <w:jc w:val="left"/>
        <w:rPr>
          <w:rFonts w:hint="eastAsia" w:ascii="仿宋" w:hAnsi="仿宋" w:eastAsia="仿宋" w:cs="仿宋"/>
          <w:color w:val="auto"/>
          <w:kern w:val="0"/>
          <w:sz w:val="18"/>
          <w:szCs w:val="18"/>
          <w:highlight w:val="none"/>
        </w:rPr>
      </w:pPr>
    </w:p>
    <w:p w14:paraId="0991B61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0BB322A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0B0C27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AF0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DEC87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E70C69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AF2F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779B4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3E5C6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1BE6C6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6E5BB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0705B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2C7FCB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E9891B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5B785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D0E02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8D0DC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8529C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B6C82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7343A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720F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BAE04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A381E2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B28C6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84321B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F578B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274B49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97E161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5"/>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14:paraId="6D9668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EA50DA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EE87DA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B56069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512F8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4640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73CE5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ABC2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45162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83294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E5C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6EE66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04D1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6B0C81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5960C">
            <w:pPr>
              <w:widowControl/>
              <w:jc w:val="left"/>
              <w:rPr>
                <w:rFonts w:hint="eastAsia" w:ascii="仿宋" w:hAnsi="仿宋" w:eastAsia="仿宋" w:cs="仿宋"/>
                <w:color w:val="auto"/>
                <w:kern w:val="0"/>
                <w:sz w:val="24"/>
                <w:highlight w:val="none"/>
              </w:rPr>
            </w:pPr>
          </w:p>
        </w:tc>
        <w:tc>
          <w:tcPr>
            <w:tcW w:w="606" w:type="dxa"/>
            <w:vAlign w:val="center"/>
          </w:tcPr>
          <w:p w14:paraId="377030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F449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28FE0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039DD0">
            <w:pPr>
              <w:widowControl/>
              <w:jc w:val="left"/>
              <w:rPr>
                <w:rFonts w:hint="eastAsia" w:ascii="仿宋" w:hAnsi="仿宋" w:eastAsia="仿宋" w:cs="仿宋"/>
                <w:color w:val="auto"/>
                <w:kern w:val="0"/>
                <w:sz w:val="24"/>
                <w:highlight w:val="none"/>
              </w:rPr>
            </w:pPr>
          </w:p>
        </w:tc>
        <w:tc>
          <w:tcPr>
            <w:tcW w:w="1025" w:type="dxa"/>
            <w:vMerge w:val="continue"/>
            <w:vAlign w:val="center"/>
          </w:tcPr>
          <w:p w14:paraId="1ED9130A">
            <w:pPr>
              <w:widowControl/>
              <w:jc w:val="left"/>
              <w:rPr>
                <w:rFonts w:hint="eastAsia" w:ascii="仿宋" w:hAnsi="仿宋" w:eastAsia="仿宋" w:cs="仿宋"/>
                <w:color w:val="auto"/>
                <w:kern w:val="0"/>
                <w:sz w:val="24"/>
                <w:highlight w:val="none"/>
              </w:rPr>
            </w:pPr>
          </w:p>
        </w:tc>
        <w:tc>
          <w:tcPr>
            <w:tcW w:w="2836" w:type="dxa"/>
            <w:vMerge w:val="continue"/>
            <w:vAlign w:val="center"/>
          </w:tcPr>
          <w:p w14:paraId="046061C1">
            <w:pPr>
              <w:widowControl/>
              <w:jc w:val="left"/>
              <w:rPr>
                <w:rFonts w:hint="eastAsia" w:ascii="仿宋" w:hAnsi="仿宋" w:eastAsia="仿宋" w:cs="仿宋"/>
                <w:color w:val="auto"/>
                <w:kern w:val="0"/>
                <w:sz w:val="24"/>
                <w:highlight w:val="none"/>
              </w:rPr>
            </w:pPr>
          </w:p>
        </w:tc>
        <w:tc>
          <w:tcPr>
            <w:tcW w:w="606" w:type="dxa"/>
            <w:vAlign w:val="center"/>
          </w:tcPr>
          <w:p w14:paraId="61F66D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3A7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D41A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975908E">
            <w:pPr>
              <w:widowControl/>
              <w:jc w:val="left"/>
              <w:rPr>
                <w:rFonts w:hint="eastAsia" w:ascii="仿宋" w:hAnsi="仿宋" w:eastAsia="仿宋" w:cs="仿宋"/>
                <w:color w:val="auto"/>
                <w:kern w:val="0"/>
                <w:sz w:val="24"/>
                <w:highlight w:val="none"/>
              </w:rPr>
            </w:pPr>
          </w:p>
        </w:tc>
        <w:tc>
          <w:tcPr>
            <w:tcW w:w="1025" w:type="dxa"/>
            <w:vMerge w:val="restart"/>
            <w:vAlign w:val="center"/>
          </w:tcPr>
          <w:p w14:paraId="5DE4F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4DAF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A68DB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58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A451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A5390CB">
            <w:pPr>
              <w:widowControl/>
              <w:jc w:val="left"/>
              <w:rPr>
                <w:rFonts w:hint="eastAsia" w:ascii="仿宋" w:hAnsi="仿宋" w:eastAsia="仿宋" w:cs="仿宋"/>
                <w:color w:val="auto"/>
                <w:kern w:val="0"/>
                <w:sz w:val="24"/>
                <w:highlight w:val="none"/>
              </w:rPr>
            </w:pPr>
          </w:p>
        </w:tc>
        <w:tc>
          <w:tcPr>
            <w:tcW w:w="1025" w:type="dxa"/>
            <w:vMerge w:val="continue"/>
            <w:vAlign w:val="center"/>
          </w:tcPr>
          <w:p w14:paraId="34F33444">
            <w:pPr>
              <w:widowControl/>
              <w:jc w:val="left"/>
              <w:rPr>
                <w:rFonts w:hint="eastAsia" w:ascii="仿宋" w:hAnsi="仿宋" w:eastAsia="仿宋" w:cs="仿宋"/>
                <w:color w:val="auto"/>
                <w:kern w:val="0"/>
                <w:sz w:val="24"/>
                <w:highlight w:val="none"/>
              </w:rPr>
            </w:pPr>
          </w:p>
        </w:tc>
        <w:tc>
          <w:tcPr>
            <w:tcW w:w="2836" w:type="dxa"/>
            <w:vMerge w:val="continue"/>
            <w:vAlign w:val="center"/>
          </w:tcPr>
          <w:p w14:paraId="6E832D38">
            <w:pPr>
              <w:widowControl/>
              <w:jc w:val="left"/>
              <w:rPr>
                <w:rFonts w:hint="eastAsia" w:ascii="仿宋" w:hAnsi="仿宋" w:eastAsia="仿宋" w:cs="仿宋"/>
                <w:color w:val="auto"/>
                <w:kern w:val="0"/>
                <w:sz w:val="24"/>
                <w:highlight w:val="none"/>
              </w:rPr>
            </w:pPr>
          </w:p>
        </w:tc>
        <w:tc>
          <w:tcPr>
            <w:tcW w:w="606" w:type="dxa"/>
            <w:vAlign w:val="center"/>
          </w:tcPr>
          <w:p w14:paraId="14834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818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4BF49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BC617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596AC3B">
            <w:pPr>
              <w:widowControl/>
              <w:jc w:val="left"/>
              <w:rPr>
                <w:rFonts w:hint="eastAsia" w:ascii="仿宋" w:hAnsi="仿宋" w:eastAsia="仿宋" w:cs="仿宋"/>
                <w:color w:val="auto"/>
                <w:kern w:val="0"/>
                <w:sz w:val="24"/>
                <w:highlight w:val="none"/>
              </w:rPr>
            </w:pPr>
          </w:p>
        </w:tc>
        <w:tc>
          <w:tcPr>
            <w:tcW w:w="2836" w:type="dxa"/>
            <w:vMerge w:val="continue"/>
            <w:vAlign w:val="center"/>
          </w:tcPr>
          <w:p w14:paraId="0B5A1810">
            <w:pPr>
              <w:widowControl/>
              <w:jc w:val="left"/>
              <w:rPr>
                <w:rFonts w:hint="eastAsia" w:ascii="仿宋" w:hAnsi="仿宋" w:eastAsia="仿宋" w:cs="仿宋"/>
                <w:color w:val="auto"/>
                <w:kern w:val="0"/>
                <w:sz w:val="24"/>
                <w:highlight w:val="none"/>
              </w:rPr>
            </w:pPr>
          </w:p>
        </w:tc>
        <w:tc>
          <w:tcPr>
            <w:tcW w:w="606" w:type="dxa"/>
            <w:vAlign w:val="center"/>
          </w:tcPr>
          <w:p w14:paraId="41841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C018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E84F2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6FEEF27">
            <w:pPr>
              <w:widowControl/>
              <w:jc w:val="left"/>
              <w:rPr>
                <w:rFonts w:hint="eastAsia" w:ascii="仿宋" w:hAnsi="仿宋" w:eastAsia="仿宋" w:cs="仿宋"/>
                <w:color w:val="auto"/>
                <w:kern w:val="0"/>
                <w:sz w:val="24"/>
                <w:highlight w:val="none"/>
              </w:rPr>
            </w:pPr>
          </w:p>
        </w:tc>
        <w:tc>
          <w:tcPr>
            <w:tcW w:w="1025" w:type="dxa"/>
            <w:vMerge w:val="continue"/>
            <w:vAlign w:val="center"/>
          </w:tcPr>
          <w:p w14:paraId="1539DCE8">
            <w:pPr>
              <w:widowControl/>
              <w:jc w:val="left"/>
              <w:rPr>
                <w:rFonts w:hint="eastAsia" w:ascii="仿宋" w:hAnsi="仿宋" w:eastAsia="仿宋" w:cs="仿宋"/>
                <w:color w:val="auto"/>
                <w:kern w:val="0"/>
                <w:sz w:val="24"/>
                <w:highlight w:val="none"/>
              </w:rPr>
            </w:pPr>
          </w:p>
        </w:tc>
        <w:tc>
          <w:tcPr>
            <w:tcW w:w="2836" w:type="dxa"/>
            <w:vMerge w:val="restart"/>
            <w:vAlign w:val="center"/>
          </w:tcPr>
          <w:p w14:paraId="4ED2DB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8655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8E7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EEA43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B666F1B">
            <w:pPr>
              <w:widowControl/>
              <w:jc w:val="left"/>
              <w:rPr>
                <w:rFonts w:hint="eastAsia" w:ascii="仿宋" w:hAnsi="仿宋" w:eastAsia="仿宋" w:cs="仿宋"/>
                <w:color w:val="auto"/>
                <w:kern w:val="0"/>
                <w:sz w:val="24"/>
                <w:highlight w:val="none"/>
              </w:rPr>
            </w:pPr>
          </w:p>
        </w:tc>
        <w:tc>
          <w:tcPr>
            <w:tcW w:w="1025" w:type="dxa"/>
            <w:vMerge w:val="continue"/>
            <w:vAlign w:val="center"/>
          </w:tcPr>
          <w:p w14:paraId="01D770CA">
            <w:pPr>
              <w:widowControl/>
              <w:jc w:val="left"/>
              <w:rPr>
                <w:rFonts w:hint="eastAsia" w:ascii="仿宋" w:hAnsi="仿宋" w:eastAsia="仿宋" w:cs="仿宋"/>
                <w:color w:val="auto"/>
                <w:kern w:val="0"/>
                <w:sz w:val="24"/>
                <w:highlight w:val="none"/>
              </w:rPr>
            </w:pPr>
          </w:p>
        </w:tc>
        <w:tc>
          <w:tcPr>
            <w:tcW w:w="2836" w:type="dxa"/>
            <w:vMerge w:val="continue"/>
            <w:vAlign w:val="center"/>
          </w:tcPr>
          <w:p w14:paraId="07E11DD4">
            <w:pPr>
              <w:widowControl/>
              <w:jc w:val="left"/>
              <w:rPr>
                <w:rFonts w:hint="eastAsia" w:ascii="仿宋" w:hAnsi="仿宋" w:eastAsia="仿宋" w:cs="仿宋"/>
                <w:color w:val="auto"/>
                <w:kern w:val="0"/>
                <w:sz w:val="24"/>
                <w:highlight w:val="none"/>
              </w:rPr>
            </w:pPr>
          </w:p>
        </w:tc>
        <w:tc>
          <w:tcPr>
            <w:tcW w:w="606" w:type="dxa"/>
            <w:vAlign w:val="center"/>
          </w:tcPr>
          <w:p w14:paraId="5216EF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D759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DDD08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7409252">
            <w:pPr>
              <w:widowControl/>
              <w:jc w:val="left"/>
              <w:rPr>
                <w:rFonts w:hint="eastAsia" w:ascii="仿宋" w:hAnsi="仿宋" w:eastAsia="仿宋" w:cs="仿宋"/>
                <w:color w:val="auto"/>
                <w:kern w:val="0"/>
                <w:sz w:val="24"/>
                <w:highlight w:val="none"/>
              </w:rPr>
            </w:pPr>
          </w:p>
        </w:tc>
        <w:tc>
          <w:tcPr>
            <w:tcW w:w="1025" w:type="dxa"/>
            <w:vMerge w:val="continue"/>
            <w:vAlign w:val="center"/>
          </w:tcPr>
          <w:p w14:paraId="4A39516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B0A46">
            <w:pPr>
              <w:widowControl/>
              <w:jc w:val="left"/>
              <w:rPr>
                <w:rFonts w:hint="eastAsia" w:ascii="仿宋" w:hAnsi="仿宋" w:eastAsia="仿宋" w:cs="仿宋"/>
                <w:color w:val="auto"/>
                <w:kern w:val="0"/>
                <w:sz w:val="24"/>
                <w:highlight w:val="none"/>
              </w:rPr>
            </w:pPr>
          </w:p>
        </w:tc>
        <w:tc>
          <w:tcPr>
            <w:tcW w:w="606" w:type="dxa"/>
            <w:vAlign w:val="center"/>
          </w:tcPr>
          <w:p w14:paraId="3C634D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A03E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2E0B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018015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6BF1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255B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F72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3668D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603880E">
            <w:pPr>
              <w:widowControl/>
              <w:jc w:val="left"/>
              <w:rPr>
                <w:rFonts w:hint="eastAsia" w:ascii="仿宋" w:hAnsi="仿宋" w:eastAsia="仿宋" w:cs="仿宋"/>
                <w:color w:val="auto"/>
                <w:kern w:val="0"/>
                <w:sz w:val="24"/>
                <w:highlight w:val="none"/>
              </w:rPr>
            </w:pPr>
          </w:p>
        </w:tc>
        <w:tc>
          <w:tcPr>
            <w:tcW w:w="2836" w:type="dxa"/>
            <w:vMerge w:val="continue"/>
            <w:vAlign w:val="center"/>
          </w:tcPr>
          <w:p w14:paraId="07683B9B">
            <w:pPr>
              <w:widowControl/>
              <w:jc w:val="left"/>
              <w:rPr>
                <w:rFonts w:hint="eastAsia" w:ascii="仿宋" w:hAnsi="仿宋" w:eastAsia="仿宋" w:cs="仿宋"/>
                <w:color w:val="auto"/>
                <w:kern w:val="0"/>
                <w:sz w:val="24"/>
                <w:highlight w:val="none"/>
              </w:rPr>
            </w:pPr>
          </w:p>
        </w:tc>
        <w:tc>
          <w:tcPr>
            <w:tcW w:w="606" w:type="dxa"/>
            <w:vAlign w:val="center"/>
          </w:tcPr>
          <w:p w14:paraId="18BBD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499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09937B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725F77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98FC544">
            <w:pPr>
              <w:widowControl/>
              <w:jc w:val="left"/>
              <w:rPr>
                <w:rFonts w:hint="eastAsia" w:ascii="仿宋" w:hAnsi="仿宋" w:eastAsia="仿宋" w:cs="仿宋"/>
                <w:color w:val="auto"/>
                <w:kern w:val="0"/>
                <w:sz w:val="24"/>
                <w:highlight w:val="none"/>
              </w:rPr>
            </w:pPr>
          </w:p>
        </w:tc>
        <w:tc>
          <w:tcPr>
            <w:tcW w:w="606" w:type="dxa"/>
            <w:vAlign w:val="center"/>
          </w:tcPr>
          <w:p w14:paraId="2D22B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8CB7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1868C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14:paraId="2D1401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F95C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F14B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49E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BEBE8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535E2318">
            <w:pPr>
              <w:widowControl/>
              <w:jc w:val="left"/>
              <w:rPr>
                <w:rFonts w:hint="eastAsia" w:ascii="仿宋" w:hAnsi="仿宋" w:eastAsia="仿宋" w:cs="仿宋"/>
                <w:color w:val="auto"/>
                <w:kern w:val="0"/>
                <w:sz w:val="24"/>
                <w:highlight w:val="none"/>
              </w:rPr>
            </w:pPr>
          </w:p>
        </w:tc>
        <w:tc>
          <w:tcPr>
            <w:tcW w:w="2836" w:type="dxa"/>
            <w:vMerge w:val="continue"/>
            <w:vAlign w:val="center"/>
          </w:tcPr>
          <w:p w14:paraId="527E5E32">
            <w:pPr>
              <w:widowControl/>
              <w:jc w:val="left"/>
              <w:rPr>
                <w:rFonts w:hint="eastAsia" w:ascii="仿宋" w:hAnsi="仿宋" w:eastAsia="仿宋" w:cs="仿宋"/>
                <w:color w:val="auto"/>
                <w:kern w:val="0"/>
                <w:sz w:val="24"/>
                <w:highlight w:val="none"/>
              </w:rPr>
            </w:pPr>
          </w:p>
        </w:tc>
        <w:tc>
          <w:tcPr>
            <w:tcW w:w="606" w:type="dxa"/>
            <w:vAlign w:val="center"/>
          </w:tcPr>
          <w:p w14:paraId="72F1CC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40D9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8CEEA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14:paraId="0FA50C3E">
            <w:pPr>
              <w:widowControl/>
              <w:jc w:val="left"/>
              <w:rPr>
                <w:rFonts w:hint="eastAsia" w:ascii="仿宋" w:hAnsi="仿宋" w:eastAsia="仿宋" w:cs="仿宋"/>
                <w:color w:val="auto"/>
                <w:kern w:val="0"/>
                <w:sz w:val="24"/>
                <w:highlight w:val="none"/>
              </w:rPr>
            </w:pPr>
          </w:p>
        </w:tc>
        <w:tc>
          <w:tcPr>
            <w:tcW w:w="2836" w:type="dxa"/>
            <w:vMerge w:val="continue"/>
            <w:vAlign w:val="center"/>
          </w:tcPr>
          <w:p w14:paraId="75FE8C4E">
            <w:pPr>
              <w:widowControl/>
              <w:jc w:val="left"/>
              <w:rPr>
                <w:rFonts w:hint="eastAsia" w:ascii="仿宋" w:hAnsi="仿宋" w:eastAsia="仿宋" w:cs="仿宋"/>
                <w:color w:val="auto"/>
                <w:kern w:val="0"/>
                <w:sz w:val="24"/>
                <w:highlight w:val="none"/>
              </w:rPr>
            </w:pPr>
          </w:p>
        </w:tc>
        <w:tc>
          <w:tcPr>
            <w:tcW w:w="606" w:type="dxa"/>
            <w:vAlign w:val="center"/>
          </w:tcPr>
          <w:p w14:paraId="0D73F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E1D4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F835A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14:paraId="48CCF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16332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C935A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F240E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0B7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0B8E0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1489FDA">
            <w:pPr>
              <w:widowControl/>
              <w:jc w:val="left"/>
              <w:rPr>
                <w:rFonts w:hint="eastAsia" w:ascii="仿宋" w:hAnsi="仿宋" w:eastAsia="仿宋" w:cs="仿宋"/>
                <w:color w:val="auto"/>
                <w:kern w:val="0"/>
                <w:sz w:val="24"/>
                <w:highlight w:val="none"/>
              </w:rPr>
            </w:pPr>
          </w:p>
        </w:tc>
        <w:tc>
          <w:tcPr>
            <w:tcW w:w="1025" w:type="dxa"/>
            <w:vMerge w:val="continue"/>
            <w:vAlign w:val="center"/>
          </w:tcPr>
          <w:p w14:paraId="1ADDC9DD">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49BAE">
            <w:pPr>
              <w:widowControl/>
              <w:jc w:val="left"/>
              <w:rPr>
                <w:rFonts w:hint="eastAsia" w:ascii="仿宋" w:hAnsi="仿宋" w:eastAsia="仿宋" w:cs="仿宋"/>
                <w:color w:val="auto"/>
                <w:kern w:val="0"/>
                <w:sz w:val="24"/>
                <w:highlight w:val="none"/>
              </w:rPr>
            </w:pPr>
          </w:p>
        </w:tc>
        <w:tc>
          <w:tcPr>
            <w:tcW w:w="606" w:type="dxa"/>
            <w:vAlign w:val="center"/>
          </w:tcPr>
          <w:p w14:paraId="512DA1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673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99C0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45F8F2EE">
            <w:pPr>
              <w:widowControl/>
              <w:jc w:val="left"/>
              <w:rPr>
                <w:rFonts w:hint="eastAsia" w:ascii="仿宋" w:hAnsi="仿宋" w:eastAsia="仿宋" w:cs="仿宋"/>
                <w:color w:val="auto"/>
                <w:kern w:val="0"/>
                <w:sz w:val="24"/>
                <w:highlight w:val="none"/>
              </w:rPr>
            </w:pPr>
          </w:p>
        </w:tc>
        <w:tc>
          <w:tcPr>
            <w:tcW w:w="1025" w:type="dxa"/>
            <w:vMerge w:val="continue"/>
            <w:vAlign w:val="center"/>
          </w:tcPr>
          <w:p w14:paraId="0E7F269D">
            <w:pPr>
              <w:widowControl/>
              <w:jc w:val="left"/>
              <w:rPr>
                <w:rFonts w:hint="eastAsia" w:ascii="仿宋" w:hAnsi="仿宋" w:eastAsia="仿宋" w:cs="仿宋"/>
                <w:color w:val="auto"/>
                <w:kern w:val="0"/>
                <w:sz w:val="24"/>
                <w:highlight w:val="none"/>
              </w:rPr>
            </w:pPr>
          </w:p>
        </w:tc>
        <w:tc>
          <w:tcPr>
            <w:tcW w:w="2836" w:type="dxa"/>
            <w:vMerge w:val="continue"/>
            <w:vAlign w:val="center"/>
          </w:tcPr>
          <w:p w14:paraId="5507BDF1">
            <w:pPr>
              <w:widowControl/>
              <w:jc w:val="left"/>
              <w:rPr>
                <w:rFonts w:hint="eastAsia" w:ascii="仿宋" w:hAnsi="仿宋" w:eastAsia="仿宋" w:cs="仿宋"/>
                <w:color w:val="auto"/>
                <w:kern w:val="0"/>
                <w:sz w:val="24"/>
                <w:highlight w:val="none"/>
              </w:rPr>
            </w:pPr>
          </w:p>
        </w:tc>
        <w:tc>
          <w:tcPr>
            <w:tcW w:w="606" w:type="dxa"/>
            <w:vAlign w:val="center"/>
          </w:tcPr>
          <w:p w14:paraId="6A6F7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456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EDC90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5099E4E">
            <w:pPr>
              <w:widowControl/>
              <w:jc w:val="left"/>
              <w:rPr>
                <w:rFonts w:hint="eastAsia" w:ascii="仿宋" w:hAnsi="仿宋" w:eastAsia="仿宋" w:cs="仿宋"/>
                <w:color w:val="auto"/>
                <w:kern w:val="0"/>
                <w:sz w:val="24"/>
                <w:highlight w:val="none"/>
              </w:rPr>
            </w:pPr>
          </w:p>
        </w:tc>
        <w:tc>
          <w:tcPr>
            <w:tcW w:w="1025" w:type="dxa"/>
            <w:vMerge w:val="restart"/>
            <w:vAlign w:val="center"/>
          </w:tcPr>
          <w:p w14:paraId="6C1B0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2E8D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832BC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F5B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0ABB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23A02577">
            <w:pPr>
              <w:widowControl/>
              <w:jc w:val="left"/>
              <w:rPr>
                <w:rFonts w:hint="eastAsia" w:ascii="仿宋" w:hAnsi="仿宋" w:eastAsia="仿宋" w:cs="仿宋"/>
                <w:color w:val="auto"/>
                <w:kern w:val="0"/>
                <w:sz w:val="24"/>
                <w:highlight w:val="none"/>
              </w:rPr>
            </w:pPr>
          </w:p>
        </w:tc>
        <w:tc>
          <w:tcPr>
            <w:tcW w:w="1025" w:type="dxa"/>
            <w:vMerge w:val="continue"/>
            <w:vAlign w:val="center"/>
          </w:tcPr>
          <w:p w14:paraId="6DE6D5E2">
            <w:pPr>
              <w:widowControl/>
              <w:jc w:val="left"/>
              <w:rPr>
                <w:rFonts w:hint="eastAsia" w:ascii="仿宋" w:hAnsi="仿宋" w:eastAsia="仿宋" w:cs="仿宋"/>
                <w:color w:val="auto"/>
                <w:kern w:val="0"/>
                <w:sz w:val="24"/>
                <w:highlight w:val="none"/>
              </w:rPr>
            </w:pPr>
          </w:p>
        </w:tc>
        <w:tc>
          <w:tcPr>
            <w:tcW w:w="2836" w:type="dxa"/>
            <w:vMerge w:val="continue"/>
            <w:vAlign w:val="center"/>
          </w:tcPr>
          <w:p w14:paraId="7FE9E22B">
            <w:pPr>
              <w:widowControl/>
              <w:jc w:val="left"/>
              <w:rPr>
                <w:rFonts w:hint="eastAsia" w:ascii="仿宋" w:hAnsi="仿宋" w:eastAsia="仿宋" w:cs="仿宋"/>
                <w:color w:val="auto"/>
                <w:kern w:val="0"/>
                <w:sz w:val="24"/>
                <w:highlight w:val="none"/>
              </w:rPr>
            </w:pPr>
          </w:p>
        </w:tc>
        <w:tc>
          <w:tcPr>
            <w:tcW w:w="606" w:type="dxa"/>
            <w:vAlign w:val="center"/>
          </w:tcPr>
          <w:p w14:paraId="2915B9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CDC03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B4504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0452CD4E">
            <w:pPr>
              <w:widowControl/>
              <w:jc w:val="left"/>
              <w:rPr>
                <w:rFonts w:hint="eastAsia" w:ascii="仿宋" w:hAnsi="仿宋" w:eastAsia="仿宋" w:cs="仿宋"/>
                <w:color w:val="auto"/>
                <w:kern w:val="0"/>
                <w:sz w:val="24"/>
                <w:highlight w:val="none"/>
              </w:rPr>
            </w:pPr>
          </w:p>
        </w:tc>
        <w:tc>
          <w:tcPr>
            <w:tcW w:w="1025" w:type="dxa"/>
            <w:vMerge w:val="continue"/>
            <w:vAlign w:val="center"/>
          </w:tcPr>
          <w:p w14:paraId="00E39B9B">
            <w:pPr>
              <w:widowControl/>
              <w:jc w:val="left"/>
              <w:rPr>
                <w:rFonts w:hint="eastAsia" w:ascii="仿宋" w:hAnsi="仿宋" w:eastAsia="仿宋" w:cs="仿宋"/>
                <w:color w:val="auto"/>
                <w:kern w:val="0"/>
                <w:sz w:val="24"/>
                <w:highlight w:val="none"/>
              </w:rPr>
            </w:pPr>
          </w:p>
        </w:tc>
        <w:tc>
          <w:tcPr>
            <w:tcW w:w="2836" w:type="dxa"/>
            <w:vMerge w:val="continue"/>
            <w:vAlign w:val="center"/>
          </w:tcPr>
          <w:p w14:paraId="327AED38">
            <w:pPr>
              <w:widowControl/>
              <w:jc w:val="left"/>
              <w:rPr>
                <w:rFonts w:hint="eastAsia" w:ascii="仿宋" w:hAnsi="仿宋" w:eastAsia="仿宋" w:cs="仿宋"/>
                <w:color w:val="auto"/>
                <w:kern w:val="0"/>
                <w:sz w:val="24"/>
                <w:highlight w:val="none"/>
              </w:rPr>
            </w:pPr>
          </w:p>
        </w:tc>
        <w:tc>
          <w:tcPr>
            <w:tcW w:w="606" w:type="dxa"/>
            <w:vAlign w:val="center"/>
          </w:tcPr>
          <w:p w14:paraId="76497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3B1B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017CD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1A4A471F">
            <w:pPr>
              <w:widowControl/>
              <w:jc w:val="left"/>
              <w:rPr>
                <w:rFonts w:hint="eastAsia" w:ascii="仿宋" w:hAnsi="仿宋" w:eastAsia="仿宋" w:cs="仿宋"/>
                <w:color w:val="auto"/>
                <w:kern w:val="0"/>
                <w:sz w:val="24"/>
                <w:highlight w:val="none"/>
              </w:rPr>
            </w:pPr>
          </w:p>
        </w:tc>
        <w:tc>
          <w:tcPr>
            <w:tcW w:w="1025" w:type="dxa"/>
            <w:vMerge w:val="restart"/>
            <w:vAlign w:val="center"/>
          </w:tcPr>
          <w:p w14:paraId="3E5BC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0B31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F3C5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6261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B478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50D33D77">
            <w:pPr>
              <w:widowControl/>
              <w:jc w:val="left"/>
              <w:rPr>
                <w:rFonts w:hint="eastAsia" w:ascii="仿宋" w:hAnsi="仿宋" w:eastAsia="仿宋" w:cs="仿宋"/>
                <w:color w:val="auto"/>
                <w:kern w:val="0"/>
                <w:sz w:val="24"/>
                <w:highlight w:val="none"/>
              </w:rPr>
            </w:pPr>
          </w:p>
        </w:tc>
        <w:tc>
          <w:tcPr>
            <w:tcW w:w="1025" w:type="dxa"/>
            <w:vMerge w:val="continue"/>
            <w:vAlign w:val="center"/>
          </w:tcPr>
          <w:p w14:paraId="7BEF0888">
            <w:pPr>
              <w:widowControl/>
              <w:jc w:val="left"/>
              <w:rPr>
                <w:rFonts w:hint="eastAsia" w:ascii="仿宋" w:hAnsi="仿宋" w:eastAsia="仿宋" w:cs="仿宋"/>
                <w:color w:val="auto"/>
                <w:kern w:val="0"/>
                <w:sz w:val="24"/>
                <w:highlight w:val="none"/>
              </w:rPr>
            </w:pPr>
          </w:p>
        </w:tc>
        <w:tc>
          <w:tcPr>
            <w:tcW w:w="2836" w:type="dxa"/>
            <w:vMerge w:val="continue"/>
            <w:vAlign w:val="center"/>
          </w:tcPr>
          <w:p w14:paraId="2C7D5D98">
            <w:pPr>
              <w:widowControl/>
              <w:jc w:val="left"/>
              <w:rPr>
                <w:rFonts w:hint="eastAsia" w:ascii="仿宋" w:hAnsi="仿宋" w:eastAsia="仿宋" w:cs="仿宋"/>
                <w:color w:val="auto"/>
                <w:kern w:val="0"/>
                <w:sz w:val="24"/>
                <w:highlight w:val="none"/>
              </w:rPr>
            </w:pPr>
          </w:p>
        </w:tc>
        <w:tc>
          <w:tcPr>
            <w:tcW w:w="606" w:type="dxa"/>
            <w:vAlign w:val="center"/>
          </w:tcPr>
          <w:p w14:paraId="72EB7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360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AE4D0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14:paraId="3BE56EC3">
            <w:pPr>
              <w:widowControl/>
              <w:jc w:val="left"/>
              <w:rPr>
                <w:rFonts w:hint="eastAsia" w:ascii="仿宋" w:hAnsi="仿宋" w:eastAsia="仿宋" w:cs="仿宋"/>
                <w:color w:val="auto"/>
                <w:kern w:val="0"/>
                <w:sz w:val="24"/>
                <w:highlight w:val="none"/>
              </w:rPr>
            </w:pPr>
          </w:p>
        </w:tc>
        <w:tc>
          <w:tcPr>
            <w:tcW w:w="1025" w:type="dxa"/>
            <w:vMerge w:val="continue"/>
            <w:vAlign w:val="center"/>
          </w:tcPr>
          <w:p w14:paraId="5C08FEEE">
            <w:pPr>
              <w:widowControl/>
              <w:jc w:val="left"/>
              <w:rPr>
                <w:rFonts w:hint="eastAsia" w:ascii="仿宋" w:hAnsi="仿宋" w:eastAsia="仿宋" w:cs="仿宋"/>
                <w:color w:val="auto"/>
                <w:kern w:val="0"/>
                <w:sz w:val="24"/>
                <w:highlight w:val="none"/>
              </w:rPr>
            </w:pPr>
          </w:p>
        </w:tc>
        <w:tc>
          <w:tcPr>
            <w:tcW w:w="2836" w:type="dxa"/>
            <w:vMerge w:val="continue"/>
            <w:vAlign w:val="center"/>
          </w:tcPr>
          <w:p w14:paraId="335641E7">
            <w:pPr>
              <w:widowControl/>
              <w:jc w:val="left"/>
              <w:rPr>
                <w:rFonts w:hint="eastAsia" w:ascii="仿宋" w:hAnsi="仿宋" w:eastAsia="仿宋" w:cs="仿宋"/>
                <w:color w:val="auto"/>
                <w:kern w:val="0"/>
                <w:sz w:val="24"/>
                <w:highlight w:val="none"/>
              </w:rPr>
            </w:pPr>
          </w:p>
        </w:tc>
        <w:tc>
          <w:tcPr>
            <w:tcW w:w="606" w:type="dxa"/>
            <w:vAlign w:val="center"/>
          </w:tcPr>
          <w:p w14:paraId="05481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054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4C01458">
      <w:pPr>
        <w:rPr>
          <w:rFonts w:hint="eastAsia" w:ascii="仿宋" w:hAnsi="仿宋" w:eastAsia="仿宋" w:cs="仿宋"/>
          <w:color w:val="auto"/>
          <w:sz w:val="24"/>
          <w:highlight w:val="none"/>
        </w:rPr>
      </w:pPr>
    </w:p>
    <w:p w14:paraId="59680D42">
      <w:pPr>
        <w:ind w:firstLine="420" w:firstLineChars="200"/>
        <w:rPr>
          <w:rFonts w:hint="eastAsia" w:ascii="仿宋" w:hAnsi="仿宋" w:eastAsia="仿宋" w:cs="仿宋"/>
          <w:color w:val="auto"/>
          <w:highlight w:val="none"/>
        </w:rPr>
      </w:pPr>
    </w:p>
    <w:p w14:paraId="3510916D">
      <w:pPr>
        <w:spacing w:line="360" w:lineRule="auto"/>
        <w:rPr>
          <w:rFonts w:hint="eastAsia" w:ascii="仿宋" w:hAnsi="仿宋" w:eastAsia="仿宋" w:cs="仿宋"/>
          <w:color w:val="auto"/>
          <w:kern w:val="0"/>
          <w:sz w:val="24"/>
          <w:highlight w:val="none"/>
        </w:rPr>
      </w:pP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1EA7C62A">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683662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441AD56">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9"/>
      <w:framePr w:wrap="around" w:vAnchor="text" w:hAnchor="margin" w:xAlign="center" w:y="1"/>
      <w:rPr>
        <w:rStyle w:val="49"/>
      </w:rPr>
    </w:pPr>
    <w:r>
      <w:rPr>
        <w:rStyle w:val="49"/>
      </w:rPr>
      <w:fldChar w:fldCharType="begin"/>
    </w:r>
    <w:r>
      <w:rPr>
        <w:rStyle w:val="49"/>
      </w:rPr>
      <w:instrText xml:space="preserve">PAGE  </w:instrText>
    </w:r>
    <w:r>
      <w:rPr>
        <w:rStyle w:val="49"/>
      </w:rPr>
      <w:fldChar w:fldCharType="end"/>
    </w:r>
  </w:p>
  <w:p w14:paraId="5C7E5E3B">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DA4B4"/>
    <w:multiLevelType w:val="singleLevel"/>
    <w:tmpl w:val="98DDA4B4"/>
    <w:lvl w:ilvl="0" w:tentative="0">
      <w:start w:val="1"/>
      <w:numFmt w:val="decimal"/>
      <w:suff w:val="nothing"/>
      <w:lvlText w:val="%1、"/>
      <w:lvlJc w:val="left"/>
    </w:lvl>
  </w:abstractNum>
  <w:abstractNum w:abstractNumId="1">
    <w:nsid w:val="AFB45AF8"/>
    <w:multiLevelType w:val="singleLevel"/>
    <w:tmpl w:val="AFB45AF8"/>
    <w:lvl w:ilvl="0" w:tentative="0">
      <w:start w:val="4"/>
      <w:numFmt w:val="decimal"/>
      <w:lvlText w:val="%1."/>
      <w:lvlJc w:val="left"/>
      <w:pPr>
        <w:tabs>
          <w:tab w:val="left" w:pos="312"/>
        </w:tabs>
      </w:pPr>
    </w:lvl>
  </w:abstractNum>
  <w:abstractNum w:abstractNumId="2">
    <w:nsid w:val="EF2D5B25"/>
    <w:multiLevelType w:val="singleLevel"/>
    <w:tmpl w:val="EF2D5B25"/>
    <w:lvl w:ilvl="0" w:tentative="0">
      <w:start w:val="1"/>
      <w:numFmt w:val="decimal"/>
      <w:suff w:val="nothing"/>
      <w:lvlText w:val="%1、"/>
      <w:lvlJc w:val="left"/>
    </w:lvl>
  </w:abstractNum>
  <w:abstractNum w:abstractNumId="3">
    <w:nsid w:val="FCA2E2C0"/>
    <w:multiLevelType w:val="singleLevel"/>
    <w:tmpl w:val="FCA2E2C0"/>
    <w:lvl w:ilvl="0" w:tentative="0">
      <w:start w:val="1"/>
      <w:numFmt w:val="decimal"/>
      <w:suff w:val="nothing"/>
      <w:lvlText w:val="（%1）"/>
      <w:lvlJc w:val="left"/>
    </w:lvl>
  </w:abstractNum>
  <w:abstractNum w:abstractNumId="4">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5">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100F325B"/>
    <w:multiLevelType w:val="singleLevel"/>
    <w:tmpl w:val="100F325B"/>
    <w:lvl w:ilvl="0" w:tentative="0">
      <w:start w:val="1"/>
      <w:numFmt w:val="decimal"/>
      <w:suff w:val="nothing"/>
      <w:lvlText w:val="%1、"/>
      <w:lvlJc w:val="left"/>
    </w:lvl>
  </w:abstractNum>
  <w:abstractNum w:abstractNumId="8">
    <w:nsid w:val="2724C0C4"/>
    <w:multiLevelType w:val="singleLevel"/>
    <w:tmpl w:val="2724C0C4"/>
    <w:lvl w:ilvl="0" w:tentative="0">
      <w:start w:val="1"/>
      <w:numFmt w:val="decimal"/>
      <w:lvlText w:val="%1."/>
      <w:lvlJc w:val="left"/>
      <w:pPr>
        <w:tabs>
          <w:tab w:val="left" w:pos="312"/>
        </w:tabs>
      </w:pPr>
    </w:lvl>
  </w:abstractNum>
  <w:abstractNum w:abstractNumId="9">
    <w:nsid w:val="37643D40"/>
    <w:multiLevelType w:val="multilevel"/>
    <w:tmpl w:val="37643D40"/>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48D1324B"/>
    <w:multiLevelType w:val="multilevel"/>
    <w:tmpl w:val="48D1324B"/>
    <w:lvl w:ilvl="0" w:tentative="0">
      <w:start w:val="1"/>
      <w:numFmt w:val="decimal"/>
      <w:lvlText w:val="%1"/>
      <w:lvlJc w:val="center"/>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4">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74676A01"/>
    <w:multiLevelType w:val="multilevel"/>
    <w:tmpl w:val="74676A01"/>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3675"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2"/>
  </w:num>
  <w:num w:numId="2">
    <w:abstractNumId w:val="5"/>
  </w:num>
  <w:num w:numId="3">
    <w:abstractNumId w:val="4"/>
  </w:num>
  <w:num w:numId="4">
    <w:abstractNumId w:val="13"/>
  </w:num>
  <w:num w:numId="5">
    <w:abstractNumId w:val="10"/>
  </w:num>
  <w:num w:numId="6">
    <w:abstractNumId w:val="1"/>
  </w:num>
  <w:num w:numId="7">
    <w:abstractNumId w:val="3"/>
  </w:num>
  <w:num w:numId="8">
    <w:abstractNumId w:val="14"/>
  </w:num>
  <w:num w:numId="9">
    <w:abstractNumId w:val="9"/>
  </w:num>
  <w:num w:numId="10">
    <w:abstractNumId w:val="11"/>
  </w:num>
  <w:num w:numId="11">
    <w:abstractNumId w:val="15"/>
  </w:num>
  <w:num w:numId="12">
    <w:abstractNumId w:val="7"/>
  </w:num>
  <w:num w:numId="13">
    <w:abstractNumId w:val="0"/>
  </w:num>
  <w:num w:numId="14">
    <w:abstractNumId w:val="2"/>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2D96998"/>
    <w:rsid w:val="036F5F62"/>
    <w:rsid w:val="03FC0AFB"/>
    <w:rsid w:val="0446241E"/>
    <w:rsid w:val="05043575"/>
    <w:rsid w:val="06AB31FB"/>
    <w:rsid w:val="07661F9E"/>
    <w:rsid w:val="08A8158B"/>
    <w:rsid w:val="0B4D1F94"/>
    <w:rsid w:val="0C5609D3"/>
    <w:rsid w:val="0FE33993"/>
    <w:rsid w:val="10B828F8"/>
    <w:rsid w:val="11504E7B"/>
    <w:rsid w:val="11804AA7"/>
    <w:rsid w:val="119205BD"/>
    <w:rsid w:val="11BC65F9"/>
    <w:rsid w:val="137A20FF"/>
    <w:rsid w:val="142305FE"/>
    <w:rsid w:val="1618304E"/>
    <w:rsid w:val="17E87EB1"/>
    <w:rsid w:val="20FF1092"/>
    <w:rsid w:val="214E1D04"/>
    <w:rsid w:val="22D50A60"/>
    <w:rsid w:val="252B7970"/>
    <w:rsid w:val="253445BA"/>
    <w:rsid w:val="26125BA4"/>
    <w:rsid w:val="281A2C55"/>
    <w:rsid w:val="28A569C3"/>
    <w:rsid w:val="2ABB3127"/>
    <w:rsid w:val="2B0A0BD5"/>
    <w:rsid w:val="2B431456"/>
    <w:rsid w:val="308F514A"/>
    <w:rsid w:val="32297A9B"/>
    <w:rsid w:val="35822762"/>
    <w:rsid w:val="373F7F37"/>
    <w:rsid w:val="382168F2"/>
    <w:rsid w:val="39EE2D34"/>
    <w:rsid w:val="3C854832"/>
    <w:rsid w:val="3E6F2C13"/>
    <w:rsid w:val="3E7C55D4"/>
    <w:rsid w:val="3FDC222E"/>
    <w:rsid w:val="45CC7564"/>
    <w:rsid w:val="46B04891"/>
    <w:rsid w:val="49463453"/>
    <w:rsid w:val="49C8030C"/>
    <w:rsid w:val="49D2118A"/>
    <w:rsid w:val="4A963F66"/>
    <w:rsid w:val="4B3979DB"/>
    <w:rsid w:val="4BDC6D24"/>
    <w:rsid w:val="4BFA5BC7"/>
    <w:rsid w:val="4FDA7AFC"/>
    <w:rsid w:val="50045634"/>
    <w:rsid w:val="52681FFE"/>
    <w:rsid w:val="53596425"/>
    <w:rsid w:val="53830D36"/>
    <w:rsid w:val="53FA1DF9"/>
    <w:rsid w:val="553A48A9"/>
    <w:rsid w:val="558E2409"/>
    <w:rsid w:val="565B10BC"/>
    <w:rsid w:val="57A71560"/>
    <w:rsid w:val="580179B6"/>
    <w:rsid w:val="58477EF5"/>
    <w:rsid w:val="58B17641"/>
    <w:rsid w:val="59D00B42"/>
    <w:rsid w:val="5ACD4AC6"/>
    <w:rsid w:val="5DD047C5"/>
    <w:rsid w:val="5F9C4824"/>
    <w:rsid w:val="600A6C32"/>
    <w:rsid w:val="60936B26"/>
    <w:rsid w:val="62003241"/>
    <w:rsid w:val="68A909AF"/>
    <w:rsid w:val="694B0523"/>
    <w:rsid w:val="6E611302"/>
    <w:rsid w:val="71224312"/>
    <w:rsid w:val="72BA78EE"/>
    <w:rsid w:val="72E87C49"/>
    <w:rsid w:val="74253AE1"/>
    <w:rsid w:val="74B752B6"/>
    <w:rsid w:val="75673B65"/>
    <w:rsid w:val="75DF67C1"/>
    <w:rsid w:val="760A11E0"/>
    <w:rsid w:val="76FE49DA"/>
    <w:rsid w:val="7954218E"/>
    <w:rsid w:val="79D25219"/>
    <w:rsid w:val="7AF96FCA"/>
    <w:rsid w:val="7C08557D"/>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6"/>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9"/>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60"/>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61"/>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62"/>
    <w:autoRedefine/>
    <w:qFormat/>
    <w:uiPriority w:val="0"/>
    <w:pPr>
      <w:keepNext/>
      <w:widowControl/>
      <w:numPr>
        <w:ilvl w:val="0"/>
        <w:numId w:val="4"/>
      </w:numPr>
      <w:jc w:val="left"/>
      <w:outlineLvl w:val="4"/>
    </w:pPr>
    <w:rPr>
      <w:kern w:val="0"/>
      <w:sz w:val="24"/>
      <w:szCs w:val="20"/>
    </w:rPr>
  </w:style>
  <w:style w:type="paragraph" w:styleId="9">
    <w:name w:val="heading 6"/>
    <w:basedOn w:val="1"/>
    <w:next w:val="1"/>
    <w:link w:val="63"/>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4"/>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5"/>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6"/>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7">
    <w:name w:val="Default Paragraph Font"/>
    <w:autoRedefine/>
    <w:semiHidden/>
    <w:unhideWhenUsed/>
    <w:qFormat/>
    <w:uiPriority w:val="1"/>
  </w:style>
  <w:style w:type="table" w:default="1" w:styleId="45">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autoRedefine/>
    <w:qFormat/>
    <w:uiPriority w:val="0"/>
    <w:pPr>
      <w:adjustRightInd w:val="0"/>
      <w:spacing w:line="360" w:lineRule="auto"/>
      <w:ind w:firstLine="480" w:firstLineChars="200"/>
    </w:pPr>
    <w:rPr>
      <w:sz w:val="24"/>
      <w:szCs w:val="20"/>
      <w:lang w:val="zh-CN"/>
    </w:rPr>
  </w:style>
  <w:style w:type="paragraph" w:styleId="6">
    <w:name w:val="Normal Indent"/>
    <w:basedOn w:val="1"/>
    <w:next w:val="1"/>
    <w:link w:val="57"/>
    <w:autoRedefine/>
    <w:qFormat/>
    <w:uiPriority w:val="0"/>
    <w:pPr>
      <w:ind w:firstLine="420" w:firstLineChars="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3"/>
    <w:autoRedefine/>
    <w:qFormat/>
    <w:uiPriority w:val="0"/>
    <w:pPr>
      <w:spacing w:line="360" w:lineRule="auto"/>
      <w:jc w:val="center"/>
    </w:pPr>
    <w:rPr>
      <w:rFonts w:ascii="Calibri" w:hAnsi="Calibri"/>
      <w:sz w:val="20"/>
      <w:szCs w:val="20"/>
    </w:rPr>
  </w:style>
  <w:style w:type="paragraph" w:styleId="16">
    <w:name w:val="Document Map"/>
    <w:basedOn w:val="1"/>
    <w:link w:val="122"/>
    <w:autoRedefine/>
    <w:semiHidden/>
    <w:qFormat/>
    <w:uiPriority w:val="0"/>
    <w:pPr>
      <w:shd w:val="clear" w:color="auto" w:fill="000080"/>
    </w:pPr>
  </w:style>
  <w:style w:type="paragraph" w:styleId="17">
    <w:name w:val="annotation text"/>
    <w:basedOn w:val="1"/>
    <w:link w:val="75"/>
    <w:autoRedefine/>
    <w:qFormat/>
    <w:uiPriority w:val="0"/>
    <w:pPr>
      <w:jc w:val="left"/>
    </w:pPr>
  </w:style>
  <w:style w:type="paragraph" w:styleId="18">
    <w:name w:val="Body Text"/>
    <w:basedOn w:val="1"/>
    <w:link w:val="88"/>
    <w:autoRedefine/>
    <w:qFormat/>
    <w:uiPriority w:val="0"/>
    <w:pPr>
      <w:spacing w:line="360" w:lineRule="auto"/>
    </w:pPr>
    <w:rPr>
      <w:rFonts w:eastAsia="仿宋_GB2312"/>
      <w:sz w:val="28"/>
    </w:rPr>
  </w:style>
  <w:style w:type="paragraph" w:styleId="19">
    <w:name w:val="Body Text Indent"/>
    <w:basedOn w:val="1"/>
    <w:next w:val="20"/>
    <w:link w:val="69"/>
    <w:autoRedefine/>
    <w:qFormat/>
    <w:uiPriority w:val="0"/>
    <w:pPr>
      <w:spacing w:after="120"/>
      <w:ind w:left="420" w:leftChars="200"/>
    </w:pPr>
  </w:style>
  <w:style w:type="paragraph" w:styleId="20">
    <w:name w:val="envelope return"/>
    <w:basedOn w:val="1"/>
    <w:qFormat/>
    <w:uiPriority w:val="0"/>
    <w:pPr>
      <w:snapToGrid w:val="0"/>
    </w:pPr>
    <w:rPr>
      <w:rFonts w:ascii="Arial" w:hAnsi="Arial"/>
    </w:rPr>
  </w:style>
  <w:style w:type="paragraph" w:styleId="21">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2">
    <w:name w:val="Block Text"/>
    <w:basedOn w:val="1"/>
    <w:autoRedefine/>
    <w:qFormat/>
    <w:uiPriority w:val="0"/>
    <w:pPr>
      <w:spacing w:before="120" w:line="360" w:lineRule="auto"/>
      <w:ind w:left="824" w:right="202"/>
    </w:pPr>
    <w:rPr>
      <w:rFonts w:ascii="宋体" w:hAnsi="宋体"/>
      <w:sz w:val="24"/>
      <w:szCs w:val="21"/>
    </w:rPr>
  </w:style>
  <w:style w:type="paragraph" w:styleId="23">
    <w:name w:val="index 4"/>
    <w:basedOn w:val="1"/>
    <w:next w:val="1"/>
    <w:autoRedefine/>
    <w:unhideWhenUsed/>
    <w:qFormat/>
    <w:uiPriority w:val="99"/>
    <w:pPr>
      <w:ind w:left="600" w:leftChars="600"/>
    </w:pPr>
    <w:rPr>
      <w:szCs w:val="22"/>
    </w:rPr>
  </w:style>
  <w:style w:type="paragraph" w:styleId="24">
    <w:name w:val="toc 3"/>
    <w:basedOn w:val="1"/>
    <w:next w:val="1"/>
    <w:autoRedefine/>
    <w:unhideWhenUsed/>
    <w:qFormat/>
    <w:uiPriority w:val="0"/>
    <w:pPr>
      <w:ind w:left="840" w:leftChars="400"/>
    </w:pPr>
    <w:rPr>
      <w:rFonts w:ascii="Calibri" w:hAnsi="Calibri"/>
      <w:szCs w:val="22"/>
    </w:rPr>
  </w:style>
  <w:style w:type="paragraph" w:styleId="25">
    <w:name w:val="Plain Text"/>
    <w:basedOn w:val="1"/>
    <w:link w:val="67"/>
    <w:autoRedefine/>
    <w:qFormat/>
    <w:uiPriority w:val="0"/>
    <w:rPr>
      <w:rFonts w:ascii="宋体" w:hAnsi="Courier New"/>
      <w:szCs w:val="20"/>
    </w:rPr>
  </w:style>
  <w:style w:type="paragraph" w:styleId="26">
    <w:name w:val="Date"/>
    <w:basedOn w:val="1"/>
    <w:next w:val="1"/>
    <w:link w:val="70"/>
    <w:autoRedefine/>
    <w:qFormat/>
    <w:uiPriority w:val="0"/>
    <w:rPr>
      <w:rFonts w:ascii="楷体_GB2312" w:eastAsia="楷体_GB2312"/>
      <w:b/>
      <w:sz w:val="28"/>
      <w:szCs w:val="20"/>
    </w:rPr>
  </w:style>
  <w:style w:type="paragraph" w:styleId="27">
    <w:name w:val="Body Text Indent 2"/>
    <w:basedOn w:val="1"/>
    <w:link w:val="84"/>
    <w:autoRedefine/>
    <w:qFormat/>
    <w:uiPriority w:val="0"/>
    <w:pPr>
      <w:spacing w:after="120" w:line="480" w:lineRule="auto"/>
      <w:ind w:left="420" w:leftChars="200"/>
    </w:pPr>
  </w:style>
  <w:style w:type="paragraph" w:styleId="28">
    <w:name w:val="Balloon Text"/>
    <w:basedOn w:val="1"/>
    <w:link w:val="201"/>
    <w:autoRedefine/>
    <w:qFormat/>
    <w:uiPriority w:val="0"/>
    <w:rPr>
      <w:sz w:val="18"/>
      <w:szCs w:val="18"/>
    </w:rPr>
  </w:style>
  <w:style w:type="paragraph" w:styleId="29">
    <w:name w:val="footer"/>
    <w:basedOn w:val="1"/>
    <w:link w:val="72"/>
    <w:autoRedefine/>
    <w:qFormat/>
    <w:uiPriority w:val="0"/>
    <w:pPr>
      <w:tabs>
        <w:tab w:val="center" w:pos="4153"/>
        <w:tab w:val="right" w:pos="8306"/>
      </w:tabs>
      <w:snapToGrid w:val="0"/>
      <w:jc w:val="left"/>
    </w:pPr>
    <w:rPr>
      <w:sz w:val="18"/>
      <w:szCs w:val="18"/>
    </w:rPr>
  </w:style>
  <w:style w:type="paragraph" w:styleId="30">
    <w:name w:val="header"/>
    <w:basedOn w:val="1"/>
    <w:link w:val="71"/>
    <w:autoRedefine/>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semiHidden/>
    <w:qFormat/>
    <w:uiPriority w:val="0"/>
  </w:style>
  <w:style w:type="paragraph" w:styleId="32">
    <w:name w:val="toc 4"/>
    <w:basedOn w:val="1"/>
    <w:next w:val="1"/>
    <w:autoRedefine/>
    <w:semiHidden/>
    <w:qFormat/>
    <w:uiPriority w:val="0"/>
    <w:pPr>
      <w:tabs>
        <w:tab w:val="right" w:leader="dot" w:pos="8314"/>
      </w:tabs>
      <w:ind w:firstLine="588" w:firstLineChars="245"/>
    </w:pPr>
  </w:style>
  <w:style w:type="paragraph" w:styleId="33">
    <w:name w:val="toc 6"/>
    <w:basedOn w:val="1"/>
    <w:next w:val="1"/>
    <w:autoRedefine/>
    <w:qFormat/>
    <w:uiPriority w:val="0"/>
    <w:pPr>
      <w:ind w:left="2100" w:leftChars="1000"/>
    </w:pPr>
  </w:style>
  <w:style w:type="paragraph" w:styleId="34">
    <w:name w:val="Body Text Indent 3"/>
    <w:basedOn w:val="1"/>
    <w:link w:val="202"/>
    <w:autoRedefine/>
    <w:qFormat/>
    <w:uiPriority w:val="0"/>
    <w:pPr>
      <w:spacing w:after="120"/>
      <w:ind w:left="420" w:leftChars="200"/>
    </w:pPr>
    <w:rPr>
      <w:sz w:val="16"/>
      <w:szCs w:val="16"/>
    </w:rPr>
  </w:style>
  <w:style w:type="paragraph" w:styleId="35">
    <w:name w:val="toc 2"/>
    <w:basedOn w:val="1"/>
    <w:next w:val="1"/>
    <w:autoRedefine/>
    <w:semiHidden/>
    <w:qFormat/>
    <w:uiPriority w:val="0"/>
    <w:pPr>
      <w:ind w:left="420" w:leftChars="200"/>
    </w:pPr>
  </w:style>
  <w:style w:type="paragraph" w:styleId="36">
    <w:name w:val="Body Text 2"/>
    <w:basedOn w:val="1"/>
    <w:link w:val="76"/>
    <w:autoRedefine/>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autoRedefine/>
    <w:qFormat/>
    <w:uiPriority w:val="0"/>
    <w:pPr>
      <w:spacing w:after="120"/>
      <w:ind w:left="840" w:leftChars="400"/>
    </w:pPr>
  </w:style>
  <w:style w:type="paragraph" w:styleId="38">
    <w:name w:val="HTML Preformatted"/>
    <w:basedOn w:val="1"/>
    <w:link w:val="2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autoRedefine/>
    <w:semiHidden/>
    <w:qFormat/>
    <w:uiPriority w:val="0"/>
    <w:pPr>
      <w:spacing w:line="320" w:lineRule="exact"/>
    </w:pPr>
    <w:rPr>
      <w:b/>
      <w:snapToGrid w:val="0"/>
      <w:color w:val="FF6600"/>
      <w:kern w:val="0"/>
      <w:sz w:val="18"/>
      <w:szCs w:val="21"/>
    </w:rPr>
  </w:style>
  <w:style w:type="paragraph" w:styleId="41">
    <w:name w:val="Title"/>
    <w:basedOn w:val="1"/>
    <w:next w:val="1"/>
    <w:link w:val="177"/>
    <w:autoRedefine/>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17"/>
    <w:next w:val="17"/>
    <w:link w:val="204"/>
    <w:autoRedefine/>
    <w:qFormat/>
    <w:uiPriority w:val="0"/>
    <w:pPr>
      <w:widowControl/>
      <w:spacing w:afterLines="50"/>
    </w:pPr>
    <w:rPr>
      <w:b/>
      <w:bCs/>
      <w:kern w:val="0"/>
      <w:sz w:val="24"/>
      <w:szCs w:val="20"/>
    </w:rPr>
  </w:style>
  <w:style w:type="paragraph" w:styleId="43">
    <w:name w:val="Body Text First Indent"/>
    <w:basedOn w:val="18"/>
    <w:next w:val="1"/>
    <w:link w:val="205"/>
    <w:autoRedefine/>
    <w:qFormat/>
    <w:uiPriority w:val="0"/>
    <w:pPr>
      <w:spacing w:after="120" w:line="240" w:lineRule="auto"/>
      <w:ind w:firstLine="420" w:firstLineChars="100"/>
    </w:pPr>
    <w:rPr>
      <w:rFonts w:eastAsia="宋体"/>
      <w:sz w:val="21"/>
    </w:rPr>
  </w:style>
  <w:style w:type="paragraph" w:styleId="44">
    <w:name w:val="Body Text First Indent 2"/>
    <w:basedOn w:val="19"/>
    <w:link w:val="206"/>
    <w:autoRedefine/>
    <w:qFormat/>
    <w:uiPriority w:val="0"/>
    <w:pPr>
      <w:ind w:firstLine="420" w:firstLineChars="200"/>
    </w:pPr>
  </w:style>
  <w:style w:type="table" w:styleId="46">
    <w:name w:val="Table Grid"/>
    <w:basedOn w:val="4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99"/>
    <w:rPr>
      <w:color w:val="800080"/>
      <w:u w:val="single"/>
    </w:rPr>
  </w:style>
  <w:style w:type="character" w:styleId="51">
    <w:name w:val="Emphasis"/>
    <w:autoRedefine/>
    <w:qFormat/>
    <w:uiPriority w:val="0"/>
    <w:rPr>
      <w:color w:val="CC0000"/>
    </w:rPr>
  </w:style>
  <w:style w:type="character" w:styleId="52">
    <w:name w:val="Hyperlink"/>
    <w:autoRedefine/>
    <w:qFormat/>
    <w:uiPriority w:val="99"/>
    <w:rPr>
      <w:color w:val="0000FF"/>
      <w:u w:val="single"/>
    </w:rPr>
  </w:style>
  <w:style w:type="character" w:styleId="53">
    <w:name w:val="annotation reference"/>
    <w:autoRedefine/>
    <w:qFormat/>
    <w:uiPriority w:val="0"/>
    <w:rPr>
      <w:sz w:val="21"/>
      <w:szCs w:val="21"/>
    </w:rPr>
  </w:style>
  <w:style w:type="paragraph" w:customStyle="1" w:styleId="54">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6">
    <w:name w:val="标题 1 Char"/>
    <w:link w:val="3"/>
    <w:autoRedefine/>
    <w:qFormat/>
    <w:uiPriority w:val="0"/>
    <w:rPr>
      <w:rFonts w:eastAsia="仿宋_GB2312"/>
      <w:b/>
      <w:kern w:val="44"/>
      <w:sz w:val="44"/>
      <w:lang w:val="en-US" w:eastAsia="zh-CN" w:bidi="ar-SA"/>
    </w:rPr>
  </w:style>
  <w:style w:type="character" w:customStyle="1" w:styleId="57">
    <w:name w:val="正文缩进 Char"/>
    <w:link w:val="6"/>
    <w:autoRedefine/>
    <w:qFormat/>
    <w:uiPriority w:val="0"/>
    <w:rPr>
      <w:rFonts w:eastAsia="宋体"/>
      <w:kern w:val="2"/>
      <w:sz w:val="21"/>
      <w:szCs w:val="24"/>
      <w:lang w:val="en-US" w:eastAsia="zh-CN" w:bidi="ar-SA"/>
    </w:rPr>
  </w:style>
  <w:style w:type="paragraph" w:customStyle="1" w:styleId="58">
    <w:name w:val="_Style 15"/>
    <w:basedOn w:val="1"/>
    <w:autoRedefine/>
    <w:qFormat/>
    <w:uiPriority w:val="0"/>
    <w:rPr>
      <w:rFonts w:ascii="Tahoma" w:hAnsi="Tahoma"/>
      <w:sz w:val="24"/>
      <w:szCs w:val="20"/>
    </w:rPr>
  </w:style>
  <w:style w:type="character" w:customStyle="1" w:styleId="59">
    <w:name w:val="标题 2 Char"/>
    <w:link w:val="4"/>
    <w:autoRedefine/>
    <w:qFormat/>
    <w:uiPriority w:val="0"/>
    <w:rPr>
      <w:rFonts w:ascii="Arial" w:hAnsi="Arial" w:eastAsia="黑体"/>
      <w:b/>
      <w:kern w:val="2"/>
      <w:sz w:val="32"/>
      <w:lang w:val="en-US" w:eastAsia="zh-CN" w:bidi="ar-SA"/>
    </w:rPr>
  </w:style>
  <w:style w:type="character" w:customStyle="1" w:styleId="60">
    <w:name w:val="标题 3 Char"/>
    <w:link w:val="5"/>
    <w:autoRedefine/>
    <w:qFormat/>
    <w:uiPriority w:val="0"/>
    <w:rPr>
      <w:rFonts w:eastAsia="仿宋_GB2312"/>
      <w:b/>
      <w:kern w:val="2"/>
      <w:sz w:val="32"/>
      <w:lang w:val="en-US" w:eastAsia="zh-CN" w:bidi="ar-SA"/>
    </w:rPr>
  </w:style>
  <w:style w:type="character" w:customStyle="1" w:styleId="61">
    <w:name w:val="标题 4 Char1"/>
    <w:link w:val="7"/>
    <w:autoRedefine/>
    <w:qFormat/>
    <w:uiPriority w:val="0"/>
    <w:rPr>
      <w:rFonts w:ascii="Arial" w:hAnsi="Arial" w:eastAsia="黑体"/>
      <w:b/>
      <w:kern w:val="2"/>
      <w:sz w:val="28"/>
      <w:lang w:val="en-US" w:eastAsia="zh-CN" w:bidi="ar-SA"/>
    </w:rPr>
  </w:style>
  <w:style w:type="character" w:customStyle="1" w:styleId="62">
    <w:name w:val="标题 5 Char1"/>
    <w:link w:val="8"/>
    <w:autoRedefine/>
    <w:qFormat/>
    <w:uiPriority w:val="0"/>
    <w:rPr>
      <w:sz w:val="24"/>
    </w:rPr>
  </w:style>
  <w:style w:type="character" w:customStyle="1" w:styleId="63">
    <w:name w:val="标题 6 Char1"/>
    <w:link w:val="9"/>
    <w:autoRedefine/>
    <w:qFormat/>
    <w:uiPriority w:val="0"/>
    <w:rPr>
      <w:rFonts w:ascii="宋体" w:hAnsi="Arial" w:eastAsia="宋体"/>
      <w:sz w:val="24"/>
      <w:lang w:val="en-US" w:eastAsia="zh-CN" w:bidi="ar-SA"/>
    </w:rPr>
  </w:style>
  <w:style w:type="character" w:customStyle="1" w:styleId="64">
    <w:name w:val="标题 7 Char1"/>
    <w:link w:val="10"/>
    <w:autoRedefine/>
    <w:qFormat/>
    <w:uiPriority w:val="0"/>
    <w:rPr>
      <w:rFonts w:ascii="宋体" w:hAnsi="Arial" w:eastAsia="宋体"/>
      <w:b/>
      <w:sz w:val="24"/>
      <w:lang w:val="en-US" w:eastAsia="zh-CN" w:bidi="ar-SA"/>
    </w:rPr>
  </w:style>
  <w:style w:type="character" w:customStyle="1" w:styleId="65">
    <w:name w:val="标题 8 Char1"/>
    <w:link w:val="11"/>
    <w:autoRedefine/>
    <w:qFormat/>
    <w:uiPriority w:val="0"/>
    <w:rPr>
      <w:rFonts w:ascii="Arial" w:hAnsi="Arial" w:eastAsia="黑体"/>
      <w:sz w:val="24"/>
      <w:lang w:val="en-US" w:eastAsia="zh-CN" w:bidi="ar-SA"/>
    </w:rPr>
  </w:style>
  <w:style w:type="character" w:customStyle="1" w:styleId="66">
    <w:name w:val="标题 9 Char1"/>
    <w:link w:val="12"/>
    <w:autoRedefine/>
    <w:qFormat/>
    <w:uiPriority w:val="0"/>
    <w:rPr>
      <w:rFonts w:ascii="Arial" w:hAnsi="Arial" w:eastAsia="黑体"/>
      <w:sz w:val="24"/>
      <w:lang w:val="en-US" w:eastAsia="zh-CN" w:bidi="ar-SA"/>
    </w:rPr>
  </w:style>
  <w:style w:type="character" w:customStyle="1" w:styleId="67">
    <w:name w:val="纯文本 Char"/>
    <w:link w:val="25"/>
    <w:autoRedefine/>
    <w:qFormat/>
    <w:uiPriority w:val="0"/>
    <w:rPr>
      <w:rFonts w:ascii="宋体" w:hAnsi="Courier New" w:eastAsia="宋体"/>
      <w:kern w:val="2"/>
      <w:sz w:val="21"/>
      <w:lang w:val="en-US" w:eastAsia="zh-CN" w:bidi="ar-SA"/>
    </w:rPr>
  </w:style>
  <w:style w:type="paragraph" w:customStyle="1" w:styleId="68">
    <w:name w:val="表正文"/>
    <w:basedOn w:val="1"/>
    <w:next w:val="25"/>
    <w:autoRedefine/>
    <w:qFormat/>
    <w:uiPriority w:val="0"/>
    <w:rPr>
      <w:rFonts w:ascii="宋体" w:hAnsi="Courier New"/>
      <w:szCs w:val="20"/>
    </w:rPr>
  </w:style>
  <w:style w:type="character" w:customStyle="1" w:styleId="69">
    <w:name w:val="正文文本缩进 Char"/>
    <w:link w:val="19"/>
    <w:autoRedefine/>
    <w:qFormat/>
    <w:uiPriority w:val="0"/>
    <w:rPr>
      <w:rFonts w:eastAsia="宋体"/>
      <w:kern w:val="2"/>
      <w:sz w:val="21"/>
      <w:szCs w:val="24"/>
      <w:lang w:val="en-US" w:eastAsia="zh-CN" w:bidi="ar-SA"/>
    </w:rPr>
  </w:style>
  <w:style w:type="character" w:customStyle="1" w:styleId="70">
    <w:name w:val="日期 Char2"/>
    <w:link w:val="26"/>
    <w:autoRedefine/>
    <w:qFormat/>
    <w:uiPriority w:val="0"/>
    <w:rPr>
      <w:rFonts w:ascii="楷体_GB2312" w:eastAsia="楷体_GB2312"/>
      <w:b/>
      <w:kern w:val="2"/>
      <w:sz w:val="28"/>
      <w:lang w:val="en-US" w:eastAsia="zh-CN" w:bidi="ar-SA"/>
    </w:rPr>
  </w:style>
  <w:style w:type="character" w:customStyle="1" w:styleId="71">
    <w:name w:val="页眉 Char1"/>
    <w:link w:val="30"/>
    <w:autoRedefine/>
    <w:qFormat/>
    <w:uiPriority w:val="0"/>
    <w:rPr>
      <w:rFonts w:eastAsia="宋体"/>
      <w:kern w:val="2"/>
      <w:sz w:val="18"/>
      <w:szCs w:val="18"/>
      <w:lang w:val="en-US" w:eastAsia="zh-CN" w:bidi="ar-SA"/>
    </w:rPr>
  </w:style>
  <w:style w:type="character" w:customStyle="1" w:styleId="72">
    <w:name w:val="页脚 Char"/>
    <w:link w:val="29"/>
    <w:autoRedefine/>
    <w:qFormat/>
    <w:locked/>
    <w:uiPriority w:val="0"/>
    <w:rPr>
      <w:rFonts w:eastAsia="宋体"/>
      <w:kern w:val="2"/>
      <w:sz w:val="18"/>
      <w:szCs w:val="18"/>
      <w:lang w:val="en-US" w:eastAsia="zh-CN" w:bidi="ar-SA"/>
    </w:rPr>
  </w:style>
  <w:style w:type="paragraph" w:customStyle="1" w:styleId="73">
    <w:name w:val="正文段"/>
    <w:basedOn w:val="1"/>
    <w:link w:val="74"/>
    <w:autoRedefine/>
    <w:qFormat/>
    <w:uiPriority w:val="0"/>
    <w:pPr>
      <w:widowControl/>
      <w:snapToGrid w:val="0"/>
      <w:spacing w:afterLines="50"/>
      <w:ind w:firstLine="200" w:firstLineChars="200"/>
    </w:pPr>
    <w:rPr>
      <w:kern w:val="0"/>
      <w:sz w:val="24"/>
      <w:szCs w:val="20"/>
    </w:rPr>
  </w:style>
  <w:style w:type="character" w:customStyle="1" w:styleId="74">
    <w:name w:val="正文段 Char"/>
    <w:link w:val="73"/>
    <w:autoRedefine/>
    <w:qFormat/>
    <w:uiPriority w:val="0"/>
    <w:rPr>
      <w:rFonts w:eastAsia="宋体"/>
      <w:sz w:val="24"/>
      <w:lang w:val="en-US" w:eastAsia="zh-CN" w:bidi="ar-SA"/>
    </w:rPr>
  </w:style>
  <w:style w:type="character" w:customStyle="1" w:styleId="75">
    <w:name w:val="批注文字 Char1"/>
    <w:link w:val="17"/>
    <w:autoRedefine/>
    <w:qFormat/>
    <w:uiPriority w:val="0"/>
    <w:rPr>
      <w:rFonts w:eastAsia="宋体"/>
      <w:kern w:val="2"/>
      <w:sz w:val="21"/>
      <w:szCs w:val="24"/>
      <w:lang w:val="en-US" w:eastAsia="zh-CN" w:bidi="ar-SA"/>
    </w:rPr>
  </w:style>
  <w:style w:type="character" w:customStyle="1" w:styleId="76">
    <w:name w:val="正文文本 2 Char1"/>
    <w:link w:val="36"/>
    <w:autoRedefine/>
    <w:qFormat/>
    <w:uiPriority w:val="0"/>
    <w:rPr>
      <w:rFonts w:ascii="隶书" w:eastAsia="隶书"/>
      <w:bCs/>
      <w:sz w:val="72"/>
      <w:szCs w:val="84"/>
      <w:lang w:val="en-US" w:eastAsia="zh-CN" w:bidi="ar-SA"/>
    </w:rPr>
  </w:style>
  <w:style w:type="paragraph" w:customStyle="1" w:styleId="77">
    <w:name w:val="Char"/>
    <w:basedOn w:val="1"/>
    <w:autoRedefine/>
    <w:qFormat/>
    <w:uiPriority w:val="0"/>
    <w:rPr>
      <w:rFonts w:ascii="仿宋_GB2312" w:eastAsia="仿宋_GB2312"/>
      <w:b/>
      <w:sz w:val="32"/>
      <w:szCs w:val="32"/>
    </w:rPr>
  </w:style>
  <w:style w:type="paragraph" w:customStyle="1" w:styleId="78">
    <w:name w:val="Table Text"/>
    <w:link w:val="79"/>
    <w:autoRedefine/>
    <w:qFormat/>
    <w:uiPriority w:val="0"/>
    <w:pPr>
      <w:snapToGrid w:val="0"/>
      <w:spacing w:before="80" w:after="80"/>
    </w:pPr>
    <w:rPr>
      <w:rFonts w:ascii="Arial" w:hAnsi="Arial" w:eastAsia="宋体" w:cs="Times New Roman"/>
      <w:sz w:val="18"/>
      <w:lang w:val="en-US" w:eastAsia="zh-CN" w:bidi="ar-SA"/>
    </w:rPr>
  </w:style>
  <w:style w:type="character" w:customStyle="1" w:styleId="79">
    <w:name w:val="Table Text Char1"/>
    <w:link w:val="78"/>
    <w:autoRedefine/>
    <w:qFormat/>
    <w:uiPriority w:val="0"/>
    <w:rPr>
      <w:rFonts w:ascii="Arial" w:hAnsi="Arial"/>
      <w:sz w:val="18"/>
      <w:lang w:val="en-US" w:eastAsia="zh-CN" w:bidi="ar-SA"/>
    </w:rPr>
  </w:style>
  <w:style w:type="character" w:customStyle="1" w:styleId="80">
    <w:name w:val="正文（缩进2汉字） Char"/>
    <w:link w:val="81"/>
    <w:autoRedefine/>
    <w:qFormat/>
    <w:uiPriority w:val="0"/>
    <w:rPr>
      <w:rFonts w:ascii="宋体"/>
      <w:kern w:val="2"/>
      <w:sz w:val="21"/>
      <w:lang w:bidi="ar-SA"/>
    </w:rPr>
  </w:style>
  <w:style w:type="paragraph" w:customStyle="1" w:styleId="81">
    <w:name w:val="正文（缩进2汉字）"/>
    <w:basedOn w:val="1"/>
    <w:link w:val="80"/>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2">
    <w:name w:val="Char111"/>
    <w:basedOn w:val="1"/>
    <w:autoRedefine/>
    <w:qFormat/>
    <w:uiPriority w:val="0"/>
    <w:pPr>
      <w:tabs>
        <w:tab w:val="left" w:pos="432"/>
      </w:tabs>
      <w:spacing w:beforeLines="50" w:afterLines="50"/>
      <w:ind w:left="432" w:hanging="432"/>
      <w:jc w:val="center"/>
    </w:pPr>
    <w:rPr>
      <w:sz w:val="24"/>
    </w:rPr>
  </w:style>
  <w:style w:type="paragraph" w:customStyle="1" w:styleId="83">
    <w:name w:val="模板普通正文"/>
    <w:basedOn w:val="19"/>
    <w:autoRedefine/>
    <w:qFormat/>
    <w:uiPriority w:val="0"/>
    <w:pPr>
      <w:spacing w:beforeLines="50" w:after="10" w:line="360" w:lineRule="auto"/>
      <w:ind w:left="0" w:leftChars="0" w:firstLine="175" w:firstLineChars="175"/>
      <w:jc w:val="left"/>
    </w:pPr>
    <w:rPr>
      <w:sz w:val="24"/>
    </w:rPr>
  </w:style>
  <w:style w:type="character" w:customStyle="1" w:styleId="84">
    <w:name w:val="正文文本缩进 2 Char1"/>
    <w:link w:val="27"/>
    <w:autoRedefine/>
    <w:qFormat/>
    <w:locked/>
    <w:uiPriority w:val="0"/>
    <w:rPr>
      <w:rFonts w:eastAsia="宋体"/>
      <w:kern w:val="2"/>
      <w:sz w:val="21"/>
      <w:szCs w:val="24"/>
      <w:lang w:val="en-US" w:eastAsia="zh-CN" w:bidi="ar-SA"/>
    </w:rPr>
  </w:style>
  <w:style w:type="paragraph" w:customStyle="1" w:styleId="85">
    <w:name w:val="缺省文本"/>
    <w:basedOn w:val="1"/>
    <w:autoRedefine/>
    <w:qFormat/>
    <w:uiPriority w:val="0"/>
    <w:pPr>
      <w:autoSpaceDE w:val="0"/>
      <w:autoSpaceDN w:val="0"/>
      <w:adjustRightInd w:val="0"/>
      <w:jc w:val="left"/>
    </w:pPr>
    <w:rPr>
      <w:kern w:val="0"/>
      <w:sz w:val="24"/>
    </w:rPr>
  </w:style>
  <w:style w:type="paragraph" w:customStyle="1" w:styleId="86">
    <w:name w:val="WW-正文文字缩进 2"/>
    <w:basedOn w:val="1"/>
    <w:autoRedefine/>
    <w:qFormat/>
    <w:uiPriority w:val="0"/>
    <w:pPr>
      <w:suppressAutoHyphens/>
      <w:ind w:firstLine="420"/>
    </w:pPr>
    <w:rPr>
      <w:kern w:val="1"/>
      <w:szCs w:val="20"/>
    </w:rPr>
  </w:style>
  <w:style w:type="paragraph" w:customStyle="1" w:styleId="87">
    <w:name w:val="默认段落字体 Para Char Char Char Char Char Char Char Char Char1 Char Char Char Char"/>
    <w:basedOn w:val="1"/>
    <w:autoRedefine/>
    <w:qFormat/>
    <w:uiPriority w:val="0"/>
    <w:rPr>
      <w:rFonts w:ascii="Tahoma" w:hAnsi="Tahoma"/>
      <w:sz w:val="24"/>
      <w:szCs w:val="20"/>
    </w:rPr>
  </w:style>
  <w:style w:type="character" w:customStyle="1" w:styleId="88">
    <w:name w:val="正文文本 Char1"/>
    <w:link w:val="18"/>
    <w:autoRedefine/>
    <w:qFormat/>
    <w:locked/>
    <w:uiPriority w:val="0"/>
    <w:rPr>
      <w:rFonts w:eastAsia="仿宋_GB2312"/>
      <w:kern w:val="2"/>
      <w:sz w:val="28"/>
      <w:szCs w:val="24"/>
      <w:lang w:val="en-US" w:eastAsia="zh-CN" w:bidi="ar-SA"/>
    </w:rPr>
  </w:style>
  <w:style w:type="paragraph" w:customStyle="1" w:styleId="89">
    <w:name w:val="项目排列"/>
    <w:basedOn w:val="1"/>
    <w:link w:val="90"/>
    <w:autoRedefine/>
    <w:qFormat/>
    <w:uiPriority w:val="0"/>
    <w:pPr>
      <w:tabs>
        <w:tab w:val="left" w:pos="900"/>
      </w:tabs>
      <w:spacing w:beforeLines="50" w:afterLines="50" w:line="300" w:lineRule="auto"/>
      <w:ind w:left="900" w:hanging="420"/>
    </w:pPr>
    <w:rPr>
      <w:sz w:val="24"/>
    </w:rPr>
  </w:style>
  <w:style w:type="character" w:customStyle="1" w:styleId="90">
    <w:name w:val="项目排列 Char"/>
    <w:link w:val="89"/>
    <w:autoRedefine/>
    <w:qFormat/>
    <w:uiPriority w:val="0"/>
    <w:rPr>
      <w:kern w:val="2"/>
      <w:sz w:val="24"/>
      <w:szCs w:val="24"/>
    </w:rPr>
  </w:style>
  <w:style w:type="character" w:customStyle="1" w:styleId="91">
    <w:name w:val="style21"/>
    <w:autoRedefine/>
    <w:qFormat/>
    <w:uiPriority w:val="0"/>
    <w:rPr>
      <w:sz w:val="15"/>
      <w:szCs w:val="15"/>
    </w:rPr>
  </w:style>
  <w:style w:type="paragraph" w:customStyle="1" w:styleId="92">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3">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4">
    <w:name w:val="Char1"/>
    <w:basedOn w:val="1"/>
    <w:autoRedefine/>
    <w:qFormat/>
    <w:uiPriority w:val="0"/>
    <w:rPr>
      <w:szCs w:val="20"/>
    </w:rPr>
  </w:style>
  <w:style w:type="paragraph" w:customStyle="1" w:styleId="95">
    <w:name w:val="列出段落1"/>
    <w:basedOn w:val="1"/>
    <w:next w:val="1"/>
    <w:autoRedefine/>
    <w:qFormat/>
    <w:uiPriority w:val="0"/>
    <w:pPr>
      <w:ind w:firstLine="420" w:firstLineChars="200"/>
    </w:pPr>
    <w:rPr>
      <w:rFonts w:ascii="Calibri" w:hAnsi="Calibri"/>
      <w:szCs w:val="22"/>
    </w:rPr>
  </w:style>
  <w:style w:type="paragraph" w:customStyle="1" w:styleId="96">
    <w:name w:val="默认段落字体 Para Char Char Char Char"/>
    <w:basedOn w:val="1"/>
    <w:autoRedefine/>
    <w:qFormat/>
    <w:uiPriority w:val="0"/>
  </w:style>
  <w:style w:type="paragraph" w:customStyle="1" w:styleId="97">
    <w:name w:val="Char Char Char1 Char Char Char1 Char Char Char Char"/>
    <w:basedOn w:val="1"/>
    <w:autoRedefine/>
    <w:qFormat/>
    <w:uiPriority w:val="0"/>
  </w:style>
  <w:style w:type="character" w:customStyle="1" w:styleId="98">
    <w:name w:val="font1"/>
    <w:autoRedefine/>
    <w:qFormat/>
    <w:uiPriority w:val="0"/>
    <w:rPr>
      <w:color w:val="999999"/>
      <w:sz w:val="18"/>
      <w:szCs w:val="18"/>
      <w:u w:val="none"/>
    </w:rPr>
  </w:style>
  <w:style w:type="paragraph" w:customStyle="1" w:styleId="9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0">
    <w:name w:val="Char Char Char Char Char Char Char Char Char Char"/>
    <w:basedOn w:val="1"/>
    <w:autoRedefine/>
    <w:qFormat/>
    <w:uiPriority w:val="0"/>
    <w:rPr>
      <w:rFonts w:ascii="Tahoma" w:hAnsi="Tahoma"/>
      <w:sz w:val="24"/>
      <w:szCs w:val="20"/>
    </w:rPr>
  </w:style>
  <w:style w:type="character" w:customStyle="1" w:styleId="101">
    <w:name w:val="apple-style-span"/>
    <w:basedOn w:val="47"/>
    <w:autoRedefine/>
    <w:qFormat/>
    <w:uiPriority w:val="0"/>
  </w:style>
  <w:style w:type="paragraph" w:customStyle="1" w:styleId="102">
    <w:name w:val="正文无缩进"/>
    <w:basedOn w:val="1"/>
    <w:link w:val="103"/>
    <w:autoRedefine/>
    <w:qFormat/>
    <w:uiPriority w:val="0"/>
    <w:pPr>
      <w:spacing w:line="360" w:lineRule="auto"/>
    </w:pPr>
    <w:rPr>
      <w:rFonts w:ascii="宋体"/>
      <w:color w:val="000000"/>
      <w:sz w:val="24"/>
    </w:rPr>
  </w:style>
  <w:style w:type="character" w:customStyle="1" w:styleId="103">
    <w:name w:val="正文无缩进 Char"/>
    <w:link w:val="102"/>
    <w:autoRedefine/>
    <w:qFormat/>
    <w:uiPriority w:val="0"/>
    <w:rPr>
      <w:rFonts w:ascii="宋体" w:eastAsia="宋体"/>
      <w:color w:val="000000"/>
      <w:kern w:val="2"/>
      <w:sz w:val="24"/>
      <w:szCs w:val="24"/>
      <w:lang w:val="en-US" w:eastAsia="zh-CN" w:bidi="ar-SA"/>
    </w:rPr>
  </w:style>
  <w:style w:type="paragraph" w:customStyle="1" w:styleId="104">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5">
    <w:name w:val="ca-3"/>
    <w:basedOn w:val="47"/>
    <w:autoRedefine/>
    <w:qFormat/>
    <w:uiPriority w:val="0"/>
  </w:style>
  <w:style w:type="paragraph" w:customStyle="1" w:styleId="106">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7">
    <w:name w:val="表格 Char Char"/>
    <w:link w:val="108"/>
    <w:autoRedefine/>
    <w:qFormat/>
    <w:locked/>
    <w:uiPriority w:val="0"/>
    <w:rPr>
      <w:rFonts w:ascii="宋体" w:hAnsi="宋体" w:eastAsia="宋体"/>
      <w:lang w:val="en-US" w:eastAsia="zh-CN" w:bidi="ar-SA"/>
    </w:rPr>
  </w:style>
  <w:style w:type="paragraph" w:customStyle="1" w:styleId="108">
    <w:name w:val="表格"/>
    <w:basedOn w:val="1"/>
    <w:link w:val="107"/>
    <w:autoRedefine/>
    <w:qFormat/>
    <w:uiPriority w:val="0"/>
    <w:pPr>
      <w:snapToGrid w:val="0"/>
      <w:ind w:firstLine="42" w:firstLineChars="21"/>
    </w:pPr>
    <w:rPr>
      <w:rFonts w:ascii="宋体" w:hAnsi="宋体"/>
      <w:kern w:val="0"/>
      <w:sz w:val="20"/>
      <w:szCs w:val="20"/>
    </w:rPr>
  </w:style>
  <w:style w:type="paragraph" w:customStyle="1" w:styleId="109">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0">
    <w:name w:val="Char Char1 Char Char Char Char Char Char"/>
    <w:basedOn w:val="1"/>
    <w:autoRedefine/>
    <w:qFormat/>
    <w:uiPriority w:val="0"/>
    <w:pPr>
      <w:widowControl/>
      <w:spacing w:after="160" w:line="240" w:lineRule="exact"/>
      <w:jc w:val="left"/>
    </w:pPr>
  </w:style>
  <w:style w:type="character" w:customStyle="1" w:styleId="111">
    <w:name w:val="Char Char"/>
    <w:autoRedefine/>
    <w:qFormat/>
    <w:uiPriority w:val="0"/>
    <w:rPr>
      <w:rFonts w:hint="eastAsia" w:ascii="宋体" w:hAnsi="Courier New" w:eastAsia="宋体"/>
      <w:kern w:val="2"/>
      <w:sz w:val="21"/>
      <w:lang w:val="en-US" w:eastAsia="zh-CN" w:bidi="ar-SA"/>
    </w:rPr>
  </w:style>
  <w:style w:type="character" w:customStyle="1" w:styleId="112">
    <w:name w:val="style51"/>
    <w:autoRedefine/>
    <w:qFormat/>
    <w:uiPriority w:val="0"/>
    <w:rPr>
      <w:sz w:val="21"/>
      <w:szCs w:val="21"/>
    </w:rPr>
  </w:style>
  <w:style w:type="paragraph" w:customStyle="1" w:styleId="113">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4">
    <w:name w:val="标准文本"/>
    <w:basedOn w:val="1"/>
    <w:link w:val="115"/>
    <w:autoRedefine/>
    <w:qFormat/>
    <w:uiPriority w:val="0"/>
    <w:pPr>
      <w:spacing w:line="360" w:lineRule="auto"/>
      <w:ind w:firstLine="480" w:firstLineChars="200"/>
    </w:pPr>
    <w:rPr>
      <w:rFonts w:cs="宋体"/>
      <w:sz w:val="24"/>
      <w:szCs w:val="20"/>
    </w:rPr>
  </w:style>
  <w:style w:type="character" w:customStyle="1" w:styleId="115">
    <w:name w:val="标准文本 Char"/>
    <w:link w:val="114"/>
    <w:autoRedefine/>
    <w:qFormat/>
    <w:uiPriority w:val="0"/>
    <w:rPr>
      <w:rFonts w:eastAsia="宋体" w:cs="宋体"/>
      <w:kern w:val="2"/>
      <w:sz w:val="24"/>
      <w:lang w:val="en-US" w:eastAsia="zh-CN" w:bidi="ar-SA"/>
    </w:rPr>
  </w:style>
  <w:style w:type="paragraph" w:customStyle="1" w:styleId="116">
    <w:name w:val="自定义正文"/>
    <w:basedOn w:val="1"/>
    <w:link w:val="117"/>
    <w:autoRedefine/>
    <w:qFormat/>
    <w:uiPriority w:val="0"/>
    <w:pPr>
      <w:spacing w:line="480" w:lineRule="exact"/>
      <w:ind w:firstLine="200" w:firstLineChars="200"/>
      <w:jc w:val="left"/>
    </w:pPr>
    <w:rPr>
      <w:rFonts w:ascii="仿宋_GB2312" w:eastAsia="仿宋_GB2312"/>
      <w:sz w:val="28"/>
    </w:rPr>
  </w:style>
  <w:style w:type="character" w:customStyle="1" w:styleId="117">
    <w:name w:val="自定义正文 Char"/>
    <w:link w:val="116"/>
    <w:autoRedefine/>
    <w:qFormat/>
    <w:uiPriority w:val="0"/>
    <w:rPr>
      <w:rFonts w:ascii="仿宋_GB2312" w:eastAsia="仿宋_GB2312"/>
      <w:kern w:val="2"/>
      <w:sz w:val="28"/>
      <w:szCs w:val="24"/>
      <w:lang w:val="en-US" w:eastAsia="zh-CN" w:bidi="ar-SA"/>
    </w:rPr>
  </w:style>
  <w:style w:type="paragraph" w:customStyle="1" w:styleId="118">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9">
    <w:name w:val="自定义表格文字"/>
    <w:basedOn w:val="1"/>
    <w:autoRedefine/>
    <w:qFormat/>
    <w:uiPriority w:val="0"/>
    <w:pPr>
      <w:spacing w:before="60" w:after="60" w:line="320" w:lineRule="exact"/>
      <w:jc w:val="left"/>
    </w:pPr>
    <w:rPr>
      <w:rFonts w:ascii="宋体" w:eastAsia="楷体_GB2312"/>
    </w:rPr>
  </w:style>
  <w:style w:type="paragraph" w:customStyle="1" w:styleId="120">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1">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2">
    <w:name w:val="文档结构图 Char"/>
    <w:link w:val="16"/>
    <w:autoRedefine/>
    <w:semiHidden/>
    <w:qFormat/>
    <w:uiPriority w:val="0"/>
    <w:rPr>
      <w:rFonts w:eastAsia="宋体"/>
      <w:kern w:val="2"/>
      <w:sz w:val="21"/>
      <w:szCs w:val="24"/>
      <w:lang w:val="en-US" w:eastAsia="zh-CN" w:bidi="ar-SA"/>
    </w:rPr>
  </w:style>
  <w:style w:type="character" w:customStyle="1" w:styleId="123">
    <w:name w:val="Char Char12"/>
    <w:autoRedefine/>
    <w:qFormat/>
    <w:uiPriority w:val="0"/>
    <w:rPr>
      <w:rFonts w:ascii="宋体" w:hAnsi="Courier New" w:eastAsia="宋体"/>
      <w:kern w:val="2"/>
      <w:sz w:val="21"/>
      <w:lang w:val="en-US" w:eastAsia="zh-CN" w:bidi="ar-SA"/>
    </w:rPr>
  </w:style>
  <w:style w:type="character" w:customStyle="1" w:styleId="124">
    <w:name w:val="H4 Char"/>
    <w:qFormat/>
    <w:uiPriority w:val="0"/>
    <w:rPr>
      <w:rFonts w:ascii="宋体" w:hAnsi="宋体" w:eastAsia="黑体"/>
      <w:b/>
      <w:bCs/>
      <w:color w:val="000000"/>
      <w:spacing w:val="-4"/>
      <w:kern w:val="2"/>
      <w:sz w:val="24"/>
      <w:szCs w:val="30"/>
      <w:lang w:val="en-US" w:eastAsia="zh-CN" w:bidi="ar-SA"/>
    </w:rPr>
  </w:style>
  <w:style w:type="character" w:customStyle="1" w:styleId="125">
    <w:name w:val="H5 Char"/>
    <w:autoRedefine/>
    <w:qFormat/>
    <w:uiPriority w:val="0"/>
    <w:rPr>
      <w:rFonts w:ascii="Arial" w:hAnsi="Arial" w:eastAsia="宋体"/>
      <w:sz w:val="24"/>
      <w:lang w:val="en-US" w:eastAsia="zh-CN" w:bidi="ar-SA"/>
    </w:rPr>
  </w:style>
  <w:style w:type="character" w:customStyle="1" w:styleId="126">
    <w:name w:val="Char Char8"/>
    <w:autoRedefine/>
    <w:qFormat/>
    <w:uiPriority w:val="0"/>
    <w:rPr>
      <w:rFonts w:ascii="宋体" w:eastAsia="宋体"/>
      <w:kern w:val="2"/>
      <w:sz w:val="28"/>
      <w:lang w:val="en-US" w:eastAsia="zh-CN" w:bidi="ar-SA"/>
    </w:rPr>
  </w:style>
  <w:style w:type="character" w:customStyle="1" w:styleId="127">
    <w:name w:val="Char Char7"/>
    <w:autoRedefine/>
    <w:qFormat/>
    <w:uiPriority w:val="0"/>
    <w:rPr>
      <w:rFonts w:eastAsia="仿宋_GB2312"/>
      <w:kern w:val="2"/>
      <w:sz w:val="24"/>
      <w:szCs w:val="24"/>
      <w:lang w:val="en-US" w:eastAsia="zh-CN" w:bidi="ar-SA"/>
    </w:rPr>
  </w:style>
  <w:style w:type="paragraph" w:customStyle="1" w:styleId="128">
    <w:name w:val="表内文字"/>
    <w:basedOn w:val="1"/>
    <w:autoRedefine/>
    <w:qFormat/>
    <w:uiPriority w:val="0"/>
    <w:pPr>
      <w:jc w:val="center"/>
    </w:pPr>
    <w:rPr>
      <w:color w:val="FF0000"/>
      <w:kern w:val="0"/>
      <w:sz w:val="24"/>
    </w:rPr>
  </w:style>
  <w:style w:type="character" w:customStyle="1" w:styleId="129">
    <w:name w:val="Char Char3"/>
    <w:autoRedefine/>
    <w:qFormat/>
    <w:uiPriority w:val="0"/>
    <w:rPr>
      <w:rFonts w:eastAsia="仿宋_GB2312"/>
      <w:kern w:val="2"/>
      <w:sz w:val="28"/>
      <w:szCs w:val="24"/>
      <w:lang w:val="en-US" w:eastAsia="zh-CN" w:bidi="ar-SA"/>
    </w:rPr>
  </w:style>
  <w:style w:type="paragraph" w:customStyle="1" w:styleId="130">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1">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2">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3">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4">
    <w:name w:val="项目1"/>
    <w:basedOn w:val="1"/>
    <w:autoRedefine/>
    <w:qFormat/>
    <w:uiPriority w:val="0"/>
    <w:pPr>
      <w:tabs>
        <w:tab w:val="left" w:pos="840"/>
      </w:tabs>
      <w:spacing w:after="60"/>
      <w:ind w:left="840" w:hanging="420"/>
    </w:pPr>
    <w:rPr>
      <w:rFonts w:ascii="宋体"/>
      <w:spacing w:val="4"/>
      <w:szCs w:val="20"/>
    </w:rPr>
  </w:style>
  <w:style w:type="paragraph" w:customStyle="1" w:styleId="135">
    <w:name w:val="编10号"/>
    <w:basedOn w:val="1"/>
    <w:autoRedefine/>
    <w:qFormat/>
    <w:uiPriority w:val="0"/>
    <w:pPr>
      <w:tabs>
        <w:tab w:val="left" w:pos="1620"/>
      </w:tabs>
      <w:ind w:left="1620" w:hanging="360"/>
    </w:pPr>
  </w:style>
  <w:style w:type="paragraph" w:customStyle="1" w:styleId="136">
    <w:name w:val="段"/>
    <w:basedOn w:val="1"/>
    <w:autoRedefine/>
    <w:qFormat/>
    <w:uiPriority w:val="0"/>
    <w:pPr>
      <w:ind w:firstLine="425"/>
    </w:pPr>
    <w:rPr>
      <w:rFonts w:ascii="宋体"/>
      <w:szCs w:val="20"/>
    </w:rPr>
  </w:style>
  <w:style w:type="paragraph" w:customStyle="1" w:styleId="137">
    <w:name w:val="Char Char Char Char"/>
    <w:basedOn w:val="1"/>
    <w:autoRedefine/>
    <w:qFormat/>
    <w:uiPriority w:val="0"/>
    <w:pPr>
      <w:widowControl/>
      <w:spacing w:after="160" w:line="240" w:lineRule="exact"/>
      <w:jc w:val="left"/>
    </w:pPr>
    <w:rPr>
      <w:kern w:val="0"/>
      <w:sz w:val="24"/>
    </w:rPr>
  </w:style>
  <w:style w:type="paragraph" w:customStyle="1" w:styleId="138">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9">
    <w:name w:val="bulletintext1"/>
    <w:autoRedefine/>
    <w:qFormat/>
    <w:uiPriority w:val="0"/>
    <w:rPr>
      <w:rFonts w:hint="eastAsia" w:ascii="宋体" w:hAnsi="宋体" w:eastAsia="宋体"/>
      <w:sz w:val="18"/>
      <w:szCs w:val="18"/>
    </w:rPr>
  </w:style>
  <w:style w:type="paragraph" w:customStyle="1" w:styleId="140">
    <w:name w:val="Char1 Char Char Char Char Char Char"/>
    <w:basedOn w:val="1"/>
    <w:autoRedefine/>
    <w:qFormat/>
    <w:uiPriority w:val="0"/>
    <w:rPr>
      <w:rFonts w:ascii="Tahoma" w:hAnsi="Tahoma"/>
      <w:sz w:val="24"/>
      <w:szCs w:val="20"/>
    </w:rPr>
  </w:style>
  <w:style w:type="paragraph" w:customStyle="1" w:styleId="141">
    <w:name w:val="Char Char2 Char Char Char Char"/>
    <w:basedOn w:val="16"/>
    <w:autoRedefine/>
    <w:qFormat/>
    <w:uiPriority w:val="0"/>
    <w:rPr>
      <w:rFonts w:ascii="Tahoma" w:hAnsi="Tahoma"/>
      <w:sz w:val="24"/>
    </w:rPr>
  </w:style>
  <w:style w:type="paragraph" w:customStyle="1" w:styleId="142">
    <w:name w:val="Char Char Char"/>
    <w:basedOn w:val="16"/>
    <w:autoRedefine/>
    <w:qFormat/>
    <w:uiPriority w:val="0"/>
    <w:rPr>
      <w:rFonts w:ascii="Tahoma" w:hAnsi="Tahoma"/>
      <w:sz w:val="24"/>
    </w:rPr>
  </w:style>
  <w:style w:type="paragraph" w:customStyle="1" w:styleId="143">
    <w:name w:val="正文缩进 New"/>
    <w:basedOn w:val="1"/>
    <w:autoRedefine/>
    <w:qFormat/>
    <w:uiPriority w:val="0"/>
    <w:pPr>
      <w:ind w:firstLine="420" w:firstLineChars="200"/>
    </w:pPr>
    <w:rPr>
      <w:szCs w:val="20"/>
    </w:rPr>
  </w:style>
  <w:style w:type="paragraph" w:customStyle="1" w:styleId="144">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5">
    <w:name w:val="tpc_content1"/>
    <w:autoRedefine/>
    <w:qFormat/>
    <w:uiPriority w:val="0"/>
    <w:rPr>
      <w:sz w:val="20"/>
      <w:szCs w:val="20"/>
    </w:rPr>
  </w:style>
  <w:style w:type="character" w:customStyle="1" w:styleId="146">
    <w:name w:val="Char Char11"/>
    <w:autoRedefine/>
    <w:qFormat/>
    <w:uiPriority w:val="0"/>
    <w:rPr>
      <w:b/>
      <w:kern w:val="44"/>
      <w:sz w:val="44"/>
    </w:rPr>
  </w:style>
  <w:style w:type="character" w:customStyle="1" w:styleId="147">
    <w:name w:val="Char Char10"/>
    <w:autoRedefine/>
    <w:qFormat/>
    <w:uiPriority w:val="0"/>
    <w:rPr>
      <w:b/>
      <w:kern w:val="2"/>
      <w:sz w:val="28"/>
      <w:szCs w:val="28"/>
    </w:rPr>
  </w:style>
  <w:style w:type="character" w:customStyle="1" w:styleId="148">
    <w:name w:val="Char Char9"/>
    <w:autoRedefine/>
    <w:qFormat/>
    <w:uiPriority w:val="0"/>
    <w:rPr>
      <w:b/>
      <w:kern w:val="2"/>
      <w:sz w:val="24"/>
      <w:szCs w:val="24"/>
    </w:rPr>
  </w:style>
  <w:style w:type="paragraph" w:customStyle="1" w:styleId="149">
    <w:name w:val="Char Char Char 字元 字元"/>
    <w:basedOn w:val="1"/>
    <w:autoRedefine/>
    <w:qFormat/>
    <w:uiPriority w:val="0"/>
    <w:pPr>
      <w:spacing w:line="360" w:lineRule="auto"/>
      <w:ind w:firstLine="200" w:firstLineChars="200"/>
    </w:pPr>
    <w:rPr>
      <w:szCs w:val="20"/>
    </w:rPr>
  </w:style>
  <w:style w:type="paragraph" w:customStyle="1" w:styleId="150">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1">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2">
    <w:name w:val="style11"/>
    <w:autoRedefine/>
    <w:qFormat/>
    <w:uiPriority w:val="0"/>
    <w:rPr>
      <w:b/>
      <w:bCs/>
      <w:color w:val="FF0000"/>
    </w:rPr>
  </w:style>
  <w:style w:type="character" w:customStyle="1" w:styleId="153">
    <w:name w:val="info"/>
    <w:basedOn w:val="47"/>
    <w:autoRedefine/>
    <w:qFormat/>
    <w:uiPriority w:val="0"/>
  </w:style>
  <w:style w:type="paragraph" w:customStyle="1" w:styleId="154">
    <w:name w:val="样式 正文缩进 + 首行缩进:  2 字符"/>
    <w:basedOn w:val="6"/>
    <w:link w:val="155"/>
    <w:autoRedefine/>
    <w:qFormat/>
    <w:uiPriority w:val="0"/>
    <w:pPr>
      <w:spacing w:line="360" w:lineRule="auto"/>
      <w:ind w:firstLine="480"/>
    </w:pPr>
    <w:rPr>
      <w:rFonts w:ascii="宋体" w:hAnsi="宋体"/>
      <w:color w:val="000000"/>
      <w:kern w:val="0"/>
      <w:sz w:val="24"/>
      <w:szCs w:val="20"/>
    </w:rPr>
  </w:style>
  <w:style w:type="character" w:customStyle="1" w:styleId="155">
    <w:name w:val="样式 正文缩进 + 首行缩进:  2 字符 Char"/>
    <w:link w:val="154"/>
    <w:autoRedefine/>
    <w:qFormat/>
    <w:locked/>
    <w:uiPriority w:val="0"/>
    <w:rPr>
      <w:rFonts w:ascii="宋体" w:hAnsi="宋体" w:eastAsia="宋体"/>
      <w:color w:val="000000"/>
      <w:sz w:val="24"/>
      <w:lang w:bidi="ar-SA"/>
    </w:rPr>
  </w:style>
  <w:style w:type="paragraph" w:customStyle="1" w:styleId="156">
    <w:name w:val="正文2"/>
    <w:basedOn w:val="1"/>
    <w:link w:val="157"/>
    <w:autoRedefine/>
    <w:qFormat/>
    <w:uiPriority w:val="0"/>
    <w:pPr>
      <w:spacing w:before="156" w:line="360" w:lineRule="auto"/>
      <w:ind w:firstLine="510" w:firstLineChars="200"/>
    </w:pPr>
    <w:rPr>
      <w:sz w:val="24"/>
      <w:szCs w:val="20"/>
    </w:rPr>
  </w:style>
  <w:style w:type="character" w:customStyle="1" w:styleId="157">
    <w:name w:val="正文2 Char"/>
    <w:link w:val="156"/>
    <w:autoRedefine/>
    <w:qFormat/>
    <w:uiPriority w:val="0"/>
    <w:rPr>
      <w:rFonts w:eastAsia="宋体"/>
      <w:kern w:val="2"/>
      <w:sz w:val="24"/>
      <w:lang w:val="en-US" w:eastAsia="zh-CN" w:bidi="ar-SA"/>
    </w:rPr>
  </w:style>
  <w:style w:type="paragraph" w:customStyle="1" w:styleId="158">
    <w:name w:val="p0"/>
    <w:basedOn w:val="1"/>
    <w:autoRedefine/>
    <w:qFormat/>
    <w:uiPriority w:val="0"/>
    <w:pPr>
      <w:widowControl/>
    </w:pPr>
    <w:rPr>
      <w:kern w:val="0"/>
      <w:szCs w:val="21"/>
    </w:rPr>
  </w:style>
  <w:style w:type="character" w:customStyle="1" w:styleId="159">
    <w:name w:val="param-name"/>
    <w:basedOn w:val="47"/>
    <w:autoRedefine/>
    <w:qFormat/>
    <w:uiPriority w:val="0"/>
  </w:style>
  <w:style w:type="character" w:customStyle="1" w:styleId="160">
    <w:name w:val="日期 Char"/>
    <w:autoRedefine/>
    <w:qFormat/>
    <w:uiPriority w:val="0"/>
    <w:rPr>
      <w:rFonts w:ascii="楷体_GB2312" w:eastAsia="楷体_GB2312"/>
      <w:b/>
      <w:kern w:val="2"/>
      <w:sz w:val="28"/>
      <w:lang w:val="en-US" w:eastAsia="zh-CN" w:bidi="ar-SA"/>
    </w:rPr>
  </w:style>
  <w:style w:type="character" w:customStyle="1" w:styleId="161">
    <w:name w:val="标题 4 Char"/>
    <w:autoRedefine/>
    <w:qFormat/>
    <w:uiPriority w:val="0"/>
    <w:rPr>
      <w:rFonts w:ascii="Arial" w:hAnsi="Arial" w:eastAsia="黑体"/>
      <w:b/>
      <w:kern w:val="2"/>
      <w:sz w:val="28"/>
      <w:lang w:val="en-US" w:eastAsia="zh-CN" w:bidi="ar-SA"/>
    </w:rPr>
  </w:style>
  <w:style w:type="character" w:customStyle="1" w:styleId="162">
    <w:name w:val="标题 6 Char"/>
    <w:autoRedefine/>
    <w:qFormat/>
    <w:uiPriority w:val="0"/>
    <w:rPr>
      <w:rFonts w:ascii="宋体" w:hAnsi="Arial" w:eastAsia="宋体"/>
      <w:sz w:val="24"/>
      <w:lang w:val="en-US" w:eastAsia="zh-CN" w:bidi="ar-SA"/>
    </w:rPr>
  </w:style>
  <w:style w:type="character" w:customStyle="1" w:styleId="163">
    <w:name w:val="标题 8 Char"/>
    <w:autoRedefine/>
    <w:qFormat/>
    <w:uiPriority w:val="0"/>
    <w:rPr>
      <w:rFonts w:ascii="Arial" w:hAnsi="Arial" w:eastAsia="黑体"/>
      <w:sz w:val="24"/>
      <w:lang w:val="en-US" w:eastAsia="zh-CN" w:bidi="ar-SA"/>
    </w:rPr>
  </w:style>
  <w:style w:type="character" w:customStyle="1" w:styleId="164">
    <w:name w:val="标题 9 Char"/>
    <w:autoRedefine/>
    <w:qFormat/>
    <w:uiPriority w:val="0"/>
    <w:rPr>
      <w:rFonts w:ascii="Arial" w:hAnsi="Arial" w:eastAsia="黑体"/>
      <w:sz w:val="24"/>
      <w:lang w:val="en-US" w:eastAsia="zh-CN" w:bidi="ar-SA"/>
    </w:rPr>
  </w:style>
  <w:style w:type="character" w:customStyle="1" w:styleId="165">
    <w:name w:val="标题 5 Char"/>
    <w:autoRedefine/>
    <w:qFormat/>
    <w:uiPriority w:val="0"/>
    <w:rPr>
      <w:rFonts w:eastAsia="宋体"/>
      <w:sz w:val="24"/>
      <w:lang w:val="en-US" w:eastAsia="zh-CN" w:bidi="ar-SA"/>
    </w:rPr>
  </w:style>
  <w:style w:type="character" w:customStyle="1" w:styleId="166">
    <w:name w:val="正文文本 Char"/>
    <w:autoRedefine/>
    <w:qFormat/>
    <w:locked/>
    <w:uiPriority w:val="0"/>
    <w:rPr>
      <w:rFonts w:eastAsia="仿宋_GB2312"/>
      <w:kern w:val="2"/>
      <w:sz w:val="28"/>
      <w:szCs w:val="24"/>
      <w:lang w:val="en-US" w:eastAsia="zh-CN" w:bidi="ar-SA"/>
    </w:rPr>
  </w:style>
  <w:style w:type="character" w:customStyle="1" w:styleId="167">
    <w:name w:val="正文文本缩进 2 Char"/>
    <w:autoRedefine/>
    <w:qFormat/>
    <w:locked/>
    <w:uiPriority w:val="0"/>
    <w:rPr>
      <w:rFonts w:eastAsia="宋体"/>
      <w:kern w:val="2"/>
      <w:sz w:val="21"/>
      <w:szCs w:val="24"/>
      <w:lang w:val="en-US" w:eastAsia="zh-CN" w:bidi="ar-SA"/>
    </w:rPr>
  </w:style>
  <w:style w:type="character" w:customStyle="1" w:styleId="168">
    <w:name w:val="正文文本 2 Char"/>
    <w:autoRedefine/>
    <w:qFormat/>
    <w:uiPriority w:val="0"/>
    <w:rPr>
      <w:rFonts w:ascii="隶书" w:eastAsia="隶书"/>
      <w:bCs/>
      <w:sz w:val="72"/>
      <w:szCs w:val="84"/>
      <w:lang w:val="en-US" w:eastAsia="zh-CN" w:bidi="ar-SA"/>
    </w:rPr>
  </w:style>
  <w:style w:type="character" w:customStyle="1" w:styleId="169">
    <w:name w:val="标题 7 Char"/>
    <w:autoRedefine/>
    <w:qFormat/>
    <w:uiPriority w:val="0"/>
    <w:rPr>
      <w:rFonts w:ascii="宋体" w:hAnsi="Arial" w:eastAsia="宋体"/>
      <w:b/>
      <w:sz w:val="24"/>
      <w:lang w:val="en-US" w:eastAsia="zh-CN" w:bidi="ar-SA"/>
    </w:rPr>
  </w:style>
  <w:style w:type="character" w:customStyle="1" w:styleId="170">
    <w:name w:val="页眉 Char"/>
    <w:autoRedefine/>
    <w:qFormat/>
    <w:uiPriority w:val="99"/>
    <w:rPr>
      <w:rFonts w:eastAsia="宋体"/>
      <w:kern w:val="2"/>
      <w:sz w:val="18"/>
      <w:szCs w:val="18"/>
      <w:lang w:val="en-US" w:eastAsia="zh-CN" w:bidi="ar-SA"/>
    </w:rPr>
  </w:style>
  <w:style w:type="character" w:customStyle="1" w:styleId="171">
    <w:name w:val="批注文字 Char"/>
    <w:autoRedefine/>
    <w:qFormat/>
    <w:uiPriority w:val="0"/>
    <w:rPr>
      <w:rFonts w:eastAsia="宋体"/>
      <w:kern w:val="2"/>
      <w:sz w:val="21"/>
      <w:szCs w:val="24"/>
      <w:lang w:val="en-US" w:eastAsia="zh-CN" w:bidi="ar-SA"/>
    </w:rPr>
  </w:style>
  <w:style w:type="character" w:customStyle="1" w:styleId="172">
    <w:name w:val="汇视源正文 Char"/>
    <w:link w:val="173"/>
    <w:autoRedefine/>
    <w:qFormat/>
    <w:uiPriority w:val="0"/>
    <w:rPr>
      <w:rFonts w:cs="宋体"/>
      <w:kern w:val="2"/>
      <w:sz w:val="24"/>
      <w:lang w:val="en-US" w:eastAsia="zh-CN" w:bidi="ar-SA"/>
    </w:rPr>
  </w:style>
  <w:style w:type="paragraph" w:customStyle="1" w:styleId="173">
    <w:name w:val="汇视源正文"/>
    <w:link w:val="172"/>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4">
    <w:name w:val="样式 列表编号 + 段后: 0.5 行"/>
    <w:basedOn w:val="14"/>
    <w:autoRedefine/>
    <w:qFormat/>
    <w:uiPriority w:val="0"/>
    <w:pPr>
      <w:tabs>
        <w:tab w:val="left" w:pos="840"/>
      </w:tabs>
      <w:spacing w:afterLines="0"/>
      <w:ind w:left="425" w:hanging="425"/>
    </w:pPr>
    <w:rPr>
      <w:rFonts w:cs="宋体"/>
    </w:rPr>
  </w:style>
  <w:style w:type="paragraph" w:customStyle="1" w:styleId="175">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6">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7">
    <w:name w:val="标题 Char"/>
    <w:link w:val="41"/>
    <w:autoRedefine/>
    <w:qFormat/>
    <w:locked/>
    <w:uiPriority w:val="0"/>
    <w:rPr>
      <w:rFonts w:ascii="Calibri Light" w:hAnsi="Calibri Light" w:eastAsia="宋体"/>
      <w:b/>
      <w:bCs/>
      <w:kern w:val="2"/>
      <w:sz w:val="32"/>
      <w:szCs w:val="32"/>
      <w:lang w:val="en-US" w:eastAsia="zh-CN" w:bidi="ar-SA"/>
    </w:rPr>
  </w:style>
  <w:style w:type="character" w:customStyle="1" w:styleId="178">
    <w:name w:val="Date Char"/>
    <w:autoRedefine/>
    <w:qFormat/>
    <w:locked/>
    <w:uiPriority w:val="0"/>
    <w:rPr>
      <w:rFonts w:ascii="宋体"/>
      <w:sz w:val="21"/>
      <w:lang w:val="zh-CN"/>
    </w:rPr>
  </w:style>
  <w:style w:type="character" w:customStyle="1" w:styleId="179">
    <w:name w:val="Normal Indent Char"/>
    <w:autoRedefine/>
    <w:qFormat/>
    <w:locked/>
    <w:uiPriority w:val="0"/>
    <w:rPr>
      <w:rFonts w:ascii="宋体" w:eastAsia="宋体"/>
      <w:snapToGrid w:val="0"/>
      <w:color w:val="000000"/>
      <w:kern w:val="28"/>
      <w:sz w:val="28"/>
    </w:rPr>
  </w:style>
  <w:style w:type="character" w:customStyle="1" w:styleId="180">
    <w:name w:val="Plain Text Char"/>
    <w:autoRedefine/>
    <w:qFormat/>
    <w:locked/>
    <w:uiPriority w:val="0"/>
    <w:rPr>
      <w:rFonts w:ascii="宋体" w:hAnsi="Courier New" w:eastAsia="宋体"/>
      <w:snapToGrid w:val="0"/>
      <w:sz w:val="21"/>
    </w:rPr>
  </w:style>
  <w:style w:type="character" w:customStyle="1" w:styleId="181">
    <w:name w:val="日期 Char1"/>
    <w:autoRedefine/>
    <w:qFormat/>
    <w:uiPriority w:val="0"/>
    <w:rPr>
      <w:rFonts w:ascii="Times New Roman" w:hAnsi="Times New Roman" w:eastAsia="宋体" w:cs="Times New Roman"/>
      <w:sz w:val="24"/>
      <w:szCs w:val="24"/>
    </w:rPr>
  </w:style>
  <w:style w:type="character" w:customStyle="1" w:styleId="182">
    <w:name w:val="纯文本 Char1"/>
    <w:link w:val="183"/>
    <w:autoRedefine/>
    <w:qFormat/>
    <w:uiPriority w:val="0"/>
    <w:rPr>
      <w:rFonts w:ascii="宋体" w:hAnsi="Courier New" w:eastAsia="宋体" w:cs="Courier New"/>
      <w:sz w:val="21"/>
      <w:szCs w:val="21"/>
    </w:rPr>
  </w:style>
  <w:style w:type="paragraph" w:customStyle="1" w:styleId="183">
    <w:name w:val="纯文本1"/>
    <w:basedOn w:val="1"/>
    <w:link w:val="182"/>
    <w:autoRedefine/>
    <w:qFormat/>
    <w:uiPriority w:val="0"/>
    <w:rPr>
      <w:rFonts w:ascii="宋体" w:hAnsi="Courier New" w:cs="Courier New"/>
      <w:kern w:val="0"/>
      <w:szCs w:val="21"/>
    </w:rPr>
  </w:style>
  <w:style w:type="paragraph" w:customStyle="1" w:styleId="18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5">
    <w:name w:val="列出段落112"/>
    <w:basedOn w:val="1"/>
    <w:link w:val="209"/>
    <w:autoRedefine/>
    <w:qFormat/>
    <w:uiPriority w:val="0"/>
    <w:pPr>
      <w:adjustRightInd w:val="0"/>
      <w:spacing w:line="360" w:lineRule="auto"/>
      <w:ind w:firstLine="200" w:firstLineChars="200"/>
    </w:pPr>
    <w:rPr>
      <w:rFonts w:eastAsia="楷体_GB2312" w:cs="Lucida Sans"/>
      <w:sz w:val="24"/>
    </w:rPr>
  </w:style>
  <w:style w:type="paragraph" w:customStyle="1" w:styleId="186">
    <w:name w:val="标题2def"/>
    <w:basedOn w:val="41"/>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7">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8">
    <w:name w:val="Header Char"/>
    <w:qFormat/>
    <w:locked/>
    <w:uiPriority w:val="0"/>
    <w:rPr>
      <w:rFonts w:ascii="Times New Roman" w:hAnsi="Times New Roman" w:eastAsia="宋体" w:cs="Times New Roman"/>
      <w:sz w:val="18"/>
      <w:szCs w:val="18"/>
    </w:rPr>
  </w:style>
  <w:style w:type="paragraph" w:customStyle="1" w:styleId="18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0">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1">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2">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4">
    <w:name w:val="Char Char Char Char1"/>
    <w:basedOn w:val="1"/>
    <w:autoRedefine/>
    <w:qFormat/>
    <w:uiPriority w:val="0"/>
    <w:rPr>
      <w:rFonts w:ascii="Tahoma" w:hAnsi="Tahoma"/>
      <w:sz w:val="24"/>
      <w:szCs w:val="20"/>
    </w:rPr>
  </w:style>
  <w:style w:type="paragraph" w:customStyle="1" w:styleId="195">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6">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7">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8">
    <w:name w:val="正文2 Char Char"/>
    <w:autoRedefine/>
    <w:qFormat/>
    <w:uiPriority w:val="0"/>
    <w:rPr>
      <w:kern w:val="2"/>
      <w:sz w:val="24"/>
    </w:rPr>
  </w:style>
  <w:style w:type="character" w:customStyle="1" w:styleId="199">
    <w:name w:val="普通文字 Char Char3"/>
    <w:autoRedefine/>
    <w:qFormat/>
    <w:uiPriority w:val="0"/>
    <w:rPr>
      <w:rFonts w:ascii="宋体" w:hAnsi="Courier New"/>
      <w:kern w:val="2"/>
      <w:sz w:val="24"/>
      <w:szCs w:val="24"/>
    </w:rPr>
  </w:style>
  <w:style w:type="character" w:customStyle="1" w:styleId="200">
    <w:name w:val="特点 Char2"/>
    <w:autoRedefine/>
    <w:qFormat/>
    <w:uiPriority w:val="0"/>
    <w:rPr>
      <w:rFonts w:ascii="Times New Roman" w:hAnsi="Times New Roman" w:eastAsia="宋体" w:cs="Times New Roman"/>
      <w:szCs w:val="24"/>
    </w:rPr>
  </w:style>
  <w:style w:type="character" w:customStyle="1" w:styleId="201">
    <w:name w:val="批注框文本 Char"/>
    <w:basedOn w:val="47"/>
    <w:link w:val="28"/>
    <w:qFormat/>
    <w:uiPriority w:val="0"/>
    <w:rPr>
      <w:kern w:val="2"/>
      <w:sz w:val="18"/>
      <w:szCs w:val="18"/>
    </w:rPr>
  </w:style>
  <w:style w:type="character" w:customStyle="1" w:styleId="202">
    <w:name w:val="正文文本缩进 3 Char"/>
    <w:basedOn w:val="47"/>
    <w:link w:val="34"/>
    <w:autoRedefine/>
    <w:qFormat/>
    <w:uiPriority w:val="0"/>
    <w:rPr>
      <w:kern w:val="2"/>
      <w:sz w:val="16"/>
      <w:szCs w:val="16"/>
    </w:rPr>
  </w:style>
  <w:style w:type="character" w:customStyle="1" w:styleId="203">
    <w:name w:val="HTML 预设格式 Char"/>
    <w:basedOn w:val="47"/>
    <w:link w:val="38"/>
    <w:qFormat/>
    <w:uiPriority w:val="0"/>
    <w:rPr>
      <w:rFonts w:ascii="黑体" w:hAnsi="Courier New" w:eastAsia="黑体" w:cs="Courier New"/>
    </w:rPr>
  </w:style>
  <w:style w:type="character" w:customStyle="1" w:styleId="204">
    <w:name w:val="批注主题 Char"/>
    <w:basedOn w:val="171"/>
    <w:link w:val="42"/>
    <w:autoRedefine/>
    <w:qFormat/>
    <w:uiPriority w:val="0"/>
    <w:rPr>
      <w:rFonts w:eastAsia="宋体"/>
      <w:b/>
      <w:bCs/>
      <w:kern w:val="2"/>
      <w:sz w:val="24"/>
      <w:szCs w:val="24"/>
      <w:lang w:val="en-US" w:eastAsia="zh-CN" w:bidi="ar-SA"/>
    </w:rPr>
  </w:style>
  <w:style w:type="character" w:customStyle="1" w:styleId="205">
    <w:name w:val="正文首行缩进 Char"/>
    <w:basedOn w:val="166"/>
    <w:link w:val="43"/>
    <w:autoRedefine/>
    <w:qFormat/>
    <w:uiPriority w:val="0"/>
    <w:rPr>
      <w:rFonts w:eastAsia="仿宋_GB2312"/>
      <w:kern w:val="2"/>
      <w:sz w:val="21"/>
      <w:szCs w:val="24"/>
      <w:lang w:val="en-US" w:eastAsia="zh-CN" w:bidi="ar-SA"/>
    </w:rPr>
  </w:style>
  <w:style w:type="character" w:customStyle="1" w:styleId="206">
    <w:name w:val="正文首行缩进 2 Char"/>
    <w:basedOn w:val="69"/>
    <w:link w:val="44"/>
    <w:qFormat/>
    <w:uiPriority w:val="0"/>
    <w:rPr>
      <w:rFonts w:eastAsia="宋体"/>
      <w:kern w:val="2"/>
      <w:sz w:val="21"/>
      <w:szCs w:val="24"/>
      <w:lang w:val="en-US" w:eastAsia="zh-CN" w:bidi="ar-SA"/>
    </w:rPr>
  </w:style>
  <w:style w:type="paragraph" w:customStyle="1" w:styleId="207">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8">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9">
    <w:name w:val="列出段落 Char"/>
    <w:link w:val="185"/>
    <w:autoRedefine/>
    <w:qFormat/>
    <w:uiPriority w:val="0"/>
    <w:rPr>
      <w:rFonts w:eastAsia="楷体_GB2312" w:cs="Lucida Sans"/>
      <w:kern w:val="2"/>
      <w:sz w:val="24"/>
      <w:szCs w:val="24"/>
    </w:rPr>
  </w:style>
  <w:style w:type="paragraph" w:customStyle="1" w:styleId="210">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1">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2">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3">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4">
    <w:name w:val="正文缩进2格"/>
    <w:basedOn w:val="1"/>
    <w:link w:val="215"/>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5">
    <w:name w:val="正文缩进2格 Char"/>
    <w:link w:val="214"/>
    <w:qFormat/>
    <w:uiPriority w:val="0"/>
    <w:rPr>
      <w:rFonts w:ascii="仿宋_GB2312" w:hAnsi="宋体" w:eastAsia="仿宋_GB2312"/>
      <w:sz w:val="31"/>
    </w:rPr>
  </w:style>
  <w:style w:type="paragraph" w:customStyle="1" w:styleId="21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7">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8">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9">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2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5">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3">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4">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1">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3">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4">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1">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正文1级"/>
    <w:link w:val="255"/>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5">
    <w:name w:val="正文1级 Char Char"/>
    <w:link w:val="254"/>
    <w:autoRedefine/>
    <w:qFormat/>
    <w:uiPriority w:val="0"/>
    <w:rPr>
      <w:bCs/>
      <w:kern w:val="44"/>
      <w:sz w:val="24"/>
      <w:szCs w:val="44"/>
    </w:rPr>
  </w:style>
  <w:style w:type="character" w:customStyle="1" w:styleId="256">
    <w:name w:val="Char Char1"/>
    <w:autoRedefine/>
    <w:qFormat/>
    <w:uiPriority w:val="0"/>
    <w:rPr>
      <w:rFonts w:ascii="宋体" w:hAnsi="Courier New" w:eastAsia="宋体"/>
      <w:kern w:val="2"/>
      <w:sz w:val="21"/>
      <w:lang w:val="en-US" w:eastAsia="zh-CN" w:bidi="ar-SA"/>
    </w:rPr>
  </w:style>
  <w:style w:type="paragraph" w:customStyle="1" w:styleId="257">
    <w:name w:val="列出段落2"/>
    <w:basedOn w:val="1"/>
    <w:autoRedefine/>
    <w:qFormat/>
    <w:uiPriority w:val="0"/>
    <w:pPr>
      <w:spacing w:line="440" w:lineRule="exact"/>
      <w:ind w:firstLine="420" w:firstLineChars="200"/>
    </w:pPr>
    <w:rPr>
      <w:rFonts w:eastAsia="仿宋_GB2312"/>
      <w:sz w:val="24"/>
    </w:rPr>
  </w:style>
  <w:style w:type="paragraph" w:customStyle="1" w:styleId="258">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9">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0">
    <w:name w:val="列出段落21"/>
    <w:basedOn w:val="1"/>
    <w:autoRedefine/>
    <w:qFormat/>
    <w:uiPriority w:val="0"/>
    <w:pPr>
      <w:ind w:firstLine="420" w:firstLineChars="200"/>
    </w:pPr>
    <w:rPr>
      <w:rFonts w:ascii="Calibri" w:hAnsi="Calibri"/>
      <w:szCs w:val="22"/>
    </w:rPr>
  </w:style>
  <w:style w:type="paragraph" w:customStyle="1" w:styleId="26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2">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3">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6">
    <w:name w:val="_Style 151"/>
    <w:basedOn w:val="1"/>
    <w:autoRedefine/>
    <w:qFormat/>
    <w:uiPriority w:val="0"/>
    <w:rPr>
      <w:rFonts w:ascii="Tahoma" w:hAnsi="Tahoma"/>
      <w:sz w:val="24"/>
      <w:szCs w:val="20"/>
    </w:rPr>
  </w:style>
  <w:style w:type="paragraph" w:customStyle="1" w:styleId="267">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8">
    <w:name w:val="font01"/>
    <w:basedOn w:val="47"/>
    <w:autoRedefine/>
    <w:qFormat/>
    <w:uiPriority w:val="0"/>
    <w:rPr>
      <w:rFonts w:hint="eastAsia" w:ascii="宋体" w:hAnsi="宋体" w:eastAsia="宋体" w:cs="宋体"/>
      <w:color w:val="000000"/>
      <w:sz w:val="22"/>
      <w:szCs w:val="22"/>
      <w:u w:val="none"/>
    </w:rPr>
  </w:style>
  <w:style w:type="character" w:customStyle="1" w:styleId="269">
    <w:name w:val="font11"/>
    <w:basedOn w:val="47"/>
    <w:qFormat/>
    <w:uiPriority w:val="0"/>
    <w:rPr>
      <w:rFonts w:hint="eastAsia" w:ascii="宋体" w:hAnsi="宋体" w:eastAsia="宋体" w:cs="宋体"/>
      <w:color w:val="FF0000"/>
      <w:sz w:val="22"/>
      <w:szCs w:val="22"/>
      <w:u w:val="none"/>
    </w:rPr>
  </w:style>
  <w:style w:type="character" w:customStyle="1" w:styleId="270">
    <w:name w:val="font41"/>
    <w:basedOn w:val="47"/>
    <w:qFormat/>
    <w:uiPriority w:val="0"/>
    <w:rPr>
      <w:rFonts w:hint="default" w:ascii="等线" w:hAnsi="等线" w:eastAsia="等线" w:cs="等线"/>
      <w:color w:val="FF0000"/>
      <w:sz w:val="22"/>
      <w:szCs w:val="22"/>
      <w:u w:val="none"/>
    </w:rPr>
  </w:style>
  <w:style w:type="character" w:customStyle="1" w:styleId="271">
    <w:name w:val="font21"/>
    <w:basedOn w:val="47"/>
    <w:autoRedefine/>
    <w:qFormat/>
    <w:uiPriority w:val="0"/>
    <w:rPr>
      <w:rFonts w:hint="default" w:ascii="等线" w:hAnsi="等线" w:eastAsia="等线" w:cs="等线"/>
      <w:color w:val="000000"/>
      <w:sz w:val="22"/>
      <w:szCs w:val="22"/>
      <w:u w:val="none"/>
    </w:rPr>
  </w:style>
  <w:style w:type="character" w:customStyle="1" w:styleId="272">
    <w:name w:val="font51"/>
    <w:basedOn w:val="47"/>
    <w:autoRedefine/>
    <w:qFormat/>
    <w:uiPriority w:val="0"/>
    <w:rPr>
      <w:rFonts w:hint="default" w:ascii="等线" w:hAnsi="等线" w:eastAsia="等线" w:cs="等线"/>
      <w:color w:val="FF0000"/>
      <w:sz w:val="22"/>
      <w:szCs w:val="22"/>
      <w:u w:val="none"/>
    </w:rPr>
  </w:style>
  <w:style w:type="character" w:customStyle="1" w:styleId="273">
    <w:name w:val="font61"/>
    <w:basedOn w:val="47"/>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7"/>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7"/>
    <w:autoRedefine/>
    <w:qFormat/>
    <w:uiPriority w:val="0"/>
  </w:style>
  <w:style w:type="paragraph" w:customStyle="1" w:styleId="282">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5"/>
    <w:autoRedefine/>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autoRedefine/>
    <w:qFormat/>
    <w:locked/>
    <w:uiPriority w:val="99"/>
    <w:rPr>
      <w:kern w:val="2"/>
      <w:sz w:val="18"/>
      <w:szCs w:val="18"/>
    </w:rPr>
  </w:style>
  <w:style w:type="character" w:customStyle="1" w:styleId="288">
    <w:name w:val="页眉 Char2"/>
    <w:autoRedefine/>
    <w:qFormat/>
    <w:uiPriority w:val="99"/>
    <w:rPr>
      <w:kern w:val="2"/>
      <w:sz w:val="18"/>
      <w:szCs w:val="18"/>
    </w:rPr>
  </w:style>
  <w:style w:type="paragraph" w:customStyle="1" w:styleId="289">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autoRedefine/>
    <w:qFormat/>
    <w:uiPriority w:val="0"/>
    <w:rPr>
      <w:rFonts w:eastAsia="宋体"/>
      <w:kern w:val="2"/>
      <w:sz w:val="21"/>
      <w:szCs w:val="24"/>
      <w:lang w:val="en-US" w:eastAsia="zh-CN" w:bidi="ar-SA"/>
    </w:rPr>
  </w:style>
  <w:style w:type="paragraph" w:customStyle="1" w:styleId="292">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5"/>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7"/>
    <w:unhideWhenUsed/>
    <w:qFormat/>
    <w:uiPriority w:val="99"/>
    <w:rPr>
      <w:color w:val="605E5C"/>
      <w:shd w:val="clear" w:color="auto" w:fill="E1DFDD"/>
    </w:rPr>
  </w:style>
  <w:style w:type="paragraph" w:customStyle="1" w:styleId="296">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autoRedefine/>
    <w:qFormat/>
    <w:uiPriority w:val="34"/>
    <w:pPr>
      <w:ind w:firstLine="420" w:firstLineChars="200"/>
    </w:pPr>
  </w:style>
  <w:style w:type="paragraph" w:customStyle="1" w:styleId="303">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2级标题"/>
    <w:basedOn w:val="1"/>
    <w:qFormat/>
    <w:uiPriority w:val="0"/>
    <w:pPr>
      <w:spacing w:beforeLines="10" w:afterLines="10" w:line="360" w:lineRule="auto"/>
      <w:jc w:val="left"/>
      <w:outlineLvl w:val="1"/>
    </w:pPr>
    <w:rPr>
      <w:rFonts w:ascii="Times New Roman" w:hAnsi="Times New Roman" w:eastAsia="仿宋"/>
      <w:b/>
      <w:sz w:val="30"/>
      <w:szCs w:val="22"/>
    </w:rPr>
  </w:style>
  <w:style w:type="paragraph" w:customStyle="1" w:styleId="305">
    <w:name w:val="3级"/>
    <w:basedOn w:val="1"/>
    <w:next w:val="1"/>
    <w:qFormat/>
    <w:uiPriority w:val="0"/>
    <w:pPr>
      <w:keepNext/>
      <w:widowControl/>
      <w:spacing w:before="240" w:after="240" w:line="360" w:lineRule="auto"/>
      <w:ind w:right="466" w:rightChars="194" w:firstLine="288"/>
      <w:jc w:val="left"/>
      <w:outlineLvl w:val="2"/>
    </w:pPr>
    <w:rPr>
      <w:rFonts w:ascii="宋体" w:hAnsi="宋体"/>
      <w:b/>
      <w:bCs/>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Pages>89</Pages>
  <Words>50407</Words>
  <Characters>53141</Characters>
  <Lines>490</Lines>
  <Paragraphs>138</Paragraphs>
  <TotalTime>20</TotalTime>
  <ScaleCrop>false</ScaleCrop>
  <LinksUpToDate>false</LinksUpToDate>
  <CharactersWithSpaces>60283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2024-09-14T06:28:45Z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