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color w:val="auto"/>
          <w:sz w:val="24"/>
          <w:highlight w:val="none"/>
        </w:rPr>
      </w:pPr>
    </w:p>
    <w:p>
      <w:pPr>
        <w:jc w:val="center"/>
        <w:outlineLvl w:val="0"/>
        <w:rPr>
          <w:rFonts w:hint="eastAsia" w:ascii="仿宋" w:hAnsi="仿宋" w:eastAsia="仿宋" w:cs="仿宋"/>
          <w:b/>
          <w:color w:val="auto"/>
          <w:sz w:val="44"/>
          <w:szCs w:val="44"/>
          <w:highlight w:val="none"/>
          <w:lang w:eastAsia="zh-CN"/>
        </w:rPr>
      </w:pPr>
      <w:bookmarkStart w:id="0" w:name="_Hlt67893495"/>
      <w:bookmarkEnd w:id="0"/>
      <w:r>
        <w:rPr>
          <w:rFonts w:hint="eastAsia" w:ascii="仿宋" w:hAnsi="仿宋" w:eastAsia="仿宋" w:cs="仿宋"/>
          <w:b/>
          <w:bCs/>
          <w:color w:val="auto"/>
          <w:sz w:val="44"/>
          <w:szCs w:val="44"/>
          <w:highlight w:val="none"/>
          <w:lang w:eastAsia="zh-CN"/>
        </w:rPr>
        <w:t>绍兴市中医院门急诊输液安全管理系统及病理质控与信息管理系统站点升级项目</w:t>
      </w:r>
    </w:p>
    <w:p>
      <w:pPr>
        <w:jc w:val="center"/>
        <w:outlineLvl w:val="0"/>
        <w:rPr>
          <w:rFonts w:ascii="仿宋" w:hAnsi="仿宋" w:eastAsia="仿宋" w:cs="仿宋"/>
          <w:b/>
          <w:color w:val="auto"/>
          <w:sz w:val="72"/>
          <w:szCs w:val="72"/>
          <w:highlight w:val="none"/>
        </w:rPr>
      </w:pP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50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pPr>
              <w:spacing w:line="320" w:lineRule="exact"/>
              <w:jc w:val="both"/>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月</w:t>
            </w:r>
          </w:p>
        </w:tc>
      </w:tr>
    </w:tbl>
    <w:p>
      <w:pPr>
        <w:pStyle w:val="638"/>
        <w:rPr>
          <w:rFonts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auto"/>
          <w:sz w:val="24"/>
          <w:highlight w:val="none"/>
        </w:rPr>
      </w:pPr>
    </w:p>
    <w:p>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2"/>
    <w:p>
      <w:pPr>
        <w:adjustRightInd/>
        <w:spacing w:line="360" w:lineRule="auto"/>
        <w:jc w:val="center"/>
        <w:outlineLvl w:val="0"/>
        <w:rPr>
          <w:rFonts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07423"/>
      <w:bookmarkEnd w:id="5"/>
      <w:bookmarkStart w:id="6" w:name="_Hlt74729822"/>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绍兴市中医院门急诊输液安全管理系统及病理质控与信息管理系统站点升级项目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年月日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TYJZ2024</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绍兴市中医院门急诊输液安全管理系统及病理质控与信息管理系统站点升级项目</w:t>
      </w:r>
      <w:r>
        <w:rPr>
          <w:rFonts w:hint="eastAsia" w:ascii="仿宋" w:hAnsi="仿宋" w:eastAsia="仿宋" w:cs="仿宋"/>
          <w:color w:val="auto"/>
          <w:sz w:val="24"/>
          <w:highlight w:val="none"/>
        </w:rPr>
        <w:t xml:space="preserve"> </w:t>
      </w:r>
    </w:p>
    <w:p>
      <w:pPr>
        <w:spacing w:line="44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379</w:t>
      </w:r>
      <w:r>
        <w:rPr>
          <w:rFonts w:hint="eastAsia" w:ascii="仿宋" w:hAnsi="仿宋" w:eastAsia="仿宋" w:cs="仿宋"/>
          <w:b/>
          <w:color w:val="auto"/>
          <w:sz w:val="24"/>
          <w:highlight w:val="none"/>
          <w:lang w:eastAsia="zh-CN"/>
        </w:rPr>
        <w:t>000</w:t>
      </w:r>
    </w:p>
    <w:p>
      <w:pPr>
        <w:spacing w:line="440" w:lineRule="exact"/>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28</w:t>
      </w:r>
      <w:r>
        <w:rPr>
          <w:rFonts w:hint="eastAsia" w:ascii="仿宋" w:hAnsi="仿宋" w:eastAsia="仿宋" w:cs="仿宋"/>
          <w:b/>
          <w:color w:val="auto"/>
          <w:sz w:val="24"/>
          <w:highlight w:val="none"/>
          <w:lang w:eastAsia="zh-CN"/>
        </w:rPr>
        <w:t>0000</w:t>
      </w:r>
      <w:r>
        <w:rPr>
          <w:rFonts w:hint="eastAsia" w:ascii="仿宋" w:hAnsi="仿宋" w:eastAsia="仿宋" w:cs="仿宋"/>
          <w:b/>
          <w:color w:val="auto"/>
          <w:sz w:val="24"/>
          <w:highlight w:val="none"/>
          <w:lang w:val="en-US" w:eastAsia="zh-CN"/>
        </w:rPr>
        <w:t>,99000</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门急诊输液安全管理系统</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28</w:t>
      </w:r>
      <w:r>
        <w:rPr>
          <w:rFonts w:hint="eastAsia" w:ascii="仿宋" w:hAnsi="仿宋" w:eastAsia="仿宋" w:cs="仿宋"/>
          <w:b/>
          <w:color w:val="auto"/>
          <w:sz w:val="24"/>
          <w:highlight w:val="none"/>
          <w:lang w:eastAsia="zh-CN"/>
        </w:rPr>
        <w:t>0000</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二</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bookmarkStart w:id="203" w:name="_GoBack"/>
      <w:r>
        <w:rPr>
          <w:rFonts w:hint="eastAsia" w:ascii="仿宋" w:hAnsi="仿宋" w:eastAsia="仿宋" w:cs="仿宋"/>
          <w:bCs/>
          <w:color w:val="auto"/>
          <w:sz w:val="24"/>
          <w:highlight w:val="none"/>
          <w:lang w:eastAsia="zh-CN"/>
        </w:rPr>
        <w:t>病理质控与信息管理系统站点升级</w:t>
      </w:r>
      <w:bookmarkEnd w:id="203"/>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99</w:t>
      </w:r>
      <w:r>
        <w:rPr>
          <w:rFonts w:hint="eastAsia" w:ascii="仿宋" w:hAnsi="仿宋" w:eastAsia="仿宋" w:cs="仿宋"/>
          <w:b/>
          <w:color w:val="auto"/>
          <w:sz w:val="24"/>
          <w:highlight w:val="none"/>
          <w:lang w:eastAsia="zh-CN"/>
        </w:rPr>
        <w:t>000</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highlight w:val="none"/>
        </w:rPr>
        <w:sym w:font="Wingdings" w:char="00FE"/>
      </w:r>
      <w:r>
        <w:rPr>
          <w:rFonts w:hint="eastAsia" w:ascii="仿宋" w:hAnsi="仿宋" w:eastAsia="仿宋" w:cs="仿宋"/>
          <w:b/>
          <w:color w:val="auto"/>
          <w:sz w:val="24"/>
          <w:highlight w:val="none"/>
        </w:rPr>
        <w:t>是，☐否。</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440" w:lineRule="exact"/>
        <w:ind w:firstLine="420" w:firstLineChars="200"/>
        <w:rPr>
          <w:rFonts w:ascii="仿宋" w:hAnsi="仿宋" w:eastAsia="仿宋" w:cs="仿宋"/>
          <w:color w:val="auto"/>
          <w:sz w:val="24"/>
          <w:highlight w:val="none"/>
        </w:rPr>
      </w:pPr>
      <w:r>
        <w:rPr>
          <w:rFonts w:hint="eastAsia" w:ascii="仿宋" w:hAnsi="仿宋" w:eastAsia="仿宋" w:cs="仿宋"/>
          <w:color w:val="auto"/>
          <w:highlight w:val="none"/>
        </w:rPr>
        <w:sym w:font="Wingdings" w:char="00A8"/>
      </w:r>
      <w:r>
        <w:rPr>
          <w:rFonts w:hint="eastAsia" w:ascii="仿宋" w:hAnsi="仿宋" w:eastAsia="仿宋" w:cs="仿宋"/>
          <w:color w:val="auto"/>
          <w:sz w:val="24"/>
          <w:highlight w:val="none"/>
        </w:rPr>
        <w:t>无；</w:t>
      </w:r>
    </w:p>
    <w:p>
      <w:pPr>
        <w:spacing w:line="440" w:lineRule="exact"/>
        <w:ind w:firstLine="420" w:firstLineChars="200"/>
        <w:rPr>
          <w:rFonts w:ascii="仿宋" w:hAnsi="仿宋" w:eastAsia="仿宋" w:cs="仿宋"/>
          <w:color w:val="auto"/>
          <w:sz w:val="24"/>
          <w:highlight w:val="none"/>
        </w:rPr>
      </w:pPr>
      <w:r>
        <w:rPr>
          <w:rFonts w:hint="eastAsia" w:ascii="仿宋" w:hAnsi="仿宋" w:eastAsia="仿宋" w:cs="仿宋"/>
          <w:color w:val="auto"/>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440" w:lineRule="exact"/>
        <w:ind w:firstLine="785" w:firstLineChars="374"/>
        <w:rPr>
          <w:rFonts w:ascii="仿宋" w:hAnsi="仿宋" w:eastAsia="仿宋" w:cs="仿宋"/>
          <w:color w:val="auto"/>
          <w:sz w:val="24"/>
          <w:highlight w:val="none"/>
          <w:u w:val="single"/>
        </w:rPr>
      </w:pPr>
      <w:r>
        <w:rPr>
          <w:rFonts w:hint="eastAsia" w:ascii="仿宋" w:hAnsi="仿宋" w:eastAsia="仿宋" w:cs="仿宋"/>
          <w:color w:val="auto"/>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年月日09点00分00秒</w:t>
      </w:r>
      <w:r>
        <w:rPr>
          <w:rFonts w:hint="eastAsia" w:ascii="仿宋" w:hAnsi="仿宋" w:eastAsia="仿宋" w:cs="仿宋"/>
          <w:bCs/>
          <w:color w:val="auto"/>
          <w:sz w:val="24"/>
          <w:highlight w:val="none"/>
          <w:u w:val="single"/>
        </w:rPr>
        <w:t xml:space="preserve">  </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spacing w:line="440" w:lineRule="exact"/>
        <w:ind w:left="0" w:firstLine="482" w:firstLineChars="200"/>
        <w:rPr>
          <w:rFonts w:ascii="仿宋" w:eastAsia="仿宋" w:cs="仿宋"/>
          <w:color w:val="auto"/>
          <w:sz w:val="24"/>
          <w:szCs w:val="24"/>
          <w:highlight w:val="none"/>
        </w:rPr>
      </w:pPr>
      <w:bookmarkStart w:id="11" w:name="_Toc35393806"/>
      <w:bookmarkStart w:id="12" w:name="_Toc35393637"/>
      <w:bookmarkStart w:id="13" w:name="_Toc28359096"/>
      <w:bookmarkStart w:id="14" w:name="_Toc28359019"/>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pPr>
        <w:spacing w:line="440" w:lineRule="exact"/>
        <w:ind w:firstLine="480" w:firstLineChars="200"/>
        <w:rPr>
          <w:rFonts w:hint="eastAsia" w:ascii="仿宋" w:hAnsi="仿宋" w:eastAsia="仿宋" w:cs="仿宋"/>
          <w:color w:val="auto"/>
          <w:sz w:val="24"/>
          <w:highlight w:val="none"/>
          <w:lang w:eastAsia="zh-CN"/>
        </w:rPr>
      </w:pPr>
      <w:bookmarkStart w:id="15" w:name="_Toc28359097"/>
      <w:bookmarkStart w:id="16" w:name="_Toc35393807"/>
      <w:bookmarkStart w:id="17" w:name="_Toc35393638"/>
      <w:bookmarkStart w:id="18" w:name="_Toc28359020"/>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w:t>
      </w: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rPr>
        <w:t>1号</w:t>
      </w:r>
    </w:p>
    <w:p>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pPr>
        <w:pStyle w:val="4"/>
        <w:spacing w:line="440" w:lineRule="exact"/>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pPr>
        <w:spacing w:line="440" w:lineRule="exact"/>
        <w:ind w:firstLine="480" w:firstLineChars="200"/>
        <w:rPr>
          <w:rFonts w:hint="eastAsia" w:ascii="仿宋" w:hAnsi="仿宋" w:eastAsia="仿宋" w:cs="仿宋"/>
          <w:color w:val="auto"/>
          <w:sz w:val="24"/>
          <w:highlight w:val="none"/>
        </w:rPr>
      </w:pPr>
      <w:bookmarkStart w:id="19" w:name="_Toc28359021"/>
      <w:bookmarkStart w:id="20" w:name="_Toc35393808"/>
      <w:bookmarkStart w:id="21" w:name="_Toc35393639"/>
      <w:bookmarkStart w:id="22" w:name="_Toc28359098"/>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      </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质疑联系方式：0575-85080066　</w:t>
      </w:r>
      <w:r>
        <w:rPr>
          <w:rFonts w:hint="eastAsia" w:ascii="仿宋" w:hAnsi="仿宋" w:eastAsia="仿宋" w:cs="仿宋"/>
          <w:color w:val="auto"/>
          <w:highlight w:val="none"/>
        </w:rPr>
        <w:t>　　</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传真：0575-85209806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监督投诉电话：0575-85209806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B要求提供，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详见招标文件第三部分中的样品</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详见招标项目范围及要求和评标办法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w:t>
            </w:r>
          </w:p>
          <w:p>
            <w:pPr>
              <w:autoSpaceDE w:val="0"/>
              <w:autoSpaceDN w:val="0"/>
              <w:spacing w:line="42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提交样品</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开标结束后自行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sym w:font="Wingdings 2" w:char="00A3"/>
            </w:r>
            <w:r>
              <w:rPr>
                <w:rFonts w:hint="eastAsia" w:ascii="仿宋" w:hAnsi="仿宋" w:eastAsia="仿宋" w:cs="仿宋"/>
                <w:color w:val="auto"/>
                <w:sz w:val="24"/>
                <w:highlight w:val="none"/>
              </w:rPr>
              <w:t>A无方案讲解演示。</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绍兴市越城区迎凤路</w:t>
            </w:r>
            <w:r>
              <w:rPr>
                <w:rFonts w:hint="eastAsia" w:ascii="仿宋" w:hAnsi="仿宋" w:eastAsia="仿宋" w:cs="仿宋"/>
                <w:color w:val="auto"/>
                <w:sz w:val="24"/>
                <w:highlight w:val="none"/>
                <w:u w:val="single"/>
                <w:lang w:val="en-US" w:eastAsia="zh-CN"/>
              </w:rPr>
              <w:t>87号鑫海大厦1601会议室</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40" w:lineRule="exact"/>
              <w:ind w:hanging="1"/>
              <w:jc w:val="left"/>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01标</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02标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370"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keepNext w:val="0"/>
              <w:keepLines w:val="0"/>
              <w:pageBreakBefore w:val="0"/>
              <w:widowControl w:val="0"/>
              <w:kinsoku/>
              <w:wordWrap/>
              <w:overflowPunct/>
              <w:topLinePunct w:val="0"/>
              <w:bidi w:val="0"/>
              <w:adjustRightInd w:val="0"/>
              <w:spacing w:line="440" w:lineRule="exact"/>
              <w:ind w:left="0" w:leftChars="0" w:right="0" w:rightChars="0"/>
              <w:rPr>
                <w:rFonts w:ascii="仿宋" w:hAnsi="仿宋" w:eastAsia="仿宋" w:cs="仿宋"/>
                <w:color w:val="auto"/>
                <w:sz w:val="24"/>
                <w:highlight w:val="none"/>
              </w:rPr>
            </w:pPr>
            <w:r>
              <w:rPr>
                <w:rFonts w:hint="eastAsia" w:ascii="仿宋" w:hAnsi="仿宋" w:eastAsia="仿宋" w:cs="仿宋"/>
                <w:color w:val="auto"/>
                <w:sz w:val="24"/>
                <w:highlight w:val="none"/>
              </w:rPr>
              <w:t>（1）以中标通知书中确定的中标金额作为服务费的计算基数，具体比例参照《国家计委关于印发&lt;招标代理服务收费管理暂行办法&gt;的通知》（计价格[2002]1980号）文件收费标准的</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pPr>
              <w:spacing w:line="440" w:lineRule="exact"/>
              <w:rPr>
                <w:rFonts w:ascii="仿宋" w:hAnsi="仿宋" w:eastAsia="仿宋" w:cs="仿宋"/>
                <w:color w:val="auto"/>
                <w:kern w:val="0"/>
                <w:sz w:val="24"/>
                <w:szCs w:val="21"/>
                <w:highlight w:val="none"/>
              </w:rPr>
            </w:pPr>
            <w:r>
              <w:rPr>
                <w:rFonts w:hint="eastAsia" w:ascii="仿宋" w:hAnsi="仿宋" w:eastAsia="仿宋" w:cs="仿宋"/>
                <w:snapToGrid w:val="0"/>
                <w:color w:val="auto"/>
                <w:kern w:val="28"/>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auto"/>
          <w:sz w:val="32"/>
          <w:szCs w:val="20"/>
          <w:highlight w:val="none"/>
        </w:rPr>
      </w:pPr>
    </w:p>
    <w:bookmarkEnd w:id="9"/>
    <w:p>
      <w:pPr>
        <w:adjustRightInd/>
        <w:spacing w:line="360" w:lineRule="auto"/>
        <w:jc w:val="center"/>
        <w:outlineLvl w:val="0"/>
        <w:rPr>
          <w:rFonts w:ascii="仿宋" w:hAnsi="仿宋" w:eastAsia="仿宋" w:cs="仿宋"/>
          <w:b/>
          <w:color w:val="auto"/>
          <w:sz w:val="32"/>
          <w:szCs w:val="32"/>
          <w:highlight w:val="none"/>
        </w:rPr>
      </w:pPr>
      <w:bookmarkStart w:id="23" w:name="_Hlt68072990"/>
      <w:bookmarkEnd w:id="23"/>
      <w:bookmarkStart w:id="24" w:name="_Hlt68072998"/>
      <w:bookmarkEnd w:id="24"/>
      <w:bookmarkStart w:id="25" w:name="_Hlt74707468"/>
      <w:bookmarkEnd w:id="25"/>
      <w:bookmarkStart w:id="26" w:name="_Hlt74729768"/>
      <w:bookmarkEnd w:id="26"/>
      <w:bookmarkStart w:id="27" w:name="_Hlt75236011"/>
      <w:bookmarkEnd w:id="27"/>
      <w:bookmarkStart w:id="28" w:name="_Hlt74714665"/>
      <w:bookmarkEnd w:id="28"/>
      <w:bookmarkStart w:id="29" w:name="_Hlt75236101"/>
      <w:bookmarkEnd w:id="29"/>
      <w:bookmarkStart w:id="30" w:name="_Hlt74730295"/>
      <w:bookmarkEnd w:id="30"/>
      <w:bookmarkStart w:id="31" w:name="_Hlt68403820"/>
      <w:bookmarkEnd w:id="31"/>
      <w:bookmarkStart w:id="32" w:name="_Hlt68073093"/>
      <w:bookmarkEnd w:id="32"/>
      <w:bookmarkStart w:id="33" w:name="_Hlt68057669"/>
      <w:bookmarkEnd w:id="33"/>
      <w:bookmarkStart w:id="34" w:name="_Hlt75236290"/>
      <w:bookmarkEnd w:id="34"/>
      <w:bookmarkStart w:id="35" w:name="第三部分"/>
      <w:bookmarkStart w:id="36" w:name="_Toc164416483"/>
      <w:r>
        <w:rPr>
          <w:rFonts w:hint="eastAsia" w:ascii="仿宋" w:hAnsi="仿宋" w:eastAsia="仿宋" w:cs="仿宋"/>
          <w:b/>
          <w:color w:val="auto"/>
          <w:sz w:val="32"/>
          <w:szCs w:val="32"/>
          <w:highlight w:val="none"/>
        </w:rPr>
        <w:t>一、总则</w:t>
      </w:r>
    </w:p>
    <w:p>
      <w:pPr>
        <w:snapToGrid w:val="0"/>
        <w:spacing w:line="44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rPr>
          <w:rFonts w:hint="eastAsia" w:ascii="仿宋" w:hAnsi="仿宋" w:eastAsia="仿宋" w:cs="仿宋"/>
          <w:color w:val="auto"/>
          <w:highlight w:val="none"/>
        </w:rPr>
      </w:pPr>
    </w:p>
    <w:p>
      <w:pPr>
        <w:pStyle w:val="133"/>
        <w:snapToGrid w:val="0"/>
        <w:spacing w:before="0" w:line="440" w:lineRule="exact"/>
        <w:ind w:firstLine="640"/>
        <w:rPr>
          <w:rFonts w:ascii="仿宋" w:hAnsi="仿宋" w:eastAsia="仿宋" w:cs="仿宋"/>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6"/>
        <w:tabs>
          <w:tab w:val="clear" w:pos="390"/>
          <w:tab w:val="clear" w:pos="454"/>
        </w:tabs>
        <w:spacing w:afterLines="0" w:line="440" w:lineRule="exact"/>
        <w:ind w:left="0"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snapToGrid w:val="0"/>
        <w:spacing w:line="336"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2.2.18投标人需要说明的其他文件和说明（格式自拟）。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hint="eastAsia" w:ascii="仿宋" w:hAnsi="仿宋" w:eastAsia="仿宋" w:cs="仿宋"/>
          <w:snapToGrid w:val="0"/>
          <w:color w:val="auto"/>
          <w:sz w:val="24"/>
          <w:highlight w:val="none"/>
        </w:rPr>
        <w:t>残疾人福利性单位声明函（如果有）</w:t>
      </w:r>
    </w:p>
    <w:p>
      <w:pPr>
        <w:snapToGrid w:val="0"/>
        <w:spacing w:line="440" w:lineRule="exact"/>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pPr>
        <w:pStyle w:val="133"/>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pStyle w:val="133"/>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highlight w:val="none"/>
        </w:rPr>
      </w:pPr>
    </w:p>
    <w:bookmarkEnd w:id="37"/>
    <w:p>
      <w:pPr>
        <w:pStyle w:val="34"/>
        <w:spacing w:line="360" w:lineRule="auto"/>
        <w:ind w:firstLine="726"/>
        <w:jc w:val="center"/>
        <w:rPr>
          <w:rFonts w:ascii="仿宋" w:hAnsi="仿宋" w:eastAsia="仿宋" w:cs="仿宋"/>
          <w:b/>
          <w:color w:val="auto"/>
          <w:sz w:val="32"/>
          <w:szCs w:val="32"/>
          <w:highlight w:val="none"/>
        </w:rPr>
      </w:pPr>
      <w:bookmarkStart w:id="38" w:name="_Toc81372953"/>
      <w:bookmarkStart w:id="39" w:name="_Toc84325929"/>
      <w:bookmarkStart w:id="40" w:name="_Toc81372776"/>
      <w:r>
        <w:rPr>
          <w:rFonts w:hint="eastAsia" w:ascii="仿宋" w:hAnsi="仿宋" w:eastAsia="仿宋" w:cs="仿宋"/>
          <w:b/>
          <w:color w:val="auto"/>
          <w:sz w:val="32"/>
          <w:szCs w:val="32"/>
          <w:highlight w:val="none"/>
        </w:rPr>
        <w:t>五、授予合同</w:t>
      </w:r>
    </w:p>
    <w:bookmarkEnd w:id="38"/>
    <w:bookmarkEnd w:id="39"/>
    <w:bookmarkEnd w:id="40"/>
    <w:p>
      <w:pPr>
        <w:pStyle w:val="16"/>
        <w:tabs>
          <w:tab w:val="clear" w:pos="390"/>
          <w:tab w:val="clear" w:pos="454"/>
        </w:tabs>
        <w:spacing w:after="12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3"/>
          <w:cols w:space="720" w:num="1"/>
          <w:docGrid w:linePitch="312" w:charSpace="0"/>
        </w:sectPr>
      </w:pPr>
      <w:r>
        <w:rPr>
          <w:rFonts w:ascii="仿宋" w:hAnsi="仿宋" w:eastAsia="仿宋" w:cs="仿宋"/>
          <w:b/>
          <w:bCs/>
          <w:color w:val="auto"/>
          <w:sz w:val="24"/>
          <w:szCs w:val="20"/>
          <w:highlight w:val="none"/>
        </w:rPr>
        <w:t>投诉书范本及制作说明详见附件2</w:t>
      </w:r>
    </w:p>
    <w:bookmarkEnd w:id="35"/>
    <w:bookmarkEnd w:id="36"/>
    <w:p>
      <w:pPr>
        <w:spacing w:line="360" w:lineRule="auto"/>
        <w:jc w:val="center"/>
        <w:outlineLvl w:val="0"/>
        <w:rPr>
          <w:rFonts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7"/>
        <w:widowControl w:val="0"/>
        <w:tabs>
          <w:tab w:val="clear" w:pos="360"/>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6"/>
        <w:spacing w:line="440" w:lineRule="exact"/>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费用。</w:t>
      </w:r>
    </w:p>
    <w:p>
      <w:pPr>
        <w:snapToGrid w:val="0"/>
        <w:spacing w:line="440" w:lineRule="exact"/>
        <w:jc w:val="left"/>
        <w:rPr>
          <w:rFonts w:hint="eastAsia" w:ascii="仿宋" w:hAnsi="仿宋" w:eastAsia="仿宋" w:cs="仿宋"/>
          <w:b/>
          <w:color w:val="auto"/>
          <w:sz w:val="24"/>
          <w:highlight w:val="none"/>
        </w:rPr>
      </w:pPr>
      <w:bookmarkStart w:id="43" w:name="_Toc151354173"/>
      <w:r>
        <w:rPr>
          <w:rFonts w:hint="eastAsia" w:ascii="仿宋" w:hAnsi="仿宋" w:eastAsia="仿宋" w:cs="仿宋"/>
          <w:b/>
          <w:color w:val="auto"/>
          <w:sz w:val="24"/>
          <w:highlight w:val="none"/>
        </w:rPr>
        <w:t>8.招标项目设备名称及数量：</w:t>
      </w:r>
    </w:p>
    <w:bookmarkEnd w:id="43"/>
    <w:p>
      <w:pPr>
        <w:spacing w:line="440" w:lineRule="exact"/>
        <w:ind w:right="420"/>
        <w:rPr>
          <w:rFonts w:hint="eastAsia" w:ascii="仿宋" w:hAnsi="仿宋" w:eastAsia="仿宋" w:cs="仿宋"/>
          <w:color w:val="auto"/>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门急诊输液安全管理系统</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28</w:t>
      </w:r>
      <w:r>
        <w:rPr>
          <w:rFonts w:hint="eastAsia" w:ascii="仿宋" w:hAnsi="仿宋" w:eastAsia="仿宋" w:cs="仿宋"/>
          <w:b/>
          <w:bCs/>
          <w:color w:val="auto"/>
          <w:sz w:val="24"/>
          <w:highlight w:val="none"/>
        </w:rPr>
        <w:t>万元）</w:t>
      </w:r>
    </w:p>
    <w:p>
      <w:pPr>
        <w:pStyle w:val="80"/>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项目概述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移动输液管理系统通过采用物联网技术，结合移动智能终端、二维条码、无线呼叫，实现输液条码化、穿刺叫号及患者呼叫智能化、输液室管理信息化，从而全面实现输液室患者安全输液的闭环管理。该系统致力于解决医院传统门诊输液管理中存在的输液安全漏洞、输液室环境嘈杂、无序等一系列问题，创建一种高标准、高质量的输液护理服务新模式。一方面从患者输液安全角度出发，做到杜绝用药差错，确保病人输液安全，保障输液质量，减少医患矛盾。另一方面从医院管理角度出发，减轻护士工作强度，提高工作效率，为输液护士绩效考核提供管理上的支撑。</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二、招标内容</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3928"/>
        <w:gridCol w:w="1584"/>
        <w:gridCol w:w="1428"/>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rPr>
        <w:tc>
          <w:tcPr>
            <w:tcW w:w="438" w:type="pct"/>
            <w:noWrap w:val="0"/>
            <w:vAlign w:val="center"/>
          </w:tcPr>
          <w:p>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2140" w:type="pct"/>
            <w:noWrap w:val="0"/>
            <w:vAlign w:val="center"/>
          </w:tcPr>
          <w:p>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货物名称</w:t>
            </w:r>
          </w:p>
        </w:tc>
        <w:tc>
          <w:tcPr>
            <w:tcW w:w="863" w:type="pct"/>
            <w:noWrap w:val="0"/>
            <w:vAlign w:val="center"/>
          </w:tcPr>
          <w:p>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数量</w:t>
            </w:r>
          </w:p>
        </w:tc>
        <w:tc>
          <w:tcPr>
            <w:tcW w:w="778" w:type="pct"/>
            <w:noWrap w:val="0"/>
            <w:vAlign w:val="center"/>
          </w:tcPr>
          <w:p>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交货期</w:t>
            </w:r>
          </w:p>
        </w:tc>
        <w:tc>
          <w:tcPr>
            <w:tcW w:w="778" w:type="pct"/>
            <w:noWrap w:val="0"/>
            <w:vAlign w:val="center"/>
          </w:tcPr>
          <w:p>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8" w:type="pct"/>
            <w:noWrap w:val="0"/>
            <w:vAlign w:val="center"/>
          </w:tcPr>
          <w:p>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0"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移动输液管理系统软件</w:t>
            </w:r>
          </w:p>
        </w:tc>
        <w:tc>
          <w:tcPr>
            <w:tcW w:w="8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firstLine="0" w:firstLine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778" w:type="pct"/>
            <w:vMerge w:val="restart"/>
            <w:noWrap w:val="0"/>
            <w:vAlign w:val="center"/>
          </w:tcPr>
          <w:p>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合同签定后</w:t>
            </w:r>
            <w:r>
              <w:rPr>
                <w:rFonts w:hint="eastAsia" w:ascii="仿宋" w:hAnsi="仿宋" w:eastAsia="仿宋" w:cs="仿宋"/>
                <w:color w:val="auto"/>
                <w:sz w:val="21"/>
                <w:szCs w:val="21"/>
                <w:highlight w:val="none"/>
                <w:lang w:eastAsia="zh-CN"/>
              </w:rPr>
              <w:t>甲方具备安装条件后</w:t>
            </w:r>
            <w:r>
              <w:rPr>
                <w:rFonts w:hint="eastAsia" w:ascii="仿宋" w:hAnsi="仿宋" w:eastAsia="仿宋" w:cs="仿宋"/>
                <w:color w:val="auto"/>
                <w:sz w:val="21"/>
                <w:szCs w:val="21"/>
                <w:highlight w:val="none"/>
              </w:rPr>
              <w:t>1个月内安装调试完成</w:t>
            </w:r>
          </w:p>
        </w:tc>
        <w:tc>
          <w:tcPr>
            <w:tcW w:w="778" w:type="pct"/>
            <w:vMerge w:val="restart"/>
            <w:noWrap w:val="0"/>
            <w:vAlign w:val="center"/>
          </w:tcPr>
          <w:p>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医院指定地点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8" w:type="pct"/>
            <w:noWrap w:val="0"/>
            <w:vAlign w:val="center"/>
          </w:tcPr>
          <w:p>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0"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移动输液管理系统实施辅材</w:t>
            </w:r>
          </w:p>
        </w:tc>
        <w:tc>
          <w:tcPr>
            <w:tcW w:w="8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firstLine="0" w:firstLine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778" w:type="pct"/>
            <w:vMerge w:val="continue"/>
            <w:noWrap w:val="0"/>
            <w:vAlign w:val="center"/>
          </w:tcPr>
          <w:p>
            <w:pPr>
              <w:bidi w:val="0"/>
              <w:rPr>
                <w:rFonts w:hint="eastAsia" w:ascii="仿宋" w:hAnsi="仿宋" w:eastAsia="仿宋" w:cs="仿宋"/>
                <w:color w:val="auto"/>
                <w:sz w:val="21"/>
                <w:szCs w:val="21"/>
                <w:highlight w:val="none"/>
              </w:rPr>
            </w:pPr>
          </w:p>
        </w:tc>
        <w:tc>
          <w:tcPr>
            <w:tcW w:w="778" w:type="pct"/>
            <w:vMerge w:val="continue"/>
            <w:noWrap w:val="0"/>
            <w:vAlign w:val="center"/>
          </w:tcPr>
          <w:p>
            <w:pPr>
              <w:bidi w:val="0"/>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8" w:type="pct"/>
            <w:noWrap w:val="0"/>
            <w:vAlign w:val="center"/>
          </w:tcPr>
          <w:p>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0"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多频物联网基站</w:t>
            </w:r>
          </w:p>
        </w:tc>
        <w:tc>
          <w:tcPr>
            <w:tcW w:w="8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lang w:val="en-GB"/>
              </w:rPr>
            </w:pPr>
            <w:r>
              <w:rPr>
                <w:rFonts w:hint="eastAsia" w:ascii="仿宋" w:hAnsi="仿宋" w:eastAsia="仿宋" w:cs="仿宋"/>
                <w:i w:val="0"/>
                <w:iCs w:val="0"/>
                <w:color w:val="auto"/>
                <w:kern w:val="0"/>
                <w:sz w:val="21"/>
                <w:szCs w:val="21"/>
                <w:highlight w:val="none"/>
                <w:u w:val="none"/>
                <w:lang w:val="en-US" w:eastAsia="zh-CN" w:bidi="ar"/>
              </w:rPr>
              <w:t>4</w:t>
            </w:r>
          </w:p>
        </w:tc>
        <w:tc>
          <w:tcPr>
            <w:tcW w:w="778" w:type="pct"/>
            <w:vMerge w:val="continue"/>
            <w:noWrap w:val="0"/>
            <w:vAlign w:val="center"/>
          </w:tcPr>
          <w:p>
            <w:pPr>
              <w:bidi w:val="0"/>
              <w:rPr>
                <w:rFonts w:hint="eastAsia" w:ascii="仿宋" w:hAnsi="仿宋" w:eastAsia="仿宋" w:cs="仿宋"/>
                <w:color w:val="auto"/>
                <w:sz w:val="21"/>
                <w:szCs w:val="21"/>
                <w:highlight w:val="none"/>
              </w:rPr>
            </w:pPr>
          </w:p>
        </w:tc>
        <w:tc>
          <w:tcPr>
            <w:tcW w:w="778" w:type="pct"/>
            <w:vMerge w:val="continue"/>
            <w:noWrap w:val="0"/>
            <w:vAlign w:val="center"/>
          </w:tcPr>
          <w:p>
            <w:pPr>
              <w:bidi w:val="0"/>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8" w:type="pct"/>
            <w:noWrap w:val="0"/>
            <w:vAlign w:val="center"/>
          </w:tcPr>
          <w:p>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0"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通信网关</w:t>
            </w:r>
          </w:p>
        </w:tc>
        <w:tc>
          <w:tcPr>
            <w:tcW w:w="86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lang w:val="en-GB"/>
              </w:rPr>
            </w:pPr>
            <w:r>
              <w:rPr>
                <w:rFonts w:hint="eastAsia" w:ascii="仿宋" w:hAnsi="仿宋" w:eastAsia="仿宋" w:cs="仿宋"/>
                <w:i w:val="0"/>
                <w:iCs w:val="0"/>
                <w:color w:val="auto"/>
                <w:kern w:val="0"/>
                <w:sz w:val="21"/>
                <w:szCs w:val="21"/>
                <w:highlight w:val="none"/>
                <w:u w:val="none"/>
                <w:lang w:val="en-US" w:eastAsia="zh-CN" w:bidi="ar"/>
              </w:rPr>
              <w:t>1</w:t>
            </w:r>
          </w:p>
        </w:tc>
        <w:tc>
          <w:tcPr>
            <w:tcW w:w="778" w:type="pct"/>
            <w:vMerge w:val="continue"/>
            <w:noWrap w:val="0"/>
            <w:vAlign w:val="center"/>
          </w:tcPr>
          <w:p>
            <w:pPr>
              <w:bidi w:val="0"/>
              <w:rPr>
                <w:rFonts w:hint="eastAsia" w:ascii="仿宋" w:hAnsi="仿宋" w:eastAsia="仿宋" w:cs="仿宋"/>
                <w:color w:val="auto"/>
                <w:sz w:val="21"/>
                <w:szCs w:val="21"/>
                <w:highlight w:val="none"/>
              </w:rPr>
            </w:pPr>
          </w:p>
        </w:tc>
        <w:tc>
          <w:tcPr>
            <w:tcW w:w="778" w:type="pct"/>
            <w:vMerge w:val="continue"/>
            <w:noWrap w:val="0"/>
            <w:vAlign w:val="center"/>
          </w:tcPr>
          <w:p>
            <w:pPr>
              <w:bidi w:val="0"/>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8" w:type="pct"/>
            <w:noWrap w:val="0"/>
            <w:vAlign w:val="center"/>
          </w:tcPr>
          <w:p>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0"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无线呼叫单元</w:t>
            </w:r>
          </w:p>
        </w:tc>
        <w:tc>
          <w:tcPr>
            <w:tcW w:w="86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lang w:val="en-GB"/>
              </w:rPr>
            </w:pPr>
            <w:r>
              <w:rPr>
                <w:rFonts w:hint="eastAsia" w:ascii="仿宋" w:hAnsi="仿宋" w:eastAsia="仿宋" w:cs="仿宋"/>
                <w:i w:val="0"/>
                <w:iCs w:val="0"/>
                <w:color w:val="auto"/>
                <w:kern w:val="0"/>
                <w:sz w:val="21"/>
                <w:szCs w:val="21"/>
                <w:highlight w:val="none"/>
                <w:u w:val="none"/>
                <w:lang w:val="en-US" w:eastAsia="zh-CN" w:bidi="ar"/>
              </w:rPr>
              <w:t>70</w:t>
            </w:r>
          </w:p>
        </w:tc>
        <w:tc>
          <w:tcPr>
            <w:tcW w:w="778" w:type="pct"/>
            <w:vMerge w:val="continue"/>
            <w:noWrap w:val="0"/>
            <w:vAlign w:val="center"/>
          </w:tcPr>
          <w:p>
            <w:pPr>
              <w:bidi w:val="0"/>
              <w:rPr>
                <w:rFonts w:hint="eastAsia" w:ascii="仿宋" w:hAnsi="仿宋" w:eastAsia="仿宋" w:cs="仿宋"/>
                <w:color w:val="auto"/>
                <w:sz w:val="21"/>
                <w:szCs w:val="21"/>
                <w:highlight w:val="none"/>
              </w:rPr>
            </w:pPr>
          </w:p>
        </w:tc>
        <w:tc>
          <w:tcPr>
            <w:tcW w:w="778" w:type="pct"/>
            <w:vMerge w:val="continue"/>
            <w:noWrap w:val="0"/>
            <w:vAlign w:val="center"/>
          </w:tcPr>
          <w:p>
            <w:pPr>
              <w:bidi w:val="0"/>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438" w:type="pct"/>
            <w:shd w:val="clear" w:color="auto" w:fill="auto"/>
            <w:noWrap w:val="0"/>
            <w:vAlign w:val="center"/>
          </w:tcPr>
          <w:p>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0" w:type="pct"/>
            <w:shd w:val="clear" w:color="auto" w:fill="auto"/>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智能安卓显示终端</w:t>
            </w:r>
          </w:p>
        </w:tc>
        <w:tc>
          <w:tcPr>
            <w:tcW w:w="863" w:type="pct"/>
            <w:tcBorders>
              <w:top w:val="nil"/>
              <w:left w:val="nil"/>
              <w:bottom w:val="nil"/>
              <w:right w:val="nil"/>
            </w:tcBorders>
            <w:shd w:val="clear" w:color="000000" w:fill="FFFFFF"/>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778" w:type="pct"/>
            <w:vMerge w:val="continue"/>
            <w:noWrap w:val="0"/>
            <w:vAlign w:val="center"/>
          </w:tcPr>
          <w:p>
            <w:pPr>
              <w:bidi w:val="0"/>
              <w:rPr>
                <w:rFonts w:hint="eastAsia" w:ascii="仿宋" w:hAnsi="仿宋" w:eastAsia="仿宋" w:cs="仿宋"/>
                <w:color w:val="auto"/>
                <w:sz w:val="21"/>
                <w:szCs w:val="21"/>
                <w:highlight w:val="none"/>
              </w:rPr>
            </w:pPr>
          </w:p>
        </w:tc>
        <w:tc>
          <w:tcPr>
            <w:tcW w:w="778" w:type="pct"/>
            <w:vMerge w:val="continue"/>
            <w:noWrap w:val="0"/>
            <w:vAlign w:val="center"/>
          </w:tcPr>
          <w:p>
            <w:pPr>
              <w:bidi w:val="0"/>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438" w:type="pct"/>
            <w:noWrap w:val="0"/>
            <w:vAlign w:val="center"/>
          </w:tcPr>
          <w:p>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0"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数字手持终端</w:t>
            </w:r>
          </w:p>
        </w:tc>
        <w:tc>
          <w:tcPr>
            <w:tcW w:w="8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778" w:type="pct"/>
            <w:vMerge w:val="continue"/>
            <w:noWrap w:val="0"/>
            <w:vAlign w:val="center"/>
          </w:tcPr>
          <w:p>
            <w:pPr>
              <w:bidi w:val="0"/>
              <w:rPr>
                <w:rFonts w:hint="eastAsia" w:ascii="仿宋" w:hAnsi="仿宋" w:eastAsia="仿宋" w:cs="仿宋"/>
                <w:color w:val="auto"/>
                <w:sz w:val="21"/>
                <w:szCs w:val="21"/>
                <w:highlight w:val="none"/>
              </w:rPr>
            </w:pPr>
          </w:p>
        </w:tc>
        <w:tc>
          <w:tcPr>
            <w:tcW w:w="778" w:type="pct"/>
            <w:vMerge w:val="continue"/>
            <w:noWrap w:val="0"/>
            <w:vAlign w:val="center"/>
          </w:tcPr>
          <w:p>
            <w:pPr>
              <w:bidi w:val="0"/>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trPr>
        <w:tc>
          <w:tcPr>
            <w:tcW w:w="438" w:type="pct"/>
            <w:noWrap w:val="0"/>
            <w:vAlign w:val="center"/>
          </w:tcPr>
          <w:p>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0"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条码打印机</w:t>
            </w:r>
          </w:p>
        </w:tc>
        <w:tc>
          <w:tcPr>
            <w:tcW w:w="863"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778" w:type="pct"/>
            <w:vMerge w:val="continue"/>
            <w:noWrap w:val="0"/>
            <w:vAlign w:val="center"/>
          </w:tcPr>
          <w:p>
            <w:pPr>
              <w:bidi w:val="0"/>
              <w:rPr>
                <w:rFonts w:hint="eastAsia" w:ascii="仿宋" w:hAnsi="仿宋" w:eastAsia="仿宋" w:cs="仿宋"/>
                <w:color w:val="auto"/>
                <w:sz w:val="21"/>
                <w:szCs w:val="21"/>
                <w:highlight w:val="none"/>
              </w:rPr>
            </w:pPr>
          </w:p>
        </w:tc>
        <w:tc>
          <w:tcPr>
            <w:tcW w:w="778" w:type="pct"/>
            <w:vMerge w:val="continue"/>
            <w:noWrap w:val="0"/>
            <w:vAlign w:val="center"/>
          </w:tcPr>
          <w:p>
            <w:pPr>
              <w:bidi w:val="0"/>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438" w:type="pct"/>
            <w:noWrap w:val="0"/>
            <w:vAlign w:val="center"/>
          </w:tcPr>
          <w:p>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0"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条码扫描枪</w:t>
            </w:r>
          </w:p>
        </w:tc>
        <w:tc>
          <w:tcPr>
            <w:tcW w:w="863"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778" w:type="pct"/>
            <w:vMerge w:val="continue"/>
            <w:noWrap w:val="0"/>
            <w:vAlign w:val="center"/>
          </w:tcPr>
          <w:p>
            <w:pPr>
              <w:bidi w:val="0"/>
              <w:rPr>
                <w:rFonts w:hint="eastAsia" w:ascii="仿宋" w:hAnsi="仿宋" w:eastAsia="仿宋" w:cs="仿宋"/>
                <w:color w:val="auto"/>
                <w:sz w:val="21"/>
                <w:szCs w:val="21"/>
                <w:highlight w:val="none"/>
              </w:rPr>
            </w:pPr>
          </w:p>
        </w:tc>
        <w:tc>
          <w:tcPr>
            <w:tcW w:w="778" w:type="pct"/>
            <w:vMerge w:val="continue"/>
            <w:noWrap w:val="0"/>
            <w:vAlign w:val="center"/>
          </w:tcPr>
          <w:p>
            <w:pPr>
              <w:bidi w:val="0"/>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438" w:type="pct"/>
            <w:noWrap w:val="0"/>
            <w:vAlign w:val="center"/>
          </w:tcPr>
          <w:p>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0"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热敏标签</w:t>
            </w:r>
          </w:p>
        </w:tc>
        <w:tc>
          <w:tcPr>
            <w:tcW w:w="863"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778" w:type="pct"/>
            <w:vMerge w:val="continue"/>
            <w:noWrap w:val="0"/>
            <w:vAlign w:val="center"/>
          </w:tcPr>
          <w:p>
            <w:pPr>
              <w:bidi w:val="0"/>
              <w:rPr>
                <w:rFonts w:hint="eastAsia" w:ascii="仿宋" w:hAnsi="仿宋" w:eastAsia="仿宋" w:cs="仿宋"/>
                <w:color w:val="auto"/>
                <w:sz w:val="21"/>
                <w:szCs w:val="21"/>
                <w:highlight w:val="none"/>
              </w:rPr>
            </w:pPr>
          </w:p>
        </w:tc>
        <w:tc>
          <w:tcPr>
            <w:tcW w:w="778" w:type="pct"/>
            <w:vMerge w:val="continue"/>
            <w:noWrap w:val="0"/>
            <w:vAlign w:val="center"/>
          </w:tcPr>
          <w:p>
            <w:pPr>
              <w:bidi w:val="0"/>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438" w:type="pct"/>
            <w:noWrap w:val="0"/>
            <w:vAlign w:val="center"/>
          </w:tcPr>
          <w:p>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0"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液晶电视</w:t>
            </w:r>
          </w:p>
        </w:tc>
        <w:tc>
          <w:tcPr>
            <w:tcW w:w="863"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778" w:type="pct"/>
            <w:vMerge w:val="continue"/>
            <w:noWrap w:val="0"/>
            <w:vAlign w:val="center"/>
          </w:tcPr>
          <w:p>
            <w:pPr>
              <w:bidi w:val="0"/>
              <w:rPr>
                <w:rFonts w:hint="eastAsia" w:ascii="仿宋" w:hAnsi="仿宋" w:eastAsia="仿宋" w:cs="仿宋"/>
                <w:color w:val="auto"/>
                <w:sz w:val="21"/>
                <w:szCs w:val="21"/>
                <w:highlight w:val="none"/>
              </w:rPr>
            </w:pPr>
          </w:p>
        </w:tc>
        <w:tc>
          <w:tcPr>
            <w:tcW w:w="778" w:type="pct"/>
            <w:vMerge w:val="continue"/>
            <w:noWrap w:val="0"/>
            <w:vAlign w:val="center"/>
          </w:tcPr>
          <w:p>
            <w:pPr>
              <w:bidi w:val="0"/>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438" w:type="pct"/>
            <w:noWrap w:val="0"/>
            <w:vAlign w:val="center"/>
          </w:tcPr>
          <w:p>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0"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移动输液服务器</w:t>
            </w:r>
          </w:p>
        </w:tc>
        <w:tc>
          <w:tcPr>
            <w:tcW w:w="863"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778" w:type="pct"/>
            <w:vMerge w:val="continue"/>
            <w:noWrap w:val="0"/>
            <w:vAlign w:val="center"/>
          </w:tcPr>
          <w:p>
            <w:pPr>
              <w:bidi w:val="0"/>
              <w:rPr>
                <w:rFonts w:hint="eastAsia" w:ascii="仿宋" w:hAnsi="仿宋" w:eastAsia="仿宋" w:cs="仿宋"/>
                <w:color w:val="auto"/>
                <w:sz w:val="21"/>
                <w:szCs w:val="21"/>
                <w:highlight w:val="none"/>
              </w:rPr>
            </w:pPr>
          </w:p>
        </w:tc>
        <w:tc>
          <w:tcPr>
            <w:tcW w:w="778" w:type="pct"/>
            <w:vMerge w:val="continue"/>
            <w:noWrap w:val="0"/>
            <w:vAlign w:val="center"/>
          </w:tcPr>
          <w:p>
            <w:pPr>
              <w:bidi w:val="0"/>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438" w:type="pct"/>
            <w:noWrap w:val="0"/>
            <w:vAlign w:val="center"/>
          </w:tcPr>
          <w:p>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0"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接单台PC机</w:t>
            </w:r>
          </w:p>
        </w:tc>
        <w:tc>
          <w:tcPr>
            <w:tcW w:w="863" w:type="pct"/>
            <w:noWrap w:val="0"/>
            <w:vAlign w:val="center"/>
          </w:tcPr>
          <w:p>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778" w:type="pct"/>
            <w:vMerge w:val="continue"/>
            <w:noWrap w:val="0"/>
            <w:vAlign w:val="center"/>
          </w:tcPr>
          <w:p>
            <w:pPr>
              <w:bidi w:val="0"/>
              <w:rPr>
                <w:rFonts w:hint="eastAsia" w:ascii="仿宋" w:hAnsi="仿宋" w:eastAsia="仿宋" w:cs="仿宋"/>
                <w:color w:val="auto"/>
                <w:sz w:val="21"/>
                <w:szCs w:val="21"/>
                <w:highlight w:val="none"/>
              </w:rPr>
            </w:pPr>
          </w:p>
        </w:tc>
        <w:tc>
          <w:tcPr>
            <w:tcW w:w="778" w:type="pct"/>
            <w:vMerge w:val="continue"/>
            <w:noWrap w:val="0"/>
            <w:vAlign w:val="center"/>
          </w:tcPr>
          <w:p>
            <w:pPr>
              <w:bidi w:val="0"/>
              <w:rPr>
                <w:rFonts w:hint="eastAsia" w:ascii="仿宋" w:hAnsi="仿宋" w:eastAsia="仿宋" w:cs="仿宋"/>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632" w:firstLineChars="3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lang w:eastAsia="zh-CN"/>
        </w:rPr>
        <w:t>三、</w:t>
      </w:r>
      <w:r>
        <w:rPr>
          <w:rFonts w:hint="eastAsia" w:ascii="仿宋" w:hAnsi="仿宋" w:eastAsia="仿宋" w:cs="仿宋"/>
          <w:b/>
          <w:bCs/>
          <w:color w:val="auto"/>
          <w:highlight w:val="none"/>
        </w:rPr>
        <w:t>技术要求</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1、部署移动输液管理系统；通过移动计算技术、RFID技术、条码识别技术及移动终端，规范和优化医院输液室工作流程；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（一）移动输液管理系统软件功能要求</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872"/>
        <w:gridCol w:w="1808"/>
        <w:gridCol w:w="57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系统模块</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一级功能</w:t>
            </w:r>
          </w:p>
        </w:tc>
        <w:tc>
          <w:tcPr>
            <w:tcW w:w="985"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二级功能</w:t>
            </w:r>
          </w:p>
        </w:tc>
        <w:tc>
          <w:tcPr>
            <w:tcW w:w="31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功能说明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系统设置</w:t>
            </w: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系统登录</w:t>
            </w:r>
          </w:p>
        </w:tc>
        <w:tc>
          <w:tcPr>
            <w:tcW w:w="985"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手动登录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PC端输入用户名和密码登录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EDA输入用户名和密码登录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扫描登录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EDA扫描员工号，输入密码登录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top"/>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EDA扫描安全码登录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切换用户</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PC端切换用户，输入用户名密码登录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修改密码</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PC端修改密码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top"/>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EDA端修改密码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同步服务器时间</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PC端登录自动同步服务器时间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top"/>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EDA端登录自动同步服务器时间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密码管理</w:t>
            </w:r>
          </w:p>
        </w:tc>
        <w:tc>
          <w:tcPr>
            <w:tcW w:w="985" w:type="pct"/>
            <w:vMerge w:val="restar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密码安全度校验</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密码复杂度校验，含多种字符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密码有效期设置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密码输错次数限制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容用户是默认密码则提示修改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座位管理</w:t>
            </w:r>
          </w:p>
        </w:tc>
        <w:tc>
          <w:tcPr>
            <w:tcW w:w="985"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pc端座位管理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1"/>
                <w:szCs w:val="21"/>
                <w:highlight w:val="none"/>
                <w:u w:val="none"/>
                <w:lang w:val="en-US" w:eastAsia="zh-CN" w:bidi="ar"/>
              </w:rPr>
              <w:t>用户可以查看座位的空闲，以及被占用座位上病人的输液信息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1"/>
                <w:szCs w:val="21"/>
                <w:highlight w:val="none"/>
                <w:u w:val="none"/>
                <w:lang w:val="en-US" w:eastAsia="zh-CN" w:bidi="ar"/>
              </w:rPr>
              <w:t>可以手动释放被占用的座位，包括已关联病人信息的座位和为包含病人信息的座位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PC手动占用座位，不关联病人信息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可以为已经分配给病人的座位重新分配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pda端座位管理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pda端绑定呼叫按钮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pda端查询座位的空闲状态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pda端释放座位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pda端占用座位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pda端重新为病人分配座位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叫号管理</w:t>
            </w: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电视机显示屏滚动内容设置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配置电视机上要滚动显示的内容，用于展示提醒注意事项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信息来源设置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设置呼叫屏需要展示的分配到哪些输液区的病人呼叫信息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呼叫语音配置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设置呼叫屏呼叫时需要呼叫的语音内容，排队号、姓名、穿刺台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管理信息定时发送</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配置呼叫屏需要定时播报的内容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系统设置</w:t>
            </w: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科室管理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维护科室信息，支持增加、修改、删除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角色管理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维护医院角色信息，系统管理员、护士长、护士等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用户管理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维护用户信息，增加、修改、删除，打印员工码、重置用户密码等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序列管理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维护序列信息，配置序列重置时间，序列下一值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输液区管理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维护输液区信息，关联序列，配置自动分配座位，配置输液区类型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床位管理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配置输液区的床位分布情况，可增加可删除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输液台管理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维护输液台信息，配置关联输液区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接单台管理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维护接单台信息，配置关联科室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设备类型管理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维护设备类型、位置、ip地址，在线情况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药物管理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维护抗生素药物代码、药物名称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维护大输液袋药物代码、药物名称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维护本地药物代码、药物名称用于手工方录入自动获取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维护需要巡视提醒的药物代码、药物名称，巡视提醒间隔等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维护需要特殊皮试时间、皮试有效期的皮试药物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数据字典管理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配置异常结束时可供选择的异常结束原因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配置pda添加巡视记录时可供选择的药物类型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配置取消接单时可供选择的取消原因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配置取消皮试时可供选择的取消皮试原因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维护设备类型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配置pda添加巡视记录时可供选择的异常现象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配置pda添加巡视记录时可供选择的处理结果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配置pda添加巡视记录时可供选择的处理方式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配置特殊穿刺时可供选择的特殊穿刺原因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配置生命体征未测原因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工作量统计项目配置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配置工作量统计报表需要展示的工作量，如接单、配药、穿刺、接瓶、拔针等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呼叫屏配置管理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配置呼叫屏类型，呼叫屏显示信息、呼叫内容，呼叫信息来源等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静脉输液</w:t>
            </w: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接单打印标签</w:t>
            </w:r>
          </w:p>
        </w:tc>
        <w:tc>
          <w:tcPr>
            <w:tcW w:w="985" w:type="pct"/>
            <w:vMerge w:val="restar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查处方</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可根据病历号、就诊卡号、处方号等凭证号查询病人处方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top"/>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设置处方查询时间范围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扫描处方单接单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通过扫描枪扫描处方单上的条码查到处方，确认接单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双重扫描确认接单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扫描两次后直接确认接单，无需再点击接单按钮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刷卡接单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可通过连接读卡器，读取病人就诊卡，获取病人处方，再接单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简洁模式手工方接单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只需输入病人信息即可生成手工方，不展示具体药物信息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增强模式手工方接单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需录入病人信息以及具体的药物信息包括剂量、用法、频度等生成手工方后接单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多处方选择</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查出病人若有多张处方，则弹出展示界面供用户选择需要登记哪张处方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restart"/>
            <w:tcBorders>
              <w:top w:val="nil"/>
              <w:left w:val="nil"/>
              <w:bottom w:val="nil"/>
              <w:right w:val="nil"/>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处方修改</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修改剂量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nil"/>
              <w:left w:val="nil"/>
              <w:bottom w:val="nil"/>
              <w:right w:val="nil"/>
            </w:tcBorders>
            <w:noWrap/>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拆分处方剂量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nil"/>
              <w:left w:val="nil"/>
              <w:bottom w:val="nil"/>
              <w:right w:val="nil"/>
            </w:tcBorders>
            <w:noWrap/>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拆分处方数量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nil"/>
              <w:left w:val="nil"/>
              <w:bottom w:val="nil"/>
              <w:right w:val="nil"/>
            </w:tcBorders>
            <w:noWrap/>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修改处方频度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nil"/>
              <w:left w:val="nil"/>
              <w:bottom w:val="nil"/>
              <w:right w:val="nil"/>
            </w:tcBorders>
            <w:noWrap/>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修改用法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普通组方</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直接勾选需要组方的医嘱，右键即可将多条医嘱组成一组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组方向导</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通过弹出的弹框提示，选择需要组到一组的医嘱完成组方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智能组方</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查到同一个病人的同个处方，若之前有组过方，则可通过智能组方展示之前的组方效果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选择需打印的标签</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可将不需要打印的预览标签打叉，则接单时不会将该标签打印出来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调整标签顺序</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通过点击预览标签上的箭头实现标签的顺序移动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设置滴速</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通过预览标签上的输入框，可输入该袋药物的滴速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设置单张标签打印的张数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右键点击预览标签，可设置该标签的打印张数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设置标签打印套数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通过控制台的业务流程配置药物标签的打印套数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设置注意事项</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右键单击预览标签，可设置该标签上需要显示的注意事项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标签打印特殊药物标记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若标签上含有特殊药物，将在该药物名称前面特殊标记，如（危）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标签打印特殊剂量标记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若药物的剂量不是规格的整数倍，则会在该药物剂量上加上方括号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分配座位</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接单前选择输液区以及输液区中的空闲座位分配给病人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保存并打印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点击确定接单后，接单台打印药物标签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保存不打印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点击确定接单后，接单台不打印药物标签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取消接单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若接单登记错了，可在最近接单中选中该条记录右键取消接单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查看接单记录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最近接单中可以查看该接单台的所有接单记录，以及接单记录的输液状态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补打标签</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最近接单中可补打病人标签，药物标签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添加备注信息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最近接单中为病人添加备注信息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重新设置排队序号</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接单时可为病人重新分配排队序号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标签自定义</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打印的药物标签支持自定义尺寸、显示内容、排版等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打印的腕带支持自定义尺寸、显示内容、排版等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条码类型设置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药物联条码类型支持code128、code39、pdf417、QRcode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费用提示功能</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若病人未交齐费用给出提示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皮试药物提醒</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根据病人的皮试结果，接单时给出对应提示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皮试管理（PC端）</w:t>
            </w:r>
          </w:p>
        </w:tc>
        <w:tc>
          <w:tcPr>
            <w:tcW w:w="985"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皮试开始设置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可根据病历号、就诊卡号、处方号等凭证号查询病人皮试医嘱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自定义设置皮试时长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针对特殊皮试时长的皮试药物支持特殊配置，遇到此类药物直接显示所配置的时间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PC端开始皮试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打印皮试标签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皮试倒计时监测</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1"/>
                <w:szCs w:val="21"/>
                <w:highlight w:val="none"/>
                <w:u w:val="none"/>
                <w:lang w:val="en-US" w:eastAsia="zh-CN" w:bidi="ar"/>
              </w:rPr>
              <w:t>展示开始皮试的病人皮试剩余时间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皮试叫号</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1"/>
                <w:szCs w:val="21"/>
                <w:highlight w:val="none"/>
                <w:u w:val="none"/>
                <w:lang w:val="en-US" w:eastAsia="zh-CN" w:bidi="ar"/>
              </w:rPr>
              <w:t>皮试时间到之后，呼叫病人到皮试室登记皮试结果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皮试时间到提醒</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pc端有皮试时间到的病人，弹出弹框提示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restart"/>
            <w:tcBorders>
              <w:top w:val="nil"/>
              <w:left w:val="nil"/>
              <w:bottom w:val="nil"/>
              <w:right w:val="nil"/>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皮试登记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PC端登记皮试结果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nil"/>
              <w:left w:val="nil"/>
              <w:bottom w:val="nil"/>
              <w:right w:val="nil"/>
            </w:tcBorders>
            <w:noWrap/>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PC端皮试登记双人核对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nil"/>
              <w:left w:val="nil"/>
              <w:bottom w:val="nil"/>
              <w:right w:val="nil"/>
            </w:tcBorders>
            <w:noWrap/>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PC端查看皮试记录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EDA配药/穿刺皮试结果校验提醒</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pda配药穿刺时，皮试药物未皮试，给出提示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皮试结果回传</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将皮试结果回传给his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高危药物管理</w:t>
            </w:r>
          </w:p>
        </w:tc>
        <w:tc>
          <w:tcPr>
            <w:tcW w:w="985" w:type="pct"/>
            <w:vMerge w:val="restar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高危药物特殊展示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1"/>
                <w:szCs w:val="21"/>
                <w:highlight w:val="none"/>
                <w:lang w:val="en-US" w:eastAsia="zh-CN"/>
              </w:rPr>
              <w:t>▲</w:t>
            </w:r>
            <w:r>
              <w:rPr>
                <w:rFonts w:hint="eastAsia" w:ascii="仿宋" w:hAnsi="仿宋" w:eastAsia="仿宋" w:cs="仿宋"/>
                <w:i w:val="0"/>
                <w:iCs w:val="0"/>
                <w:color w:val="auto"/>
                <w:kern w:val="0"/>
                <w:sz w:val="21"/>
                <w:szCs w:val="21"/>
                <w:highlight w:val="none"/>
                <w:u w:val="none"/>
                <w:lang w:val="en-US" w:eastAsia="zh-CN" w:bidi="ar"/>
              </w:rPr>
              <w:t>pc端高危药物红色斜体展示</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top"/>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pda端高危药物红色斜体展示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top"/>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1"/>
                <w:szCs w:val="21"/>
                <w:highlight w:val="none"/>
                <w:lang w:val="en-US" w:eastAsia="zh-CN"/>
              </w:rPr>
              <w:t>▲</w:t>
            </w:r>
            <w:r>
              <w:rPr>
                <w:rFonts w:hint="eastAsia" w:ascii="仿宋" w:hAnsi="仿宋" w:eastAsia="仿宋" w:cs="仿宋"/>
                <w:i w:val="0"/>
                <w:iCs w:val="0"/>
                <w:color w:val="auto"/>
                <w:kern w:val="0"/>
                <w:sz w:val="21"/>
                <w:szCs w:val="21"/>
                <w:highlight w:val="none"/>
                <w:u w:val="none"/>
                <w:lang w:val="en-US" w:eastAsia="zh-CN" w:bidi="ar"/>
              </w:rPr>
              <w:t>药物标签上高危药物斜体加粗展示</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1"/>
                <w:szCs w:val="21"/>
                <w:highlight w:val="none"/>
                <w:lang w:val="en-US" w:eastAsia="zh-CN"/>
              </w:rPr>
              <w:t>▲</w:t>
            </w:r>
            <w:r>
              <w:rPr>
                <w:rFonts w:hint="eastAsia" w:ascii="仿宋" w:hAnsi="仿宋" w:eastAsia="仿宋" w:cs="仿宋"/>
                <w:i w:val="0"/>
                <w:iCs w:val="0"/>
                <w:color w:val="auto"/>
                <w:kern w:val="0"/>
                <w:sz w:val="21"/>
                <w:szCs w:val="21"/>
                <w:highlight w:val="none"/>
                <w:u w:val="none"/>
                <w:lang w:val="en-US" w:eastAsia="zh-CN" w:bidi="ar"/>
              </w:rPr>
              <w:t>高危药物配药双人核对</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高危药物配药时，会弹出弹框录入核对人的工号与密码，录入后方可配药成功</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高危药物执行双签名</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高危药物执行时，会弹出弹框录入核对人的工号和密码，录入后方可执行成功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配药</w:t>
            </w:r>
          </w:p>
        </w:tc>
        <w:tc>
          <w:tcPr>
            <w:tcW w:w="985"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EDA配药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EDA扫描药物联条码配药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EDA撤销配药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EDA批量配药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EDA扫描一个药物联条码，该条码所在接单记录的所有药物完成配药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EDA撤销某袋药物的配药，则该药袋所在接单记录的所有药物撤销配药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EDA核对扫描</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EDA上用与配药人不同的工号核对配药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PC端配药扫描</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PC端用扫描枪扫描药物联条码完成配药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PC端撤销配药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PC端撤销配药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穿刺呼叫</w:t>
            </w: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集中穿刺呼叫列表</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1"/>
                <w:szCs w:val="21"/>
                <w:highlight w:val="none"/>
                <w:u w:val="none"/>
                <w:lang w:val="en-US" w:eastAsia="zh-CN" w:bidi="ar"/>
              </w:rPr>
              <w:t>呼叫病人到某个穿刺台穿刺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座位穿刺呼叫列表</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护士到对应的座位上为病人穿刺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输液中途穿刺呼叫</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已经开始输液的病人，呼叫病人到对应穿刺台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穿刺</w:t>
            </w: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PC端穿刺核对扫描</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pc端扫描枪扫描药物联与病人联核对穿刺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PC端撤销穿刺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PC端取消穿刺，病人输液状态变为等待穿刺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EDA触发呼叫</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EDA上选择用户所在穿刺台，扫描药物联条码触发呼叫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EDA撤销穿刺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EDA长按已穿刺药袋，选择撤销执行，可撤销穿刺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特殊穿刺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EDA长按已穿刺药袋，选择特殊穿刺可完成特殊穿刺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重新穿刺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EDA选择穿刺界面更多中选择重新穿刺，扫描病人联与药物联完成重新穿刺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换药</w:t>
            </w:r>
          </w:p>
        </w:tc>
        <w:tc>
          <w:tcPr>
            <w:tcW w:w="985"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pc端换药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PC端换药核对扫描病人联与药物联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PC端撤销换药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EDA换药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EDA换药核对扫描病人联与药物联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EDA撤销换药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补执行</w:t>
            </w: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PC端药物补执行</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pc端最近接单选中某条接单记录右键可以补执行，录入补执行时间、结束时间、原因和执行人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补执行信息展示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查询统计展示补执行录入的时间、执行人和原因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加药</w:t>
            </w:r>
          </w:p>
        </w:tc>
        <w:tc>
          <w:tcPr>
            <w:tcW w:w="985"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有未结束输液记录自动加药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将加入的药物合并到已有的接单记录中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联合输液</w:t>
            </w:r>
          </w:p>
        </w:tc>
        <w:tc>
          <w:tcPr>
            <w:tcW w:w="985"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药袋标签打印联合输液条码</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通过扫描病人联与联合输液条码，完成该药袋与已开始输液的药袋联合输液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单袋药结束</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有联合输液的病人继续扫描其他药袋则会弹出供用户选择需要结束联合输液中的某一袋或者全部结束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联合输液记录展示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查询统计标记联合输液的药袋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座位呼叫</w:t>
            </w: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呼叫显示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EDA展示病人的呼叫信息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呼叫响应</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EDA病人呼叫列表点击对应病人信息后的“响应”处理呼叫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EDA添加巡视记录，接瓶，拔针处理呼叫记录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巡视</w:t>
            </w: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设置滴速</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点击药袋详情可设置滴速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查看药袋信息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点击药袋展示药袋的操作记录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添加异常巡视记录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添加巡视记录，记录输液情况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快速添加巡视记录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扫描药物联快速添加巡视记录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结束操作</w:t>
            </w: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PC端结束输液</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最近接单中选择某条接单记录右键结束输液，录入结束原因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EDA结束输液</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EDA上点击拔针按钮结束输液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设备管理</w:t>
            </w:r>
          </w:p>
        </w:tc>
        <w:tc>
          <w:tcPr>
            <w:tcW w:w="985"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支持维护多种设备类型</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可查看系统中使用的所有PC设备ip，mac，状态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可查看系统中使用的所有PDA设备ip，mac，状态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可查看系统中使用的所有呼叫屏设备ip，mac，状态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查询统计</w:t>
            </w: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输液明细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展示所有病人的输液记录包括接单人、配药人、执行人以及各个操作的执行时间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输液巡视明细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展示所有病人的巡视记录情况，巡视人，巡视时间以及巡视内容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皮试结果查询</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展示所有病人的皮试记录，皮试结果、操作人等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呼叫历史查询</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展示病人的座位呼叫信息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病人查询</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展示登记过的病人信息，电话、住址、用药病历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工作量统计（配置）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统计用户的各个操作工作量，接单、配药、穿刺、接瓶、巡视、拔针等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接单数统计</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统计各个科室的接单数量，分成人、儿童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用法统计</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统计各个用法的接单数量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用药人数统计</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统计各袋数的接单人次，一袋人次、两袋人次，三袋人次，四袋人次、五袋人次，六袋人次，六袋以上人次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大输液袋统计</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统计含有大输液袋的接单记录数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操作质量统计</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统计配药，穿刺，执行等的操作质量，包括漏扫率，拔针率，较快执行，较慢执行等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接单数统计（开方科室）</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按开方科室来统计接单数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处方统计</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统计错误处方，如剂量错误、频度错误、组方错误等的比例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肌注</w:t>
            </w: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肌注管理</w:t>
            </w: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执行前判断是否已配药</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执行时若药袋未配药，则提示未配药不能执行</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执行呼叫</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扫描药物联条码呼叫病人到肌注台注射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批量叫号</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连续扫描多个病人的药物联条码可以批量呼叫多个病人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重复呼叫病人</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呼叫后若病人未到，则可以再次扫描药物联条码再次呼叫</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查看病人信息</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pda上展示病人的基本信息，排队信息，接单信息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查看医嘱信息</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pda扫描病人联条码或者药物联条码，可以查看该次接单记录中的医嘱信息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单联执行核对</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支持只扫描药物联/病人联完成执行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双联执行核对</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必须扫描病人联和药物联匹配成功后完成执行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执行前特殊用药提醒</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pda上展示医嘱信息时，特殊药物用红色字体展示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执行特殊用药双签核对</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执行含有特殊药物的药袋时，将弹出弹框录入第二个人的工号和密码核对成功后方可完成执行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执行异常提醒</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若执行时，扫描病人联条码与药物联条码不匹配，则执行不成功，且给予提示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PC端补执行登记</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pc端最近接单可补执行，设置补执行时间，操作人和补执行原因</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1"/>
                <w:szCs w:val="21"/>
                <w:highlight w:val="none"/>
                <w:lang w:val="en-US" w:eastAsia="zh-CN"/>
              </w:rPr>
              <w:t>▲</w:t>
            </w:r>
            <w:r>
              <w:rPr>
                <w:rFonts w:hint="eastAsia" w:ascii="仿宋" w:hAnsi="仿宋" w:eastAsia="仿宋" w:cs="仿宋"/>
                <w:i w:val="0"/>
                <w:iCs w:val="0"/>
                <w:color w:val="auto"/>
                <w:kern w:val="0"/>
                <w:sz w:val="21"/>
                <w:szCs w:val="21"/>
                <w:highlight w:val="none"/>
                <w:u w:val="none"/>
                <w:lang w:val="en-US" w:eastAsia="zh-CN" w:bidi="ar"/>
              </w:rPr>
              <w:t>查看补执行记录</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查询统计中展示补执行录入的补执行时间，操作人和补执行原因</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执行工作量统计</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统计用户的肌注接单、执行工作量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查看治疗明细</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治疗明细报表可展示所有肌注病人的执行明细，包括药袋信息、执行人、执行时间等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雾化</w:t>
            </w: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雾化管理</w:t>
            </w: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1"/>
                <w:szCs w:val="21"/>
                <w:highlight w:val="none"/>
                <w:lang w:val="en-US" w:eastAsia="zh-CN"/>
              </w:rPr>
              <w:t>▲</w:t>
            </w:r>
            <w:r>
              <w:rPr>
                <w:rFonts w:hint="eastAsia" w:ascii="仿宋" w:hAnsi="仿宋" w:eastAsia="仿宋" w:cs="仿宋"/>
                <w:i w:val="0"/>
                <w:iCs w:val="0"/>
                <w:color w:val="auto"/>
                <w:kern w:val="0"/>
                <w:sz w:val="21"/>
                <w:szCs w:val="21"/>
                <w:highlight w:val="none"/>
                <w:u w:val="none"/>
                <w:lang w:val="en-US" w:eastAsia="zh-CN" w:bidi="ar"/>
              </w:rPr>
              <w:t>执行前判断是否已配药</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执行时若药袋未配药，则提示未配药不能执行</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执行呼叫</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扫描药物联条码呼叫病人到雾化台</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批量叫号</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连续扫描多个病人的药物联条码可以批量呼叫多个病人</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重复呼叫病人</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呼叫后若病人未到，则可以再次扫描药物联条码再次呼叫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查看病人信息</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pda上展示病人的基本信息，排队信息，接单信息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查看医嘱信息</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pda扫描病人联条码或者药物联条码，可以查看该次接单记录中的医嘱信息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单联执行核对</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支持只扫描药物联/病人联完成执行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双联执行核对</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必须扫描病人联和药物联匹配成功后完成执行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执行前特殊用药提醒</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pda上展示医嘱信息时，特殊药物用红色字体展示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执行特殊用药双签核对</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执行含有特殊药物的药袋时，将弹出弹框录入第二个人的工号和密码核对成功后方可完成执行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执行异常提醒</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若执行时，扫描病人联条码与药物联条码不匹配，则执行不成功，且给予提示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PC端补执行登记</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pc端最近接单可补执行，设置补执行时间，操作人和补执行原因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查看补执行记录</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查询统计中展示补执行录入的补执行时间，操作人和补执行原因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执行工作量统计</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统计用户的雾化接单、执行工作量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查看治疗明细</w:t>
            </w:r>
          </w:p>
        </w:tc>
        <w:tc>
          <w:tcPr>
            <w:tcW w:w="31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治疗明细报表可展示所有雾化病人的执行明细，包括药袋信息、执行人、执行时间等</w:t>
            </w:r>
          </w:p>
        </w:tc>
      </w:tr>
    </w:tbl>
    <w:p>
      <w:pP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eastAsia="zh-CN"/>
        </w:rPr>
        <w:t>（二）</w:t>
      </w:r>
      <w:r>
        <w:rPr>
          <w:rFonts w:hint="eastAsia" w:ascii="仿宋" w:hAnsi="仿宋" w:eastAsia="仿宋" w:cs="仿宋"/>
          <w:b/>
          <w:bCs/>
          <w:color w:val="auto"/>
          <w:sz w:val="21"/>
          <w:szCs w:val="21"/>
          <w:highlight w:val="none"/>
        </w:rPr>
        <w:t>系统其他相关配套设备要求</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1.多频物联网基站</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Style w:val="124"/>
                <w:rFonts w:hint="eastAsia" w:ascii="仿宋" w:hAnsi="仿宋" w:eastAsia="仿宋" w:cs="仿宋"/>
                <w:color w:val="auto"/>
                <w:sz w:val="21"/>
                <w:szCs w:val="21"/>
                <w:highlight w:val="none"/>
                <w:lang w:val="en-US" w:eastAsia="zh-CN" w:bidi="ar"/>
              </w:rPr>
              <w:t>通信方式：TCP/IP；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Style w:val="124"/>
                <w:rFonts w:hint="eastAsia" w:ascii="仿宋" w:hAnsi="仿宋" w:eastAsia="仿宋" w:cs="仿宋"/>
                <w:color w:val="auto"/>
                <w:sz w:val="21"/>
                <w:szCs w:val="21"/>
                <w:highlight w:val="none"/>
                <w:lang w:val="en-US" w:eastAsia="zh-CN" w:bidi="ar"/>
              </w:rPr>
              <w:t>通信频率：430MHZ/2.4GHZ；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Style w:val="124"/>
                <w:rFonts w:hint="eastAsia" w:ascii="仿宋" w:hAnsi="仿宋" w:eastAsia="仿宋" w:cs="仿宋"/>
                <w:color w:val="auto"/>
                <w:sz w:val="21"/>
                <w:szCs w:val="21"/>
                <w:highlight w:val="none"/>
                <w:lang w:val="en-US" w:eastAsia="zh-CN" w:bidi="ar"/>
              </w:rPr>
              <w:t>通信距离：0~30m；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Style w:val="124"/>
                <w:rFonts w:hint="eastAsia" w:ascii="仿宋" w:hAnsi="仿宋" w:eastAsia="仿宋" w:cs="仿宋"/>
                <w:color w:val="auto"/>
                <w:sz w:val="21"/>
                <w:szCs w:val="21"/>
                <w:highlight w:val="none"/>
                <w:lang w:val="en-US" w:eastAsia="zh-CN" w:bidi="ar"/>
              </w:rPr>
              <w:t>供电：poe供电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Style w:val="124"/>
                <w:rFonts w:hint="eastAsia" w:ascii="仿宋" w:hAnsi="仿宋" w:eastAsia="仿宋" w:cs="仿宋"/>
                <w:color w:val="auto"/>
                <w:sz w:val="21"/>
                <w:szCs w:val="21"/>
                <w:highlight w:val="none"/>
                <w:lang w:val="en-US" w:eastAsia="zh-CN" w:bidi="ar"/>
              </w:rPr>
              <w:t>尺寸（长*宽*高):≤214mm*128mm*32mm；</w:t>
            </w:r>
          </w:p>
        </w:tc>
      </w:tr>
    </w:tbl>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2.通信网关</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电源：宽电压输入110-260VAC/50Hz；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网络端口数：≥12路PoE供电网络接口,2路数据上联接口；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传输速率：10Mbps/100Mbps；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网络标准：要求支持IEEE 802.3,IEEE 802.3u,IEEE802.3af；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传输模式：全双工/半双工自适应；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背板带宽：≥3.2Gbps；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包转发率：10Mbps:14880pps；100Mbps:148800pps；</w:t>
            </w:r>
          </w:p>
        </w:tc>
      </w:tr>
    </w:tbl>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3.无线呼叫单元</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总体要求：只读型 ID号全球唯一；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工作频率：RFID 433MHz；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射频功率：≤10dBm；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发射距离：≥30M；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工作环境温度：-40℃- +85℃；</w:t>
            </w:r>
          </w:p>
        </w:tc>
      </w:tr>
    </w:tbl>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4.智能安卓显示终端</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CPU:≥四核ARM Cortex A9 1.8 GHz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内存:≥ 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内置存储器:≥NAND FLASH 8G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存储器扩展:SD/USB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解码分辨率:≥1080P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操作系统:≥安卓4.2.2</w:t>
            </w:r>
          </w:p>
        </w:tc>
      </w:tr>
    </w:tbl>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5.数字手持终端</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481"/>
        <w:gridCol w:w="6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品名</w:t>
            </w:r>
          </w:p>
        </w:tc>
        <w:tc>
          <w:tcPr>
            <w:tcW w:w="8420" w:type="dxa"/>
            <w:gridSpan w:val="2"/>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配置项目及指标要求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67" w:type="dxa"/>
            <w:vMerge w:val="restart"/>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数字手持终端</w:t>
            </w: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处理器</w:t>
            </w: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八核处理器，频率≥2.3GHZ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运行内存</w:t>
            </w: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≥4GB 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储存内存</w:t>
            </w: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≥64GB ROM，</w:t>
            </w:r>
            <w:r>
              <w:rPr>
                <w:rFonts w:hint="eastAsia" w:ascii="仿宋" w:hAnsi="仿宋" w:eastAsia="仿宋" w:cs="仿宋"/>
                <w:color w:val="auto"/>
                <w:kern w:val="0"/>
                <w:sz w:val="21"/>
                <w:szCs w:val="21"/>
                <w:highlight w:val="none"/>
              </w:rPr>
              <w:t>支持用户存储扩展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vMerge w:val="restart"/>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续航能力</w:t>
            </w:r>
          </w:p>
        </w:tc>
        <w:tc>
          <w:tcPr>
            <w:tcW w:w="6939" w:type="dxa"/>
            <w:noWrap w:val="0"/>
            <w:vAlign w:val="center"/>
          </w:tcPr>
          <w:p>
            <w:pPr>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可充电的锂离子电池，容量≥5000mAh，工作时间≥10小时，满足货物空运条件</w:t>
            </w:r>
            <w:r>
              <w:rPr>
                <w:rFonts w:hint="eastAsia" w:ascii="仿宋" w:hAnsi="仿宋" w:eastAsia="仿宋" w:cs="仿宋"/>
                <w:color w:val="auto"/>
                <w:sz w:val="21"/>
                <w:szCs w:val="21"/>
                <w:highlight w:val="none"/>
                <w:lang w:eastAsia="zh-CN"/>
              </w:rPr>
              <w:t>（</w:t>
            </w:r>
            <w:r>
              <w:rPr>
                <w:rFonts w:hint="eastAsia" w:ascii="仿宋" w:hAnsi="仿宋" w:eastAsia="仿宋" w:cs="仿宋"/>
                <w:b/>
                <w:bCs/>
                <w:color w:val="auto"/>
                <w:sz w:val="21"/>
                <w:szCs w:val="21"/>
                <w:highlight w:val="none"/>
              </w:rPr>
              <w:t>提供第三方CNAS实验室空运检测报告</w:t>
            </w:r>
            <w:r>
              <w:rPr>
                <w:rFonts w:hint="eastAsia" w:ascii="仿宋" w:hAnsi="仿宋" w:eastAsia="仿宋" w:cs="仿宋"/>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vMerge w:val="continue"/>
            <w:noWrap w:val="0"/>
            <w:vAlign w:val="center"/>
          </w:tcPr>
          <w:p>
            <w:pPr>
              <w:jc w:val="center"/>
              <w:rPr>
                <w:rFonts w:hint="eastAsia" w:ascii="仿宋" w:hAnsi="仿宋" w:eastAsia="仿宋" w:cs="仿宋"/>
                <w:color w:val="auto"/>
                <w:sz w:val="21"/>
                <w:szCs w:val="21"/>
                <w:highlight w:val="none"/>
              </w:rPr>
            </w:pP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Type-C接口，支持OTG。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屏幕尺寸</w:t>
            </w: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≥5.0英寸，电容多点触控，支持戴手套/带水触摸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屏幕分辨率</w:t>
            </w: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分辨率≥1280*720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摄像头</w:t>
            </w:r>
          </w:p>
        </w:tc>
        <w:tc>
          <w:tcPr>
            <w:tcW w:w="6939" w:type="dxa"/>
            <w:noWrap w:val="0"/>
            <w:vAlign w:val="center"/>
          </w:tcPr>
          <w:p>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后置≥1300万像，为了方便临床使用，摄像头要求在机身背面。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手电筒</w:t>
            </w:r>
          </w:p>
        </w:tc>
        <w:tc>
          <w:tcPr>
            <w:tcW w:w="6939" w:type="dxa"/>
            <w:noWrap w:val="0"/>
            <w:vAlign w:val="center"/>
          </w:tcPr>
          <w:p>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支持一键启动手电功能；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重量</w:t>
            </w:r>
          </w:p>
        </w:tc>
        <w:tc>
          <w:tcPr>
            <w:tcW w:w="6939" w:type="dxa"/>
            <w:noWrap w:val="0"/>
            <w:vAlign w:val="center"/>
          </w:tcPr>
          <w:p>
            <w:pPr>
              <w:contextualSpacing/>
              <w:jc w:val="left"/>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 xml:space="preserve">≤235g 含标准电池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外壳材料</w:t>
            </w:r>
          </w:p>
        </w:tc>
        <w:tc>
          <w:tcPr>
            <w:tcW w:w="6939" w:type="dxa"/>
            <w:noWrap w:val="0"/>
            <w:vAlign w:val="center"/>
          </w:tcPr>
          <w:p>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白色抑菌材料，可耐受医用酒精、过氧化氢、丙乙醇、聚维酮碘等医院常用消毒剂（含屏幕部分），</w:t>
            </w:r>
            <w:r>
              <w:rPr>
                <w:rFonts w:hint="eastAsia" w:ascii="仿宋" w:hAnsi="仿宋" w:eastAsia="仿宋" w:cs="仿宋"/>
                <w:color w:val="auto"/>
                <w:sz w:val="21"/>
                <w:szCs w:val="21"/>
                <w:highlight w:val="none"/>
                <w:lang w:val="en-US" w:eastAsia="zh-CN"/>
              </w:rPr>
              <w:t>(</w:t>
            </w:r>
            <w:r>
              <w:rPr>
                <w:rFonts w:hint="eastAsia" w:ascii="仿宋" w:hAnsi="仿宋" w:eastAsia="仿宋" w:cs="仿宋"/>
                <w:b/>
                <w:bCs/>
                <w:color w:val="auto"/>
                <w:sz w:val="21"/>
                <w:szCs w:val="21"/>
                <w:highlight w:val="none"/>
              </w:rPr>
              <w:t>并提供第三方具有CNAS和CMA资质实验室的耐医用酒精和医用过氧化氢擦拭的检测报告</w:t>
            </w:r>
            <w:r>
              <w:rPr>
                <w:rFonts w:hint="eastAsia" w:ascii="仿宋" w:hAnsi="仿宋" w:eastAsia="仿宋" w:cs="仿宋"/>
                <w:b/>
                <w:bCs/>
                <w:color w:val="auto"/>
                <w:sz w:val="21"/>
                <w:szCs w:val="21"/>
                <w:highlight w:val="none"/>
                <w:lang w:val="en-US" w:eastAsia="zh-CN"/>
              </w:rPr>
              <w:t>)</w:t>
            </w:r>
            <w:r>
              <w:rPr>
                <w:rFonts w:hint="eastAsia" w:ascii="仿宋" w:hAnsi="仿宋" w:eastAsia="仿宋" w:cs="仿宋"/>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按键</w:t>
            </w:r>
          </w:p>
        </w:tc>
        <w:tc>
          <w:tcPr>
            <w:tcW w:w="6939" w:type="dxa"/>
            <w:noWrap w:val="0"/>
            <w:vAlign w:val="center"/>
          </w:tcPr>
          <w:p>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en-US"/>
              </w:rPr>
              <w:t>为便于消毒清洗设备正面必须为触控按键，不得有实体按键</w:t>
            </w:r>
            <w:r>
              <w:rPr>
                <w:rFonts w:hint="eastAsia" w:ascii="仿宋" w:hAnsi="仿宋" w:eastAsia="仿宋" w:cs="仿宋"/>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防摔抗震</w:t>
            </w:r>
          </w:p>
        </w:tc>
        <w:tc>
          <w:tcPr>
            <w:tcW w:w="6939" w:type="dxa"/>
            <w:noWrap w:val="0"/>
            <w:vAlign w:val="center"/>
          </w:tcPr>
          <w:p>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可承受1.5m高处到地面的多次跌落；（</w:t>
            </w:r>
            <w:r>
              <w:rPr>
                <w:rFonts w:hint="eastAsia" w:ascii="仿宋" w:hAnsi="仿宋" w:eastAsia="仿宋" w:cs="仿宋"/>
                <w:b/>
                <w:bCs/>
                <w:color w:val="auto"/>
                <w:sz w:val="21"/>
                <w:szCs w:val="21"/>
                <w:highlight w:val="none"/>
              </w:rPr>
              <w:t>需提供第三方机构出具跌落测试报告复印件，其委托单位必须为投标产品原厂商</w:t>
            </w:r>
            <w:r>
              <w:rPr>
                <w:rFonts w:hint="eastAsia" w:ascii="仿宋" w:hAnsi="仿宋" w:eastAsia="仿宋" w:cs="仿宋"/>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防水防尘工业等级</w:t>
            </w:r>
          </w:p>
        </w:tc>
        <w:tc>
          <w:tcPr>
            <w:tcW w:w="6939" w:type="dxa"/>
            <w:noWrap w:val="0"/>
            <w:vAlign w:val="center"/>
          </w:tcPr>
          <w:p>
            <w:pPr>
              <w:contextualSpacing/>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≥IP67，</w:t>
            </w:r>
            <w:r>
              <w:rPr>
                <w:rFonts w:hint="eastAsia" w:ascii="仿宋" w:hAnsi="仿宋" w:eastAsia="仿宋" w:cs="仿宋"/>
                <w:color w:val="auto"/>
                <w:sz w:val="21"/>
                <w:szCs w:val="21"/>
                <w:highlight w:val="none"/>
                <w:lang w:val="en-US" w:eastAsia="zh-CN"/>
              </w:rPr>
              <w:t>(</w:t>
            </w:r>
            <w:r>
              <w:rPr>
                <w:rFonts w:hint="eastAsia" w:ascii="仿宋" w:hAnsi="仿宋" w:eastAsia="仿宋" w:cs="仿宋"/>
                <w:b/>
                <w:bCs/>
                <w:color w:val="auto"/>
                <w:sz w:val="21"/>
                <w:szCs w:val="21"/>
                <w:highlight w:val="none"/>
              </w:rPr>
              <w:t>提供认证证书或检测报告</w:t>
            </w:r>
            <w:r>
              <w:rPr>
                <w:rFonts w:hint="eastAsia" w:ascii="仿宋" w:hAnsi="仿宋" w:eastAsia="仿宋" w:cs="仿宋"/>
                <w:b/>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无故障时间</w:t>
            </w:r>
          </w:p>
        </w:tc>
        <w:tc>
          <w:tcPr>
            <w:tcW w:w="6939" w:type="dxa"/>
            <w:noWrap w:val="0"/>
            <w:vAlign w:val="center"/>
          </w:tcPr>
          <w:p>
            <w:pPr>
              <w:contextualSpacing/>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平均无故障时间不低于20000小时，</w:t>
            </w:r>
            <w:r>
              <w:rPr>
                <w:rFonts w:hint="eastAsia" w:ascii="仿宋" w:hAnsi="仿宋" w:eastAsia="仿宋" w:cs="仿宋"/>
                <w:color w:val="auto"/>
                <w:sz w:val="21"/>
                <w:szCs w:val="21"/>
                <w:highlight w:val="none"/>
                <w:lang w:val="en-US" w:eastAsia="zh-CN"/>
              </w:rPr>
              <w:t>(</w:t>
            </w:r>
            <w:r>
              <w:rPr>
                <w:rFonts w:hint="eastAsia" w:ascii="仿宋" w:hAnsi="仿宋" w:eastAsia="仿宋" w:cs="仿宋"/>
                <w:b/>
                <w:bCs/>
                <w:color w:val="auto"/>
                <w:sz w:val="21"/>
                <w:szCs w:val="21"/>
                <w:highlight w:val="none"/>
              </w:rPr>
              <w:t>并提供第三方检测报告</w:t>
            </w:r>
            <w:r>
              <w:rPr>
                <w:rFonts w:hint="eastAsia" w:ascii="仿宋" w:hAnsi="仿宋" w:eastAsia="仿宋" w:cs="仿宋"/>
                <w:b/>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WIFI网络</w:t>
            </w: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支持802.11a/b/g/n/ac协议，2.4G/5G双频，满足无线局域网WAPI安全协议标准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4G网络</w:t>
            </w: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支持4G全网通；双卡双待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蓝牙网络</w:t>
            </w: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bCs/>
                <w:color w:val="auto"/>
                <w:kern w:val="0"/>
                <w:sz w:val="21"/>
                <w:szCs w:val="21"/>
                <w:highlight w:val="none"/>
              </w:rPr>
              <w:t>Bluetooth</w:t>
            </w:r>
            <w:r>
              <w:rPr>
                <w:rFonts w:hint="eastAsia" w:ascii="仿宋" w:hAnsi="仿宋" w:eastAsia="仿宋" w:cs="仿宋"/>
                <w:color w:val="auto"/>
                <w:sz w:val="21"/>
                <w:szCs w:val="21"/>
                <w:highlight w:val="none"/>
              </w:rPr>
              <w:t>5.0（支持BLE）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定位系统</w:t>
            </w: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支持主流定位服务，GPS，北斗等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扫描</w:t>
            </w: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上下倾斜视角：±60，左右偏移视角：±55°，激光安全等级：Class 2，旋转视角：360°，图像分辨率：1280(H)×800(V)；条码扫描：十字纳米激光扫描、暖白光照明，红色激光瞄准。</w:t>
            </w:r>
            <w:r>
              <w:rPr>
                <w:rFonts w:hint="eastAsia" w:ascii="仿宋" w:hAnsi="仿宋" w:eastAsia="仿宋" w:cs="仿宋"/>
                <w:color w:val="auto"/>
                <w:sz w:val="21"/>
                <w:szCs w:val="21"/>
                <w:highlight w:val="none"/>
                <w:lang w:bidi="en-US"/>
              </w:rPr>
              <w:t>扫描引擎要求由PDA厂家原厂生产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条码读取</w:t>
            </w:r>
          </w:p>
        </w:tc>
        <w:tc>
          <w:tcPr>
            <w:tcW w:w="6939" w:type="dxa"/>
            <w:noWrap w:val="0"/>
            <w:vAlign w:val="center"/>
          </w:tcPr>
          <w:p>
            <w:pPr>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支持GS1条码识别，扫描工具同步支持设置GS1应用标识分隔符开关功能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准心模式</w:t>
            </w: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可实现PDA准心扫描，防止相邻条码的误读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扫描按键</w:t>
            </w: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同时支持左右两侧实体扫描按键及屏幕虚拟扫描按键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操作系统</w:t>
            </w:r>
          </w:p>
        </w:tc>
        <w:tc>
          <w:tcPr>
            <w:tcW w:w="6939" w:type="dxa"/>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Android 9.0或以上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二维码快捷设置</w:t>
            </w:r>
          </w:p>
        </w:tc>
        <w:tc>
          <w:tcPr>
            <w:tcW w:w="6939" w:type="dxa"/>
            <w:noWrap w:val="0"/>
            <w:vAlign w:val="center"/>
          </w:tcPr>
          <w:p>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通过扫描二维码快速实现复制其他设备部分设置，如条码、WiFi等设置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安全管理桌面</w:t>
            </w:r>
          </w:p>
        </w:tc>
        <w:tc>
          <w:tcPr>
            <w:tcW w:w="6939" w:type="dxa"/>
            <w:noWrap w:val="0"/>
            <w:vAlign w:val="center"/>
          </w:tcPr>
          <w:p>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系统自带安全管理桌面，限制使用指定APP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网络安全管理</w:t>
            </w:r>
          </w:p>
        </w:tc>
        <w:tc>
          <w:tcPr>
            <w:tcW w:w="6939" w:type="dxa"/>
            <w:noWrap w:val="0"/>
            <w:vAlign w:val="center"/>
          </w:tcPr>
          <w:p>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不借助任何第三方软件</w:t>
            </w:r>
            <w:r>
              <w:rPr>
                <w:rFonts w:hint="eastAsia" w:ascii="仿宋" w:hAnsi="仿宋" w:eastAsia="仿宋" w:cs="仿宋"/>
                <w:color w:val="auto"/>
                <w:kern w:val="0"/>
                <w:sz w:val="21"/>
                <w:szCs w:val="21"/>
                <w:highlight w:val="none"/>
              </w:rPr>
              <w:t>实现添加网络白（黑）名单功能，屏蔽非法网络</w:t>
            </w:r>
            <w:r>
              <w:rPr>
                <w:rFonts w:hint="eastAsia" w:ascii="仿宋" w:hAnsi="仿宋" w:eastAsia="仿宋" w:cs="仿宋"/>
                <w:color w:val="auto"/>
                <w:sz w:val="21"/>
                <w:szCs w:val="21"/>
                <w:highlight w:val="none"/>
              </w:rPr>
              <w:t>，确保设备院内医疗使用。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系统安全设计</w:t>
            </w:r>
          </w:p>
        </w:tc>
        <w:tc>
          <w:tcPr>
            <w:tcW w:w="6939" w:type="dxa"/>
            <w:noWrap w:val="0"/>
            <w:vAlign w:val="center"/>
          </w:tcPr>
          <w:p>
            <w:pPr>
              <w:contextualSpacing/>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具有密码验证机制，在安装新的APP需要输入密码方可确认、可设置APP使用权限，禁止使用非法APP应用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pPr>
              <w:jc w:val="center"/>
              <w:rPr>
                <w:rFonts w:hint="eastAsia" w:ascii="仿宋" w:hAnsi="仿宋" w:eastAsia="仿宋" w:cs="仿宋"/>
                <w:color w:val="auto"/>
                <w:sz w:val="21"/>
                <w:szCs w:val="21"/>
                <w:highlight w:val="none"/>
              </w:rPr>
            </w:pPr>
          </w:p>
        </w:tc>
        <w:tc>
          <w:tcPr>
            <w:tcW w:w="1481" w:type="dxa"/>
            <w:noWrap w:val="0"/>
            <w:vAlign w:val="center"/>
          </w:tcPr>
          <w:p>
            <w:pPr>
              <w:contextualSpacing/>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▲认证材料</w:t>
            </w:r>
          </w:p>
        </w:tc>
        <w:tc>
          <w:tcPr>
            <w:tcW w:w="6939" w:type="dxa"/>
            <w:noWrap w:val="0"/>
            <w:vAlign w:val="center"/>
          </w:tcPr>
          <w:p>
            <w:pPr>
              <w:contextualSpacing/>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需提供硬件原厂商出具的授权函</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6.条码打印机</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打印宽度：4.1 英寸/104.14 毫米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通信方式：USB 2.0（标准）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打印速度：每秒 6 英寸/152 毫米 (203 dpi)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打印分辨率：203 dpi/8 点/毫米</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7.条码扫描枪</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 ：≥5.7 in. 高 x 3.4 in. 宽 x 3.3 in. 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旋转角度∶360°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倾斜视角∶±60°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偏移允差∶土60°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扫描速度:≥13 mil UPC 下每秒可达 120 in./305 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图像传感器:≥1280 x 800 像素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条码解码能力：一维，二维</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8.热敏标签</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属性：热敏打印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规格：80*50</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9.液晶电视</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尺寸：≥42英寸1080p非触摸屏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运行内存/RAM:≥1GB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系统：Android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存储内存≥4GB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CPU核心数：双核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屏占比：95%&gt;N≥90%</w:t>
            </w:r>
          </w:p>
        </w:tc>
      </w:tr>
    </w:tbl>
    <w:p>
      <w:pPr>
        <w:keepNext w:val="0"/>
        <w:keepLines w:val="0"/>
        <w:pageBreakBefore w:val="0"/>
        <w:widowControl w:val="0"/>
        <w:kinsoku/>
        <w:wordWrap/>
        <w:overflowPunct/>
        <w:topLinePunct w:val="0"/>
        <w:autoSpaceDE/>
        <w:autoSpaceDN/>
        <w:bidi w:val="0"/>
        <w:adjustRightInd/>
        <w:snapToGrid/>
        <w:spacing w:line="360" w:lineRule="auto"/>
        <w:ind w:firstLine="211" w:firstLineChars="1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四、商务条款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本次项目中涉及的系统软件</w:t>
      </w:r>
      <w:r>
        <w:rPr>
          <w:rFonts w:hint="eastAsia" w:ascii="仿宋" w:hAnsi="仿宋" w:eastAsia="仿宋" w:cs="仿宋"/>
          <w:color w:val="auto"/>
          <w:highlight w:val="none"/>
          <w:lang w:val="en-US" w:eastAsia="zh-CN"/>
        </w:rPr>
        <w:t>和硬件</w:t>
      </w:r>
      <w:r>
        <w:rPr>
          <w:rFonts w:hint="eastAsia" w:ascii="仿宋" w:hAnsi="仿宋" w:eastAsia="仿宋" w:cs="仿宋"/>
          <w:color w:val="auto"/>
          <w:highlight w:val="none"/>
        </w:rPr>
        <w:t>须至少提供壹年</w:t>
      </w:r>
      <w:r>
        <w:rPr>
          <w:rFonts w:hint="eastAsia" w:ascii="仿宋" w:hAnsi="仿宋" w:eastAsia="仿宋" w:cs="仿宋"/>
          <w:color w:val="auto"/>
          <w:highlight w:val="none"/>
          <w:lang w:eastAsia="zh-CN"/>
        </w:rPr>
        <w:t>免费</w:t>
      </w:r>
      <w:r>
        <w:rPr>
          <w:rFonts w:hint="eastAsia" w:ascii="仿宋" w:hAnsi="仿宋" w:eastAsia="仿宋" w:cs="仿宋"/>
          <w:color w:val="auto"/>
          <w:highlight w:val="none"/>
        </w:rPr>
        <w:t>质保服务</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其中数字手持显示终端需至少提供叁年免费质保服务</w:t>
      </w:r>
      <w:r>
        <w:rPr>
          <w:rFonts w:hint="eastAsia" w:ascii="仿宋" w:hAnsi="仿宋" w:eastAsia="仿宋" w:cs="仿宋"/>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供应商需无条件</w:t>
      </w:r>
      <w:r>
        <w:rPr>
          <w:rFonts w:hint="eastAsia" w:ascii="仿宋" w:hAnsi="仿宋" w:eastAsia="仿宋" w:cs="仿宋"/>
          <w:color w:val="auto"/>
          <w:highlight w:val="none"/>
        </w:rPr>
        <w:t>配合医院</w:t>
      </w:r>
      <w:r>
        <w:rPr>
          <w:rFonts w:hint="eastAsia" w:ascii="仿宋" w:hAnsi="仿宋" w:eastAsia="仿宋" w:cs="仿宋"/>
          <w:color w:val="auto"/>
          <w:highlight w:val="none"/>
          <w:lang w:val="en-US" w:eastAsia="zh-CN"/>
        </w:rPr>
        <w:t>通</w:t>
      </w:r>
      <w:r>
        <w:rPr>
          <w:rFonts w:hint="eastAsia" w:ascii="仿宋" w:hAnsi="仿宋" w:eastAsia="仿宋" w:cs="仿宋"/>
          <w:color w:val="auto"/>
          <w:highlight w:val="none"/>
        </w:rPr>
        <w:t>过电子病历5级评审、电子病历6级评审，互联互通四级甲等评审，包括评级相关的功能及接口改造</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需提供承诺函</w:t>
      </w:r>
      <w:r>
        <w:rPr>
          <w:rFonts w:hint="eastAsia" w:ascii="仿宋" w:hAnsi="仿宋" w:eastAsia="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211" w:firstLineChars="100"/>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五、其他要求：</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（一）</w:t>
      </w:r>
      <w:r>
        <w:rPr>
          <w:rFonts w:hint="eastAsia" w:ascii="仿宋" w:hAnsi="仿宋" w:eastAsia="仿宋" w:cs="仿宋"/>
          <w:color w:val="auto"/>
          <w:sz w:val="21"/>
          <w:szCs w:val="21"/>
          <w:highlight w:val="none"/>
        </w:rPr>
        <w:t>、项目管理、实施、验收、培训要求</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1、投标人应充分考虑满足投标项目的建设要求，提出完整的项目施工组织方案。</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2、维保期内免费开放接口供绍兴市</w:t>
      </w:r>
      <w:r>
        <w:rPr>
          <w:rFonts w:hint="eastAsia" w:ascii="仿宋" w:hAnsi="仿宋" w:eastAsia="仿宋" w:cs="仿宋"/>
          <w:color w:val="auto"/>
          <w:sz w:val="21"/>
          <w:szCs w:val="21"/>
          <w:highlight w:val="none"/>
          <w:lang w:eastAsia="zh-CN"/>
        </w:rPr>
        <w:t>中医院</w:t>
      </w:r>
      <w:r>
        <w:rPr>
          <w:rFonts w:hint="eastAsia" w:ascii="仿宋" w:hAnsi="仿宋" w:eastAsia="仿宋" w:cs="仿宋"/>
          <w:color w:val="auto"/>
          <w:sz w:val="21"/>
          <w:szCs w:val="21"/>
          <w:highlight w:val="none"/>
        </w:rPr>
        <w:t>其它系统使用及认证。</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3、系统达到应用系统三级等级保护要求，并配合三级等级保护测评工作</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eastAsia="zh-CN"/>
        </w:rPr>
        <w:t>必须通过做好系统上线前第三方安全检测，相关检测费用由中标方承担</w:t>
      </w:r>
      <w:r>
        <w:rPr>
          <w:rFonts w:hint="eastAsia" w:ascii="仿宋" w:hAnsi="仿宋" w:eastAsia="仿宋" w:cs="仿宋"/>
          <w:color w:val="auto"/>
          <w:sz w:val="21"/>
          <w:szCs w:val="21"/>
          <w:highlight w:val="none"/>
        </w:rPr>
        <w:t>。</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4、中标方承担与</w:t>
      </w:r>
      <w:r>
        <w:rPr>
          <w:rFonts w:hint="eastAsia" w:ascii="仿宋" w:hAnsi="仿宋" w:eastAsia="仿宋" w:cs="仿宋"/>
          <w:color w:val="auto"/>
          <w:sz w:val="21"/>
          <w:szCs w:val="21"/>
          <w:highlight w:val="none"/>
          <w:lang w:eastAsia="zh-CN"/>
        </w:rPr>
        <w:t>绍兴市中医院</w:t>
      </w:r>
      <w:r>
        <w:rPr>
          <w:rFonts w:hint="eastAsia" w:ascii="仿宋" w:hAnsi="仿宋" w:eastAsia="仿宋" w:cs="仿宋"/>
          <w:color w:val="auto"/>
          <w:sz w:val="21"/>
          <w:szCs w:val="21"/>
          <w:highlight w:val="none"/>
        </w:rPr>
        <w:t>业务相关第三方系统接口对接所有费用。</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5、本项目为“一揽子工程”， 中标人应充分理解与满足招标文件中的需求与目标，如中标人对本项目理解有误或方案设计存在偏差等，导致项目在实施过程中发现遗漏工</w:t>
      </w:r>
      <w:r>
        <w:rPr>
          <w:rFonts w:hint="eastAsia" w:ascii="仿宋" w:hAnsi="仿宋" w:eastAsia="仿宋" w:cs="仿宋"/>
          <w:color w:val="auto"/>
          <w:sz w:val="21"/>
          <w:szCs w:val="21"/>
          <w:highlight w:val="none"/>
          <w:lang w:eastAsia="zh-CN"/>
        </w:rPr>
        <w:t>作</w:t>
      </w:r>
      <w:r>
        <w:rPr>
          <w:rFonts w:hint="eastAsia" w:ascii="仿宋" w:hAnsi="仿宋" w:eastAsia="仿宋" w:cs="仿宋"/>
          <w:color w:val="auto"/>
          <w:sz w:val="21"/>
          <w:szCs w:val="21"/>
          <w:highlight w:val="none"/>
        </w:rPr>
        <w:t>的，弥补的项目费用全部由中标人承担，招标人不再另行支付其他费用。</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6、由原厂技术人员实地完成本项目实施。根据招标人要求与</w:t>
      </w:r>
      <w:r>
        <w:rPr>
          <w:rFonts w:hint="eastAsia" w:ascii="仿宋" w:hAnsi="仿宋" w:eastAsia="仿宋" w:cs="仿宋"/>
          <w:color w:val="auto"/>
          <w:sz w:val="21"/>
          <w:szCs w:val="21"/>
          <w:highlight w:val="none"/>
          <w:lang w:eastAsia="zh-CN"/>
        </w:rPr>
        <w:t>绍兴市中医院</w:t>
      </w:r>
      <w:r>
        <w:rPr>
          <w:rFonts w:hint="eastAsia" w:ascii="仿宋" w:hAnsi="仿宋" w:eastAsia="仿宋" w:cs="仿宋"/>
          <w:color w:val="auto"/>
          <w:sz w:val="21"/>
          <w:szCs w:val="21"/>
          <w:highlight w:val="none"/>
        </w:rPr>
        <w:t>现有的系统做好无缝对接，接口产生的所有费用全部由中标人承担。</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（二）</w:t>
      </w:r>
      <w:r>
        <w:rPr>
          <w:rFonts w:hint="eastAsia" w:ascii="仿宋" w:hAnsi="仿宋" w:eastAsia="仿宋" w:cs="仿宋"/>
          <w:color w:val="auto"/>
          <w:sz w:val="21"/>
          <w:szCs w:val="21"/>
          <w:highlight w:val="none"/>
        </w:rPr>
        <w:t>、项目实施进度要求:</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1.安装地点：</w:t>
      </w:r>
      <w:r>
        <w:rPr>
          <w:rFonts w:hint="eastAsia" w:ascii="仿宋" w:hAnsi="仿宋" w:eastAsia="仿宋" w:cs="仿宋"/>
          <w:color w:val="auto"/>
          <w:sz w:val="21"/>
          <w:szCs w:val="21"/>
          <w:highlight w:val="none"/>
          <w:lang w:eastAsia="zh-CN"/>
        </w:rPr>
        <w:t>绍兴市中医院</w:t>
      </w:r>
      <w:r>
        <w:rPr>
          <w:rFonts w:hint="eastAsia" w:ascii="仿宋" w:hAnsi="仿宋" w:eastAsia="仿宋" w:cs="仿宋"/>
          <w:color w:val="auto"/>
          <w:sz w:val="21"/>
          <w:szCs w:val="21"/>
          <w:highlight w:val="none"/>
        </w:rPr>
        <w:t>。</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2.项目完成时间：自合同签订后，</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个月内完成开发并上线试运行，试运行1个月后再进行验收，投标人应在投标文件中标明工期及实施计划、进度。</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3项目培训要求:</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系统操作培训：主要面向使用人员，投标人需提供操作培训及文档；</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投标供应商应按采购人约定合理地安排培训时间。</w:t>
      </w:r>
    </w:p>
    <w:p>
      <w:pPr>
        <w:spacing w:line="440" w:lineRule="exact"/>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所有的培训费用必须计入投标总价。</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验收要求：</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验收方法：本项目按招标文件要求所有系统完成后，进行项目总验收。验收工作由中标供应商提出，采购人组织相关人员组成评审组进行验收。</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验收时间：完成安装、调试完毕，上线试运行并稳定运用1个月后，由中标供应商提出验收申请，采购人应于中标供应商提出验收申请后5个工作日内组织验收。采购人验收合格后应当出具验收报告。</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验收标准：</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(1)产品所有技术性能规格及参数：应符合采购文件和中标供应商响应文件所要求的技术标准及服务标准。系统运行稳定，无故障，数据无错误。</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(2)验收工作由采购人和中标供应商共同进行。在验收时，中标供应商应向采购人提供相关资料，按采购人提出的方式验收。</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 xml:space="preserve">.验收文件的签署：由中标供应商撰写服务完成报告，由采购人委派的负责人在审核后签署。 </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.项目完结时中标供应商应提交的成果和整个项目过程电子文档，包括但不限于：(1)实施确认书；(2)培训资料；(3)安装维护手册；(4)使用操作手册；(5)项目验收报告</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系统上线前第三方检测报告</w:t>
      </w:r>
      <w:r>
        <w:rPr>
          <w:rFonts w:hint="eastAsia" w:ascii="仿宋" w:hAnsi="仿宋" w:eastAsia="仿宋" w:cs="仿宋"/>
          <w:color w:val="auto"/>
          <w:sz w:val="21"/>
          <w:szCs w:val="21"/>
          <w:highlight w:val="none"/>
        </w:rPr>
        <w:t>。</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（三）</w:t>
      </w:r>
      <w:r>
        <w:rPr>
          <w:rFonts w:hint="eastAsia" w:ascii="仿宋" w:hAnsi="仿宋" w:eastAsia="仿宋" w:cs="仿宋"/>
          <w:color w:val="auto"/>
          <w:sz w:val="21"/>
          <w:szCs w:val="21"/>
          <w:highlight w:val="none"/>
        </w:rPr>
        <w:t>、项目售后服务要求:</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1.投标人必须根据本次招标文件所制定的目标和范围，提出相应的售后服务方案。</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1小时内做出明确响应和安排，现场响应时间要求是接到用户需求电话后4小时内到达。包括免费升级、功能完善、故障排除、性能调优、技术咨询等，并负责系统的开发、集成，处理、协调与各系统软件等供应商的关系。</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3.要求针对本项目成立软件开发实施项目组，明确项目经理及其他具体人员组成和分工。项目经理负责定期每月向甲方提交工作计划月报以及提交工作总结，监管项目按进度和计划有效开展。</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4.在本合同项目实施及维保期间内，投标人应承诺对合同范围内的产品免费提供更新、升级服务。</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5.免费质保期：自项目验收之日起，至少为期1年免费质保和永久技术支持，包括各种突发事件采取应急措施等。</w:t>
      </w:r>
    </w:p>
    <w:p>
      <w:pPr>
        <w:pStyle w:val="20"/>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6.在质保期内，中标人的工程师和招标人代表对所有产品随时进行测试任何故障须由中标人自费解决并取得招标人的认可。</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7.招标人保留对中标产品进行免费的重做接口、异地搬迁、数据库迁移安装、调试等的权利。</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（四）</w:t>
      </w:r>
      <w:r>
        <w:rPr>
          <w:rFonts w:hint="eastAsia" w:ascii="仿宋" w:hAnsi="仿宋" w:eastAsia="仿宋" w:cs="仿宋"/>
          <w:color w:val="auto"/>
          <w:sz w:val="21"/>
          <w:szCs w:val="21"/>
          <w:highlight w:val="none"/>
        </w:rPr>
        <w:t>、接口</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中标人须负责完成与本次实施系统相关的第三方软件产品（包括不仅限于</w:t>
      </w:r>
      <w:r>
        <w:rPr>
          <w:rFonts w:hint="eastAsia" w:ascii="仿宋" w:hAnsi="仿宋" w:eastAsia="仿宋" w:cs="仿宋"/>
          <w:color w:val="auto"/>
          <w:sz w:val="21"/>
          <w:szCs w:val="21"/>
          <w:highlight w:val="none"/>
          <w:lang w:eastAsia="zh-CN"/>
        </w:rPr>
        <w:t>绍兴市中医院</w:t>
      </w:r>
      <w:r>
        <w:rPr>
          <w:rFonts w:hint="eastAsia" w:ascii="仿宋" w:hAnsi="仿宋" w:eastAsia="仿宋" w:cs="仿宋"/>
          <w:color w:val="auto"/>
          <w:sz w:val="21"/>
          <w:szCs w:val="21"/>
          <w:highlight w:val="none"/>
        </w:rPr>
        <w:t>信息平台、HIS等）的系统接口集成工作，并在合同实施期内完成。所产生的全部接口费用(包括第三方软件产品)由中标方承担。</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（五）</w:t>
      </w:r>
      <w:r>
        <w:rPr>
          <w:rFonts w:hint="eastAsia" w:ascii="仿宋" w:hAnsi="仿宋" w:eastAsia="仿宋" w:cs="仿宋"/>
          <w:color w:val="auto"/>
          <w:sz w:val="21"/>
          <w:szCs w:val="21"/>
          <w:highlight w:val="none"/>
        </w:rPr>
        <w:t>、付款方式：</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（六）</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监理</w:t>
      </w:r>
    </w:p>
    <w:p>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本项目的监理单位为</w:t>
      </w:r>
      <w:r>
        <w:rPr>
          <w:rFonts w:hint="eastAsia" w:ascii="仿宋" w:hAnsi="仿宋" w:eastAsia="仿宋" w:cs="仿宋"/>
          <w:color w:val="auto"/>
          <w:sz w:val="21"/>
          <w:szCs w:val="21"/>
          <w:highlight w:val="none"/>
          <w:lang w:eastAsia="zh-CN"/>
        </w:rPr>
        <w:t>绍兴市中医院</w:t>
      </w:r>
      <w:r>
        <w:rPr>
          <w:rFonts w:hint="eastAsia" w:ascii="仿宋" w:hAnsi="仿宋" w:eastAsia="仿宋" w:cs="仿宋"/>
          <w:color w:val="auto"/>
          <w:sz w:val="21"/>
          <w:szCs w:val="21"/>
          <w:highlight w:val="none"/>
        </w:rPr>
        <w:t>信息化监理服务中标单位。</w:t>
      </w:r>
    </w:p>
    <w:p>
      <w:pPr>
        <w:pStyle w:val="34"/>
        <w:rPr>
          <w:rFonts w:hint="eastAsia" w:ascii="仿宋" w:hAnsi="仿宋" w:eastAsia="仿宋" w:cs="仿宋"/>
          <w:color w:val="auto"/>
          <w:highlight w:val="none"/>
        </w:rPr>
      </w:pPr>
    </w:p>
    <w:p>
      <w:pPr>
        <w:rPr>
          <w:rFonts w:hint="eastAsia"/>
          <w:color w:val="auto"/>
          <w:highlight w:val="none"/>
        </w:rPr>
      </w:pPr>
    </w:p>
    <w:p>
      <w:pPr>
        <w:spacing w:line="440" w:lineRule="exact"/>
        <w:ind w:right="420"/>
        <w:rPr>
          <w:rFonts w:hint="eastAsia" w:ascii="仿宋" w:hAnsi="仿宋" w:eastAsia="仿宋" w:cs="仿宋"/>
          <w:color w:val="auto"/>
          <w:highlight w:val="none"/>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r>
        <w:rPr>
          <w:rFonts w:hint="eastAsia" w:ascii="仿宋" w:hAnsi="仿宋" w:eastAsia="仿宋" w:cs="仿宋"/>
          <w:b/>
          <w:bCs/>
          <w:color w:val="auto"/>
          <w:sz w:val="24"/>
          <w:highlight w:val="none"/>
          <w:lang w:eastAsia="zh-CN"/>
        </w:rPr>
        <w:t>病理质控与信息管理系统站点升级</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9.9</w:t>
      </w:r>
      <w:r>
        <w:rPr>
          <w:rFonts w:hint="eastAsia" w:ascii="仿宋" w:hAnsi="仿宋" w:eastAsia="仿宋" w:cs="仿宋"/>
          <w:b/>
          <w:bCs/>
          <w:color w:val="auto"/>
          <w:sz w:val="24"/>
          <w:highlight w:val="none"/>
        </w:rPr>
        <w:t>万元）</w:t>
      </w:r>
    </w:p>
    <w:p>
      <w:pPr>
        <w:pStyle w:val="4"/>
        <w:rPr>
          <w:rFonts w:hint="eastAsia" w:ascii="仿宋" w:hAnsi="仿宋" w:eastAsia="仿宋" w:cs="仿宋"/>
          <w:color w:val="auto"/>
          <w:highlight w:val="none"/>
        </w:rPr>
      </w:pPr>
      <w:r>
        <w:rPr>
          <w:rFonts w:hint="eastAsia" w:ascii="仿宋" w:hAnsi="仿宋" w:eastAsia="仿宋" w:cs="仿宋"/>
          <w:b/>
          <w:bCs/>
          <w:color w:val="auto"/>
          <w:kern w:val="2"/>
          <w:sz w:val="21"/>
          <w:szCs w:val="24"/>
          <w:highlight w:val="none"/>
          <w:lang w:val="en-US" w:eastAsia="zh-CN" w:bidi="ar-SA"/>
        </w:rPr>
        <w:t>产品配置清单</w:t>
      </w:r>
    </w:p>
    <w:tbl>
      <w:tblPr>
        <w:tblStyle w:val="64"/>
        <w:tblW w:w="89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3270"/>
        <w:gridCol w:w="810"/>
        <w:gridCol w:w="40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958" w:type="dxa"/>
            <w:gridSpan w:val="4"/>
            <w:noWrap w:val="0"/>
            <w:vAlign w:val="center"/>
          </w:tcPr>
          <w:p>
            <w:pPr>
              <w:jc w:val="center"/>
              <w:rPr>
                <w:rFonts w:hint="eastAsia" w:ascii="仿宋" w:hAnsi="仿宋" w:eastAsia="仿宋" w:cs="仿宋"/>
                <w:color w:val="auto"/>
                <w:kern w:val="0"/>
                <w:sz w:val="24"/>
                <w:szCs w:val="28"/>
                <w:highlight w:val="none"/>
              </w:rPr>
            </w:pPr>
            <w:r>
              <w:rPr>
                <w:rFonts w:hint="eastAsia" w:ascii="仿宋" w:hAnsi="仿宋" w:eastAsia="仿宋" w:cs="仿宋"/>
                <w:b/>
                <w:bCs/>
                <w:color w:val="auto"/>
                <w:kern w:val="2"/>
                <w:sz w:val="21"/>
                <w:szCs w:val="24"/>
                <w:highlight w:val="none"/>
                <w:lang w:val="en-US" w:eastAsia="zh-CN" w:bidi="ar-SA"/>
              </w:rPr>
              <w:t>病理科内部管理工作站系统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19" w:type="dxa"/>
            <w:noWrap w:val="0"/>
            <w:vAlign w:val="center"/>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序号</w:t>
            </w:r>
          </w:p>
        </w:tc>
        <w:tc>
          <w:tcPr>
            <w:tcW w:w="3270" w:type="dxa"/>
            <w:noWrap w:val="0"/>
            <w:vAlign w:val="center"/>
          </w:tcPr>
          <w:p>
            <w:pPr>
              <w:keepNext w:val="0"/>
              <w:keepLines w:val="0"/>
              <w:pageBreakBefore w:val="0"/>
              <w:widowControl w:val="0"/>
              <w:kinsoku/>
              <w:wordWrap/>
              <w:overflowPunct/>
              <w:topLinePunct w:val="0"/>
              <w:autoSpaceDE/>
              <w:autoSpaceDN/>
              <w:bidi w:val="0"/>
              <w:adjustRightInd/>
              <w:spacing w:line="360" w:lineRule="auto"/>
              <w:ind w:firstLine="420" w:firstLineChars="200"/>
              <w:jc w:val="center"/>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项目内容</w:t>
            </w:r>
          </w:p>
        </w:tc>
        <w:tc>
          <w:tcPr>
            <w:tcW w:w="810" w:type="dxa"/>
            <w:noWrap w:val="0"/>
            <w:vAlign w:val="center"/>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rPr>
              <w:t>点数</w:t>
            </w:r>
          </w:p>
        </w:tc>
        <w:tc>
          <w:tcPr>
            <w:tcW w:w="4059" w:type="dxa"/>
            <w:noWrap w:val="0"/>
            <w:vAlign w:val="center"/>
          </w:tcPr>
          <w:p>
            <w:pPr>
              <w:keepNext w:val="0"/>
              <w:keepLines w:val="0"/>
              <w:pageBreakBefore w:val="0"/>
              <w:widowControl w:val="0"/>
              <w:kinsoku/>
              <w:wordWrap/>
              <w:overflowPunct/>
              <w:topLinePunct w:val="0"/>
              <w:autoSpaceDE/>
              <w:autoSpaceDN/>
              <w:bidi w:val="0"/>
              <w:adjustRightInd/>
              <w:spacing w:line="360" w:lineRule="auto"/>
              <w:ind w:firstLine="420" w:firstLineChars="200"/>
              <w:jc w:val="center"/>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19" w:type="dxa"/>
            <w:noWrap w:val="0"/>
            <w:vAlign w:val="center"/>
          </w:tcPr>
          <w:p>
            <w:pPr>
              <w:keepNext w:val="0"/>
              <w:keepLines w:val="0"/>
              <w:pageBreakBefore w:val="0"/>
              <w:widowControl w:val="0"/>
              <w:kinsoku/>
              <w:wordWrap/>
              <w:overflowPunct/>
              <w:topLinePunct w:val="0"/>
              <w:autoSpaceDE/>
              <w:autoSpaceDN/>
              <w:bidi w:val="0"/>
              <w:adjustRightInd/>
              <w:spacing w:line="360" w:lineRule="auto"/>
              <w:ind w:firstLine="210" w:firstLineChars="1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w:t>
            </w:r>
          </w:p>
        </w:tc>
        <w:tc>
          <w:tcPr>
            <w:tcW w:w="3270" w:type="dxa"/>
            <w:noWrap w:val="0"/>
            <w:vAlign w:val="center"/>
          </w:tcPr>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取材记录工作站</w:t>
            </w:r>
          </w:p>
        </w:tc>
        <w:tc>
          <w:tcPr>
            <w:tcW w:w="810"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1</w:t>
            </w:r>
          </w:p>
        </w:tc>
        <w:tc>
          <w:tcPr>
            <w:tcW w:w="4059" w:type="dxa"/>
            <w:noWrap w:val="0"/>
            <w:vAlign w:val="center"/>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取材冰冻站点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19" w:type="dxa"/>
            <w:noWrap w:val="0"/>
            <w:vAlign w:val="center"/>
          </w:tcPr>
          <w:p>
            <w:pPr>
              <w:keepNext w:val="0"/>
              <w:keepLines w:val="0"/>
              <w:pageBreakBefore w:val="0"/>
              <w:widowControl w:val="0"/>
              <w:kinsoku/>
              <w:wordWrap/>
              <w:overflowPunct/>
              <w:topLinePunct w:val="0"/>
              <w:autoSpaceDE/>
              <w:autoSpaceDN/>
              <w:bidi w:val="0"/>
              <w:adjustRightInd/>
              <w:spacing w:line="360" w:lineRule="auto"/>
              <w:ind w:firstLine="210" w:firstLineChars="1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2</w:t>
            </w:r>
          </w:p>
        </w:tc>
        <w:tc>
          <w:tcPr>
            <w:tcW w:w="3270" w:type="dxa"/>
            <w:noWrap w:val="0"/>
            <w:vAlign w:val="center"/>
          </w:tcPr>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综合诊断工作站</w:t>
            </w:r>
          </w:p>
        </w:tc>
        <w:tc>
          <w:tcPr>
            <w:tcW w:w="810"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5</w:t>
            </w:r>
          </w:p>
        </w:tc>
        <w:tc>
          <w:tcPr>
            <w:tcW w:w="4059" w:type="dxa"/>
            <w:noWrap w:val="0"/>
            <w:vAlign w:val="center"/>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医生站点3个，远程会诊室站点一个，细胞室站点一个，包含3个数字摄像头及C接口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19" w:type="dxa"/>
            <w:noWrap w:val="0"/>
            <w:vAlign w:val="center"/>
          </w:tcPr>
          <w:p>
            <w:pPr>
              <w:keepNext w:val="0"/>
              <w:keepLines w:val="0"/>
              <w:pageBreakBefore w:val="0"/>
              <w:widowControl w:val="0"/>
              <w:kinsoku/>
              <w:wordWrap/>
              <w:overflowPunct/>
              <w:topLinePunct w:val="0"/>
              <w:autoSpaceDE/>
              <w:autoSpaceDN/>
              <w:bidi w:val="0"/>
              <w:adjustRightInd/>
              <w:spacing w:line="360" w:lineRule="auto"/>
              <w:ind w:firstLine="210" w:firstLineChars="100"/>
              <w:textAlignment w:val="auto"/>
              <w:rPr>
                <w:rFonts w:hint="eastAsia" w:ascii="仿宋" w:hAnsi="仿宋" w:eastAsia="仿宋" w:cs="仿宋"/>
                <w:bCs/>
                <w:color w:val="auto"/>
                <w:kern w:val="0"/>
                <w:szCs w:val="21"/>
                <w:highlight w:val="none"/>
                <w:lang w:eastAsia="zh-CN"/>
              </w:rPr>
            </w:pPr>
            <w:r>
              <w:rPr>
                <w:rFonts w:hint="eastAsia" w:ascii="仿宋" w:hAnsi="仿宋" w:eastAsia="仿宋" w:cs="仿宋"/>
                <w:bCs/>
                <w:color w:val="auto"/>
                <w:kern w:val="0"/>
                <w:szCs w:val="21"/>
                <w:highlight w:val="none"/>
                <w:lang w:val="en-US" w:eastAsia="zh-CN"/>
              </w:rPr>
              <w:t>3</w:t>
            </w:r>
          </w:p>
        </w:tc>
        <w:tc>
          <w:tcPr>
            <w:tcW w:w="3270" w:type="dxa"/>
            <w:noWrap w:val="0"/>
            <w:vAlign w:val="center"/>
          </w:tcPr>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lang w:eastAsia="zh-CN"/>
              </w:rPr>
            </w:pPr>
            <w:r>
              <w:rPr>
                <w:rFonts w:hint="eastAsia" w:ascii="仿宋" w:hAnsi="仿宋" w:eastAsia="仿宋" w:cs="仿宋"/>
                <w:bCs/>
                <w:color w:val="auto"/>
                <w:kern w:val="0"/>
                <w:szCs w:val="21"/>
                <w:highlight w:val="none"/>
                <w:lang w:val="en-US" w:eastAsia="zh-CN"/>
              </w:rPr>
              <w:t>特检</w:t>
            </w:r>
            <w:r>
              <w:rPr>
                <w:rFonts w:hint="eastAsia" w:ascii="仿宋" w:hAnsi="仿宋" w:eastAsia="仿宋" w:cs="仿宋"/>
                <w:bCs/>
                <w:color w:val="auto"/>
                <w:kern w:val="0"/>
                <w:szCs w:val="21"/>
                <w:highlight w:val="none"/>
              </w:rPr>
              <w:t>工作站</w:t>
            </w:r>
            <w:r>
              <w:rPr>
                <w:rFonts w:hint="eastAsia" w:ascii="仿宋" w:hAnsi="仿宋" w:eastAsia="仿宋" w:cs="仿宋"/>
                <w:bCs/>
                <w:color w:val="auto"/>
                <w:kern w:val="0"/>
                <w:szCs w:val="21"/>
                <w:highlight w:val="none"/>
                <w:lang w:eastAsia="zh-CN"/>
              </w:rPr>
              <w:t>（</w:t>
            </w:r>
            <w:r>
              <w:rPr>
                <w:rFonts w:hint="eastAsia" w:ascii="仿宋" w:hAnsi="仿宋" w:eastAsia="仿宋" w:cs="仿宋"/>
                <w:bCs/>
                <w:color w:val="auto"/>
                <w:kern w:val="0"/>
                <w:szCs w:val="21"/>
                <w:highlight w:val="none"/>
                <w:lang w:val="en-US" w:eastAsia="zh-CN"/>
              </w:rPr>
              <w:t>免疫组化</w:t>
            </w:r>
            <w:r>
              <w:rPr>
                <w:rFonts w:hint="eastAsia" w:ascii="仿宋" w:hAnsi="仿宋" w:eastAsia="仿宋" w:cs="仿宋"/>
                <w:bCs/>
                <w:color w:val="auto"/>
                <w:kern w:val="0"/>
                <w:szCs w:val="21"/>
                <w:highlight w:val="none"/>
                <w:lang w:eastAsia="zh-CN"/>
              </w:rPr>
              <w:t>）</w:t>
            </w:r>
          </w:p>
        </w:tc>
        <w:tc>
          <w:tcPr>
            <w:tcW w:w="810"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p>
        </w:tc>
        <w:tc>
          <w:tcPr>
            <w:tcW w:w="4059" w:type="dxa"/>
            <w:noWrap w:val="0"/>
            <w:vAlign w:val="center"/>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免疫组化室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19" w:type="dxa"/>
            <w:noWrap w:val="0"/>
            <w:vAlign w:val="center"/>
          </w:tcPr>
          <w:p>
            <w:pPr>
              <w:keepNext w:val="0"/>
              <w:keepLines w:val="0"/>
              <w:pageBreakBefore w:val="0"/>
              <w:widowControl w:val="0"/>
              <w:kinsoku/>
              <w:wordWrap/>
              <w:overflowPunct/>
              <w:topLinePunct w:val="0"/>
              <w:autoSpaceDE/>
              <w:autoSpaceDN/>
              <w:bidi w:val="0"/>
              <w:adjustRightInd/>
              <w:spacing w:line="360" w:lineRule="auto"/>
              <w:ind w:firstLine="210" w:firstLineChars="1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4</w:t>
            </w:r>
          </w:p>
        </w:tc>
        <w:tc>
          <w:tcPr>
            <w:tcW w:w="3270" w:type="dxa"/>
            <w:noWrap w:val="0"/>
            <w:vAlign w:val="center"/>
          </w:tcPr>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物料管理工作站</w:t>
            </w:r>
          </w:p>
        </w:tc>
        <w:tc>
          <w:tcPr>
            <w:tcW w:w="810"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p>
        </w:tc>
        <w:tc>
          <w:tcPr>
            <w:tcW w:w="4059" w:type="dxa"/>
            <w:noWrap w:val="0"/>
            <w:vAlign w:val="center"/>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库房室站点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19" w:type="dxa"/>
            <w:noWrap w:val="0"/>
            <w:vAlign w:val="center"/>
          </w:tcPr>
          <w:p>
            <w:pPr>
              <w:keepNext w:val="0"/>
              <w:keepLines w:val="0"/>
              <w:pageBreakBefore w:val="0"/>
              <w:widowControl w:val="0"/>
              <w:kinsoku/>
              <w:wordWrap/>
              <w:overflowPunct/>
              <w:topLinePunct w:val="0"/>
              <w:autoSpaceDE/>
              <w:autoSpaceDN/>
              <w:bidi w:val="0"/>
              <w:adjustRightInd/>
              <w:spacing w:line="360" w:lineRule="auto"/>
              <w:ind w:firstLine="210" w:firstLineChars="1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5</w:t>
            </w:r>
          </w:p>
        </w:tc>
        <w:tc>
          <w:tcPr>
            <w:tcW w:w="3270" w:type="dxa"/>
            <w:noWrap w:val="0"/>
            <w:vAlign w:val="center"/>
          </w:tcPr>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rPr>
              <w:t>归档工作站</w:t>
            </w:r>
          </w:p>
        </w:tc>
        <w:tc>
          <w:tcPr>
            <w:tcW w:w="810"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p>
        </w:tc>
        <w:tc>
          <w:tcPr>
            <w:tcW w:w="4059" w:type="dxa"/>
            <w:noWrap w:val="0"/>
            <w:vAlign w:val="center"/>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资料室站点，收发室站点</w:t>
            </w:r>
          </w:p>
        </w:tc>
      </w:tr>
    </w:tbl>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一、产品配置参数</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仿宋" w:hAnsi="仿宋" w:eastAsia="仿宋" w:cs="仿宋"/>
          <w:color w:val="auto"/>
          <w:highlight w:val="none"/>
        </w:rPr>
      </w:pPr>
      <w:r>
        <w:rPr>
          <w:rFonts w:hint="eastAsia" w:ascii="仿宋" w:hAnsi="仿宋" w:eastAsia="仿宋" w:cs="仿宋"/>
          <w:b/>
          <w:bCs/>
          <w:color w:val="auto"/>
          <w:highlight w:val="none"/>
          <w:lang w:val="en-US" w:eastAsia="zh-CN"/>
        </w:rPr>
        <w:t xml:space="preserve">1.  </w:t>
      </w:r>
      <w:r>
        <w:rPr>
          <w:rFonts w:hint="eastAsia" w:ascii="仿宋" w:hAnsi="仿宋" w:eastAsia="仿宋" w:cs="仿宋"/>
          <w:b/>
          <w:bCs/>
          <w:color w:val="auto"/>
          <w:highlight w:val="none"/>
        </w:rPr>
        <w:t>取材</w:t>
      </w:r>
      <w:r>
        <w:rPr>
          <w:rFonts w:hint="eastAsia" w:ascii="仿宋" w:hAnsi="仿宋" w:eastAsia="仿宋" w:cs="仿宋"/>
          <w:b/>
          <w:bCs/>
          <w:color w:val="auto"/>
          <w:highlight w:val="none"/>
          <w:lang w:eastAsia="zh-CN"/>
        </w:rPr>
        <w:t>记录</w:t>
      </w:r>
      <w:r>
        <w:rPr>
          <w:rFonts w:hint="eastAsia" w:ascii="仿宋" w:hAnsi="仿宋" w:eastAsia="仿宋" w:cs="仿宋"/>
          <w:b/>
          <w:bCs/>
          <w:color w:val="auto"/>
          <w:highlight w:val="none"/>
        </w:rPr>
        <w:t>工作站</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支持自动列出已登记未取材</w:t>
      </w:r>
      <w:r>
        <w:rPr>
          <w:rFonts w:hint="eastAsia" w:ascii="仿宋" w:hAnsi="仿宋" w:eastAsia="仿宋" w:cs="仿宋"/>
          <w:bCs/>
          <w:color w:val="auto"/>
          <w:kern w:val="0"/>
          <w:szCs w:val="21"/>
          <w:highlight w:val="none"/>
        </w:rPr>
        <w:t>列表，也可根据病理号和登记日期查询。自动提示关联的快速冰冻报告。</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2</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取材时自动提示所有既往病例，包括快速、液基、免疫组化等，方便查看既往检查。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3</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支持用户输入起始编号和打印数量补打包埋盒，不限补打次数。</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4</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支持将肉眼所见和取材明细打印至申请单，取材明细自动排版。需要补取时支持补打，补打时用户可实时调节补打申请单位置。</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5</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支持用户根据需要设置延缓包埋，设置后在包埋任务单上不显示延缓包埋的记录。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6</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系统自动填写记录医师和取材医师，自动计算蜡块总数。</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7</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提供丰富、全面的肉眼所见词库供用户选择实用，提高输入速度。</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8</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支持录音、回放功能，方便单人取材记录。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9</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支持采用高像素大体拍摄系统拍摄大体照片，图片数量不限，自动对焦、支持电脑变倍调节，提供脚踏开关拍照，大体图像与病例直接关联保存。</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10</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支持对大体标本照片进行文字、箭头、范围等方式进行标注，支持定标、测量、以及常用图片后处理功能，如：RBG、亮度、饱和度、图像旋转等等。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 xml:space="preserve">1.11 </w:t>
      </w:r>
      <w:r>
        <w:rPr>
          <w:rFonts w:hint="eastAsia" w:ascii="仿宋" w:hAnsi="仿宋" w:eastAsia="仿宋" w:cs="仿宋"/>
          <w:bCs/>
          <w:color w:val="auto"/>
          <w:kern w:val="0"/>
          <w:szCs w:val="21"/>
          <w:highlight w:val="none"/>
        </w:rPr>
        <w:t>支持连接国内外主流包埋盒打号机</w:t>
      </w:r>
      <w:r>
        <w:rPr>
          <w:rFonts w:hint="eastAsia" w:ascii="仿宋" w:hAnsi="仿宋" w:eastAsia="仿宋" w:cs="仿宋"/>
          <w:bCs/>
          <w:color w:val="auto"/>
          <w:kern w:val="0"/>
          <w:szCs w:val="21"/>
          <w:highlight w:val="none"/>
          <w:lang w:eastAsia="zh-CN"/>
        </w:rPr>
        <w:t>和玻片打号机</w:t>
      </w:r>
      <w:r>
        <w:rPr>
          <w:rFonts w:hint="eastAsia" w:ascii="仿宋" w:hAnsi="仿宋" w:eastAsia="仿宋" w:cs="仿宋"/>
          <w:bCs/>
          <w:color w:val="auto"/>
          <w:kern w:val="0"/>
          <w:szCs w:val="21"/>
          <w:highlight w:val="none"/>
        </w:rPr>
        <w:t>。</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Cs w:val="21"/>
          <w:highlight w:val="none"/>
          <w:lang w:val="en-US" w:eastAsia="zh-CN"/>
        </w:rPr>
        <w:t xml:space="preserve">1.12 </w:t>
      </w:r>
      <w:r>
        <w:rPr>
          <w:rFonts w:hint="eastAsia" w:ascii="仿宋" w:hAnsi="仿宋" w:eastAsia="仿宋" w:cs="仿宋"/>
          <w:bCs/>
          <w:color w:val="auto"/>
          <w:kern w:val="0"/>
          <w:szCs w:val="21"/>
          <w:highlight w:val="none"/>
        </w:rPr>
        <w:t>系统自动提示待制片列表，包括：常规制片和技术制片，以及有重切、深切要求的病例列表。自动显示取材时间、取材医生、组织名称等信息。系统自动提示技术医嘱信息。</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Cs w:val="21"/>
          <w:highlight w:val="none"/>
          <w:lang w:val="en-US" w:eastAsia="zh-CN"/>
        </w:rPr>
        <w:t>1.1</w:t>
      </w:r>
      <w:r>
        <w:rPr>
          <w:rFonts w:hint="eastAsia" w:ascii="仿宋" w:hAnsi="仿宋" w:eastAsia="仿宋" w:cs="仿宋"/>
          <w:bCs/>
          <w:color w:val="auto"/>
          <w:kern w:val="0"/>
          <w:szCs w:val="21"/>
          <w:highlight w:val="none"/>
        </w:rPr>
        <w:t>3</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常规制片，自动接收已经包埋完成标本</w:t>
      </w:r>
      <w:r>
        <w:rPr>
          <w:rFonts w:hint="eastAsia" w:ascii="仿宋" w:hAnsi="仿宋" w:eastAsia="仿宋" w:cs="仿宋"/>
          <w:bCs/>
          <w:color w:val="auto"/>
          <w:kern w:val="0"/>
          <w:szCs w:val="21"/>
          <w:highlight w:val="none"/>
          <w:lang w:eastAsia="zh-CN"/>
        </w:rPr>
        <w:t>。</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1.14 </w:t>
      </w:r>
      <w:r>
        <w:rPr>
          <w:rFonts w:hint="eastAsia" w:ascii="仿宋" w:hAnsi="仿宋" w:eastAsia="仿宋" w:cs="仿宋"/>
          <w:bCs/>
          <w:color w:val="auto"/>
          <w:kern w:val="0"/>
          <w:szCs w:val="21"/>
          <w:highlight w:val="none"/>
        </w:rPr>
        <w:t>技术制片，接收技术医嘱，按照蜡块要求重切、深切、补切、薄切等医嘱要求，自动生成切片条码，用户选择打印方式。</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1.15 </w:t>
      </w:r>
      <w:r>
        <w:rPr>
          <w:rFonts w:hint="eastAsia" w:ascii="仿宋" w:hAnsi="仿宋" w:eastAsia="仿宋" w:cs="仿宋"/>
          <w:bCs/>
          <w:color w:val="auto"/>
          <w:kern w:val="0"/>
          <w:szCs w:val="21"/>
          <w:highlight w:val="none"/>
        </w:rPr>
        <w:t>支持切片标签批量打印，提供纯文字、条码、二维码等多种方式供选择。</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1.16 </w:t>
      </w:r>
      <w:r>
        <w:rPr>
          <w:rFonts w:hint="eastAsia" w:ascii="仿宋" w:hAnsi="仿宋" w:eastAsia="仿宋" w:cs="仿宋"/>
          <w:bCs/>
          <w:color w:val="auto"/>
          <w:kern w:val="0"/>
          <w:szCs w:val="21"/>
          <w:highlight w:val="none"/>
        </w:rPr>
        <w:t>支持标签套打，利用已印刷的标签模板，系统设置标签大小及位置。</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1.17 </w:t>
      </w:r>
      <w:r>
        <w:rPr>
          <w:rFonts w:hint="eastAsia" w:ascii="仿宋" w:hAnsi="仿宋" w:eastAsia="仿宋" w:cs="仿宋"/>
          <w:bCs/>
          <w:color w:val="auto"/>
          <w:kern w:val="0"/>
          <w:szCs w:val="21"/>
          <w:highlight w:val="none"/>
        </w:rPr>
        <w:t>个性化显示方式，一个标本多个切片，自动排序。</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1.18 支持技师对做好的切片自评，数据可用于技师制片优良率统计。</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1.19 支持对切片的取材情况进行评价，如有取材不合格，系统自动发送消息通知取材医师。</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1.20 </w:t>
      </w:r>
      <w:r>
        <w:rPr>
          <w:rFonts w:hint="eastAsia" w:ascii="仿宋" w:hAnsi="仿宋" w:eastAsia="仿宋" w:cs="仿宋"/>
          <w:bCs/>
          <w:color w:val="auto"/>
          <w:kern w:val="0"/>
          <w:szCs w:val="21"/>
          <w:highlight w:val="none"/>
        </w:rPr>
        <w:t>支持打印制片明细表。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1.21 </w:t>
      </w:r>
      <w:r>
        <w:rPr>
          <w:rFonts w:hint="eastAsia" w:ascii="仿宋" w:hAnsi="仿宋" w:eastAsia="仿宋" w:cs="仿宋"/>
          <w:bCs/>
          <w:color w:val="auto"/>
          <w:kern w:val="0"/>
          <w:szCs w:val="21"/>
          <w:highlight w:val="none"/>
        </w:rPr>
        <w:t>可对</w:t>
      </w:r>
      <w:r>
        <w:rPr>
          <w:rFonts w:hint="eastAsia" w:ascii="仿宋" w:hAnsi="仿宋" w:eastAsia="仿宋" w:cs="仿宋"/>
          <w:bCs/>
          <w:color w:val="auto"/>
          <w:kern w:val="0"/>
          <w:szCs w:val="21"/>
          <w:highlight w:val="none"/>
          <w:lang w:val="en-US" w:eastAsia="zh-CN"/>
        </w:rPr>
        <w:t>已</w:t>
      </w:r>
      <w:r>
        <w:rPr>
          <w:rFonts w:hint="eastAsia" w:ascii="仿宋" w:hAnsi="仿宋" w:eastAsia="仿宋" w:cs="仿宋"/>
          <w:bCs/>
          <w:color w:val="auto"/>
          <w:kern w:val="0"/>
          <w:szCs w:val="21"/>
          <w:highlight w:val="none"/>
        </w:rPr>
        <w:t>制片</w:t>
      </w:r>
      <w:r>
        <w:rPr>
          <w:rFonts w:hint="eastAsia" w:ascii="仿宋" w:hAnsi="仿宋" w:eastAsia="仿宋" w:cs="仿宋"/>
          <w:bCs/>
          <w:color w:val="auto"/>
          <w:kern w:val="0"/>
          <w:szCs w:val="21"/>
          <w:highlight w:val="none"/>
          <w:lang w:val="en-US" w:eastAsia="zh-CN"/>
        </w:rPr>
        <w:t>的切片</w:t>
      </w:r>
      <w:r>
        <w:rPr>
          <w:rFonts w:hint="eastAsia" w:ascii="仿宋" w:hAnsi="仿宋" w:eastAsia="仿宋" w:cs="仿宋"/>
          <w:bCs/>
          <w:color w:val="auto"/>
          <w:kern w:val="0"/>
          <w:szCs w:val="21"/>
          <w:highlight w:val="none"/>
        </w:rPr>
        <w:t>进行查询。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1.22 </w:t>
      </w:r>
      <w:r>
        <w:rPr>
          <w:rFonts w:hint="eastAsia" w:ascii="仿宋" w:hAnsi="仿宋" w:eastAsia="仿宋" w:cs="仿宋"/>
          <w:bCs/>
          <w:color w:val="auto"/>
          <w:kern w:val="0"/>
          <w:szCs w:val="21"/>
          <w:highlight w:val="none"/>
        </w:rPr>
        <w:t>制片完成系统自动发送消息通知诊断医师，同时病例状态自动变为“已制片”。</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 xml:space="preserve">2.  </w:t>
      </w:r>
      <w:r>
        <w:rPr>
          <w:rFonts w:hint="eastAsia" w:ascii="仿宋" w:hAnsi="仿宋" w:eastAsia="仿宋" w:cs="仿宋"/>
          <w:b/>
          <w:bCs/>
          <w:color w:val="auto"/>
          <w:highlight w:val="none"/>
          <w:lang w:eastAsia="zh-CN"/>
        </w:rPr>
        <w:t>综合</w:t>
      </w:r>
      <w:r>
        <w:rPr>
          <w:rFonts w:hint="eastAsia" w:ascii="仿宋" w:hAnsi="仿宋" w:eastAsia="仿宋" w:cs="仿宋"/>
          <w:b/>
          <w:bCs/>
          <w:color w:val="auto"/>
          <w:highlight w:val="none"/>
        </w:rPr>
        <w:t>诊断工作站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支持登录系统后既往病例自动提醒，显示当前病人做过的其他检查资料，可查看其他病理检查的图片和诊断结论。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2</w:t>
      </w:r>
      <w:r>
        <w:rPr>
          <w:rFonts w:hint="eastAsia" w:ascii="仿宋" w:hAnsi="仿宋" w:eastAsia="仿宋" w:cs="仿宋"/>
          <w:bCs/>
          <w:color w:val="auto"/>
          <w:kern w:val="0"/>
          <w:szCs w:val="21"/>
          <w:highlight w:val="none"/>
          <w:lang w:eastAsia="zh-CN"/>
        </w:rPr>
        <w:t>.</w:t>
      </w:r>
      <w:r>
        <w:rPr>
          <w:rFonts w:hint="eastAsia" w:ascii="仿宋" w:hAnsi="仿宋" w:eastAsia="仿宋" w:cs="仿宋"/>
          <w:bCs/>
          <w:color w:val="auto"/>
          <w:kern w:val="0"/>
          <w:szCs w:val="21"/>
          <w:highlight w:val="none"/>
          <w:lang w:val="en-US" w:eastAsia="zh-CN"/>
        </w:rPr>
        <w:t xml:space="preserve">2 </w:t>
      </w:r>
      <w:r>
        <w:rPr>
          <w:rFonts w:hint="eastAsia" w:ascii="仿宋" w:hAnsi="仿宋" w:eastAsia="仿宋" w:cs="仿宋"/>
          <w:bCs/>
          <w:color w:val="auto"/>
          <w:kern w:val="0"/>
          <w:szCs w:val="21"/>
          <w:highlight w:val="none"/>
        </w:rPr>
        <w:t>支持在检查列表中通过不同颜色和文字来标记当前病例状态，如“已登记”、“已取材”、“已包埋”、“已制片”、“已采图”、“已诊断”等状态。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3</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对下发过免疫组化或者技术制片的病例，支持自动在检查列表里通过图标标识显示。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4</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支持提供内容丰富、分类明确的词库模板和常用的病理诊断、镜下所见术语，以提高报告文字输入效率；支持下拉菜单、右侧词库、快捷按钮等多种输入方式。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5</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支持发布技术医嘱，可选择一个或多个蜡块重切、深切、补取等申请下发，同时发送消息提醒技术工作站，可随时查看医嘱执行状态。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6</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特检医嘱：支持下发免疫组化，电镜、FISH等各种特检医嘱，特检医嘱下发后，系统自动发送消息提醒相关人员。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7</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临床医嘱：临床和住院医师可以通过诊断医师推送的消息，查询接收报告当前状态包括延期原因。支持打印延期报告单。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8</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提供数据回收站管理功能，支持病例数据修改留痕，支持修改自动锁定病例，防止误操作引起的数据丢失。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9</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支持打印一个手术里的多份冰冻报告，每份冰冻报告均独立记录信息和保留，每一份冰冻报告单独进行审核并提供给临床进行查看。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10提供病理学电子书籍模块，方便医生阅读参考，后期有权限的医生可根据实际需要自行增加、修改。支持快速查找（需源文件支持查找</w:t>
      </w:r>
      <w:r>
        <w:rPr>
          <w:rFonts w:hint="eastAsia" w:ascii="仿宋" w:hAnsi="仿宋" w:eastAsia="仿宋" w:cs="仿宋"/>
          <w:bCs/>
          <w:color w:val="auto"/>
          <w:szCs w:val="21"/>
          <w:highlight w:val="none"/>
        </w:rPr>
        <w:t>）</w:t>
      </w:r>
      <w:r>
        <w:rPr>
          <w:rFonts w:hint="eastAsia" w:ascii="仿宋" w:hAnsi="仿宋" w:eastAsia="仿宋" w:cs="仿宋"/>
          <w:bCs/>
          <w:color w:val="auto"/>
          <w:kern w:val="0"/>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11对于报告周期发布提醒和通知，系统支持“报告即将延期”和“报告已经超期”的状态标识。不同检查模块的报告周期医生可自行配置不同的天数。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12</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提供高级查询模块，支持用户可自定义组合查询条件，支持多栏目模糊查询，支持“且”和“或”的关系查询。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13</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支持多页报告功能，以适用前列腺穿刺、分子基因报告等多页报告发布需求。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14</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支持计算冰冻诊断时间，提醒冰冻诊断的剩余时间与超出时间（单次检查30分钟为标准</w:t>
      </w:r>
      <w:r>
        <w:rPr>
          <w:rFonts w:hint="eastAsia" w:ascii="仿宋" w:hAnsi="仿宋" w:eastAsia="仿宋" w:cs="仿宋"/>
          <w:bCs/>
          <w:color w:val="auto"/>
          <w:szCs w:val="21"/>
          <w:highlight w:val="none"/>
        </w:rPr>
        <w:t>）</w:t>
      </w:r>
      <w:r>
        <w:rPr>
          <w:rFonts w:hint="eastAsia" w:ascii="仿宋" w:hAnsi="仿宋" w:eastAsia="仿宋" w:cs="仿宋"/>
          <w:bCs/>
          <w:color w:val="auto"/>
          <w:kern w:val="0"/>
          <w:szCs w:val="21"/>
          <w:highlight w:val="none"/>
        </w:rPr>
        <w:t>。支持冰冻报告、迟发报告的“迟发原因”列表及点击输入，可自定义迟发原因。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15</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支持完整的操作记录显示功能，对每一份病例的报告进行一个完整的闭环追踪。任何人进行操作和修改后，操作时间记录精细到秒，实时记录操作用户和计算机IP。</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16</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对具有示教意义和罕见的疑难的病例，支持“加入典型病例”功能，可收藏该病例。支持“公共典型病例”和“个人典型病例”两种个性化的病例收藏需求。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17</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支持补充报告功能，每一份补充报告独立记录诊断医生、审核医生、报告日期等信息。每份补充报告都能供门诊/临床医生浏览查看。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18</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支持免疫组化项目包括免疫组化整体套餐实时下发推送。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19</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提供免疫组化知识库，内置在特检医嘱下发界面以便浏览。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20</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支持建立随访记录，记录随访内容、时间和结果。</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color w:val="auto"/>
          <w:highlight w:val="none"/>
        </w:rPr>
      </w:pPr>
      <w:r>
        <w:rPr>
          <w:rFonts w:hint="eastAsia" w:ascii="仿宋" w:hAnsi="仿宋" w:eastAsia="仿宋" w:cs="仿宋"/>
          <w:b/>
          <w:bCs/>
          <w:color w:val="auto"/>
          <w:highlight w:val="none"/>
          <w:lang w:val="en-US" w:eastAsia="zh-CN"/>
        </w:rPr>
        <w:t>3. 特检工作站（免疫组化）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支持自动接收及默认显示诊断医生已下发，但技术员未完成制片的特检医嘱信息。支持制片状态完成确认后，医嘱信息实时刷新不默认显示。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2</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支持一个病理号中不同的蜡块号或者分不同批次开的特检医嘱，显示列表会单行标记显示。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3</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支持定制免疫组化标签打印，支持批量一键操作打印。支持条形码和二维码打印。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4</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支持给标记物分配不同免疫组化仪，打印不同的免疫组化标签，支持已打印的免疫组化查询，有相同标记物的蜡块可以进行合并染色。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5</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支持标记物管理，可以对标记物进行新建、编辑、删除等操作，支持根据标记物类型选择打印类型。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6</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支持标记物套餐管理，可以将多个标记物添加到同一类套餐中。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7</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阅片过程中，支持切片质量评价。可以对制片、临床诊断、冰冻诊断符合情况等进行评价，审核时强制评价切片，可以批量评价切片。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8</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支持特检医嘱明细表导出和打印、可按照标记物名称/病理号/医嘱下发时间/下发医生等条件排序，生成数据清单。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9</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支持已下发但需要延后执行医嘱，通过备注说明及标记，以提醒技术员延后制片。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10免疫组化制片完成后，支持通过消息推送提醒对应的诊断医师。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物料管理工作站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4.</w:t>
      </w:r>
      <w:r>
        <w:rPr>
          <w:rFonts w:hint="eastAsia" w:ascii="仿宋" w:hAnsi="仿宋" w:eastAsia="仿宋" w:cs="仿宋"/>
          <w:bCs/>
          <w:color w:val="auto"/>
          <w:kern w:val="0"/>
          <w:szCs w:val="21"/>
          <w:highlight w:val="none"/>
        </w:rPr>
        <w:t>1</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各科试剂耗材的入库登记和入库验收，以及相关信息的录入；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4.2 </w:t>
      </w:r>
      <w:r>
        <w:rPr>
          <w:rFonts w:hint="eastAsia" w:ascii="仿宋" w:hAnsi="仿宋" w:eastAsia="仿宋" w:cs="仿宋"/>
          <w:bCs/>
          <w:color w:val="auto"/>
          <w:kern w:val="0"/>
          <w:szCs w:val="21"/>
          <w:highlight w:val="none"/>
        </w:rPr>
        <w:t>各种试剂耗材的出库的登记；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4.3 </w:t>
      </w:r>
      <w:r>
        <w:rPr>
          <w:rFonts w:hint="eastAsia" w:ascii="仿宋" w:hAnsi="仿宋" w:eastAsia="仿宋" w:cs="仿宋"/>
          <w:bCs/>
          <w:color w:val="auto"/>
          <w:kern w:val="0"/>
          <w:szCs w:val="21"/>
          <w:highlight w:val="none"/>
        </w:rPr>
        <w:t>科室试剂耗材库存查询；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4.4 </w:t>
      </w:r>
      <w:r>
        <w:rPr>
          <w:rFonts w:hint="eastAsia" w:ascii="仿宋" w:hAnsi="仿宋" w:eastAsia="仿宋" w:cs="仿宋"/>
          <w:bCs/>
          <w:color w:val="auto"/>
          <w:kern w:val="0"/>
          <w:szCs w:val="21"/>
          <w:highlight w:val="none"/>
        </w:rPr>
        <w:t>出入库等相关历史记录查询；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4.</w:t>
      </w:r>
      <w:r>
        <w:rPr>
          <w:rFonts w:hint="eastAsia" w:ascii="仿宋" w:hAnsi="仿宋" w:eastAsia="仿宋" w:cs="仿宋"/>
          <w:bCs/>
          <w:color w:val="auto"/>
          <w:kern w:val="0"/>
          <w:szCs w:val="21"/>
          <w:highlight w:val="none"/>
          <w:lang w:val="en-US" w:eastAsia="zh-CN"/>
        </w:rPr>
        <w:t xml:space="preserve">5 </w:t>
      </w:r>
      <w:r>
        <w:rPr>
          <w:rFonts w:hint="eastAsia" w:ascii="仿宋" w:hAnsi="仿宋" w:eastAsia="仿宋" w:cs="仿宋"/>
          <w:bCs/>
          <w:color w:val="auto"/>
          <w:kern w:val="0"/>
          <w:szCs w:val="21"/>
          <w:highlight w:val="none"/>
        </w:rPr>
        <w:t>耗材余量及有效期预警提醒；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4.6 </w:t>
      </w:r>
      <w:r>
        <w:rPr>
          <w:rFonts w:hint="eastAsia" w:ascii="仿宋" w:hAnsi="仿宋" w:eastAsia="仿宋" w:cs="仿宋"/>
          <w:bCs/>
          <w:color w:val="auto"/>
          <w:kern w:val="0"/>
          <w:szCs w:val="21"/>
          <w:highlight w:val="none"/>
        </w:rPr>
        <w:t>物料出入库查询统计，结果可打印或导出；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4.7 </w:t>
      </w:r>
      <w:r>
        <w:rPr>
          <w:rFonts w:hint="eastAsia" w:ascii="仿宋" w:hAnsi="仿宋" w:eastAsia="仿宋" w:cs="仿宋"/>
          <w:bCs/>
          <w:color w:val="auto"/>
          <w:kern w:val="0"/>
          <w:szCs w:val="21"/>
          <w:highlight w:val="none"/>
        </w:rPr>
        <w:t>物</w:t>
      </w:r>
      <w:r>
        <w:rPr>
          <w:rFonts w:hint="eastAsia" w:ascii="仿宋" w:hAnsi="仿宋" w:eastAsia="仿宋" w:cs="仿宋"/>
          <w:bCs/>
          <w:color w:val="auto"/>
          <w:kern w:val="0"/>
          <w:szCs w:val="21"/>
          <w:highlight w:val="none"/>
        </w:rPr>
        <w:t>料分类统计报表。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 xml:space="preserve">5. </w:t>
      </w:r>
      <w:r>
        <w:rPr>
          <w:rFonts w:hint="eastAsia" w:ascii="仿宋" w:hAnsi="仿宋" w:eastAsia="仿宋" w:cs="仿宋"/>
          <w:b/>
          <w:bCs/>
          <w:color w:val="auto"/>
          <w:highlight w:val="none"/>
        </w:rPr>
        <w:t>归档工作站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5.</w:t>
      </w:r>
      <w:r>
        <w:rPr>
          <w:rFonts w:hint="eastAsia" w:ascii="仿宋" w:hAnsi="仿宋" w:eastAsia="仿宋" w:cs="仿宋"/>
          <w:bCs/>
          <w:color w:val="auto"/>
          <w:kern w:val="0"/>
          <w:szCs w:val="21"/>
          <w:highlight w:val="none"/>
        </w:rPr>
        <w:t>1</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支持以病理号为查询条件，支持申请单、包埋盒、切片等分类归档。通过病理号、姓名等多种条件查询申请单、切片、蜡块借出、归还情况。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5.</w:t>
      </w:r>
      <w:r>
        <w:rPr>
          <w:rFonts w:hint="eastAsia" w:ascii="仿宋" w:hAnsi="仿宋" w:eastAsia="仿宋" w:cs="仿宋"/>
          <w:bCs/>
          <w:color w:val="auto"/>
          <w:kern w:val="0"/>
          <w:szCs w:val="21"/>
          <w:highlight w:val="none"/>
        </w:rPr>
        <w:t>2</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切片借出记录需包含借出人、借片时间、张数、押金等，借出支持打印切片借出凭据。支持登记本打印等归档报表生成和打印。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5.</w:t>
      </w:r>
      <w:r>
        <w:rPr>
          <w:rFonts w:hint="eastAsia" w:ascii="仿宋" w:hAnsi="仿宋" w:eastAsia="仿宋" w:cs="仿宋"/>
          <w:bCs/>
          <w:color w:val="auto"/>
          <w:kern w:val="0"/>
          <w:szCs w:val="21"/>
          <w:highlight w:val="none"/>
        </w:rPr>
        <w:t>3</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支持按照病理号、借阅状态、经办人、是否过期等筛选条件进行查询，支持查看蜡块、切片借还状态。支持按照借阅类型，录入借阅内容等条件进行借阅操作。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5.</w:t>
      </w:r>
      <w:r>
        <w:rPr>
          <w:rFonts w:hint="eastAsia" w:ascii="仿宋" w:hAnsi="仿宋" w:eastAsia="仿宋" w:cs="仿宋"/>
          <w:bCs/>
          <w:color w:val="auto"/>
          <w:kern w:val="0"/>
          <w:szCs w:val="21"/>
          <w:highlight w:val="none"/>
        </w:rPr>
        <w:t>4</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支持院内诊断医生扫码借阅、归还蜡块和切片，同时支持批量扫描。会诊出去的切片归还时，借片模块实时记录需更新，并且在诊断界面有标记提醒相关报告医生。</w:t>
      </w:r>
    </w:p>
    <w:p>
      <w:pPr>
        <w:spacing w:line="360" w:lineRule="auto"/>
        <w:ind w:firstLine="422" w:firstLineChars="200"/>
        <w:rPr>
          <w:rFonts w:hint="eastAsia" w:ascii="仿宋" w:hAnsi="仿宋" w:eastAsia="仿宋" w:cs="仿宋"/>
          <w:b/>
          <w:bCs w:val="0"/>
          <w:color w:val="auto"/>
          <w:kern w:val="0"/>
          <w:szCs w:val="21"/>
          <w:highlight w:val="none"/>
        </w:rPr>
      </w:pPr>
      <w:r>
        <w:rPr>
          <w:rFonts w:hint="eastAsia" w:ascii="仿宋" w:hAnsi="仿宋" w:eastAsia="仿宋" w:cs="仿宋"/>
          <w:b/>
          <w:bCs w:val="0"/>
          <w:color w:val="auto"/>
          <w:kern w:val="0"/>
          <w:szCs w:val="21"/>
          <w:highlight w:val="none"/>
          <w:lang w:val="en-US" w:eastAsia="zh-CN"/>
        </w:rPr>
        <w:t xml:space="preserve">6. </w:t>
      </w:r>
      <w:r>
        <w:rPr>
          <w:rFonts w:hint="eastAsia" w:ascii="仿宋" w:hAnsi="仿宋" w:eastAsia="仿宋" w:cs="仿宋"/>
          <w:b/>
          <w:bCs w:val="0"/>
          <w:color w:val="auto"/>
          <w:kern w:val="0"/>
          <w:szCs w:val="21"/>
          <w:highlight w:val="none"/>
        </w:rPr>
        <w:t>数字摄像头（3套含C接口）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 </w:t>
      </w:r>
      <w:r>
        <w:rPr>
          <w:rFonts w:hint="eastAsia" w:ascii="仿宋" w:hAnsi="仿宋" w:eastAsia="仿宋" w:cs="仿宋"/>
          <w:bCs/>
          <w:color w:val="auto"/>
          <w:kern w:val="0"/>
          <w:szCs w:val="21"/>
          <w:highlight w:val="none"/>
        </w:rPr>
        <w:t xml:space="preserve">SmartV 650D数字摄像头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6.1.1 </w:t>
      </w:r>
      <w:r>
        <w:rPr>
          <w:rFonts w:hint="eastAsia" w:ascii="仿宋" w:hAnsi="仿宋" w:eastAsia="仿宋" w:cs="仿宋"/>
          <w:bCs/>
          <w:color w:val="auto"/>
          <w:kern w:val="0"/>
          <w:szCs w:val="21"/>
          <w:highlight w:val="none"/>
        </w:rPr>
        <w:t>USB3.0标准630万像素高清晰度摄像头；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6.1.2</w:t>
      </w:r>
      <w:r>
        <w:rPr>
          <w:rFonts w:hint="eastAsia" w:ascii="仿宋" w:hAnsi="仿宋" w:eastAsia="仿宋" w:cs="仿宋"/>
          <w:bCs/>
          <w:color w:val="auto"/>
          <w:kern w:val="0"/>
          <w:szCs w:val="21"/>
          <w:highlight w:val="none"/>
        </w:rPr>
        <w:t>有效像素3072Hx2048V, 彩色, 1/1.8 inch（有效尺寸7.20mmH×5.35mmV,对角线9mm）， 10-bitADC, 逐行扫描；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6.1.3 </w:t>
      </w:r>
      <w:r>
        <w:rPr>
          <w:rFonts w:hint="eastAsia" w:ascii="仿宋" w:hAnsi="仿宋" w:eastAsia="仿宋" w:cs="仿宋"/>
          <w:bCs/>
          <w:color w:val="auto"/>
          <w:kern w:val="0"/>
          <w:szCs w:val="21"/>
          <w:highlight w:val="none"/>
        </w:rPr>
        <w:t>遵循USB3.0标准；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6.1.4 </w:t>
      </w:r>
      <w:r>
        <w:rPr>
          <w:rFonts w:hint="eastAsia" w:ascii="仿宋" w:hAnsi="仿宋" w:eastAsia="仿宋" w:cs="仿宋"/>
          <w:bCs/>
          <w:color w:val="auto"/>
          <w:kern w:val="0"/>
          <w:szCs w:val="21"/>
          <w:highlight w:val="none"/>
        </w:rPr>
        <w:t>自动/手动白平衡操作，支持手动RGB色彩调整；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6.1.5 </w:t>
      </w:r>
      <w:r>
        <w:rPr>
          <w:rFonts w:hint="eastAsia" w:ascii="仿宋" w:hAnsi="仿宋" w:eastAsia="仿宋" w:cs="仿宋"/>
          <w:bCs/>
          <w:color w:val="auto"/>
          <w:kern w:val="0"/>
          <w:szCs w:val="21"/>
          <w:highlight w:val="none"/>
        </w:rPr>
        <w:t>自动/手动曝光，曝光时间可调（1～500ms）；</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6.1.6 </w:t>
      </w:r>
      <w:r>
        <w:rPr>
          <w:rFonts w:hint="eastAsia" w:ascii="仿宋" w:hAnsi="仿宋" w:eastAsia="仿宋" w:cs="仿宋"/>
          <w:bCs/>
          <w:color w:val="auto"/>
          <w:kern w:val="0"/>
          <w:szCs w:val="21"/>
          <w:highlight w:val="none"/>
        </w:rPr>
        <w:t>图形叠加预览及保存；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6.1.7 </w:t>
      </w:r>
      <w:r>
        <w:rPr>
          <w:rFonts w:hint="eastAsia" w:ascii="仿宋" w:hAnsi="仿宋" w:eastAsia="仿宋" w:cs="仿宋"/>
          <w:bCs/>
          <w:color w:val="auto"/>
          <w:kern w:val="0"/>
          <w:szCs w:val="21"/>
          <w:highlight w:val="none"/>
        </w:rPr>
        <w:t>支持积分采集图像功能；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6.1.8 </w:t>
      </w:r>
      <w:r>
        <w:rPr>
          <w:rFonts w:hint="eastAsia" w:ascii="仿宋" w:hAnsi="仿宋" w:eastAsia="仿宋" w:cs="仿宋"/>
          <w:bCs/>
          <w:color w:val="auto"/>
          <w:kern w:val="0"/>
          <w:szCs w:val="21"/>
          <w:highlight w:val="none"/>
        </w:rPr>
        <w:t>支持多种格式（包括avi格式）的动态录像功能；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6.1.9 支持多种压缩格式动态采集；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6.1.10照度：1.2V/lux-sec (550nm)；</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6.1.11信噪比：&gt;44dB；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6.1.12动态范围：61dB；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6.1.13 24 bit Bayer RGB 视频输出；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6.1.14 即插</w:t>
      </w:r>
      <w:r>
        <w:rPr>
          <w:rFonts w:hint="eastAsia" w:ascii="仿宋" w:hAnsi="仿宋" w:eastAsia="仿宋" w:cs="仿宋"/>
          <w:bCs/>
          <w:color w:val="auto"/>
          <w:kern w:val="0"/>
          <w:szCs w:val="21"/>
          <w:highlight w:val="none"/>
        </w:rPr>
        <w:t>即用和自动电源控制，通过USB2.0接口供电，USB2.0电缆可长达5米；</w:t>
      </w:r>
    </w:p>
    <w:p>
      <w:pPr>
        <w:spacing w:line="360" w:lineRule="auto"/>
        <w:ind w:firstLine="422" w:firstLineChars="200"/>
        <w:rPr>
          <w:rFonts w:hint="eastAsia" w:ascii="仿宋" w:hAnsi="仿宋" w:eastAsia="仿宋" w:cs="仿宋"/>
          <w:b/>
          <w:bCs w:val="0"/>
          <w:color w:val="auto"/>
          <w:kern w:val="0"/>
          <w:szCs w:val="21"/>
          <w:highlight w:val="none"/>
        </w:rPr>
      </w:pPr>
      <w:r>
        <w:rPr>
          <w:rFonts w:hint="eastAsia" w:ascii="仿宋" w:hAnsi="仿宋" w:eastAsia="仿宋" w:cs="仿宋"/>
          <w:b/>
          <w:bCs w:val="0"/>
          <w:color w:val="auto"/>
          <w:kern w:val="0"/>
          <w:szCs w:val="21"/>
          <w:highlight w:val="none"/>
          <w:lang w:val="en-US" w:eastAsia="zh-CN"/>
        </w:rPr>
        <w:t xml:space="preserve">6.2 </w:t>
      </w:r>
      <w:r>
        <w:rPr>
          <w:rFonts w:hint="eastAsia" w:ascii="仿宋" w:hAnsi="仿宋" w:eastAsia="仿宋" w:cs="仿宋"/>
          <w:b/>
          <w:bCs w:val="0"/>
          <w:color w:val="auto"/>
          <w:kern w:val="0"/>
          <w:szCs w:val="21"/>
          <w:highlight w:val="none"/>
        </w:rPr>
        <w:t>C_MOUNT 标准镜头及用户定制镜头；</w:t>
      </w:r>
    </w:p>
    <w:p>
      <w:pPr>
        <w:spacing w:line="360" w:lineRule="auto"/>
        <w:ind w:firstLine="420" w:firstLineChars="20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6.2.1 </w:t>
      </w:r>
      <w:r>
        <w:rPr>
          <w:rFonts w:hint="eastAsia" w:ascii="仿宋" w:hAnsi="仿宋" w:eastAsia="仿宋" w:cs="仿宋"/>
          <w:bCs/>
          <w:color w:val="auto"/>
          <w:kern w:val="0"/>
          <w:szCs w:val="21"/>
          <w:highlight w:val="none"/>
        </w:rPr>
        <w:t>支持WIN7,WIN10操作系统。</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bCs/>
          <w:color w:val="auto"/>
          <w:kern w:val="0"/>
          <w:szCs w:val="21"/>
          <w:highlight w:val="none"/>
          <w:lang w:val="en-US" w:eastAsia="zh-CN"/>
        </w:rPr>
        <w:t xml:space="preserve">6.2.2 </w:t>
      </w:r>
      <w:r>
        <w:rPr>
          <w:rFonts w:hint="eastAsia" w:ascii="仿宋" w:hAnsi="仿宋" w:eastAsia="仿宋" w:cs="仿宋"/>
          <w:color w:val="auto"/>
          <w:highlight w:val="none"/>
        </w:rPr>
        <w:t>可控制全视场ROI缩放预览功能。</w:t>
      </w:r>
    </w:p>
    <w:p>
      <w:pPr>
        <w:pageBreakBefore w:val="0"/>
        <w:widowControl w:val="0"/>
        <w:kinsoku/>
        <w:wordWrap/>
        <w:overflowPunct/>
        <w:topLinePunct w:val="0"/>
        <w:autoSpaceDE/>
        <w:autoSpaceDN/>
        <w:bidi w:val="0"/>
        <w:adjustRightInd/>
        <w:spacing w:line="360" w:lineRule="auto"/>
        <w:ind w:firstLine="422" w:firstLineChars="200"/>
        <w:textAlignment w:val="auto"/>
        <w:rPr>
          <w:rFonts w:hint="eastAsia" w:ascii="仿宋" w:hAnsi="仿宋" w:eastAsia="仿宋" w:cs="仿宋"/>
          <w:b w:val="0"/>
          <w:color w:val="auto"/>
          <w:sz w:val="21"/>
          <w:szCs w:val="21"/>
          <w:highlight w:val="none"/>
        </w:rPr>
      </w:pPr>
      <w:r>
        <w:rPr>
          <w:rFonts w:hint="eastAsia" w:ascii="仿宋" w:hAnsi="仿宋" w:eastAsia="仿宋" w:cs="仿宋"/>
          <w:b/>
          <w:bCs/>
          <w:color w:val="auto"/>
          <w:highlight w:val="none"/>
          <w:lang w:val="en-US" w:eastAsia="zh-CN"/>
        </w:rPr>
        <w:t>7. 数据迁移与接口对接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lang w:val="en-US" w:eastAsia="zh-CN"/>
        </w:rPr>
      </w:pPr>
      <w:r>
        <w:rPr>
          <w:rFonts w:hint="eastAsia" w:ascii="仿宋" w:hAnsi="仿宋" w:eastAsia="仿宋" w:cs="仿宋"/>
          <w:b w:val="0"/>
          <w:color w:val="auto"/>
          <w:sz w:val="21"/>
          <w:szCs w:val="21"/>
          <w:highlight w:val="none"/>
          <w:lang w:val="en-US" w:eastAsia="zh-CN"/>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 xml:space="preserve">7.1 </w:t>
      </w:r>
      <w:r>
        <w:rPr>
          <w:rFonts w:hint="eastAsia" w:ascii="仿宋" w:hAnsi="仿宋" w:eastAsia="仿宋" w:cs="仿宋"/>
          <w:color w:val="auto"/>
          <w:highlight w:val="none"/>
        </w:rPr>
        <w:t>提供专业的形态学分析软件，支持几何形态定量分析等功能。提供细胞形态学图像分析系统软件著作权证书</w:t>
      </w:r>
      <w:r>
        <w:rPr>
          <w:rFonts w:hint="eastAsia" w:ascii="仿宋" w:hAnsi="仿宋" w:eastAsia="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 xml:space="preserve">7.2 </w:t>
      </w:r>
      <w:r>
        <w:rPr>
          <w:rFonts w:hint="eastAsia" w:ascii="仿宋" w:hAnsi="仿宋" w:eastAsia="仿宋" w:cs="仿宋"/>
          <w:color w:val="auto"/>
          <w:highlight w:val="none"/>
        </w:rPr>
        <w:t>要求保留科室在用系统的全部功能及数据，满足本次采购需求所列产品配置清单中站点数量以及硬件配置，建成软件、硬件融通运行顺畅的完整病理质控与信息管理系统（供应商提供涵盖科室原有规模及功能要求承诺书，提供承诺书原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 xml:space="preserve">7.3 </w:t>
      </w:r>
      <w:r>
        <w:rPr>
          <w:rFonts w:hint="eastAsia" w:ascii="仿宋" w:hAnsi="仿宋" w:eastAsia="仿宋" w:cs="仿宋"/>
          <w:color w:val="auto"/>
          <w:highlight w:val="none"/>
        </w:rPr>
        <w:t>数据迁移：中标人需提供新系统与采购人原病理系统数据做对接迁移处理，包括历史数据标准统一，新系统能够全部继承原有系统数据，保证数据的连续性、完整性、可用性，不可造成历史数据的丢失或者不可用，保证系统在数据层面的平滑升级，支持在新系统中查询原系统的数据功能。（数据迁移过程中所需的费用需包含在总价内，提供承诺书原件，格式自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 xml:space="preserve">7.4 </w:t>
      </w:r>
      <w:r>
        <w:rPr>
          <w:rFonts w:hint="eastAsia" w:ascii="仿宋" w:hAnsi="仿宋" w:eastAsia="仿宋" w:cs="仿宋"/>
          <w:color w:val="auto"/>
          <w:highlight w:val="none"/>
        </w:rPr>
        <w:t>接口对接：病理系统需与院内信息集成平台、HIS PACS EMR  体检系统、CA系统、微信平台，电子申请等系统对接，提供对接文档，满足临床业务使用需求。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二、付款方式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按</w:t>
      </w:r>
      <w:r>
        <w:rPr>
          <w:rFonts w:hint="eastAsia" w:ascii="仿宋" w:hAnsi="仿宋" w:eastAsia="仿宋" w:cs="仿宋"/>
          <w:color w:val="auto"/>
          <w:highlight w:val="none"/>
        </w:rPr>
        <w:t>《浙江省财政厅关于进一步发挥政府采购政策 功能全力推动经济稳进提质的通知》（浙财采监〔2022〕3号）文件要求执行，具体付款方式由双方协商后在合同中明确。</w:t>
      </w: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3"/>
        <w:ind w:left="0" w:leftChars="0" w:firstLine="0" w:firstLineChars="0"/>
        <w:rPr>
          <w:rFonts w:ascii="仿宋" w:hAnsi="仿宋" w:eastAsia="仿宋" w:cs="仿宋"/>
          <w:color w:val="auto"/>
          <w:szCs w:val="24"/>
          <w:highlight w:val="none"/>
        </w:rPr>
      </w:pPr>
    </w:p>
    <w:p>
      <w:pPr>
        <w:pStyle w:val="703"/>
        <w:jc w:val="center"/>
        <w:rPr>
          <w:rFonts w:ascii="仿宋" w:hAnsi="仿宋" w:eastAsia="仿宋" w:cs="仿宋"/>
          <w:color w:val="auto"/>
          <w:szCs w:val="24"/>
          <w:highlight w:val="none"/>
        </w:rPr>
      </w:pPr>
    </w:p>
    <w:p>
      <w:pPr>
        <w:pStyle w:val="703"/>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3"/>
        <w:rPr>
          <w:rFonts w:ascii="仿宋" w:hAnsi="仿宋" w:eastAsia="仿宋" w:cs="仿宋"/>
          <w:color w:val="auto"/>
          <w:szCs w:val="24"/>
          <w:highlight w:val="none"/>
        </w:rPr>
      </w:pPr>
    </w:p>
    <w:p>
      <w:pPr>
        <w:pStyle w:val="703"/>
        <w:rPr>
          <w:rFonts w:ascii="仿宋" w:hAnsi="仿宋" w:eastAsia="仿宋" w:cs="仿宋"/>
          <w:color w:val="auto"/>
          <w:szCs w:val="24"/>
          <w:highlight w:val="none"/>
        </w:rPr>
      </w:pP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00"/>
        <w:spacing w:before="120" w:line="22" w:lineRule="atLeast"/>
        <w:rPr>
          <w:rFonts w:ascii="仿宋" w:hAnsi="仿宋" w:eastAsia="仿宋" w:cs="仿宋"/>
          <w:color w:val="auto"/>
          <w:szCs w:val="24"/>
          <w:highlight w:val="none"/>
        </w:rPr>
      </w:pPr>
    </w:p>
    <w:p>
      <w:pPr>
        <w:pStyle w:val="600"/>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仿宋" w:hAnsi="仿宋" w:eastAsia="仿宋" w:cs="仿宋"/>
          <w:color w:val="auto"/>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ascii="仿宋" w:hAnsi="仿宋" w:eastAsia="仿宋" w:cs="仿宋"/>
          <w:b/>
          <w:color w:val="auto"/>
          <w:sz w:val="24"/>
          <w:highlight w:val="none"/>
        </w:rPr>
      </w:pPr>
      <w:bookmarkStart w:id="44" w:name="_Toc3029"/>
      <w:bookmarkStart w:id="45" w:name="_Toc2232"/>
      <w:bookmarkStart w:id="46" w:name="_Toc24059"/>
      <w:r>
        <w:rPr>
          <w:rFonts w:hint="eastAsia" w:ascii="仿宋" w:hAnsi="仿宋" w:eastAsia="仿宋" w:cs="仿宋"/>
          <w:b/>
          <w:color w:val="auto"/>
          <w:sz w:val="24"/>
          <w:highlight w:val="none"/>
        </w:rPr>
        <w:t>1.1 合同组成部分</w:t>
      </w:r>
      <w:bookmarkEnd w:id="44"/>
      <w:bookmarkEnd w:id="45"/>
      <w:bookmarkEnd w:id="4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ascii="仿宋" w:hAnsi="仿宋" w:eastAsia="仿宋" w:cs="仿宋"/>
          <w:b/>
          <w:color w:val="auto"/>
          <w:sz w:val="24"/>
          <w:highlight w:val="none"/>
        </w:rPr>
      </w:pPr>
      <w:bookmarkStart w:id="47" w:name="_Toc21295"/>
      <w:bookmarkStart w:id="48" w:name="_Toc27126"/>
      <w:bookmarkStart w:id="49" w:name="_Toc24300"/>
      <w:r>
        <w:rPr>
          <w:rFonts w:hint="eastAsia" w:ascii="仿宋" w:hAnsi="仿宋" w:eastAsia="仿宋" w:cs="仿宋"/>
          <w:b/>
          <w:color w:val="auto"/>
          <w:sz w:val="24"/>
          <w:highlight w:val="none"/>
        </w:rPr>
        <w:t>1.2 货物</w:t>
      </w:r>
      <w:bookmarkEnd w:id="47"/>
      <w:bookmarkEnd w:id="48"/>
      <w:bookmarkEnd w:id="49"/>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ascii="仿宋" w:hAnsi="仿宋" w:eastAsia="仿宋" w:cs="仿宋"/>
          <w:b/>
          <w:color w:val="auto"/>
          <w:sz w:val="24"/>
          <w:highlight w:val="none"/>
        </w:rPr>
      </w:pPr>
      <w:bookmarkStart w:id="50" w:name="_Toc21551"/>
      <w:bookmarkStart w:id="51" w:name="_Toc23292"/>
      <w:bookmarkStart w:id="52" w:name="_Toc21631"/>
      <w:r>
        <w:rPr>
          <w:rFonts w:hint="eastAsia" w:ascii="仿宋" w:hAnsi="仿宋" w:eastAsia="仿宋" w:cs="仿宋"/>
          <w:b/>
          <w:color w:val="auto"/>
          <w:sz w:val="24"/>
          <w:highlight w:val="none"/>
        </w:rPr>
        <w:t>1.3 价款</w:t>
      </w:r>
      <w:bookmarkEnd w:id="50"/>
      <w:bookmarkEnd w:id="51"/>
      <w:bookmarkEnd w:id="5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bl>
    <w:p>
      <w:pPr>
        <w:pStyle w:val="960"/>
        <w:spacing w:before="0" w:beforeAutospacing="0" w:after="0" w:afterAutospacing="0" w:line="360" w:lineRule="auto"/>
        <w:ind w:firstLine="480"/>
        <w:rPr>
          <w:rFonts w:ascii="仿宋" w:hAnsi="仿宋" w:eastAsia="仿宋" w:cs="仿宋"/>
          <w:b/>
          <w:color w:val="auto"/>
          <w:highlight w:val="none"/>
        </w:rPr>
      </w:pPr>
      <w:bookmarkStart w:id="53" w:name="_Toc22618"/>
      <w:bookmarkStart w:id="54" w:name="_Toc1814"/>
      <w:bookmarkStart w:id="55" w:name="_Toc10340"/>
      <w:r>
        <w:rPr>
          <w:rFonts w:hint="eastAsia" w:ascii="仿宋" w:hAnsi="仿宋" w:eastAsia="仿宋" w:cs="仿宋"/>
          <w:b/>
          <w:color w:val="auto"/>
          <w:highlight w:val="none"/>
        </w:rPr>
        <w:t>1.4履约保证金</w:t>
      </w:r>
    </w:p>
    <w:p>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tabs>
          <w:tab w:val="clear" w:pos="432"/>
        </w:tabs>
        <w:spacing w:line="56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56" w:name="_Toc2846"/>
      <w:bookmarkStart w:id="57" w:name="_Toc32071"/>
      <w:bookmarkStart w:id="58" w:name="_Toc19304"/>
      <w:r>
        <w:rPr>
          <w:rFonts w:hint="eastAsia" w:ascii="仿宋" w:hAnsi="仿宋" w:eastAsia="仿宋" w:cs="仿宋"/>
          <w:b/>
          <w:color w:val="auto"/>
          <w:sz w:val="24"/>
          <w:highlight w:val="none"/>
        </w:rPr>
        <w:t>1.7货物交付期限、地点和方式</w:t>
      </w:r>
      <w:bookmarkEnd w:id="56"/>
      <w:bookmarkEnd w:id="57"/>
      <w:bookmarkEnd w:id="58"/>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59" w:name="_Toc19554"/>
      <w:bookmarkStart w:id="60" w:name="_Toc21423"/>
      <w:bookmarkStart w:id="61" w:name="_Toc27250"/>
      <w:r>
        <w:rPr>
          <w:rFonts w:hint="eastAsia" w:ascii="仿宋" w:hAnsi="仿宋" w:eastAsia="仿宋" w:cs="仿宋"/>
          <w:b/>
          <w:color w:val="auto"/>
          <w:sz w:val="24"/>
          <w:highlight w:val="none"/>
        </w:rPr>
        <w:t>1.8违约责任</w:t>
      </w:r>
      <w:bookmarkEnd w:id="59"/>
      <w:bookmarkEnd w:id="60"/>
      <w:bookmarkEnd w:id="6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ascii="仿宋" w:hAnsi="仿宋" w:eastAsia="仿宋" w:cs="仿宋"/>
          <w:b/>
          <w:color w:val="auto"/>
          <w:sz w:val="24"/>
          <w:highlight w:val="none"/>
        </w:rPr>
      </w:pPr>
      <w:bookmarkStart w:id="62" w:name="_Toc16021"/>
      <w:bookmarkStart w:id="63" w:name="_Toc28375"/>
      <w:bookmarkStart w:id="64" w:name="_Toc15583"/>
      <w:r>
        <w:rPr>
          <w:rFonts w:hint="eastAsia" w:ascii="仿宋" w:hAnsi="仿宋" w:eastAsia="仿宋" w:cs="仿宋"/>
          <w:b/>
          <w:color w:val="auto"/>
          <w:sz w:val="24"/>
          <w:highlight w:val="none"/>
        </w:rPr>
        <w:t>1.9合同争议的解决</w:t>
      </w:r>
      <w:bookmarkEnd w:id="62"/>
      <w:bookmarkEnd w:id="63"/>
      <w:bookmarkEnd w:id="64"/>
    </w:p>
    <w:p>
      <w:pPr>
        <w:spacing w:line="560" w:lineRule="exact"/>
        <w:ind w:left="-61" w:leftChars="-29" w:right="-420" w:rightChars="-200"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ascii="仿宋" w:hAnsi="仿宋" w:eastAsia="仿宋" w:cs="仿宋"/>
          <w:b/>
          <w:color w:val="auto"/>
          <w:sz w:val="24"/>
          <w:highlight w:val="none"/>
        </w:rPr>
      </w:pPr>
      <w:bookmarkStart w:id="65" w:name="_Toc11173"/>
      <w:bookmarkStart w:id="66" w:name="_Toc15322"/>
      <w:bookmarkStart w:id="67" w:name="_Toc7245"/>
      <w:r>
        <w:rPr>
          <w:rFonts w:hint="eastAsia" w:ascii="仿宋" w:hAnsi="仿宋" w:eastAsia="仿宋" w:cs="仿宋"/>
          <w:b/>
          <w:color w:val="auto"/>
          <w:sz w:val="24"/>
          <w:highlight w:val="none"/>
        </w:rPr>
        <w:t>2.0 合同生效</w:t>
      </w:r>
      <w:bookmarkEnd w:id="65"/>
      <w:bookmarkEnd w:id="66"/>
      <w:bookmarkEnd w:id="67"/>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4"/>
        <w:rPr>
          <w:rFonts w:ascii="仿宋" w:eastAsia="仿宋" w:cs="仿宋"/>
          <w:color w:val="auto"/>
          <w:sz w:val="24"/>
          <w:highlight w:val="none"/>
        </w:rPr>
      </w:pPr>
    </w:p>
    <w:p>
      <w:pPr>
        <w:rPr>
          <w:rFonts w:ascii="仿宋" w:hAnsi="仿宋" w:eastAsia="仿宋" w:cs="仿宋"/>
          <w:color w:val="auto"/>
          <w:sz w:val="24"/>
          <w:highlight w:val="none"/>
        </w:rPr>
      </w:pPr>
    </w:p>
    <w:p>
      <w:pPr>
        <w:pStyle w:val="4"/>
        <w:rPr>
          <w:rFonts w:ascii="仿宋" w:eastAsia="仿宋" w:cs="仿宋"/>
          <w:color w:val="auto"/>
          <w:sz w:val="24"/>
          <w:highlight w:val="none"/>
        </w:rPr>
      </w:pPr>
    </w:p>
    <w:p>
      <w:pPr>
        <w:rPr>
          <w:rFonts w:ascii="仿宋" w:hAnsi="仿宋" w:eastAsia="仿宋" w:cs="仿宋"/>
          <w:color w:val="auto"/>
          <w:sz w:val="24"/>
          <w:highlight w:val="none"/>
        </w:rPr>
      </w:pPr>
    </w:p>
    <w:p>
      <w:pPr>
        <w:pStyle w:val="4"/>
        <w:rPr>
          <w:rFonts w:ascii="仿宋" w:eastAsia="仿宋" w:cs="仿宋"/>
          <w:color w:val="auto"/>
          <w:sz w:val="24"/>
          <w:highlight w:val="none"/>
        </w:rPr>
      </w:pPr>
    </w:p>
    <w:p>
      <w:pPr>
        <w:rPr>
          <w:rFonts w:ascii="仿宋" w:hAnsi="仿宋" w:eastAsia="仿宋" w:cs="仿宋"/>
          <w:color w:val="auto"/>
          <w:sz w:val="24"/>
          <w:highlight w:val="none"/>
        </w:rPr>
      </w:pPr>
    </w:p>
    <w:p>
      <w:pPr>
        <w:pStyle w:val="703"/>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ascii="仿宋" w:hAnsi="仿宋" w:eastAsia="仿宋" w:cs="仿宋"/>
          <w:b/>
          <w:color w:val="auto"/>
          <w:sz w:val="24"/>
          <w:highlight w:val="none"/>
        </w:rPr>
      </w:pPr>
      <w:bookmarkStart w:id="68" w:name="_Ref467378463"/>
      <w:bookmarkStart w:id="69" w:name="_Ref467379109"/>
      <w:bookmarkStart w:id="70" w:name="_Ref467379225"/>
      <w:bookmarkStart w:id="71" w:name="_Toc16917"/>
      <w:bookmarkStart w:id="72" w:name="_Ref467379195"/>
      <w:bookmarkStart w:id="73" w:name="_Toc28763"/>
      <w:bookmarkStart w:id="74" w:name="_Ref467379094"/>
      <w:bookmarkStart w:id="75" w:name="_Toc259093669"/>
      <w:bookmarkStart w:id="76" w:name="_Ref467378499"/>
      <w:bookmarkStart w:id="77" w:name="_Ref467379214"/>
      <w:bookmarkStart w:id="78" w:name="_Ref467379101"/>
      <w:bookmarkStart w:id="79" w:name="_Ref467379205"/>
      <w:bookmarkStart w:id="80" w:name="_Ref467378404"/>
      <w:bookmarkStart w:id="81" w:name="_Toc279701240"/>
      <w:bookmarkStart w:id="82" w:name="_Toc487900349"/>
      <w:bookmarkStart w:id="83" w:name="_Toc19614"/>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auto"/>
          <w:sz w:val="24"/>
          <w:highlight w:val="none"/>
        </w:rPr>
      </w:pPr>
      <w:bookmarkStart w:id="84" w:name="_Ref467378840"/>
      <w:r>
        <w:rPr>
          <w:rFonts w:hint="eastAsia" w:ascii="仿宋" w:hAnsi="仿宋" w:eastAsia="仿宋" w:cs="仿宋"/>
          <w:color w:val="auto"/>
          <w:sz w:val="24"/>
          <w:highlight w:val="none"/>
        </w:rPr>
        <w:t>2.1.4 “甲方”系指与中标或成交供应商签署合同的采购人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
      </w:pPr>
      <w:bookmarkStart w:id="85" w:name="_Ref467379400"/>
      <w:r>
        <w:rPr>
          <w:rFonts w:hint="eastAsia" w:ascii="仿宋" w:hAnsi="仿宋" w:eastAsia="仿宋" w:cs="仿宋"/>
          <w:color w:val="auto"/>
          <w:sz w:val="24"/>
          <w:highlight w:val="none"/>
        </w:rPr>
        <w:t>2.1.5 “乙方”系指根据合同约定交付货物的中标或成交供应商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bookmarkStart w:id="86" w:name="_Ref467379436"/>
      <w:r>
        <w:rPr>
          <w:rFonts w:hint="eastAsia" w:ascii="仿宋" w:hAnsi="仿宋" w:eastAsia="仿宋" w:cs="仿宋"/>
          <w:color w:val="auto"/>
          <w:sz w:val="24"/>
          <w:highlight w:val="none"/>
        </w:rPr>
        <w:t>2.1.6 “现场”系指合同约定货物将要运至或者安装的地点。</w:t>
      </w:r>
      <w:bookmarkEnd w:id="86"/>
    </w:p>
    <w:p>
      <w:pPr>
        <w:spacing w:line="560" w:lineRule="exact"/>
        <w:ind w:firstLine="482" w:firstLineChars="200"/>
        <w:outlineLvl w:val="0"/>
        <w:rPr>
          <w:rFonts w:ascii="仿宋" w:hAnsi="仿宋" w:eastAsia="仿宋" w:cs="仿宋"/>
          <w:b/>
          <w:color w:val="auto"/>
          <w:sz w:val="24"/>
          <w:highlight w:val="none"/>
        </w:rPr>
      </w:pPr>
      <w:bookmarkStart w:id="87" w:name="_Toc32504"/>
      <w:bookmarkStart w:id="88" w:name="_Toc13336"/>
      <w:bookmarkStart w:id="89" w:name="_Toc279701241"/>
      <w:bookmarkStart w:id="90" w:name="_Toc259093670"/>
      <w:bookmarkStart w:id="91" w:name="_Toc487900350"/>
      <w:bookmarkStart w:id="92" w:name="_Toc27635"/>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93" w:name="_Toc487900351"/>
      <w:bookmarkStart w:id="94" w:name="_Toc27853"/>
      <w:bookmarkStart w:id="95" w:name="_Toc9829"/>
      <w:bookmarkStart w:id="96" w:name="_Toc259093671"/>
      <w:bookmarkStart w:id="97" w:name="_Toc279701242"/>
      <w:bookmarkStart w:id="98" w:name="_Toc31634"/>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99" w:name="_Toc29149"/>
      <w:bookmarkStart w:id="100" w:name="_Toc11932"/>
      <w:bookmarkStart w:id="101" w:name="_Toc4194"/>
      <w:r>
        <w:rPr>
          <w:rFonts w:hint="eastAsia" w:ascii="仿宋" w:hAnsi="仿宋" w:eastAsia="仿宋" w:cs="仿宋"/>
          <w:b/>
          <w:color w:val="auto"/>
          <w:sz w:val="24"/>
          <w:highlight w:val="none"/>
        </w:rPr>
        <w:t>2.4 包装和装运</w:t>
      </w:r>
      <w:bookmarkEnd w:id="99"/>
      <w:bookmarkEnd w:id="100"/>
      <w:bookmarkEnd w:id="10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02" w:name="_Toc487900354"/>
      <w:bookmarkStart w:id="103" w:name="_Ref467379542"/>
      <w:bookmarkStart w:id="104" w:name="_Toc259093674"/>
      <w:bookmarkStart w:id="105" w:name="_Ref467379527"/>
      <w:bookmarkStart w:id="106" w:name="_Ref467378541"/>
      <w:bookmarkStart w:id="107" w:name="_Toc279701245"/>
      <w:bookmarkStart w:id="108" w:name="_Ref467379536"/>
      <w:bookmarkStart w:id="109" w:name="_Ref467378591"/>
      <w:bookmarkStart w:id="110" w:name="_Toc26182"/>
      <w:bookmarkStart w:id="111" w:name="_Toc30272"/>
      <w:bookmarkStart w:id="112" w:name="_Toc19074"/>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pPr>
        <w:spacing w:line="560" w:lineRule="exact"/>
        <w:ind w:firstLine="480" w:firstLineChars="200"/>
        <w:rPr>
          <w:rFonts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Toc279701247"/>
      <w:bookmarkStart w:id="116" w:name="_Toc487900357"/>
      <w:bookmarkStart w:id="117" w:name="_Ref467379793"/>
      <w:bookmarkStart w:id="118" w:name="_Toc259093676"/>
      <w:bookmarkStart w:id="119"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pPr>
        <w:spacing w:line="560" w:lineRule="exact"/>
        <w:ind w:firstLine="482" w:firstLineChars="200"/>
        <w:outlineLvl w:val="0"/>
        <w:rPr>
          <w:rFonts w:ascii="仿宋" w:hAnsi="仿宋" w:eastAsia="仿宋" w:cs="仿宋"/>
          <w:b/>
          <w:color w:val="auto"/>
          <w:sz w:val="24"/>
          <w:highlight w:val="none"/>
        </w:rPr>
      </w:pPr>
      <w:bookmarkStart w:id="121" w:name="_Toc487900358"/>
      <w:bookmarkStart w:id="122" w:name="_Ref467379863"/>
      <w:bookmarkStart w:id="123" w:name="_Ref467379852"/>
      <w:bookmarkStart w:id="124" w:name="_Toc259093677"/>
      <w:bookmarkStart w:id="125" w:name="_Ref467379923"/>
      <w:bookmarkStart w:id="126" w:name="_Toc279701248"/>
      <w:bookmarkStart w:id="127" w:name="_Toc16110"/>
      <w:bookmarkStart w:id="128" w:name="_Toc774"/>
      <w:bookmarkStart w:id="129" w:name="_Toc3225"/>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131" w:name="_Toc17244"/>
      <w:bookmarkStart w:id="132" w:name="_Toc487900362"/>
      <w:bookmarkStart w:id="133" w:name="_Toc259093681"/>
      <w:bookmarkStart w:id="134" w:name="_Toc279701252"/>
      <w:r>
        <w:rPr>
          <w:rFonts w:hint="eastAsia" w:ascii="仿宋" w:hAnsi="仿宋" w:eastAsia="仿宋" w:cs="仿宋"/>
          <w:b/>
          <w:color w:val="auto"/>
          <w:sz w:val="24"/>
          <w:highlight w:val="none"/>
        </w:rPr>
        <w:t>2.8 货物的风险负担</w:t>
      </w:r>
      <w:bookmarkEnd w:id="131"/>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auto"/>
          <w:sz w:val="24"/>
          <w:highlight w:val="none"/>
        </w:rPr>
      </w:pPr>
      <w:bookmarkStart w:id="136" w:name="_Toc7502"/>
      <w:bookmarkStart w:id="137" w:name="_Ref467378121"/>
      <w:bookmarkStart w:id="138" w:name="_Toc259093683"/>
      <w:bookmarkStart w:id="139" w:name="_Toc487900364"/>
      <w:bookmarkStart w:id="140" w:name="_Toc279701254"/>
      <w:r>
        <w:rPr>
          <w:rFonts w:hint="eastAsia" w:ascii="仿宋" w:hAnsi="仿宋" w:eastAsia="仿宋" w:cs="仿宋"/>
          <w:b/>
          <w:color w:val="auto"/>
          <w:sz w:val="24"/>
          <w:highlight w:val="none"/>
        </w:rPr>
        <w:t>2.10 合同变更</w:t>
      </w:r>
      <w:bookmarkEnd w:id="13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259093688"/>
      <w:bookmarkStart w:id="142" w:name="_Toc279701259"/>
      <w:bookmarkStart w:id="143" w:name="_Toc487900369"/>
    </w:p>
    <w:p>
      <w:pPr>
        <w:spacing w:line="560" w:lineRule="exact"/>
        <w:ind w:firstLine="482" w:firstLineChars="200"/>
        <w:outlineLvl w:val="0"/>
        <w:rPr>
          <w:rFonts w:ascii="仿宋" w:hAnsi="仿宋" w:eastAsia="仿宋" w:cs="仿宋"/>
          <w:b/>
          <w:color w:val="auto"/>
          <w:sz w:val="24"/>
          <w:highlight w:val="none"/>
        </w:rPr>
      </w:pPr>
      <w:bookmarkStart w:id="144" w:name="_Toc22955"/>
      <w:bookmarkStart w:id="145" w:name="_Toc15237"/>
      <w:bookmarkStart w:id="146" w:name="_Toc10366"/>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auto"/>
          <w:sz w:val="24"/>
          <w:highlight w:val="none"/>
        </w:rPr>
      </w:pPr>
      <w:bookmarkStart w:id="147" w:name="_Toc14066"/>
      <w:bookmarkStart w:id="148" w:name="_Toc13566"/>
      <w:bookmarkStart w:id="149" w:name="_Toc16508"/>
      <w:r>
        <w:rPr>
          <w:rFonts w:hint="eastAsia" w:ascii="仿宋" w:hAnsi="仿宋" w:eastAsia="仿宋" w:cs="仿宋"/>
          <w:b/>
          <w:color w:val="auto"/>
          <w:sz w:val="24"/>
          <w:highlight w:val="none"/>
        </w:rPr>
        <w:t>2.12 不可抗力</w:t>
      </w:r>
      <w:bookmarkEnd w:id="147"/>
      <w:bookmarkEnd w:id="148"/>
      <w:bookmarkEnd w:id="14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50" w:name="_Toc6969"/>
      <w:bookmarkStart w:id="151" w:name="_Toc487900365"/>
      <w:bookmarkStart w:id="152" w:name="_Toc259093684"/>
      <w:bookmarkStart w:id="153" w:name="_Toc689"/>
      <w:bookmarkStart w:id="154" w:name="_Toc279701255"/>
      <w:bookmarkStart w:id="155" w:name="_Toc30676"/>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color w:val="auto"/>
          <w:sz w:val="24"/>
          <w:highlight w:val="none"/>
        </w:rPr>
      </w:pPr>
      <w:bookmarkStart w:id="156" w:name="_Toc8298"/>
      <w:bookmarkStart w:id="157" w:name="_Toc279701258"/>
      <w:bookmarkStart w:id="158" w:name="_Toc259093687"/>
      <w:bookmarkStart w:id="159" w:name="_Toc7102"/>
      <w:bookmarkStart w:id="160" w:name="_Toc16959"/>
      <w:bookmarkStart w:id="161" w:name="_Toc487900368"/>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62" w:name="_Toc6134"/>
      <w:bookmarkStart w:id="163" w:name="_Toc29333"/>
      <w:bookmarkStart w:id="164" w:name="_Toc15387"/>
      <w:r>
        <w:rPr>
          <w:rFonts w:hint="eastAsia" w:ascii="仿宋" w:hAnsi="仿宋" w:eastAsia="仿宋" w:cs="仿宋"/>
          <w:b/>
          <w:color w:val="auto"/>
          <w:sz w:val="24"/>
          <w:highlight w:val="none"/>
        </w:rPr>
        <w:t>2.15 合同中止、终止</w:t>
      </w:r>
      <w:bookmarkEnd w:id="162"/>
      <w:bookmarkEnd w:id="163"/>
      <w:bookmarkEnd w:id="16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65" w:name="_Toc14563"/>
      <w:bookmarkStart w:id="166" w:name="_Toc1125"/>
      <w:bookmarkStart w:id="167" w:name="_Toc6596"/>
      <w:r>
        <w:rPr>
          <w:rFonts w:hint="eastAsia" w:ascii="仿宋" w:hAnsi="仿宋" w:eastAsia="仿宋" w:cs="仿宋"/>
          <w:b/>
          <w:color w:val="auto"/>
          <w:sz w:val="24"/>
          <w:highlight w:val="none"/>
        </w:rPr>
        <w:t>2.16检验和验收</w:t>
      </w:r>
      <w:bookmarkEnd w:id="165"/>
      <w:bookmarkEnd w:id="166"/>
      <w:bookmarkEnd w:id="167"/>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pPr>
        <w:spacing w:line="560" w:lineRule="exact"/>
        <w:ind w:firstLine="482" w:firstLineChars="200"/>
        <w:outlineLvl w:val="0"/>
        <w:rPr>
          <w:rFonts w:ascii="仿宋" w:hAnsi="仿宋" w:eastAsia="仿宋" w:cs="仿宋"/>
          <w:b/>
          <w:color w:val="auto"/>
          <w:sz w:val="24"/>
          <w:highlight w:val="none"/>
        </w:rPr>
      </w:pPr>
      <w:bookmarkStart w:id="168" w:name="_Toc259093690"/>
      <w:bookmarkStart w:id="169" w:name="_Toc279701261"/>
      <w:bookmarkStart w:id="170" w:name="_Toc487900371"/>
      <w:bookmarkStart w:id="171" w:name="_Toc11284"/>
      <w:bookmarkStart w:id="172" w:name="_Toc25182"/>
      <w:bookmarkStart w:id="173" w:name="_Toc19604"/>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pPr>
        <w:spacing w:line="560" w:lineRule="exact"/>
        <w:ind w:firstLine="480" w:firstLineChars="200"/>
        <w:rPr>
          <w:rFonts w:ascii="仿宋" w:hAnsi="仿宋" w:eastAsia="仿宋" w:cs="仿宋"/>
          <w:color w:val="auto"/>
          <w:sz w:val="24"/>
          <w:highlight w:val="none"/>
        </w:rPr>
      </w:pPr>
      <w:bookmarkStart w:id="174" w:name="_Toc3135"/>
      <w:bookmarkStart w:id="175" w:name="_Toc6698"/>
      <w:bookmarkStart w:id="176" w:name="_Toc487900372"/>
      <w:bookmarkStart w:id="177" w:name="_Toc259093691"/>
      <w:bookmarkStart w:id="178"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pPr>
        <w:spacing w:line="560" w:lineRule="exact"/>
        <w:ind w:firstLine="480" w:firstLineChars="200"/>
        <w:rPr>
          <w:rFonts w:ascii="仿宋" w:hAnsi="仿宋" w:eastAsia="仿宋" w:cs="仿宋"/>
          <w:color w:val="auto"/>
          <w:sz w:val="24"/>
          <w:highlight w:val="none"/>
        </w:rPr>
      </w:pPr>
      <w:bookmarkStart w:id="179" w:name="_Toc23294"/>
      <w:bookmarkStart w:id="180"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pPr>
        <w:spacing w:line="560" w:lineRule="exact"/>
        <w:ind w:firstLine="482" w:firstLineChars="200"/>
        <w:outlineLvl w:val="0"/>
        <w:rPr>
          <w:rFonts w:ascii="仿宋" w:hAnsi="仿宋" w:eastAsia="仿宋" w:cs="仿宋"/>
          <w:b/>
          <w:color w:val="auto"/>
          <w:sz w:val="24"/>
          <w:highlight w:val="none"/>
        </w:rPr>
      </w:pPr>
      <w:bookmarkStart w:id="181" w:name="_Toc4355"/>
      <w:bookmarkStart w:id="182" w:name="_Toc30599"/>
      <w:bookmarkStart w:id="183" w:name="_Toc18540"/>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84" w:name="_Toc259093692"/>
      <w:bookmarkStart w:id="185" w:name="_Toc10330"/>
      <w:bookmarkStart w:id="186" w:name="_Toc279701263"/>
      <w:bookmarkStart w:id="187" w:name="_Toc12773"/>
      <w:bookmarkStart w:id="188" w:name="_Toc487900373"/>
      <w:bookmarkStart w:id="189" w:name="_Toc18567"/>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90" w:name="_Toc19890"/>
      <w:bookmarkStart w:id="191" w:name="_Toc6885"/>
      <w:bookmarkStart w:id="192" w:name="_Toc14001"/>
      <w:r>
        <w:rPr>
          <w:rFonts w:hint="eastAsia" w:ascii="仿宋" w:hAnsi="仿宋" w:eastAsia="仿宋" w:cs="仿宋"/>
          <w:b/>
          <w:color w:val="auto"/>
          <w:sz w:val="24"/>
          <w:highlight w:val="none"/>
        </w:rPr>
        <w:t>2.20 合同份数</w:t>
      </w:r>
      <w:bookmarkEnd w:id="190"/>
      <w:bookmarkEnd w:id="191"/>
      <w:bookmarkEnd w:id="19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pP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pPr>
              <w:spacing w:line="360" w:lineRule="auto"/>
              <w:rPr>
                <w:rFonts w:ascii="仿宋" w:hAnsi="仿宋" w:eastAsia="仿宋" w:cs="仿宋"/>
                <w:color w:val="auto"/>
                <w:sz w:val="24"/>
                <w:highlight w:val="none"/>
              </w:rPr>
            </w:pPr>
          </w:p>
        </w:tc>
      </w:tr>
    </w:tbl>
    <w:p>
      <w:pPr>
        <w:rPr>
          <w:rFonts w:ascii="仿宋" w:hAnsi="仿宋" w:eastAsia="仿宋" w:cs="仿宋"/>
          <w:color w:val="auto"/>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p>
      <w:pPr>
        <w:pStyle w:val="24"/>
        <w:rPr>
          <w:color w:val="auto"/>
          <w:highlight w:val="none"/>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1</w:t>
      </w:r>
      <w:r>
        <w:rPr>
          <w:rFonts w:hint="eastAsia" w:ascii="仿宋" w:hAnsi="仿宋" w:eastAsia="仿宋" w:cs="仿宋"/>
          <w:b/>
          <w:bCs/>
          <w:color w:val="auto"/>
          <w:sz w:val="24"/>
          <w:highlight w:val="none"/>
          <w:bdr w:val="single" w:color="auto" w:sz="4" w:space="0"/>
        </w:rPr>
        <w:t>标</w:t>
      </w:r>
    </w:p>
    <w:tbl>
      <w:tblPr>
        <w:tblStyle w:val="63"/>
        <w:tblW w:w="9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387"/>
        <w:gridCol w:w="6639"/>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9" w:type="dxa"/>
            <w:noWrap w:val="0"/>
            <w:vAlign w:val="center"/>
          </w:tcPr>
          <w:p>
            <w:pPr>
              <w:bidi w:val="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序号</w:t>
            </w:r>
          </w:p>
        </w:tc>
        <w:tc>
          <w:tcPr>
            <w:tcW w:w="1387" w:type="dxa"/>
            <w:noWrap w:val="0"/>
            <w:vAlign w:val="center"/>
          </w:tcPr>
          <w:p>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评分项目</w:t>
            </w:r>
          </w:p>
        </w:tc>
        <w:tc>
          <w:tcPr>
            <w:tcW w:w="6639" w:type="dxa"/>
            <w:noWrap w:val="0"/>
            <w:vAlign w:val="center"/>
          </w:tcPr>
          <w:p>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评标要点及说明</w:t>
            </w:r>
          </w:p>
        </w:tc>
        <w:tc>
          <w:tcPr>
            <w:tcW w:w="726" w:type="dxa"/>
            <w:noWrap w:val="0"/>
            <w:vAlign w:val="center"/>
          </w:tcPr>
          <w:p>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49" w:type="dxa"/>
            <w:noWrap w:val="0"/>
            <w:vAlign w:val="center"/>
          </w:tcPr>
          <w:p>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387" w:type="dxa"/>
            <w:noWrap w:val="0"/>
            <w:vAlign w:val="center"/>
          </w:tcPr>
          <w:p>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企业认证</w:t>
            </w:r>
          </w:p>
        </w:tc>
        <w:tc>
          <w:tcPr>
            <w:tcW w:w="6639" w:type="dxa"/>
            <w:noWrap w:val="0"/>
            <w:vAlign w:val="center"/>
          </w:tcPr>
          <w:p>
            <w:pPr>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投标人具有有效的</w:t>
            </w:r>
          </w:p>
          <w:p>
            <w:pPr>
              <w:numPr>
                <w:ilvl w:val="0"/>
                <w:numId w:val="4"/>
              </w:numPr>
              <w:bidi w:val="0"/>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ISO9001质量管理体系认证证书得1分；</w:t>
            </w:r>
          </w:p>
          <w:p>
            <w:pPr>
              <w:numPr>
                <w:ilvl w:val="0"/>
                <w:numId w:val="4"/>
              </w:numPr>
              <w:bidi w:val="0"/>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IS027001信息安全管理体系认证证书得1分；</w:t>
            </w:r>
          </w:p>
          <w:p>
            <w:pPr>
              <w:numPr>
                <w:ilvl w:val="0"/>
                <w:numId w:val="4"/>
              </w:numPr>
              <w:bidi w:val="0"/>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IS02000</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信息技术服务管理体系认证证书</w:t>
            </w:r>
            <w:r>
              <w:rPr>
                <w:rFonts w:hint="eastAsia" w:ascii="仿宋" w:hAnsi="仿宋" w:eastAsia="仿宋" w:cs="仿宋"/>
                <w:color w:val="auto"/>
                <w:sz w:val="21"/>
                <w:szCs w:val="21"/>
                <w:highlight w:val="none"/>
                <w:lang w:val="en-US" w:eastAsia="zh-CN"/>
              </w:rPr>
              <w:t>得1分</w:t>
            </w:r>
            <w:r>
              <w:rPr>
                <w:rFonts w:hint="eastAsia" w:ascii="仿宋" w:hAnsi="仿宋" w:eastAsia="仿宋" w:cs="仿宋"/>
                <w:color w:val="auto"/>
                <w:sz w:val="21"/>
                <w:szCs w:val="21"/>
                <w:highlight w:val="none"/>
                <w:lang w:eastAsia="zh-CN"/>
              </w:rPr>
              <w:t>；</w:t>
            </w:r>
          </w:p>
          <w:p>
            <w:pPr>
              <w:numPr>
                <w:ilvl w:val="0"/>
                <w:numId w:val="4"/>
              </w:numPr>
              <w:bidi w:val="0"/>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软件企业认证证书</w:t>
            </w:r>
            <w:r>
              <w:rPr>
                <w:rFonts w:hint="eastAsia" w:ascii="仿宋" w:hAnsi="仿宋" w:eastAsia="仿宋" w:cs="仿宋"/>
                <w:color w:val="auto"/>
                <w:sz w:val="21"/>
                <w:szCs w:val="21"/>
                <w:highlight w:val="none"/>
                <w:lang w:val="en-US" w:eastAsia="zh-CN"/>
              </w:rPr>
              <w:t>得1分</w:t>
            </w:r>
            <w:r>
              <w:rPr>
                <w:rFonts w:hint="eastAsia" w:ascii="仿宋" w:hAnsi="仿宋" w:eastAsia="仿宋" w:cs="仿宋"/>
                <w:color w:val="auto"/>
                <w:sz w:val="21"/>
                <w:szCs w:val="21"/>
                <w:highlight w:val="none"/>
                <w:lang w:val="en-US" w:eastAsia="zh-CN"/>
              </w:rPr>
              <w:t>；</w:t>
            </w:r>
          </w:p>
          <w:p>
            <w:pPr>
              <w:numPr>
                <w:ilvl w:val="0"/>
                <w:numId w:val="4"/>
              </w:numPr>
              <w:bidi w:val="0"/>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移动输液</w:t>
            </w:r>
            <w:r>
              <w:rPr>
                <w:rFonts w:hint="eastAsia" w:ascii="仿宋" w:hAnsi="仿宋" w:eastAsia="仿宋" w:cs="仿宋"/>
                <w:color w:val="auto"/>
                <w:sz w:val="21"/>
                <w:szCs w:val="21"/>
                <w:highlight w:val="none"/>
                <w:lang w:val="en-US" w:eastAsia="zh-CN"/>
              </w:rPr>
              <w:t>系统软件著作权证书</w:t>
            </w:r>
            <w:r>
              <w:rPr>
                <w:rFonts w:hint="eastAsia" w:ascii="仿宋" w:hAnsi="仿宋" w:eastAsia="仿宋" w:cs="仿宋"/>
                <w:color w:val="auto"/>
                <w:sz w:val="21"/>
                <w:szCs w:val="21"/>
                <w:highlight w:val="none"/>
                <w:lang w:val="en-US" w:eastAsia="zh-CN"/>
              </w:rPr>
              <w:t>得1分；</w:t>
            </w:r>
          </w:p>
          <w:p>
            <w:pPr>
              <w:numPr>
                <w:ilvl w:val="0"/>
                <w:numId w:val="4"/>
              </w:numPr>
              <w:bidi w:val="0"/>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（上述需提供相关证书证明资料的原件扫描件加盖投标人公章，否则不得分）</w:t>
            </w:r>
          </w:p>
        </w:tc>
        <w:tc>
          <w:tcPr>
            <w:tcW w:w="726" w:type="dxa"/>
            <w:noWrap w:val="0"/>
            <w:vAlign w:val="center"/>
          </w:tcPr>
          <w:p>
            <w:pPr>
              <w:bidi w:val="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749" w:type="dxa"/>
            <w:noWrap w:val="0"/>
            <w:vAlign w:val="center"/>
          </w:tcPr>
          <w:p>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387" w:type="dxa"/>
            <w:noWrap w:val="0"/>
            <w:vAlign w:val="center"/>
          </w:tcPr>
          <w:p>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业绩证明</w:t>
            </w:r>
          </w:p>
        </w:tc>
        <w:tc>
          <w:tcPr>
            <w:tcW w:w="6639" w:type="dxa"/>
            <w:noWrap w:val="0"/>
            <w:vAlign w:val="center"/>
          </w:tcPr>
          <w:p>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投标人需提供2021年1月至今（以合同签订时间为准）</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通过电子病历5级同时通过互联互通4甲的医院项目</w:t>
            </w:r>
            <w:r>
              <w:rPr>
                <w:rFonts w:hint="eastAsia" w:ascii="仿宋" w:hAnsi="仿宋" w:eastAsia="仿宋" w:cs="仿宋"/>
                <w:color w:val="auto"/>
                <w:sz w:val="21"/>
                <w:szCs w:val="21"/>
                <w:highlight w:val="none"/>
                <w:lang w:val="en-US" w:eastAsia="zh-CN"/>
              </w:rPr>
              <w:t>（涉及本项目招标同类产品）应用案例，每提供一个有效业绩得1分，最高得3分。（需提供合同复印件，同时提供医院过审材料均加盖投标人公章，未提供不得分）。</w:t>
            </w:r>
          </w:p>
        </w:tc>
        <w:tc>
          <w:tcPr>
            <w:tcW w:w="726" w:type="dxa"/>
            <w:noWrap w:val="0"/>
            <w:vAlign w:val="center"/>
          </w:tcPr>
          <w:p>
            <w:pPr>
              <w:bidi w:val="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noWrap w:val="0"/>
            <w:vAlign w:val="center"/>
          </w:tcPr>
          <w:p>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387" w:type="dxa"/>
            <w:noWrap w:val="0"/>
            <w:vAlign w:val="center"/>
          </w:tcPr>
          <w:p>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功能演示</w:t>
            </w:r>
          </w:p>
        </w:tc>
        <w:tc>
          <w:tcPr>
            <w:tcW w:w="6639" w:type="dxa"/>
            <w:noWrap w:val="0"/>
            <w:vAlign w:val="center"/>
          </w:tcPr>
          <w:p>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招标文件功能要求中“</w:t>
            </w:r>
            <w:r>
              <w:rPr>
                <w:rFonts w:hint="eastAsia" w:ascii="仿宋" w:hAnsi="仿宋" w:eastAsia="仿宋" w:cs="仿宋"/>
                <w:color w:val="auto"/>
                <w:sz w:val="24"/>
                <w:szCs w:val="24"/>
                <w:highlight w:val="none"/>
              </w:rPr>
              <w:t>△</w:t>
            </w:r>
            <w:r>
              <w:rPr>
                <w:rFonts w:hint="eastAsia" w:ascii="仿宋" w:hAnsi="仿宋" w:eastAsia="仿宋" w:cs="仿宋"/>
                <w:color w:val="auto"/>
                <w:sz w:val="21"/>
                <w:szCs w:val="21"/>
                <w:highlight w:val="none"/>
              </w:rPr>
              <w:t>”项提供系统功能演示，全部满足得</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分。需现场提供软件功能标“</w:t>
            </w:r>
            <w:r>
              <w:rPr>
                <w:rFonts w:hint="eastAsia" w:ascii="仿宋" w:hAnsi="仿宋" w:eastAsia="仿宋" w:cs="仿宋"/>
                <w:color w:val="auto"/>
                <w:sz w:val="24"/>
                <w:szCs w:val="24"/>
                <w:highlight w:val="none"/>
              </w:rPr>
              <w:t>△</w:t>
            </w:r>
            <w:r>
              <w:rPr>
                <w:rFonts w:hint="eastAsia" w:ascii="仿宋" w:hAnsi="仿宋" w:eastAsia="仿宋" w:cs="仿宋"/>
                <w:color w:val="auto"/>
                <w:sz w:val="21"/>
                <w:szCs w:val="21"/>
                <w:highlight w:val="none"/>
              </w:rPr>
              <w:t>”项操作演示。每1项功能演示未能完全满足招标文件中演示功能要求的，扣</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分，扣完为止；</w:t>
            </w:r>
          </w:p>
          <w:p>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说明：投标人需按要求在开标现场</w:t>
            </w:r>
            <w:r>
              <w:rPr>
                <w:rFonts w:hint="eastAsia" w:ascii="仿宋" w:hAnsi="仿宋" w:eastAsia="仿宋" w:cs="仿宋"/>
                <w:color w:val="auto"/>
                <w:sz w:val="21"/>
                <w:szCs w:val="21"/>
                <w:highlight w:val="none"/>
                <w:lang w:val="en-US" w:eastAsia="zh-CN"/>
              </w:rPr>
              <w:t>进行产品真实数据演示</w:t>
            </w:r>
            <w:r>
              <w:rPr>
                <w:rFonts w:hint="eastAsia" w:ascii="仿宋" w:hAnsi="仿宋" w:eastAsia="仿宋" w:cs="仿宋"/>
                <w:color w:val="auto"/>
                <w:sz w:val="21"/>
                <w:szCs w:val="21"/>
                <w:highlight w:val="none"/>
              </w:rPr>
              <w:t xml:space="preserve">，视频演示、PPT演示无效，因投标人问题造成演示失败，视为此项要求不满足，不得分。 </w:t>
            </w:r>
          </w:p>
        </w:tc>
        <w:tc>
          <w:tcPr>
            <w:tcW w:w="726" w:type="dxa"/>
            <w:noWrap w:val="0"/>
            <w:vAlign w:val="center"/>
          </w:tcPr>
          <w:p>
            <w:pPr>
              <w:bidi w:val="0"/>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49" w:type="dxa"/>
            <w:noWrap w:val="0"/>
            <w:vAlign w:val="center"/>
          </w:tcPr>
          <w:p>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387" w:type="dxa"/>
            <w:noWrap w:val="0"/>
            <w:vAlign w:val="center"/>
          </w:tcPr>
          <w:p>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技术</w:t>
            </w:r>
            <w:r>
              <w:rPr>
                <w:rFonts w:hint="eastAsia" w:ascii="仿宋" w:hAnsi="仿宋" w:eastAsia="仿宋" w:cs="仿宋"/>
                <w:color w:val="auto"/>
                <w:sz w:val="21"/>
                <w:szCs w:val="21"/>
                <w:highlight w:val="none"/>
                <w:lang w:val="en-US" w:eastAsia="zh-CN"/>
              </w:rPr>
              <w:t>响应部分</w:t>
            </w:r>
          </w:p>
        </w:tc>
        <w:tc>
          <w:tcPr>
            <w:tcW w:w="6639" w:type="dxa"/>
            <w:noWrap w:val="0"/>
            <w:vAlign w:val="center"/>
          </w:tcPr>
          <w:p>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完全满足</w:t>
            </w:r>
            <w:r>
              <w:rPr>
                <w:rFonts w:hint="eastAsia" w:ascii="仿宋" w:hAnsi="仿宋" w:eastAsia="仿宋" w:cs="仿宋"/>
                <w:color w:val="auto"/>
                <w:sz w:val="21"/>
                <w:szCs w:val="21"/>
                <w:highlight w:val="none"/>
              </w:rPr>
              <w:t>招标文件功能要求得</w:t>
            </w:r>
            <w:r>
              <w:rPr>
                <w:rFonts w:hint="eastAsia" w:ascii="仿宋" w:hAnsi="仿宋" w:eastAsia="仿宋" w:cs="仿宋"/>
                <w:color w:val="auto"/>
                <w:sz w:val="21"/>
                <w:szCs w:val="21"/>
                <w:highlight w:val="none"/>
                <w:lang w:val="en-US" w:eastAsia="zh-CN"/>
              </w:rPr>
              <w:t>20</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（标</w:t>
            </w:r>
            <w:r>
              <w:rPr>
                <w:rFonts w:hint="eastAsia" w:ascii="仿宋" w:hAnsi="仿宋" w:eastAsia="仿宋" w:cs="仿宋"/>
                <w:color w:val="auto"/>
                <w:sz w:val="21"/>
                <w:szCs w:val="21"/>
                <w:highlight w:val="none"/>
              </w:rPr>
              <w:t>“</w:t>
            </w:r>
            <w:r>
              <w:rPr>
                <w:rFonts w:hint="eastAsia" w:ascii="仿宋" w:hAnsi="仿宋" w:eastAsia="仿宋" w:cs="仿宋"/>
                <w:color w:val="auto"/>
                <w:sz w:val="24"/>
                <w:szCs w:val="24"/>
                <w:highlight w:val="none"/>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除外</w:t>
            </w:r>
            <w:r>
              <w:rPr>
                <w:rFonts w:hint="eastAsia" w:ascii="仿宋" w:hAnsi="仿宋" w:eastAsia="仿宋" w:cs="仿宋"/>
                <w:color w:val="auto"/>
                <w:sz w:val="21"/>
                <w:szCs w:val="21"/>
                <w:highlight w:val="none"/>
                <w:lang w:eastAsia="zh-CN"/>
              </w:rPr>
              <w:t>）；标</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”项每</w:t>
            </w:r>
            <w:r>
              <w:rPr>
                <w:rFonts w:hint="eastAsia" w:ascii="仿宋" w:hAnsi="仿宋" w:eastAsia="仿宋" w:cs="仿宋"/>
                <w:color w:val="auto"/>
                <w:sz w:val="21"/>
                <w:szCs w:val="21"/>
                <w:highlight w:val="none"/>
                <w:lang w:val="en-US" w:eastAsia="zh-CN"/>
              </w:rPr>
              <w:t>负偏离一项</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其他一般指标</w:t>
            </w:r>
            <w:r>
              <w:rPr>
                <w:rFonts w:hint="eastAsia" w:ascii="仿宋" w:hAnsi="仿宋" w:eastAsia="仿宋" w:cs="仿宋"/>
                <w:color w:val="auto"/>
                <w:sz w:val="21"/>
                <w:szCs w:val="21"/>
                <w:highlight w:val="none"/>
              </w:rPr>
              <w:t>项</w:t>
            </w:r>
            <w:r>
              <w:rPr>
                <w:rFonts w:hint="eastAsia" w:ascii="仿宋" w:hAnsi="仿宋" w:eastAsia="仿宋" w:cs="仿宋"/>
                <w:color w:val="auto"/>
                <w:sz w:val="21"/>
                <w:szCs w:val="21"/>
                <w:highlight w:val="none"/>
                <w:lang w:val="en-US" w:eastAsia="zh-CN"/>
              </w:rPr>
              <w:t>每负偏离一项</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分，扣完为止</w:t>
            </w:r>
            <w:r>
              <w:rPr>
                <w:rFonts w:hint="eastAsia" w:ascii="仿宋" w:hAnsi="仿宋" w:eastAsia="仿宋" w:cs="仿宋"/>
                <w:color w:val="auto"/>
                <w:sz w:val="21"/>
                <w:szCs w:val="21"/>
                <w:highlight w:val="none"/>
                <w:lang w:eastAsia="zh-CN"/>
              </w:rPr>
              <w:t>。</w:t>
            </w:r>
          </w:p>
        </w:tc>
        <w:tc>
          <w:tcPr>
            <w:tcW w:w="726" w:type="dxa"/>
            <w:noWrap w:val="0"/>
            <w:vAlign w:val="center"/>
          </w:tcPr>
          <w:p>
            <w:pPr>
              <w:bidi w:val="0"/>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49" w:type="dxa"/>
            <w:vMerge w:val="restart"/>
            <w:noWrap w:val="0"/>
            <w:vAlign w:val="center"/>
          </w:tcPr>
          <w:p>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387" w:type="dxa"/>
            <w:vMerge w:val="restart"/>
            <w:noWrap w:val="0"/>
            <w:vAlign w:val="center"/>
          </w:tcPr>
          <w:p>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项目团队</w:t>
            </w:r>
          </w:p>
        </w:tc>
        <w:tc>
          <w:tcPr>
            <w:tcW w:w="6639" w:type="dxa"/>
            <w:noWrap w:val="0"/>
            <w:vAlign w:val="center"/>
          </w:tcPr>
          <w:p>
            <w:pPr>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投标人拟派的现场项目经理具有PMP认证证书，得 1 分， </w:t>
            </w:r>
          </w:p>
          <w:p>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需提供证书原件扫描件及</w:t>
            </w:r>
            <w:r>
              <w:rPr>
                <w:rFonts w:hint="eastAsia" w:ascii="仿宋" w:hAnsi="仿宋" w:eastAsia="仿宋" w:cs="仿宋"/>
                <w:color w:val="auto"/>
                <w:sz w:val="21"/>
                <w:szCs w:val="21"/>
                <w:highlight w:val="none"/>
                <w:lang w:val="en-US" w:eastAsia="zh-CN"/>
              </w:rPr>
              <w:t>投标人缴纳社保证明原件扫描件</w:t>
            </w:r>
            <w:r>
              <w:rPr>
                <w:rFonts w:hint="eastAsia" w:ascii="仿宋" w:hAnsi="仿宋" w:eastAsia="仿宋" w:cs="仿宋"/>
                <w:color w:val="auto"/>
                <w:sz w:val="21"/>
                <w:szCs w:val="21"/>
                <w:highlight w:val="none"/>
                <w:lang w:val="en-US" w:eastAsia="zh-CN"/>
              </w:rPr>
              <w:t>，未提供不得分。</w:t>
            </w:r>
          </w:p>
        </w:tc>
        <w:tc>
          <w:tcPr>
            <w:tcW w:w="726" w:type="dxa"/>
            <w:noWrap w:val="0"/>
            <w:vAlign w:val="center"/>
          </w:tcPr>
          <w:p>
            <w:pPr>
              <w:bidi w:val="0"/>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49" w:type="dxa"/>
            <w:vMerge w:val="continue"/>
            <w:noWrap w:val="0"/>
            <w:vAlign w:val="center"/>
          </w:tcPr>
          <w:p>
            <w:pPr>
              <w:bidi w:val="0"/>
              <w:jc w:val="center"/>
              <w:rPr>
                <w:rFonts w:hint="eastAsia" w:ascii="仿宋" w:hAnsi="仿宋" w:eastAsia="仿宋" w:cs="仿宋"/>
                <w:color w:val="auto"/>
                <w:sz w:val="21"/>
                <w:szCs w:val="21"/>
                <w:highlight w:val="none"/>
                <w:lang w:val="en-US" w:eastAsia="zh-CN"/>
              </w:rPr>
            </w:pPr>
          </w:p>
        </w:tc>
        <w:tc>
          <w:tcPr>
            <w:tcW w:w="1387" w:type="dxa"/>
            <w:vMerge w:val="continue"/>
            <w:noWrap w:val="0"/>
            <w:vAlign w:val="center"/>
          </w:tcPr>
          <w:p>
            <w:pPr>
              <w:bidi w:val="0"/>
              <w:jc w:val="center"/>
              <w:rPr>
                <w:rFonts w:hint="eastAsia" w:ascii="仿宋" w:hAnsi="仿宋" w:eastAsia="仿宋" w:cs="仿宋"/>
                <w:color w:val="auto"/>
                <w:sz w:val="21"/>
                <w:szCs w:val="21"/>
                <w:highlight w:val="none"/>
                <w:lang w:val="en-US" w:eastAsia="zh-CN"/>
              </w:rPr>
            </w:pPr>
          </w:p>
        </w:tc>
        <w:tc>
          <w:tcPr>
            <w:tcW w:w="6639" w:type="dxa"/>
            <w:noWrap w:val="0"/>
            <w:vAlign w:val="center"/>
          </w:tcPr>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投标人拟派的现场项目组其他成员：</w:t>
            </w:r>
          </w:p>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1、配备2个数据库系统工程师认证证书</w:t>
            </w:r>
          </w:p>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2、配备2个软件设计师认证证书</w:t>
            </w:r>
          </w:p>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3、配备1个信息处理技术员认证证书</w:t>
            </w:r>
          </w:p>
          <w:p>
            <w:pPr>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4、配备数据库（OCP或DBA）认证证书</w:t>
            </w:r>
          </w:p>
          <w:p>
            <w:pPr>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全部满足的得3分，缺少一项则不得分。 上述人员</w:t>
            </w:r>
          </w:p>
          <w:p>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需提供相关证书原件扫描件及</w:t>
            </w:r>
            <w:r>
              <w:rPr>
                <w:rFonts w:hint="eastAsia" w:ascii="仿宋" w:hAnsi="仿宋" w:eastAsia="仿宋" w:cs="仿宋"/>
                <w:color w:val="auto"/>
                <w:sz w:val="21"/>
                <w:szCs w:val="21"/>
                <w:highlight w:val="none"/>
                <w:lang w:val="en-US" w:eastAsia="zh-CN"/>
              </w:rPr>
              <w:t>投标人缴纳社保证明原件扫描件</w:t>
            </w:r>
            <w:r>
              <w:rPr>
                <w:rFonts w:hint="eastAsia" w:ascii="仿宋" w:hAnsi="仿宋" w:eastAsia="仿宋" w:cs="仿宋"/>
                <w:color w:val="auto"/>
                <w:sz w:val="21"/>
                <w:szCs w:val="21"/>
                <w:highlight w:val="none"/>
                <w:lang w:val="en-US" w:eastAsia="zh-CN"/>
              </w:rPr>
              <w:t>，未提供不得分。</w:t>
            </w:r>
          </w:p>
        </w:tc>
        <w:tc>
          <w:tcPr>
            <w:tcW w:w="726" w:type="dxa"/>
            <w:noWrap w:val="0"/>
            <w:vAlign w:val="center"/>
          </w:tcPr>
          <w:p>
            <w:pPr>
              <w:bidi w:val="0"/>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49" w:type="dxa"/>
            <w:noWrap w:val="0"/>
            <w:vAlign w:val="center"/>
          </w:tcPr>
          <w:p>
            <w:pPr>
              <w:pStyle w:val="966"/>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387" w:type="dxa"/>
            <w:noWrap w:val="0"/>
            <w:vAlign w:val="center"/>
          </w:tcPr>
          <w:p>
            <w:pPr>
              <w:pStyle w:val="966"/>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组织实施方案</w:t>
            </w:r>
          </w:p>
        </w:tc>
        <w:tc>
          <w:tcPr>
            <w:tcW w:w="6639" w:type="dxa"/>
            <w:noWrap w:val="0"/>
            <w:vAlign w:val="center"/>
          </w:tcPr>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根据投标人项目组织实施方案的科学性、合理性、规范性和可操作性，包括安装调试、组织机构、工作时间进度表、工作程序和步骤、管理和协调方法等。</w:t>
            </w:r>
          </w:p>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 项目实施标准规范、实际操作性强，得5 分；</w:t>
            </w:r>
          </w:p>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 项目实施符合规范、实际操作性一般，得2分；</w:t>
            </w:r>
          </w:p>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 项目实施基本规范、实际操作性弱，得 1分。</w:t>
            </w:r>
          </w:p>
          <w:p>
            <w:pPr>
              <w:numPr>
                <w:ilvl w:val="0"/>
                <w:numId w:val="0"/>
              </w:numPr>
              <w:ind w:left="0" w:leftChars="0"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(4) 没有提供，得 0 分。</w:t>
            </w:r>
          </w:p>
        </w:tc>
        <w:tc>
          <w:tcPr>
            <w:tcW w:w="726" w:type="dxa"/>
            <w:noWrap w:val="0"/>
            <w:vAlign w:val="center"/>
          </w:tcPr>
          <w:p>
            <w:pPr>
              <w:pStyle w:val="966"/>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49" w:type="dxa"/>
            <w:noWrap w:val="0"/>
            <w:vAlign w:val="center"/>
          </w:tcPr>
          <w:p>
            <w:pPr>
              <w:pStyle w:val="966"/>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1387" w:type="dxa"/>
            <w:noWrap w:val="0"/>
            <w:vAlign w:val="center"/>
          </w:tcPr>
          <w:p>
            <w:pPr>
              <w:pStyle w:val="966"/>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质量保障措施</w:t>
            </w:r>
          </w:p>
        </w:tc>
        <w:tc>
          <w:tcPr>
            <w:tcW w:w="6639" w:type="dxa"/>
            <w:noWrap w:val="0"/>
            <w:vAlign w:val="center"/>
          </w:tcPr>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根据投标人提供的系统开发的相关质量保障措施进行评分；</w:t>
            </w:r>
          </w:p>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 保障措施计划详尽、合理、完善，得5分；</w:t>
            </w:r>
          </w:p>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 保障措施计划较好、基本满足要求，得2分；</w:t>
            </w:r>
          </w:p>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 保障措施计划不完善、不明确，得 1分。</w:t>
            </w:r>
          </w:p>
          <w:p>
            <w:pPr>
              <w:numPr>
                <w:ilvl w:val="0"/>
                <w:numId w:val="0"/>
              </w:numPr>
              <w:ind w:left="0" w:leftChars="0"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(4) 没有提供，得 0 分。</w:t>
            </w:r>
          </w:p>
        </w:tc>
        <w:tc>
          <w:tcPr>
            <w:tcW w:w="726" w:type="dxa"/>
            <w:noWrap w:val="0"/>
            <w:vAlign w:val="center"/>
          </w:tcPr>
          <w:p>
            <w:pPr>
              <w:pStyle w:val="966"/>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49" w:type="dxa"/>
            <w:noWrap w:val="0"/>
            <w:vAlign w:val="center"/>
          </w:tcPr>
          <w:p>
            <w:pPr>
              <w:pStyle w:val="966"/>
              <w:ind w:firstLine="0" w:firstLineChars="0"/>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w:t>
            </w:r>
          </w:p>
        </w:tc>
        <w:tc>
          <w:tcPr>
            <w:tcW w:w="1387" w:type="dxa"/>
            <w:noWrap w:val="0"/>
            <w:vAlign w:val="center"/>
          </w:tcPr>
          <w:p>
            <w:pPr>
              <w:pStyle w:val="966"/>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培训计划</w:t>
            </w:r>
          </w:p>
        </w:tc>
        <w:tc>
          <w:tcPr>
            <w:tcW w:w="6639" w:type="dxa"/>
            <w:noWrap w:val="0"/>
            <w:vAlign w:val="center"/>
          </w:tcPr>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根据投标人培训计划的科学性、合理性和可操作性，包括对采购人的管理人员、操作人员及维护人员进行培训等承诺情况等内容。</w:t>
            </w:r>
          </w:p>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 项目培训计划好、可操作性强，得5分；</w:t>
            </w:r>
          </w:p>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 项目培训计划较好、实际操作性一般，得2分；</w:t>
            </w:r>
          </w:p>
          <w:p>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 项目培训计划不完善、实际操作性弱，得 1分。</w:t>
            </w:r>
          </w:p>
          <w:p>
            <w:pPr>
              <w:numPr>
                <w:ilvl w:val="0"/>
                <w:numId w:val="0"/>
              </w:numPr>
              <w:ind w:left="0" w:leftChars="0"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(4) 没有提供，得 0 分。</w:t>
            </w:r>
          </w:p>
        </w:tc>
        <w:tc>
          <w:tcPr>
            <w:tcW w:w="726" w:type="dxa"/>
            <w:noWrap w:val="0"/>
            <w:vAlign w:val="center"/>
          </w:tcPr>
          <w:p>
            <w:pPr>
              <w:pStyle w:val="966"/>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49" w:type="dxa"/>
            <w:vMerge w:val="restart"/>
            <w:noWrap w:val="0"/>
            <w:vAlign w:val="center"/>
          </w:tcPr>
          <w:p>
            <w:pPr>
              <w:pStyle w:val="966"/>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1387" w:type="dxa"/>
            <w:vMerge w:val="restart"/>
            <w:noWrap w:val="0"/>
            <w:vAlign w:val="center"/>
          </w:tcPr>
          <w:p>
            <w:pPr>
              <w:pStyle w:val="966"/>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w:t>
            </w:r>
          </w:p>
        </w:tc>
        <w:tc>
          <w:tcPr>
            <w:tcW w:w="6639" w:type="dxa"/>
            <w:noWrap w:val="0"/>
            <w:vAlign w:val="center"/>
          </w:tcPr>
          <w:p>
            <w:pPr>
              <w:bidi w:val="0"/>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投标人</w:t>
            </w:r>
            <w:r>
              <w:rPr>
                <w:rFonts w:hint="eastAsia" w:ascii="仿宋" w:hAnsi="仿宋" w:eastAsia="仿宋" w:cs="仿宋"/>
                <w:color w:val="auto"/>
                <w:sz w:val="21"/>
                <w:szCs w:val="21"/>
                <w:highlight w:val="none"/>
                <w:lang w:val="en-US" w:eastAsia="zh-CN"/>
              </w:rPr>
              <w:t>或原厂厂商需提供</w:t>
            </w:r>
            <w:r>
              <w:rPr>
                <w:rFonts w:hint="eastAsia" w:ascii="仿宋" w:hAnsi="仿宋" w:eastAsia="仿宋" w:cs="仿宋"/>
                <w:color w:val="auto"/>
                <w:kern w:val="0"/>
                <w:sz w:val="21"/>
                <w:szCs w:val="21"/>
                <w:highlight w:val="none"/>
              </w:rPr>
              <w:t xml:space="preserve">GB/T27922-2011 </w:t>
            </w:r>
            <w:r>
              <w:rPr>
                <w:rFonts w:hint="eastAsia" w:ascii="仿宋" w:hAnsi="仿宋" w:eastAsia="仿宋" w:cs="仿宋"/>
                <w:color w:val="auto"/>
                <w:kern w:val="0"/>
                <w:sz w:val="21"/>
                <w:szCs w:val="21"/>
                <w:highlight w:val="none"/>
                <w:lang w:val="en-US" w:eastAsia="zh-CN"/>
              </w:rPr>
              <w:t>售后</w:t>
            </w:r>
            <w:r>
              <w:rPr>
                <w:rFonts w:hint="eastAsia" w:ascii="仿宋" w:hAnsi="仿宋" w:eastAsia="仿宋" w:cs="仿宋"/>
                <w:color w:val="auto"/>
                <w:kern w:val="0"/>
                <w:sz w:val="21"/>
                <w:szCs w:val="21"/>
                <w:highlight w:val="none"/>
              </w:rPr>
              <w:t>服务认证证书</w:t>
            </w:r>
            <w:r>
              <w:rPr>
                <w:rFonts w:hint="eastAsia" w:ascii="仿宋" w:hAnsi="仿宋" w:eastAsia="仿宋" w:cs="仿宋"/>
                <w:color w:val="auto"/>
                <w:sz w:val="21"/>
                <w:szCs w:val="21"/>
                <w:highlight w:val="none"/>
                <w:lang w:eastAsia="zh-CN"/>
              </w:rPr>
              <w:t xml:space="preserve">，五星级得 </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分，四星级得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 xml:space="preserve"> 分，三星级得 1 分；提供有效期内的相关证书复印件加盖投标人公章，不提供不得分。</w:t>
            </w:r>
          </w:p>
        </w:tc>
        <w:tc>
          <w:tcPr>
            <w:tcW w:w="726" w:type="dxa"/>
            <w:vMerge w:val="restart"/>
            <w:noWrap w:val="0"/>
            <w:vAlign w:val="center"/>
          </w:tcPr>
          <w:p>
            <w:pPr>
              <w:pStyle w:val="966"/>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49" w:type="dxa"/>
            <w:vMerge w:val="continue"/>
            <w:noWrap w:val="0"/>
            <w:vAlign w:val="center"/>
          </w:tcPr>
          <w:p>
            <w:pPr>
              <w:pStyle w:val="966"/>
              <w:ind w:firstLine="0" w:firstLineChars="0"/>
              <w:rPr>
                <w:rFonts w:hint="eastAsia" w:ascii="仿宋" w:hAnsi="仿宋" w:eastAsia="仿宋" w:cs="仿宋"/>
                <w:color w:val="auto"/>
                <w:sz w:val="21"/>
                <w:szCs w:val="21"/>
                <w:highlight w:val="none"/>
              </w:rPr>
            </w:pPr>
          </w:p>
        </w:tc>
        <w:tc>
          <w:tcPr>
            <w:tcW w:w="1387" w:type="dxa"/>
            <w:vMerge w:val="continue"/>
            <w:noWrap w:val="0"/>
            <w:vAlign w:val="center"/>
          </w:tcPr>
          <w:p>
            <w:pPr>
              <w:pStyle w:val="966"/>
              <w:ind w:firstLine="0" w:firstLineChars="0"/>
              <w:rPr>
                <w:rFonts w:hint="eastAsia" w:ascii="仿宋" w:hAnsi="仿宋" w:eastAsia="仿宋" w:cs="仿宋"/>
                <w:color w:val="auto"/>
                <w:sz w:val="21"/>
                <w:szCs w:val="21"/>
                <w:highlight w:val="none"/>
              </w:rPr>
            </w:pPr>
          </w:p>
        </w:tc>
        <w:tc>
          <w:tcPr>
            <w:tcW w:w="6639" w:type="dxa"/>
            <w:noWrap w:val="0"/>
            <w:vAlign w:val="center"/>
          </w:tcPr>
          <w:p>
            <w:pPr>
              <w:numPr>
                <w:ilvl w:val="0"/>
                <w:numId w:val="0"/>
              </w:numPr>
              <w:bidi w:val="0"/>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根据投标人的售后服务承诺、维护响应计划进行评分，包括具体的售后服务内容、故障响应时间、响应方式时间等内容。</w:t>
            </w:r>
          </w:p>
          <w:p>
            <w:pPr>
              <w:numPr>
                <w:ilvl w:val="0"/>
                <w:numId w:val="0"/>
              </w:numPr>
              <w:bidi w:val="0"/>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 售后服务承诺好、服务方式及内容多样化，得5分；</w:t>
            </w:r>
          </w:p>
          <w:p>
            <w:pPr>
              <w:numPr>
                <w:ilvl w:val="0"/>
                <w:numId w:val="0"/>
              </w:numPr>
              <w:bidi w:val="0"/>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 售后服务承诺较好、服务方式及内容一般，得2分；</w:t>
            </w:r>
          </w:p>
          <w:p>
            <w:pPr>
              <w:numPr>
                <w:ilvl w:val="0"/>
                <w:numId w:val="0"/>
              </w:numPr>
              <w:bidi w:val="0"/>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 售后服务承诺不完整、服务方式及内容单一，得 1分。</w:t>
            </w:r>
          </w:p>
          <w:p>
            <w:pPr>
              <w:numPr>
                <w:ilvl w:val="0"/>
                <w:numId w:val="0"/>
              </w:numPr>
              <w:bidi w:val="0"/>
              <w:ind w:left="0" w:leftChars="0"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(4) 没有提供，得 0 分。</w:t>
            </w:r>
          </w:p>
        </w:tc>
        <w:tc>
          <w:tcPr>
            <w:tcW w:w="726" w:type="dxa"/>
            <w:vMerge w:val="continue"/>
            <w:noWrap w:val="0"/>
            <w:vAlign w:val="center"/>
          </w:tcPr>
          <w:p>
            <w:pPr>
              <w:pStyle w:val="966"/>
              <w:ind w:firstLine="0" w:firstLineChars="0"/>
              <w:rPr>
                <w:rFonts w:hint="eastAsia" w:ascii="仿宋" w:hAnsi="仿宋" w:eastAsia="仿宋" w:cs="仿宋"/>
                <w:color w:val="auto"/>
                <w:kern w:val="2"/>
                <w:sz w:val="21"/>
                <w:szCs w:val="21"/>
                <w:highlight w:val="none"/>
                <w:lang w:val="en-US" w:eastAsia="zh-CN" w:bidi="ar-SA"/>
              </w:rPr>
            </w:pPr>
          </w:p>
        </w:tc>
      </w:tr>
    </w:tbl>
    <w:p>
      <w:pPr>
        <w:rPr>
          <w:rFonts w:hint="eastAsia"/>
          <w:color w:val="auto"/>
          <w:highlight w:val="none"/>
        </w:rPr>
      </w:pPr>
    </w:p>
    <w:p>
      <w:pPr>
        <w:pStyle w:val="24"/>
        <w:rPr>
          <w:color w:val="auto"/>
          <w:highlight w:val="none"/>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p>
    <w:tbl>
      <w:tblPr>
        <w:tblStyle w:val="63"/>
        <w:tblW w:w="9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410"/>
        <w:gridCol w:w="6855"/>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57" w:type="dxa"/>
            <w:noWrap w:val="0"/>
            <w:vAlign w:val="center"/>
          </w:tcPr>
          <w:p>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序号</w:t>
            </w:r>
          </w:p>
        </w:tc>
        <w:tc>
          <w:tcPr>
            <w:tcW w:w="1410"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评审指标</w:t>
            </w:r>
          </w:p>
        </w:tc>
        <w:tc>
          <w:tcPr>
            <w:tcW w:w="6855"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评分描述</w:t>
            </w:r>
          </w:p>
        </w:tc>
        <w:tc>
          <w:tcPr>
            <w:tcW w:w="690"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657" w:type="dxa"/>
            <w:noWrap w:val="0"/>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w:t>
            </w:r>
          </w:p>
        </w:tc>
        <w:tc>
          <w:tcPr>
            <w:tcW w:w="1410"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主要技术参数响应性</w:t>
            </w:r>
          </w:p>
        </w:tc>
        <w:tc>
          <w:tcPr>
            <w:tcW w:w="6855" w:type="dxa"/>
            <w:noWrap w:val="0"/>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完全</w:t>
            </w:r>
            <w:r>
              <w:rPr>
                <w:rFonts w:hint="eastAsia" w:ascii="仿宋" w:hAnsi="仿宋" w:eastAsia="仿宋" w:cs="仿宋"/>
                <w:color w:val="auto"/>
                <w:kern w:val="0"/>
                <w:sz w:val="21"/>
                <w:szCs w:val="21"/>
                <w:highlight w:val="none"/>
              </w:rPr>
              <w:t>满足招标文件要求的得</w:t>
            </w:r>
            <w:r>
              <w:rPr>
                <w:rFonts w:hint="eastAsia" w:ascii="仿宋" w:hAnsi="仿宋" w:eastAsia="仿宋" w:cs="仿宋"/>
                <w:color w:val="auto"/>
                <w:kern w:val="0"/>
                <w:sz w:val="21"/>
                <w:szCs w:val="21"/>
                <w:highlight w:val="none"/>
                <w:lang w:val="en-US" w:eastAsia="zh-CN"/>
              </w:rPr>
              <w:t>28</w:t>
            </w:r>
            <w:r>
              <w:rPr>
                <w:rFonts w:hint="eastAsia" w:ascii="仿宋" w:hAnsi="仿宋" w:eastAsia="仿宋" w:cs="仿宋"/>
                <w:color w:val="auto"/>
                <w:kern w:val="0"/>
                <w:sz w:val="21"/>
                <w:szCs w:val="21"/>
                <w:highlight w:val="none"/>
              </w:rPr>
              <w:t>分，打“★”号的指标为实质性指标，如出现负偏离则作无效投标处理；打“▲”号的指标为主要功能、配置，每有一项偏离的扣4分；</w:t>
            </w:r>
            <w:r>
              <w:rPr>
                <w:rFonts w:hint="eastAsia" w:ascii="仿宋" w:hAnsi="仿宋" w:eastAsia="仿宋" w:cs="仿宋"/>
                <w:color w:val="auto"/>
                <w:kern w:val="0"/>
                <w:sz w:val="21"/>
                <w:szCs w:val="21"/>
                <w:highlight w:val="none"/>
                <w:lang w:eastAsia="zh-CN"/>
              </w:rPr>
              <w:t>其他一般指标项</w:t>
            </w:r>
            <w:r>
              <w:rPr>
                <w:rFonts w:hint="eastAsia" w:ascii="仿宋" w:hAnsi="仿宋" w:eastAsia="仿宋" w:cs="仿宋"/>
                <w:color w:val="auto"/>
                <w:kern w:val="0"/>
                <w:sz w:val="21"/>
                <w:szCs w:val="21"/>
                <w:highlight w:val="none"/>
              </w:rPr>
              <w:t>每有一项负偏离扣2分，扣完为止。</w:t>
            </w:r>
          </w:p>
        </w:tc>
        <w:tc>
          <w:tcPr>
            <w:tcW w:w="690" w:type="dxa"/>
            <w:noWrap w:val="0"/>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657" w:type="dxa"/>
            <w:noWrap w:val="0"/>
            <w:vAlign w:val="center"/>
          </w:tcPr>
          <w:p>
            <w:pPr>
              <w:widowControl/>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2</w:t>
            </w:r>
          </w:p>
        </w:tc>
        <w:tc>
          <w:tcPr>
            <w:tcW w:w="1410"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相关软件储备</w:t>
            </w:r>
          </w:p>
        </w:tc>
        <w:tc>
          <w:tcPr>
            <w:tcW w:w="6855" w:type="dxa"/>
            <w:noWrap w:val="0"/>
            <w:vAlign w:val="center"/>
          </w:tcPr>
          <w:p>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1.所投产品生产厂家提供由国家版权局颁发的病理软件著作权登记证书；</w:t>
            </w:r>
          </w:p>
          <w:p>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2.所投产品生产厂家提供由国家版权局颁发的电子申请单系统软件著作权登记证书；</w:t>
            </w:r>
          </w:p>
          <w:p>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3.所投产品生产厂家提供由国家版权局颁发的病理标本闭环管理系统著作权登记证书；</w:t>
            </w:r>
          </w:p>
          <w:p>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4.所投产品生产厂家提供具有大体标本成像分析系统软件著作权证书；</w:t>
            </w:r>
          </w:p>
          <w:p>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5.所投产品生产厂家提供具有数码成像系统软件著作权证书；</w:t>
            </w:r>
          </w:p>
          <w:p>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6.所投产品生产厂家提供形态学图像分析系统软件著作权证书；</w:t>
            </w:r>
          </w:p>
          <w:p>
            <w:pPr>
              <w:keepNext w:val="0"/>
              <w:keepLines w:val="0"/>
              <w:pageBreakBefore w:val="0"/>
              <w:widowControl/>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bidi="ar-SA"/>
              </w:rPr>
              <w:t>具有以上类似相关软件证书，每提供一项得3分</w:t>
            </w:r>
            <w:r>
              <w:rPr>
                <w:rFonts w:hint="eastAsia" w:ascii="仿宋" w:hAnsi="仿宋" w:eastAsia="仿宋" w:cs="仿宋"/>
                <w:color w:val="auto"/>
                <w:kern w:val="0"/>
                <w:sz w:val="21"/>
                <w:szCs w:val="21"/>
                <w:highlight w:val="none"/>
                <w:lang w:val="en-US" w:eastAsia="zh-CN" w:bidi="ar-SA"/>
              </w:rPr>
              <w:t>，最高得18分，不提供不得分。需提供相关证书复印件加盖投标人公章。</w:t>
            </w:r>
          </w:p>
        </w:tc>
        <w:tc>
          <w:tcPr>
            <w:tcW w:w="690" w:type="dxa"/>
            <w:noWrap w:val="0"/>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657" w:type="dxa"/>
            <w:noWrap w:val="0"/>
            <w:vAlign w:val="center"/>
          </w:tcPr>
          <w:p>
            <w:pPr>
              <w:widowControl/>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3</w:t>
            </w:r>
          </w:p>
        </w:tc>
        <w:tc>
          <w:tcPr>
            <w:tcW w:w="1410"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投标人业绩</w:t>
            </w:r>
          </w:p>
        </w:tc>
        <w:tc>
          <w:tcPr>
            <w:tcW w:w="6855" w:type="dxa"/>
            <w:noWrap w:val="0"/>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投标人</w:t>
            </w:r>
            <w:r>
              <w:rPr>
                <w:rFonts w:hint="eastAsia" w:ascii="仿宋" w:hAnsi="仿宋" w:eastAsia="仿宋" w:cs="仿宋"/>
                <w:color w:val="auto"/>
                <w:kern w:val="0"/>
                <w:sz w:val="21"/>
                <w:szCs w:val="21"/>
                <w:highlight w:val="none"/>
                <w:lang w:eastAsia="zh-CN"/>
              </w:rPr>
              <w:t>需</w:t>
            </w:r>
            <w:r>
              <w:rPr>
                <w:rFonts w:hint="eastAsia" w:ascii="仿宋" w:hAnsi="仿宋" w:eastAsia="仿宋" w:cs="仿宋"/>
                <w:color w:val="auto"/>
                <w:kern w:val="0"/>
                <w:sz w:val="21"/>
                <w:szCs w:val="21"/>
                <w:highlight w:val="none"/>
              </w:rPr>
              <w:t>提供202</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年</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月1日（以签订合同时间为准）至今，</w:t>
            </w:r>
            <w:r>
              <w:rPr>
                <w:rFonts w:hint="eastAsia" w:ascii="仿宋" w:hAnsi="仿宋" w:eastAsia="仿宋" w:cs="仿宋"/>
                <w:color w:val="auto"/>
                <w:kern w:val="0"/>
                <w:sz w:val="21"/>
                <w:szCs w:val="21"/>
                <w:highlight w:val="none"/>
                <w:lang w:eastAsia="zh-CN"/>
              </w:rPr>
              <w:t>完成过</w:t>
            </w:r>
            <w:r>
              <w:rPr>
                <w:rFonts w:hint="eastAsia" w:ascii="仿宋" w:hAnsi="仿宋" w:eastAsia="仿宋" w:cs="仿宋"/>
                <w:color w:val="auto"/>
                <w:kern w:val="0"/>
                <w:sz w:val="21"/>
                <w:szCs w:val="21"/>
                <w:highlight w:val="none"/>
              </w:rPr>
              <w:t>类似医院业绩，</w:t>
            </w:r>
            <w:r>
              <w:rPr>
                <w:rFonts w:hint="eastAsia" w:ascii="仿宋" w:hAnsi="仿宋" w:eastAsia="仿宋" w:cs="仿宋"/>
                <w:color w:val="auto"/>
                <w:kern w:val="0"/>
                <w:sz w:val="21"/>
                <w:szCs w:val="21"/>
                <w:highlight w:val="none"/>
                <w:lang w:eastAsia="zh-CN"/>
              </w:rPr>
              <w:t>每提供一份</w:t>
            </w:r>
            <w:r>
              <w:rPr>
                <w:rFonts w:hint="eastAsia" w:ascii="仿宋" w:hAnsi="仿宋" w:eastAsia="仿宋" w:cs="仿宋"/>
                <w:color w:val="auto"/>
                <w:kern w:val="0"/>
                <w:sz w:val="21"/>
                <w:szCs w:val="21"/>
                <w:highlight w:val="none"/>
              </w:rPr>
              <w:t>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w:t>
            </w:r>
            <w:r>
              <w:rPr>
                <w:rFonts w:hint="eastAsia" w:ascii="仿宋" w:hAnsi="仿宋" w:eastAsia="仿宋" w:cs="仿宋"/>
                <w:color w:val="auto"/>
                <w:kern w:val="0"/>
                <w:sz w:val="21"/>
                <w:szCs w:val="21"/>
                <w:highlight w:val="none"/>
                <w:lang w:eastAsia="zh-CN"/>
              </w:rPr>
              <w:t>最高得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w:t>
            </w:r>
            <w:r>
              <w:rPr>
                <w:rFonts w:hint="eastAsia" w:ascii="仿宋" w:hAnsi="仿宋" w:eastAsia="仿宋" w:cs="仿宋"/>
                <w:color w:val="auto"/>
                <w:kern w:val="0"/>
                <w:sz w:val="21"/>
                <w:szCs w:val="21"/>
                <w:highlight w:val="none"/>
                <w:lang w:eastAsia="zh-CN"/>
              </w:rPr>
              <w:t>；需</w:t>
            </w:r>
            <w:r>
              <w:rPr>
                <w:rFonts w:hint="eastAsia" w:ascii="仿宋" w:hAnsi="仿宋" w:eastAsia="仿宋" w:cs="仿宋"/>
                <w:color w:val="auto"/>
                <w:kern w:val="0"/>
                <w:sz w:val="21"/>
                <w:szCs w:val="21"/>
                <w:highlight w:val="none"/>
              </w:rPr>
              <w:t>提供合同复印件加盖</w:t>
            </w:r>
            <w:r>
              <w:rPr>
                <w:rFonts w:hint="eastAsia" w:ascii="仿宋" w:hAnsi="仿宋" w:eastAsia="仿宋" w:cs="仿宋"/>
                <w:color w:val="auto"/>
                <w:kern w:val="0"/>
                <w:sz w:val="21"/>
                <w:szCs w:val="21"/>
                <w:highlight w:val="none"/>
                <w:lang w:eastAsia="zh-CN"/>
              </w:rPr>
              <w:t>投标人</w:t>
            </w:r>
            <w:r>
              <w:rPr>
                <w:rFonts w:hint="eastAsia" w:ascii="仿宋" w:hAnsi="仿宋" w:eastAsia="仿宋" w:cs="仿宋"/>
                <w:color w:val="auto"/>
                <w:kern w:val="0"/>
                <w:sz w:val="21"/>
                <w:szCs w:val="21"/>
                <w:highlight w:val="none"/>
              </w:rPr>
              <w:t>公章，</w:t>
            </w:r>
            <w:r>
              <w:rPr>
                <w:rFonts w:hint="eastAsia" w:ascii="仿宋" w:hAnsi="仿宋" w:eastAsia="仿宋" w:cs="仿宋"/>
                <w:color w:val="auto"/>
                <w:kern w:val="0"/>
                <w:sz w:val="21"/>
                <w:szCs w:val="21"/>
                <w:highlight w:val="none"/>
                <w:lang w:eastAsia="zh-CN"/>
              </w:rPr>
              <w:t>未提供</w:t>
            </w:r>
            <w:r>
              <w:rPr>
                <w:rFonts w:hint="eastAsia" w:ascii="仿宋" w:hAnsi="仿宋" w:eastAsia="仿宋" w:cs="仿宋"/>
                <w:color w:val="auto"/>
                <w:kern w:val="0"/>
                <w:sz w:val="21"/>
                <w:szCs w:val="21"/>
                <w:highlight w:val="none"/>
              </w:rPr>
              <w:t>不得分。</w:t>
            </w:r>
          </w:p>
        </w:tc>
        <w:tc>
          <w:tcPr>
            <w:tcW w:w="690"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657" w:type="dxa"/>
            <w:noWrap w:val="0"/>
            <w:vAlign w:val="center"/>
          </w:tcPr>
          <w:p>
            <w:pPr>
              <w:widowControl/>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4</w:t>
            </w:r>
          </w:p>
        </w:tc>
        <w:tc>
          <w:tcPr>
            <w:tcW w:w="1410"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售后服务</w:t>
            </w:r>
          </w:p>
        </w:tc>
        <w:tc>
          <w:tcPr>
            <w:tcW w:w="6855" w:type="dxa"/>
            <w:noWrap w:val="0"/>
            <w:vAlign w:val="center"/>
          </w:tcPr>
          <w:p>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1.问题响应速度，提供7*24小时技术响应支持，根据反应速度得0-2.0分；</w:t>
            </w:r>
          </w:p>
          <w:p>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2.问题解决时效，实时解决常见问题，故障处理完成时间不超过12小时，根据时效得0-2.0分；</w:t>
            </w:r>
          </w:p>
          <w:p>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3.投标人承诺免费软件升级，服务期内成交供应商应提供免费的应用软件产品升级服务得2分,未提供不得分；</w:t>
            </w:r>
          </w:p>
          <w:p>
            <w:pPr>
              <w:keepNext w:val="0"/>
              <w:keepLines w:val="0"/>
              <w:pageBreakBefore w:val="0"/>
              <w:widowControl/>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bidi="ar-SA"/>
              </w:rPr>
              <w:t>4.投标人承诺提供免费培训，售后服务人员应具备相关产品的专业知识，能够解答用户的问题并提供技术支持并提供免费的操作使用培训得2分,未提供不得分。</w:t>
            </w:r>
          </w:p>
        </w:tc>
        <w:tc>
          <w:tcPr>
            <w:tcW w:w="690"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657" w:type="dxa"/>
            <w:noWrap w:val="0"/>
            <w:vAlign w:val="center"/>
          </w:tcPr>
          <w:p>
            <w:pPr>
              <w:widowControl/>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5</w:t>
            </w:r>
          </w:p>
        </w:tc>
        <w:tc>
          <w:tcPr>
            <w:tcW w:w="1410" w:type="dxa"/>
            <w:noWrap w:val="0"/>
            <w:vAlign w:val="center"/>
          </w:tcPr>
          <w:p>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系统兼容性</w:t>
            </w:r>
          </w:p>
        </w:tc>
        <w:tc>
          <w:tcPr>
            <w:tcW w:w="6855" w:type="dxa"/>
            <w:noWrap w:val="0"/>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bidi="ar-SA"/>
              </w:rPr>
              <w:t>为保证系统应用的安全性、稳定性、可靠性，避免后期信息管理的碎片化，所投的软件系统应与医院现有的病理标本闭环管理系统、大体标本成像分析系统和数码成像系统等实现数据无缝对接、兼容、共享等，根据投标人提供的方案进行评审（0-5分）。</w:t>
            </w:r>
          </w:p>
        </w:tc>
        <w:tc>
          <w:tcPr>
            <w:tcW w:w="690" w:type="dxa"/>
            <w:noWrap w:val="0"/>
            <w:vAlign w:val="center"/>
          </w:tcPr>
          <w:p>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657" w:type="dxa"/>
            <w:noWrap w:val="0"/>
            <w:vAlign w:val="center"/>
          </w:tcPr>
          <w:p>
            <w:pPr>
              <w:widowControl/>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w:t>
            </w:r>
          </w:p>
        </w:tc>
        <w:tc>
          <w:tcPr>
            <w:tcW w:w="1410" w:type="dxa"/>
            <w:noWrap w:val="0"/>
            <w:vAlign w:val="center"/>
          </w:tcPr>
          <w:p>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总体技术方案的成熟度和可行性</w:t>
            </w:r>
          </w:p>
          <w:p>
            <w:pPr>
              <w:widowControl/>
              <w:jc w:val="center"/>
              <w:rPr>
                <w:rFonts w:hint="eastAsia" w:ascii="仿宋" w:hAnsi="仿宋" w:eastAsia="仿宋" w:cs="仿宋"/>
                <w:color w:val="auto"/>
                <w:kern w:val="0"/>
                <w:sz w:val="21"/>
                <w:szCs w:val="21"/>
                <w:highlight w:val="none"/>
              </w:rPr>
            </w:pPr>
          </w:p>
        </w:tc>
        <w:tc>
          <w:tcPr>
            <w:tcW w:w="6855" w:type="dxa"/>
            <w:noWrap w:val="0"/>
            <w:vAlign w:val="center"/>
          </w:tcPr>
          <w:p>
            <w:pPr>
              <w:widowControl/>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投标人根据本项目的项目需求，提供项目实施方案、售后服务方案等，对需求的理解、满足、可扩展性、可集成性、科学合理性、专业性等方面，进行横向比较后打分。</w:t>
            </w:r>
          </w:p>
          <w:p>
            <w:pPr>
              <w:widowControl/>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lang w:eastAsia="zh-CN"/>
              </w:rPr>
              <w:t>方案适用性强，合理完整，可扩展性强为优得</w:t>
            </w:r>
            <w:r>
              <w:rPr>
                <w:rFonts w:hint="eastAsia" w:ascii="仿宋" w:hAnsi="仿宋" w:eastAsia="仿宋" w:cs="仿宋"/>
                <w:color w:val="auto"/>
                <w:kern w:val="0"/>
                <w:sz w:val="21"/>
                <w:szCs w:val="21"/>
                <w:highlight w:val="none"/>
                <w:lang w:val="en-US" w:eastAsia="zh-CN"/>
              </w:rPr>
              <w:t>6.1-8.0</w:t>
            </w:r>
            <w:r>
              <w:rPr>
                <w:rFonts w:hint="eastAsia" w:ascii="仿宋" w:hAnsi="仿宋" w:eastAsia="仿宋" w:cs="仿宋"/>
                <w:color w:val="auto"/>
                <w:kern w:val="0"/>
                <w:sz w:val="21"/>
                <w:szCs w:val="21"/>
                <w:highlight w:val="none"/>
                <w:lang w:eastAsia="zh-CN"/>
              </w:rPr>
              <w:t>分；</w:t>
            </w:r>
          </w:p>
          <w:p>
            <w:pPr>
              <w:widowControl/>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eastAsia="zh-CN"/>
              </w:rPr>
              <w:t>方案适用性较强，合理完整，可扩展性较强为良得</w:t>
            </w:r>
            <w:r>
              <w:rPr>
                <w:rFonts w:hint="eastAsia" w:ascii="仿宋" w:hAnsi="仿宋" w:eastAsia="仿宋" w:cs="仿宋"/>
                <w:color w:val="auto"/>
                <w:kern w:val="0"/>
                <w:sz w:val="21"/>
                <w:szCs w:val="21"/>
                <w:highlight w:val="none"/>
                <w:lang w:val="en-US" w:eastAsia="zh-CN"/>
              </w:rPr>
              <w:t>3.6-6.0</w:t>
            </w:r>
            <w:r>
              <w:rPr>
                <w:rFonts w:hint="eastAsia" w:ascii="仿宋" w:hAnsi="仿宋" w:eastAsia="仿宋" w:cs="仿宋"/>
                <w:color w:val="auto"/>
                <w:kern w:val="0"/>
                <w:sz w:val="21"/>
                <w:szCs w:val="21"/>
                <w:highlight w:val="none"/>
                <w:lang w:eastAsia="zh-CN"/>
              </w:rPr>
              <w:t>分；</w:t>
            </w:r>
          </w:p>
          <w:p>
            <w:pPr>
              <w:widowControl/>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lang w:eastAsia="zh-CN"/>
              </w:rPr>
              <w:t>方案适用性一般得</w:t>
            </w:r>
            <w:r>
              <w:rPr>
                <w:rFonts w:hint="eastAsia" w:ascii="仿宋" w:hAnsi="仿宋" w:eastAsia="仿宋" w:cs="仿宋"/>
                <w:color w:val="auto"/>
                <w:kern w:val="0"/>
                <w:sz w:val="21"/>
                <w:szCs w:val="21"/>
                <w:highlight w:val="none"/>
                <w:lang w:val="en-US" w:eastAsia="zh-CN"/>
              </w:rPr>
              <w:t>0-3.5</w:t>
            </w:r>
            <w:r>
              <w:rPr>
                <w:rFonts w:hint="eastAsia" w:ascii="仿宋" w:hAnsi="仿宋" w:eastAsia="仿宋" w:cs="仿宋"/>
                <w:color w:val="auto"/>
                <w:kern w:val="0"/>
                <w:sz w:val="21"/>
                <w:szCs w:val="21"/>
                <w:highlight w:val="none"/>
                <w:lang w:eastAsia="zh-CN"/>
              </w:rPr>
              <w:t>分；</w:t>
            </w:r>
          </w:p>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lang w:eastAsia="zh-CN"/>
              </w:rPr>
              <w:t>未提供不得分。</w:t>
            </w:r>
          </w:p>
        </w:tc>
        <w:tc>
          <w:tcPr>
            <w:tcW w:w="690" w:type="dxa"/>
            <w:noWrap/>
            <w:vAlign w:val="center"/>
          </w:tcPr>
          <w:p>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8</w:t>
            </w:r>
          </w:p>
        </w:tc>
      </w:tr>
    </w:tbl>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u w:val="none"/>
        </w:rPr>
        <w:t xml:space="preserve">0 </w:t>
      </w:r>
    </w:p>
    <w:p>
      <w:pPr>
        <w:spacing w:line="360" w:lineRule="auto"/>
        <w:ind w:left="720" w:firstLine="723" w:firstLineChars="200"/>
        <w:outlineLvl w:val="0"/>
        <w:rPr>
          <w:rFonts w:ascii="仿宋" w:hAnsi="仿宋" w:eastAsia="仿宋" w:cs="仿宋"/>
          <w:b/>
          <w:color w:val="auto"/>
          <w:sz w:val="36"/>
          <w:szCs w:val="20"/>
          <w:highlight w:val="none"/>
        </w:rPr>
      </w:pPr>
    </w:p>
    <w:p>
      <w:pPr>
        <w:spacing w:line="360" w:lineRule="auto"/>
        <w:ind w:left="720" w:firstLine="723" w:firstLineChars="200"/>
        <w:outlineLvl w:val="0"/>
        <w:rPr>
          <w:rFonts w:ascii="仿宋" w:hAnsi="仿宋" w:eastAsia="仿宋" w:cs="仿宋"/>
          <w:b/>
          <w:color w:val="auto"/>
          <w:sz w:val="36"/>
          <w:szCs w:val="20"/>
          <w:highlight w:val="none"/>
        </w:rPr>
      </w:pPr>
    </w:p>
    <w:p>
      <w:pPr>
        <w:spacing w:line="360" w:lineRule="auto"/>
        <w:outlineLvl w:val="0"/>
        <w:rPr>
          <w:rFonts w:ascii="仿宋" w:hAnsi="仿宋" w:eastAsia="仿宋" w:cs="仿宋"/>
          <w:b/>
          <w:color w:val="auto"/>
          <w:sz w:val="36"/>
          <w:szCs w:val="20"/>
          <w:highlight w:val="none"/>
        </w:rPr>
      </w:pPr>
    </w:p>
    <w:bookmarkEnd w:id="41"/>
    <w:bookmarkEnd w:id="42"/>
    <w:p>
      <w:pPr>
        <w:widowControl/>
        <w:adjustRightInd/>
        <w:jc w:val="both"/>
        <w:rPr>
          <w:rFonts w:hint="eastAsia" w:ascii="仿宋" w:hAnsi="仿宋" w:eastAsia="仿宋" w:cs="仿宋"/>
          <w:b/>
          <w:color w:val="auto"/>
          <w:sz w:val="36"/>
          <w:szCs w:val="20"/>
          <w:highlight w:val="none"/>
        </w:rPr>
      </w:pPr>
    </w:p>
    <w:p>
      <w:pPr>
        <w:widowControl/>
        <w:adjustRightInd/>
        <w:jc w:val="both"/>
        <w:rPr>
          <w:rFonts w:hint="eastAsia" w:ascii="仿宋" w:hAnsi="仿宋" w:eastAsia="仿宋" w:cs="仿宋"/>
          <w:b/>
          <w:color w:val="auto"/>
          <w:sz w:val="36"/>
          <w:szCs w:val="20"/>
          <w:highlight w:val="none"/>
        </w:rPr>
      </w:pPr>
    </w:p>
    <w:p>
      <w:pPr>
        <w:widowControl/>
        <w:adjustRightInd/>
        <w:jc w:val="both"/>
        <w:rPr>
          <w:rFonts w:hint="eastAsia"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4"/>
        <w:rPr>
          <w:rFonts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rPr>
          <w:rFonts w:ascii="仿宋" w:hAnsi="仿宋" w:eastAsia="仿宋" w:cs="仿宋"/>
          <w:color w:val="auto"/>
          <w:sz w:val="24"/>
          <w:highlight w:val="none"/>
        </w:rPr>
      </w:pPr>
    </w:p>
    <w:p>
      <w:pPr>
        <w:snapToGrid w:val="0"/>
        <w:spacing w:line="360" w:lineRule="auto"/>
        <w:ind w:firstLine="480" w:firstLineChars="200"/>
        <w:rPr>
          <w:rFonts w:ascii="仿宋" w:hAnsi="仿宋" w:eastAsia="仿宋" w:cs="仿宋"/>
          <w:color w:val="auto"/>
          <w:sz w:val="24"/>
          <w:highlight w:val="none"/>
        </w:rPr>
      </w:pPr>
    </w:p>
    <w:p>
      <w:pPr>
        <w:snapToGrid w:val="0"/>
        <w:spacing w:line="360" w:lineRule="auto"/>
        <w:ind w:right="480"/>
        <w:jc w:val="both"/>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2"/>
        <w:rPr>
          <w:rFonts w:hint="eastAsia" w:ascii="仿宋" w:hAnsi="仿宋" w:eastAsia="仿宋" w:cs="仿宋"/>
          <w:color w:val="auto"/>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（1）</w:t>
      </w:r>
      <w:r>
        <w:rPr>
          <w:rFonts w:hint="eastAsia" w:ascii="仿宋" w:eastAsia="仿宋" w:cs="仿宋"/>
          <w:color w:val="auto"/>
          <w:highlight w:val="none"/>
        </w:rPr>
        <w:t>投标函…………………………………………………………………………（页码）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（2）</w:t>
      </w:r>
      <w:r>
        <w:rPr>
          <w:rFonts w:hint="eastAsia" w:ascii="仿宋" w:eastAsia="仿宋" w:cs="仿宋"/>
          <w:color w:val="auto"/>
          <w:highlight w:val="none"/>
        </w:rPr>
        <w:t>法定代表人授权书 ………………………………………………………… （页码）</w:t>
      </w:r>
    </w:p>
    <w:p>
      <w:pPr>
        <w:pStyle w:val="906"/>
        <w:spacing w:line="360" w:lineRule="auto"/>
        <w:ind w:left="0" w:firstLine="0" w:firstLineChars="0"/>
        <w:rPr>
          <w:rFonts w:ascii="仿宋" w:eastAsia="仿宋" w:cs="仿宋"/>
          <w:color w:val="auto"/>
          <w:highlight w:val="none"/>
        </w:rPr>
      </w:pPr>
      <w:r>
        <w:rPr>
          <w:rFonts w:ascii="仿宋" w:eastAsia="仿宋" w:cs="仿宋"/>
          <w:color w:val="auto"/>
          <w:highlight w:val="none"/>
        </w:rPr>
        <w:t>（3）</w:t>
      </w:r>
      <w:r>
        <w:rPr>
          <w:rFonts w:hint="eastAsia" w:ascii="仿宋" w:hAnsi="仿宋" w:eastAsia="仿宋" w:cs="仿宋"/>
          <w:color w:val="auto"/>
          <w:highlight w:val="none"/>
        </w:rPr>
        <w:t>授权代表社保证明……………………………………………………………（页码）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（4）</w:t>
      </w:r>
      <w:r>
        <w:rPr>
          <w:rFonts w:hint="eastAsia" w:ascii="仿宋" w:eastAsia="仿宋" w:cs="仿宋"/>
          <w:color w:val="auto"/>
          <w:highlight w:val="none"/>
        </w:rPr>
        <w:t>法定代表人及其授权代表身份证复印件（复印件）…………………………（页码）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（5）</w:t>
      </w:r>
      <w:r>
        <w:rPr>
          <w:rFonts w:hint="eastAsia" w:ascii="仿宋" w:eastAsia="仿宋" w:cs="仿宋"/>
          <w:color w:val="auto"/>
          <w:highlight w:val="none"/>
        </w:rPr>
        <w:t>法定代表人身份证明书……………………………………………………… （页码）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（6）</w:t>
      </w:r>
      <w:r>
        <w:rPr>
          <w:rFonts w:hint="eastAsia" w:ascii="仿宋" w:eastAsia="仿宋" w:cs="仿宋"/>
          <w:color w:val="auto"/>
          <w:highlight w:val="none"/>
        </w:rPr>
        <w:t>商务技术偏离表……………………………………………………………… （页码）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ind w:firstLine="3855" w:firstLineChars="1200"/>
        <w:outlineLvl w:val="0"/>
        <w:rPr>
          <w:rFonts w:ascii="仿宋" w:hAnsi="仿宋" w:eastAsia="仿宋" w:cs="仿宋"/>
          <w:b/>
          <w:color w:val="auto"/>
          <w:kern w:val="0"/>
          <w:sz w:val="32"/>
          <w:szCs w:val="32"/>
          <w:highlight w:val="none"/>
        </w:rPr>
      </w:pPr>
    </w:p>
    <w:p>
      <w:pPr>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8"/>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snapToGrid w:val="0"/>
        <w:spacing w:line="360" w:lineRule="auto"/>
        <w:jc w:val="center"/>
        <w:rPr>
          <w:rFonts w:ascii="仿宋" w:hAnsi="仿宋" w:eastAsia="仿宋" w:cs="仿宋"/>
          <w:b/>
          <w:color w:val="auto"/>
          <w:kern w:val="0"/>
          <w:sz w:val="32"/>
          <w:szCs w:val="32"/>
          <w:highlight w:val="none"/>
        </w:rPr>
      </w:pPr>
    </w:p>
    <w:p>
      <w:pPr>
        <w:snapToGrid w:val="0"/>
        <w:spacing w:line="360" w:lineRule="auto"/>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spacing w:line="800" w:lineRule="exact"/>
        <w:rPr>
          <w:rFonts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pPr>
        <w:snapToGrid w:val="0"/>
        <w:spacing w:line="56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 w:hAnsi="仿宋" w:eastAsia="仿宋" w:cs="仿宋"/>
          <w:color w:val="auto"/>
          <w:sz w:val="24"/>
          <w:highlight w:val="none"/>
          <w:lang w:eastAsia="zh-CN"/>
        </w:rPr>
        <w:t>，格式自拟。</w:t>
      </w: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spacing w:line="800" w:lineRule="exact"/>
        <w:ind w:firstLine="904" w:firstLineChars="300"/>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ascii="仿宋" w:hAnsi="仿宋" w:eastAsia="仿宋" w:cs="仿宋"/>
          <w:b/>
          <w:bCs/>
          <w:color w:val="auto"/>
          <w:sz w:val="32"/>
          <w:szCs w:val="32"/>
          <w:highlight w:val="none"/>
        </w:rPr>
      </w:pPr>
    </w:p>
    <w:p>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highlight w:val="none"/>
        </w:rPr>
      </w:pPr>
    </w:p>
    <w:p>
      <w:pPr>
        <w:autoSpaceDE w:val="0"/>
        <w:autoSpaceDN w:val="0"/>
        <w:spacing w:line="360" w:lineRule="auto"/>
        <w:rPr>
          <w:rFonts w:hint="eastAsia" w:ascii="仿宋" w:hAnsi="仿宋" w:eastAsia="仿宋" w:cs="仿宋"/>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0"/>
        <w:ind w:firstLine="0"/>
        <w:jc w:val="both"/>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82"/>
        <w:rPr>
          <w:rFonts w:hint="eastAsia" w:ascii="仿宋" w:hAnsi="仿宋" w:eastAsia="仿宋" w:cs="仿宋"/>
          <w:color w:val="auto"/>
          <w:highlight w:val="none"/>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color w:val="auto"/>
          <w:kern w:val="0"/>
          <w:sz w:val="24"/>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82"/>
        <w:rPr>
          <w:rFonts w:hint="eastAsia" w:ascii="仿宋" w:hAnsi="仿宋" w:eastAsia="仿宋" w:cs="仿宋"/>
          <w:color w:val="auto"/>
          <w:highlight w:val="none"/>
        </w:rPr>
      </w:pP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82"/>
        <w:rPr>
          <w:rFonts w:hint="eastAsia" w:ascii="仿宋" w:hAnsi="仿宋" w:eastAsia="仿宋" w:cs="仿宋"/>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pStyle w:val="82"/>
        <w:rPr>
          <w:rFonts w:hint="eastAsia" w:ascii="仿宋" w:hAnsi="仿宋" w:eastAsia="仿宋" w:cs="仿宋"/>
          <w:color w:val="auto"/>
          <w:highlight w:val="none"/>
        </w:rPr>
      </w:pP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pStyle w:val="82"/>
        <w:rPr>
          <w:rFonts w:hint="eastAsia" w:ascii="仿宋" w:hAnsi="仿宋" w:eastAsia="仿宋" w:cs="仿宋"/>
          <w:color w:val="auto"/>
          <w:highlight w:val="none"/>
        </w:rPr>
      </w:pP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hint="eastAsia" w:ascii="仿宋" w:hAnsi="仿宋" w:eastAsia="仿宋" w:cs="仿宋"/>
          <w:b/>
          <w:bCs/>
          <w:color w:val="auto"/>
          <w:sz w:val="32"/>
          <w:szCs w:val="32"/>
          <w:highlight w:val="none"/>
        </w:rPr>
      </w:pPr>
    </w:p>
    <w:p>
      <w:pPr>
        <w:snapToGrid w:val="0"/>
        <w:spacing w:line="360" w:lineRule="auto"/>
        <w:ind w:right="960"/>
        <w:rPr>
          <w:rFonts w:hint="eastAsia" w:ascii="仿宋" w:hAnsi="仿宋" w:eastAsia="仿宋" w:cs="仿宋"/>
          <w:color w:val="auto"/>
          <w:kern w:val="0"/>
          <w:sz w:val="24"/>
          <w:highlight w:val="none"/>
          <w:lang w:val="zh-CN"/>
        </w:rPr>
      </w:pPr>
    </w:p>
    <w:p>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pStyle w:val="82"/>
        <w:rPr>
          <w:rFonts w:hint="eastAsia" w:ascii="仿宋" w:hAnsi="仿宋" w:eastAsia="仿宋" w:cs="仿宋"/>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3"/>
        <w:rPr>
          <w:rFonts w:hint="eastAsia"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3118"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3118"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snapToGrid w:val="0"/>
              <w:spacing w:line="360" w:lineRule="auto"/>
              <w:jc w:val="center"/>
              <w:rPr>
                <w:rFonts w:ascii="仿宋" w:hAnsi="仿宋" w:eastAsia="仿宋" w:cs="仿宋"/>
                <w:color w:val="auto"/>
                <w:sz w:val="24"/>
                <w:highlight w:val="none"/>
              </w:rPr>
            </w:pP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3118"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highlight w:val="none"/>
              </w:rPr>
            </w:pPr>
          </w:p>
        </w:tc>
        <w:tc>
          <w:tcPr>
            <w:tcW w:w="1417" w:type="dxa"/>
            <w:vAlign w:val="center"/>
          </w:tcPr>
          <w:p>
            <w:pPr>
              <w:snapToGrid w:val="0"/>
              <w:spacing w:line="360" w:lineRule="auto"/>
              <w:jc w:val="center"/>
              <w:rPr>
                <w:rFonts w:ascii="仿宋" w:hAnsi="仿宋" w:eastAsia="仿宋" w:cs="仿宋"/>
                <w:color w:val="auto"/>
                <w:sz w:val="24"/>
                <w:highlight w:val="none"/>
              </w:rPr>
            </w:pP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3118"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spacing w:line="360" w:lineRule="auto"/>
              <w:jc w:val="center"/>
              <w:rPr>
                <w:rFonts w:ascii="仿宋" w:hAnsi="仿宋" w:eastAsia="仿宋" w:cs="仿宋"/>
                <w:color w:val="auto"/>
                <w:sz w:val="24"/>
                <w:highlight w:val="none"/>
              </w:rPr>
            </w:pPr>
          </w:p>
        </w:tc>
      </w:tr>
    </w:tbl>
    <w:p>
      <w:pPr>
        <w:snapToGrid w:val="0"/>
        <w:spacing w:line="360" w:lineRule="auto"/>
        <w:ind w:left="480"/>
        <w:rPr>
          <w:rFonts w:ascii="仿宋" w:hAnsi="仿宋" w:eastAsia="仿宋" w:cs="仿宋"/>
          <w:b/>
          <w:color w:val="auto"/>
          <w:kern w:val="0"/>
          <w:sz w:val="24"/>
          <w:highlight w:val="none"/>
          <w:lang w:val="zh-CN"/>
        </w:rPr>
      </w:pPr>
    </w:p>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highlight w:val="none"/>
        </w:rPr>
      </w:pPr>
    </w:p>
    <w:p>
      <w:pPr>
        <w:pStyle w:val="83"/>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82"/>
        <w:rPr>
          <w:rFonts w:ascii="仿宋" w:hAnsi="仿宋" w:eastAsia="仿宋" w:cs="仿宋"/>
          <w:b/>
          <w:color w:val="auto"/>
          <w:highlight w:val="none"/>
        </w:rPr>
      </w:pPr>
    </w:p>
    <w:p>
      <w:pPr>
        <w:pStyle w:val="83"/>
        <w:rPr>
          <w:rFonts w:hint="eastAsia" w:ascii="仿宋" w:hAnsi="仿宋" w:eastAsia="仿宋" w:cs="仿宋"/>
          <w:color w:val="auto"/>
          <w:highlight w:val="none"/>
        </w:rPr>
      </w:pPr>
    </w:p>
    <w:p>
      <w:pPr>
        <w:pStyle w:val="83"/>
        <w:rPr>
          <w:rFonts w:hint="eastAsia" w:ascii="仿宋" w:hAnsi="仿宋" w:eastAsia="仿宋" w:cs="仿宋"/>
          <w:color w:val="auto"/>
          <w:highlight w:val="none"/>
        </w:rPr>
      </w:pPr>
    </w:p>
    <w:p>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pPr>
        <w:pStyle w:val="82"/>
        <w:widowControl/>
        <w:spacing w:line="360" w:lineRule="auto"/>
        <w:ind w:firstLine="120" w:firstLineChars="50"/>
        <w:rPr>
          <w:rFonts w:ascii="仿宋" w:hAnsi="仿宋" w:eastAsia="仿宋" w:cs="仿宋"/>
          <w:b/>
          <w:color w:val="auto"/>
          <w:highlight w:val="none"/>
        </w:rPr>
      </w:pPr>
    </w:p>
    <w:p>
      <w:pPr>
        <w:pStyle w:val="83"/>
        <w:spacing w:line="360" w:lineRule="auto"/>
        <w:ind w:left="0" w:firstLine="120" w:firstLineChars="50"/>
        <w:jc w:val="left"/>
        <w:rPr>
          <w:rFonts w:ascii="仿宋" w:hAnsi="仿宋" w:eastAsia="仿宋" w:cs="仿宋"/>
          <w:b/>
          <w:color w:val="auto"/>
          <w:sz w:val="24"/>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pPr>
        <w:spacing w:line="360" w:lineRule="auto"/>
        <w:rPr>
          <w:rFonts w:ascii="仿宋" w:hAnsi="仿宋" w:eastAsia="仿宋" w:cs="仿宋"/>
          <w:b/>
          <w:color w:val="auto"/>
          <w:sz w:val="24"/>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2"/>
        <w:rPr>
          <w:rFonts w:hint="eastAsia" w:ascii="仿宋" w:hAnsi="仿宋" w:eastAsia="仿宋" w:cs="仿宋"/>
          <w:color w:val="auto"/>
          <w:highlight w:val="none"/>
        </w:rPr>
      </w:pP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rPr>
          <w:rFonts w:hint="eastAsia" w:ascii="仿宋" w:hAnsi="仿宋" w:eastAsia="仿宋" w:cs="仿宋"/>
          <w:color w:val="auto"/>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hint="eastAsia" w:ascii="仿宋" w:hAnsi="仿宋" w:eastAsia="仿宋" w:cs="仿宋"/>
          <w:color w:val="auto"/>
          <w:highlight w:val="none"/>
        </w:rPr>
      </w:pPr>
    </w:p>
    <w:p>
      <w:pPr>
        <w:spacing w:line="360" w:lineRule="auto"/>
        <w:rPr>
          <w:rFonts w:ascii="仿宋" w:hAnsi="仿宋" w:eastAsia="仿宋" w:cs="仿宋"/>
          <w:b/>
          <w:color w:val="auto"/>
          <w:spacing w:val="6"/>
          <w:sz w:val="32"/>
          <w:szCs w:val="32"/>
          <w:highlight w:val="none"/>
        </w:rPr>
      </w:pPr>
      <w:bookmarkStart w:id="197" w:name="OLE_LINK13"/>
      <w:bookmarkStart w:id="198" w:name="OLE_LINK14"/>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4"/>
        <w:rPr>
          <w:rFonts w:hint="eastAsia" w:ascii="仿宋" w:hAnsi="仿宋" w:eastAsia="仿宋" w:cs="仿宋"/>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73"/>
      </w:rPr>
    </w:pPr>
    <w:r>
      <w:fldChar w:fldCharType="begin"/>
    </w:r>
    <w:r>
      <w:rPr>
        <w:rStyle w:val="73"/>
      </w:rPr>
      <w:instrText xml:space="preserve">PAGE  </w:instrText>
    </w:r>
    <w:r>
      <w:fldChar w:fldCharType="end"/>
    </w:r>
  </w:p>
  <w:p>
    <w:pPr>
      <w:pStyle w:val="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73"/>
      </w:rPr>
    </w:pPr>
    <w:r>
      <w:fldChar w:fldCharType="begin"/>
    </w:r>
    <w:r>
      <w:rPr>
        <w:rStyle w:val="73"/>
      </w:rPr>
      <w:instrText xml:space="preserve">PAGE  </w:instrText>
    </w:r>
    <w:r>
      <w:fldChar w:fldCharType="end"/>
    </w:r>
  </w:p>
  <w:p>
    <w:pPr>
      <w:pStyle w:val="2"/>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91899912"/>
    <w:bookmarkStart w:id="200" w:name="_Toc131845147"/>
    <w:bookmarkStart w:id="201" w:name="_Toc36110187"/>
    <w:bookmarkStart w:id="202" w:name="_Toc164085800"/>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73"/>
      </w:rPr>
    </w:pPr>
    <w:r>
      <w:fldChar w:fldCharType="begin"/>
    </w:r>
    <w:r>
      <w:rPr>
        <w:rStyle w:val="73"/>
      </w:rPr>
      <w:instrText xml:space="preserve">PAGE  </w:instrText>
    </w:r>
    <w:r>
      <w:fldChar w:fldCharType="end"/>
    </w:r>
  </w:p>
  <w:p>
    <w:pPr>
      <w:pStyle w:val="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2"/>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 </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rPr>
      <w:t xml:space="preserve">        </w:t>
    </w:r>
    <w:r>
      <w:t></w:t>
    </w:r>
    <w:r>
      <w:rPr>
        <w:rFonts w:hint="eastAsia"/>
        <w:lang w:eastAsia="zh-CN"/>
      </w:rPr>
      <w:t>泰宇建筑工程技术咨询有限公司</w:t>
    </w:r>
    <w:r>
      <w:rPr>
        <w:rFonts w:hint="eastAsia"/>
      </w:rPr>
      <w:t xml:space="preserve"> </w:t>
    </w:r>
    <w:r>
      <w:rPr>
        <w:rFonts w:hint="eastAsia" w:ascii="仿宋" w:hAnsi="仿宋" w:eastAsia="仿宋" w:cs="仿宋"/>
      </w:rPr>
      <w:t xml:space="preserve">                           文件编号: </w:t>
    </w:r>
    <w:r>
      <w:rPr>
        <w:rFonts w:hint="eastAsia" w:ascii="仿宋" w:hAnsi="仿宋" w:eastAsia="仿宋" w:cs="仿宋"/>
        <w:lang w:eastAsia="zh-CN"/>
      </w:rPr>
      <w:t>TYJZ2024</w:t>
    </w:r>
    <w:r>
      <w:rPr>
        <w:rFonts w:hint="eastAsia" w:ascii="仿宋" w:hAnsi="仿宋" w:eastAsia="仿宋" w:cs="仿宋"/>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p>
  <w:p>
    <w:pPr>
      <w:pStyle w:val="4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p>
  <w:p>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F73AF3"/>
    <w:multiLevelType w:val="singleLevel"/>
    <w:tmpl w:val="C8F73AF3"/>
    <w:lvl w:ilvl="0" w:tentative="0">
      <w:start w:val="1"/>
      <w:numFmt w:val="chineseCounting"/>
      <w:suff w:val="nothing"/>
      <w:lvlText w:val="%1、"/>
      <w:lvlJc w:val="left"/>
      <w:rPr>
        <w:rFonts w:hint="eastAsia"/>
      </w:rPr>
    </w:lvl>
  </w:abstractNum>
  <w:abstractNum w:abstractNumId="1">
    <w:nsid w:val="CB6494C0"/>
    <w:multiLevelType w:val="singleLevel"/>
    <w:tmpl w:val="CB6494C0"/>
    <w:lvl w:ilvl="0" w:tentative="0">
      <w:start w:val="4"/>
      <w:numFmt w:val="decimal"/>
      <w:suff w:val="space"/>
      <w:lvlText w:val="%1."/>
      <w:lvlJc w:val="left"/>
    </w:lvl>
  </w:abstractNum>
  <w:abstractNum w:abstractNumId="2">
    <w:nsid w:val="F0F1BFB1"/>
    <w:multiLevelType w:val="singleLevel"/>
    <w:tmpl w:val="F0F1BFB1"/>
    <w:lvl w:ilvl="0" w:tentative="0">
      <w:start w:val="1"/>
      <w:numFmt w:val="decimal"/>
      <w:suff w:val="nothing"/>
      <w:lvlText w:val="%1"/>
      <w:lvlJc w:val="left"/>
      <w:pPr>
        <w:tabs>
          <w:tab w:val="left" w:pos="0"/>
        </w:tabs>
        <w:ind w:left="0" w:firstLine="0"/>
      </w:pPr>
      <w:rPr>
        <w:rFonts w:hint="default"/>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B5D1830"/>
    <w:multiLevelType w:val="singleLevel"/>
    <w:tmpl w:val="5B5D1830"/>
    <w:lvl w:ilvl="0" w:tentative="0">
      <w:start w:val="1"/>
      <w:numFmt w:val="decimalEnclosedCircleChinese"/>
      <w:suff w:val="nothing"/>
      <w:lvlText w:val="%1　"/>
      <w:lvlJc w:val="left"/>
      <w:pPr>
        <w:ind w:left="0" w:firstLine="400"/>
      </w:pPr>
      <w:rPr>
        <w:rFonts w:hint="eastAsia"/>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yNDI4Y2IxMzIyNGZhMzZhOGE3ZmI1MGMzMjliZWEifQ=="/>
  </w:docVars>
  <w:rsids>
    <w:rsidRoot w:val="00700E12"/>
    <w:rsid w:val="000101F7"/>
    <w:rsid w:val="000476CE"/>
    <w:rsid w:val="003D5C3E"/>
    <w:rsid w:val="00700E12"/>
    <w:rsid w:val="009E46AA"/>
    <w:rsid w:val="00D91FAB"/>
    <w:rsid w:val="00FD24D9"/>
    <w:rsid w:val="01537FD5"/>
    <w:rsid w:val="033E089E"/>
    <w:rsid w:val="06D74677"/>
    <w:rsid w:val="079270C9"/>
    <w:rsid w:val="09780009"/>
    <w:rsid w:val="0983157E"/>
    <w:rsid w:val="0BA60776"/>
    <w:rsid w:val="0FA0239A"/>
    <w:rsid w:val="123F000C"/>
    <w:rsid w:val="14127BE9"/>
    <w:rsid w:val="169E17AF"/>
    <w:rsid w:val="1F4629DA"/>
    <w:rsid w:val="23F5007E"/>
    <w:rsid w:val="28E16F29"/>
    <w:rsid w:val="2A021EEC"/>
    <w:rsid w:val="2CDA6E57"/>
    <w:rsid w:val="2D28253C"/>
    <w:rsid w:val="325C2C4F"/>
    <w:rsid w:val="330A2045"/>
    <w:rsid w:val="356330E4"/>
    <w:rsid w:val="35DF6E22"/>
    <w:rsid w:val="36874843"/>
    <w:rsid w:val="37B62B62"/>
    <w:rsid w:val="3C8C7593"/>
    <w:rsid w:val="3E245F08"/>
    <w:rsid w:val="3F326AC0"/>
    <w:rsid w:val="40AA76F6"/>
    <w:rsid w:val="44D530D8"/>
    <w:rsid w:val="465F1E0B"/>
    <w:rsid w:val="472F7A9E"/>
    <w:rsid w:val="4A0F4DB5"/>
    <w:rsid w:val="4C291900"/>
    <w:rsid w:val="4DE4148C"/>
    <w:rsid w:val="4E4C18A4"/>
    <w:rsid w:val="4FAE554B"/>
    <w:rsid w:val="50C301CB"/>
    <w:rsid w:val="513242BC"/>
    <w:rsid w:val="52246A93"/>
    <w:rsid w:val="55810352"/>
    <w:rsid w:val="57DAE6E1"/>
    <w:rsid w:val="58526366"/>
    <w:rsid w:val="58AF2282"/>
    <w:rsid w:val="59FA62BF"/>
    <w:rsid w:val="5A434C93"/>
    <w:rsid w:val="5CC93D27"/>
    <w:rsid w:val="5DDC02E0"/>
    <w:rsid w:val="5E2872AF"/>
    <w:rsid w:val="5F665FB3"/>
    <w:rsid w:val="61CA7A1C"/>
    <w:rsid w:val="642152E2"/>
    <w:rsid w:val="642E32C4"/>
    <w:rsid w:val="65077AE2"/>
    <w:rsid w:val="6549634D"/>
    <w:rsid w:val="659E484A"/>
    <w:rsid w:val="65E939EF"/>
    <w:rsid w:val="66456B14"/>
    <w:rsid w:val="6AEF1016"/>
    <w:rsid w:val="6DAF5981"/>
    <w:rsid w:val="6E547B08"/>
    <w:rsid w:val="708E730A"/>
    <w:rsid w:val="71931851"/>
    <w:rsid w:val="729E74BD"/>
    <w:rsid w:val="72A7541B"/>
    <w:rsid w:val="745A0E57"/>
    <w:rsid w:val="79837159"/>
    <w:rsid w:val="7A862E00"/>
    <w:rsid w:val="7DB12915"/>
    <w:rsid w:val="7EB7B118"/>
    <w:rsid w:val="7EE22EDD"/>
    <w:rsid w:val="7F4DBC21"/>
    <w:rsid w:val="7F730CAF"/>
    <w:rsid w:val="7F98785D"/>
    <w:rsid w:val="7FCB79CD"/>
    <w:rsid w:val="7FE1445D"/>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384"/>
    <w:autoRedefine/>
    <w:qFormat/>
    <w:uiPriority w:val="99"/>
    <w:pPr>
      <w:tabs>
        <w:tab w:val="center" w:pos="4153"/>
        <w:tab w:val="right" w:pos="8306"/>
      </w:tabs>
      <w:snapToGrid w:val="0"/>
      <w:jc w:val="left"/>
    </w:pPr>
    <w:rPr>
      <w:sz w:val="18"/>
      <w:szCs w:val="18"/>
    </w:rPr>
  </w:style>
  <w:style w:type="paragraph" w:styleId="6">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266"/>
    <w:autoRedefine/>
    <w:qFormat/>
    <w:uiPriority w:val="0"/>
    <w:pPr>
      <w:spacing w:line="480" w:lineRule="exact"/>
      <w:ind w:firstLine="480" w:firstLineChars="200"/>
    </w:pPr>
    <w:rPr>
      <w:rFonts w:ascii="宋体" w:hAnsi="宋体"/>
      <w:sz w:val="24"/>
    </w:rPr>
  </w:style>
  <w:style w:type="paragraph" w:styleId="26">
    <w:name w:val="envelope return"/>
    <w:basedOn w:val="1"/>
    <w:autoRedefine/>
    <w:qFormat/>
    <w:uiPriority w:val="0"/>
    <w:pPr>
      <w:snapToGrid w:val="0"/>
    </w:pPr>
    <w:rPr>
      <w:rFonts w:ascii="Arial" w:hAnsi="Arial"/>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3"/>
    <w:autoRedefine/>
    <w:qFormat/>
    <w:uiPriority w:val="0"/>
    <w:pPr>
      <w:ind w:left="100" w:leftChars="2500"/>
    </w:pPr>
    <w:rPr>
      <w:rFonts w:ascii="宋体"/>
      <w:sz w:val="24"/>
      <w:szCs w:val="21"/>
      <w:lang w:val="zh-CN"/>
    </w:rPr>
  </w:style>
  <w:style w:type="paragraph" w:styleId="38">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2"/>
    <w:autoRedefine/>
    <w:qFormat/>
    <w:uiPriority w:val="0"/>
    <w:rPr>
      <w:lang w:val="zh-CN"/>
    </w:rPr>
  </w:style>
  <w:style w:type="paragraph" w:styleId="40">
    <w:name w:val="Balloon Text"/>
    <w:basedOn w:val="1"/>
    <w:link w:val="190"/>
    <w:autoRedefine/>
    <w:qFormat/>
    <w:uiPriority w:val="0"/>
    <w:rPr>
      <w:sz w:val="18"/>
      <w:szCs w:val="18"/>
    </w:rPr>
  </w:style>
  <w:style w:type="paragraph" w:styleId="41">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6"/>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3"/>
    <w:autoRedefine/>
    <w:qFormat/>
    <w:uiPriority w:val="0"/>
    <w:pPr>
      <w:spacing w:after="120" w:line="480" w:lineRule="auto"/>
    </w:pPr>
  </w:style>
  <w:style w:type="paragraph" w:styleId="57">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autoRedefine/>
    <w:qFormat/>
    <w:uiPriority w:val="0"/>
    <w:rPr>
      <w:b/>
      <w:bCs/>
    </w:rPr>
  </w:style>
  <w:style w:type="paragraph" w:styleId="61">
    <w:name w:val="Body Text First Indent"/>
    <w:basedOn w:val="24"/>
    <w:next w:val="1"/>
    <w:link w:val="322"/>
    <w:autoRedefine/>
    <w:qFormat/>
    <w:uiPriority w:val="0"/>
    <w:pPr>
      <w:ind w:firstLine="420"/>
    </w:pPr>
    <w:rPr>
      <w:rFonts w:hAnsi="Calibri" w:cs="Times New Roman"/>
      <w:snapToGrid/>
      <w:szCs w:val="20"/>
    </w:rPr>
  </w:style>
  <w:style w:type="paragraph" w:styleId="62">
    <w:name w:val="Body Text First Indent 2"/>
    <w:basedOn w:val="25"/>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首行缩进"/>
    <w:basedOn w:val="1"/>
    <w:autoRedefine/>
    <w:qFormat/>
    <w:uiPriority w:val="0"/>
    <w:pPr>
      <w:spacing w:line="360" w:lineRule="auto"/>
      <w:ind w:firstLine="480" w:firstLineChars="200"/>
    </w:pPr>
    <w:rPr>
      <w:rFonts w:ascii="宋体"/>
      <w:sz w:val="24"/>
      <w:szCs w:val="20"/>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0"/>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2"/>
    <w:autoRedefine/>
    <w:qFormat/>
    <w:uiPriority w:val="0"/>
    <w:rPr>
      <w:rFonts w:ascii="宋体" w:hAnsi="宋体"/>
      <w:kern w:val="2"/>
      <w:sz w:val="21"/>
      <w:szCs w:val="24"/>
    </w:rPr>
  </w:style>
  <w:style w:type="character" w:customStyle="1" w:styleId="124">
    <w:name w:val="font11"/>
    <w:basedOn w:val="70"/>
    <w:autoRedefine/>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字符1"/>
    <w:link w:val="34"/>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7"/>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9"/>
    <w:autoRedefine/>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4"/>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7"/>
    <w:autoRedefine/>
    <w:qFormat/>
    <w:uiPriority w:val="0"/>
    <w:rPr>
      <w:rFonts w:ascii="宋体"/>
      <w:kern w:val="2"/>
      <w:sz w:val="24"/>
      <w:szCs w:val="21"/>
      <w:lang w:val="zh-CN"/>
    </w:rPr>
  </w:style>
  <w:style w:type="character" w:customStyle="1" w:styleId="184">
    <w:name w:val="标题 9 字符"/>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40"/>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1"/>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3"/>
    <w:autoRedefine/>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59"/>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8"/>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1"/>
    <w:autoRedefine/>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7"/>
    <w:autoRedefine/>
    <w:qFormat/>
    <w:uiPriority w:val="0"/>
    <w:rPr>
      <w:rFonts w:ascii="黑体" w:hAnsi="Courier New" w:eastAsia="黑体"/>
    </w:rPr>
  </w:style>
  <w:style w:type="character" w:customStyle="1" w:styleId="303">
    <w:name w:val="正文文本 2 字符1"/>
    <w:link w:val="56"/>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字符"/>
    <w:link w:val="10"/>
    <w:autoRedefine/>
    <w:qFormat/>
    <w:uiPriority w:val="0"/>
    <w:rPr>
      <w:b/>
      <w:bCs/>
      <w:kern w:val="2"/>
      <w:sz w:val="24"/>
      <w:szCs w:val="24"/>
    </w:rPr>
  </w:style>
  <w:style w:type="character" w:customStyle="1" w:styleId="309">
    <w:name w:val="正文文本缩进 2 字符"/>
    <w:link w:val="38"/>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0"/>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文本首行缩进 字符"/>
    <w:link w:val="61"/>
    <w:autoRedefine/>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autoRedefine/>
    <w:qFormat/>
    <w:uiPriority w:val="0"/>
  </w:style>
  <w:style w:type="character" w:customStyle="1" w:styleId="328">
    <w:name w:val="标题 4 字符1"/>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2"/>
    <w:autoRedefine/>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autoRedefine/>
    <w:qFormat/>
    <w:uiPriority w:val="0"/>
    <w:rPr>
      <w:kern w:val="2"/>
      <w:sz w:val="21"/>
      <w:szCs w:val="24"/>
    </w:rPr>
  </w:style>
  <w:style w:type="character" w:customStyle="1" w:styleId="346">
    <w:name w:val="签名 字符"/>
    <w:link w:val="42"/>
    <w:autoRedefine/>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3"/>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2"/>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1"/>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autoRedefine/>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156"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5"/>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9"/>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autoRedefine/>
    <w:qFormat/>
    <w:uiPriority w:val="0"/>
    <w:pPr>
      <w:tabs>
        <w:tab w:val="left" w:pos="1080"/>
      </w:tabs>
      <w:ind w:left="1080" w:hanging="1080"/>
    </w:pPr>
  </w:style>
  <w:style w:type="paragraph" w:customStyle="1" w:styleId="897">
    <w:name w:val="数字标题1"/>
    <w:basedOn w:val="3"/>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9"/>
    <w:autoRedefine/>
    <w:qFormat/>
    <w:uiPriority w:val="0"/>
    <w:rPr>
      <w:kern w:val="2"/>
      <w:sz w:val="21"/>
      <w:szCs w:val="24"/>
      <w:lang w:val="zh-CN"/>
    </w:rPr>
  </w:style>
  <w:style w:type="character" w:customStyle="1" w:styleId="933">
    <w:name w:val="无间隔 Char"/>
    <w:link w:val="484"/>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qFormat/>
    <w:uiPriority w:val="34"/>
    <w:pPr>
      <w:ind w:firstLine="420" w:firstLineChars="200"/>
    </w:pPr>
  </w:style>
  <w:style w:type="paragraph" w:styleId="966">
    <w:name w:val="No Spacing"/>
    <w:basedOn w:val="1"/>
    <w:autoRedefine/>
    <w:qFormat/>
    <w:uiPriority w:val="0"/>
    <w:pPr>
      <w:spacing w:line="240" w:lineRule="auto"/>
      <w:ind w:firstLine="0" w:firstLineChars="0"/>
      <w:jc w:val="center"/>
    </w:pPr>
    <w:rPr>
      <w:rFonts w:ascii="Times New Roman" w:hAnsi="Times New Roman" w:eastAsia="宋体" w:cs="Times New Roman"/>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105</Pages>
  <Words>47537</Words>
  <Characters>51036</Characters>
  <Lines>434</Lines>
  <Paragraphs>122</Paragraphs>
  <TotalTime>25</TotalTime>
  <ScaleCrop>false</ScaleCrop>
  <LinksUpToDate>false</LinksUpToDate>
  <CharactersWithSpaces>58185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2023-08-04T01:41:00Z</dcterms:created>
  <dc:creator>玥</dc:creator>
  <cp:lastModifiedBy>kk</cp:lastModifiedBy>
  <cp:lastPrinted>2023-08-10T08:13:00Z</cp:lastPrinted>
  <dcterms:modified xsi:type="dcterms:W3CDTF">2024-05-28T06:50:04Z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D4410F9913C943188B0731F3C533AD9C_13</vt:lpwstr>
  </property>
</Properties>
</file>