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cs="仿宋"/>
          <w:b/>
          <w:color w:val="auto"/>
          <w:sz w:val="24"/>
          <w:highlight w:val="none"/>
        </w:rPr>
      </w:pPr>
      <w:bookmarkStart w:id="203" w:name="_GoBack"/>
      <w:bookmarkEnd w:id="203"/>
    </w:p>
    <w:p>
      <w:pPr>
        <w:jc w:val="center"/>
        <w:outlineLvl w:val="0"/>
        <w:rPr>
          <w:rFonts w:hint="eastAsia" w:ascii="仿宋" w:hAnsi="仿宋" w:eastAsia="仿宋" w:cs="仿宋"/>
          <w:b/>
          <w:color w:val="auto"/>
          <w:sz w:val="44"/>
          <w:szCs w:val="44"/>
          <w:highlight w:val="none"/>
          <w:lang w:eastAsia="zh-CN"/>
        </w:rPr>
      </w:pPr>
      <w:bookmarkStart w:id="0" w:name="_Hlt67893495"/>
      <w:bookmarkEnd w:id="0"/>
      <w:r>
        <w:rPr>
          <w:rFonts w:hint="eastAsia" w:ascii="仿宋" w:hAnsi="仿宋" w:eastAsia="仿宋" w:cs="仿宋"/>
          <w:b/>
          <w:bCs/>
          <w:color w:val="auto"/>
          <w:sz w:val="44"/>
          <w:szCs w:val="44"/>
          <w:highlight w:val="none"/>
          <w:lang w:eastAsia="zh-CN"/>
        </w:rPr>
        <w:t>绍兴市中医院数据库运行安全管理平台及数据库备份项目</w:t>
      </w:r>
    </w:p>
    <w:p>
      <w:pPr>
        <w:jc w:val="center"/>
        <w:outlineLvl w:val="0"/>
        <w:rPr>
          <w:rFonts w:ascii="仿宋" w:hAnsi="仿宋" w:eastAsia="仿宋" w:cs="仿宋"/>
          <w:b/>
          <w:color w:val="auto"/>
          <w:sz w:val="72"/>
          <w:szCs w:val="72"/>
          <w:highlight w:val="none"/>
        </w:rPr>
      </w:pP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TYJZ2024</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34096117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507" w:hRule="atLeast"/>
          <w:jc w:val="center"/>
        </w:trPr>
        <w:tc>
          <w:tcPr>
            <w:tcW w:w="2356" w:type="dxa"/>
            <w:vAlign w:val="center"/>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pPr>
              <w:spacing w:line="320" w:lineRule="exact"/>
              <w:jc w:val="both"/>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五</w:t>
            </w:r>
            <w:r>
              <w:rPr>
                <w:rFonts w:hint="eastAsia" w:ascii="仿宋" w:hAnsi="仿宋" w:eastAsia="仿宋" w:cs="仿宋"/>
                <w:color w:val="auto"/>
                <w:sz w:val="28"/>
                <w:szCs w:val="28"/>
                <w:highlight w:val="none"/>
              </w:rPr>
              <w:t>月</w:t>
            </w:r>
          </w:p>
        </w:tc>
      </w:tr>
    </w:tbl>
    <w:p>
      <w:pPr>
        <w:pStyle w:val="638"/>
        <w:rPr>
          <w:rFonts w:ascii="仿宋" w:hAnsi="仿宋" w:eastAsia="仿宋" w:cs="仿宋"/>
          <w:color w:val="auto"/>
          <w:highlight w:val="none"/>
        </w:rPr>
        <w:sectPr>
          <w:headerReference r:id="rId4" w:type="first"/>
          <w:footerReference r:id="rId6"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color w:val="auto"/>
          <w:sz w:val="24"/>
          <w:highlight w:val="none"/>
        </w:rPr>
      </w:pPr>
    </w:p>
    <w:p>
      <w:pP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spacing w:line="360" w:lineRule="auto"/>
        <w:jc w:val="center"/>
        <w:rPr>
          <w:rFonts w:ascii="仿宋" w:hAnsi="仿宋" w:eastAsia="仿宋" w:cs="仿宋"/>
          <w:b/>
          <w:color w:val="auto"/>
          <w:sz w:val="44"/>
          <w:szCs w:val="44"/>
          <w:highlight w:val="none"/>
        </w:rPr>
      </w:pPr>
    </w:p>
    <w:p>
      <w:pPr>
        <w:spacing w:line="360" w:lineRule="auto"/>
        <w:jc w:val="center"/>
        <w:rPr>
          <w:rFonts w:ascii="仿宋" w:hAnsi="仿宋" w:eastAsia="仿宋" w:cs="仿宋"/>
          <w:color w:val="auto"/>
          <w:highlight w:val="none"/>
        </w:rPr>
      </w:pP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rPr>
          <w:rFonts w:ascii="仿宋" w:hAnsi="仿宋" w:eastAsia="仿宋" w:cs="仿宋"/>
          <w:color w:val="auto"/>
          <w:sz w:val="24"/>
          <w:highlight w:val="none"/>
        </w:rPr>
      </w:pPr>
    </w:p>
    <w:bookmarkEnd w:id="2"/>
    <w:p>
      <w:pPr>
        <w:adjustRightInd/>
        <w:spacing w:line="360" w:lineRule="auto"/>
        <w:jc w:val="center"/>
        <w:outlineLvl w:val="0"/>
        <w:rPr>
          <w:rFonts w:ascii="仿宋" w:hAnsi="仿宋" w:eastAsia="仿宋" w:cs="仿宋"/>
          <w:b/>
          <w:color w:val="auto"/>
          <w:sz w:val="36"/>
          <w:szCs w:val="20"/>
          <w:highlight w:val="none"/>
        </w:rPr>
        <w:sectPr>
          <w:footerReference r:id="rId10" w:type="first"/>
          <w:headerReference r:id="rId7"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8647"/>
      <w:bookmarkEnd w:id="3"/>
      <w:bookmarkStart w:id="4" w:name="_Hlt74707423"/>
      <w:bookmarkEnd w:id="4"/>
      <w:bookmarkStart w:id="5" w:name="_Hlt74729822"/>
      <w:bookmarkEnd w:id="5"/>
      <w:bookmarkStart w:id="6" w:name="_Hlt74649545"/>
      <w:bookmarkEnd w:id="6"/>
      <w:bookmarkStart w:id="7" w:name="_Toc91899870"/>
      <w:bookmarkStart w:id="8" w:name="第二部分"/>
      <w:bookmarkStart w:id="9" w:name="_Toc91899871"/>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绍兴市中医院数据库运行安全管理平台及数据库备份项目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8"/>
          <w:rFonts w:hint="eastAsia" w:ascii="仿宋" w:hAnsi="仿宋" w:eastAsia="仿宋" w:cs="仿宋"/>
          <w:snapToGrid/>
          <w:color w:val="auto"/>
          <w:kern w:val="2"/>
          <w:sz w:val="24"/>
          <w:szCs w:val="24"/>
          <w:highlight w:val="none"/>
        </w:rPr>
        <w:t>https://www.zcygov.cn/）获取（下载）招标文件，并于202</w:t>
      </w:r>
      <w:r>
        <w:rPr>
          <w:rStyle w:val="78"/>
          <w:rFonts w:hint="eastAsia" w:ascii="仿宋" w:hAnsi="仿宋" w:eastAsia="仿宋" w:cs="仿宋"/>
          <w:snapToGrid/>
          <w:color w:val="auto"/>
          <w:kern w:val="2"/>
          <w:sz w:val="24"/>
          <w:szCs w:val="24"/>
          <w:highlight w:val="none"/>
          <w:lang w:val="en-US" w:eastAsia="zh-CN"/>
        </w:rPr>
        <w:t>4</w:t>
      </w:r>
      <w:r>
        <w:rPr>
          <w:rStyle w:val="78"/>
          <w:rFonts w:hint="eastAsia" w:ascii="仿宋" w:hAnsi="仿宋" w:eastAsia="仿宋" w:cs="仿宋"/>
          <w:snapToGrid/>
          <w:color w:val="auto"/>
          <w:kern w:val="2"/>
          <w:sz w:val="24"/>
          <w:szCs w:val="24"/>
          <w:highlight w:val="none"/>
        </w:rPr>
        <w:t>年月日</w:t>
      </w:r>
      <w:r>
        <w:rPr>
          <w:rStyle w:val="78"/>
          <w:rFonts w:hint="eastAsia" w:ascii="仿宋" w:hAnsi="仿宋" w:eastAsia="仿宋" w:cs="仿宋"/>
          <w:snapToGrid/>
          <w:color w:val="auto"/>
          <w:kern w:val="2"/>
          <w:sz w:val="24"/>
          <w:szCs w:val="24"/>
          <w:highlight w:val="none"/>
          <w:lang w:val="en-US" w:eastAsia="zh-CN"/>
        </w:rPr>
        <w:t>09</w:t>
      </w:r>
      <w:r>
        <w:rPr>
          <w:rStyle w:val="78"/>
          <w:rFonts w:hint="eastAsia" w:ascii="仿宋" w:hAnsi="仿宋" w:eastAsia="仿宋" w:cs="仿宋"/>
          <w:snapToGrid/>
          <w:color w:val="auto"/>
          <w:kern w:val="2"/>
          <w:sz w:val="24"/>
          <w:szCs w:val="24"/>
          <w:highlight w:val="none"/>
        </w:rPr>
        <w:t>点</w:t>
      </w:r>
      <w:r>
        <w:rPr>
          <w:rStyle w:val="78"/>
          <w:rFonts w:hint="eastAsia" w:ascii="仿宋" w:hAnsi="仿宋" w:eastAsia="仿宋" w:cs="仿宋"/>
          <w:snapToGrid/>
          <w:color w:val="auto"/>
          <w:kern w:val="2"/>
          <w:sz w:val="24"/>
          <w:szCs w:val="24"/>
          <w:highlight w:val="none"/>
          <w:lang w:val="en-US" w:eastAsia="zh-CN"/>
        </w:rPr>
        <w:t>00</w:t>
      </w:r>
      <w:r>
        <w:rPr>
          <w:rStyle w:val="78"/>
          <w:rFonts w:hint="eastAsia" w:ascii="仿宋" w:hAnsi="仿宋" w:eastAsia="仿宋" w:cs="仿宋"/>
          <w:snapToGrid/>
          <w:color w:val="auto"/>
          <w:kern w:val="2"/>
          <w:sz w:val="24"/>
          <w:szCs w:val="24"/>
          <w:highlight w:val="none"/>
        </w:rPr>
        <w:t>分</w:t>
      </w:r>
      <w:r>
        <w:rPr>
          <w:rStyle w:val="78"/>
          <w:rFonts w:hint="eastAsia" w:ascii="仿宋" w:hAnsi="仿宋" w:eastAsia="仿宋" w:cs="仿宋"/>
          <w:bCs/>
          <w:snapToGrid/>
          <w:color w:val="auto"/>
          <w:kern w:val="2"/>
          <w:sz w:val="24"/>
          <w:szCs w:val="24"/>
          <w:highlight w:val="none"/>
        </w:rPr>
        <w:t>00秒</w:t>
      </w:r>
      <w:r>
        <w:rPr>
          <w:rStyle w:val="7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TYJZ2024</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绍兴市中医院数据库运行安全管理平台及数据库备份项目</w:t>
      </w:r>
      <w:r>
        <w:rPr>
          <w:rFonts w:hint="eastAsia" w:ascii="仿宋" w:hAnsi="仿宋" w:eastAsia="仿宋" w:cs="仿宋"/>
          <w:color w:val="auto"/>
          <w:sz w:val="24"/>
          <w:highlight w:val="none"/>
        </w:rPr>
        <w:t xml:space="preserve"> </w:t>
      </w:r>
    </w:p>
    <w:p>
      <w:pPr>
        <w:spacing w:line="440" w:lineRule="exact"/>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15</w:t>
      </w:r>
      <w:r>
        <w:rPr>
          <w:rFonts w:hint="eastAsia" w:ascii="仿宋" w:hAnsi="仿宋" w:eastAsia="仿宋" w:cs="仿宋"/>
          <w:b/>
          <w:color w:val="auto"/>
          <w:sz w:val="24"/>
          <w:highlight w:val="none"/>
          <w:lang w:eastAsia="zh-CN"/>
        </w:rPr>
        <w:t>0000</w:t>
      </w:r>
    </w:p>
    <w:p>
      <w:pPr>
        <w:spacing w:line="440" w:lineRule="exact"/>
        <w:ind w:firstLine="482" w:firstLineChars="20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lang w:eastAsia="zh-CN"/>
        </w:rPr>
        <w:t>0000</w:t>
      </w:r>
      <w:r>
        <w:rPr>
          <w:rFonts w:hint="eastAsia" w:ascii="仿宋" w:hAnsi="仿宋" w:eastAsia="仿宋" w:cs="仿宋"/>
          <w:b/>
          <w:color w:val="auto"/>
          <w:sz w:val="24"/>
          <w:highlight w:val="none"/>
          <w:lang w:val="en-US" w:eastAsia="zh-CN"/>
        </w:rPr>
        <w:t>,50000</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数据库运行安全管理平台</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lang w:eastAsia="zh-CN"/>
        </w:rPr>
        <w:t>0000</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eastAsia="zh-CN"/>
        </w:rPr>
        <w:t>二</w:t>
      </w:r>
      <w:r>
        <w:rPr>
          <w:rFonts w:hint="eastAsia" w:ascii="仿宋" w:hAnsi="仿宋" w:eastAsia="仿宋" w:cs="仿宋"/>
          <w:bCs/>
          <w:color w:val="auto"/>
          <w:sz w:val="24"/>
          <w:highlight w:val="none"/>
        </w:rPr>
        <w:t>：</w:t>
      </w:r>
    </w:p>
    <w:p>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数据库备份</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lang w:eastAsia="zh-CN"/>
        </w:rPr>
        <w:t>0000</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pPr>
        <w:spacing w:line="440" w:lineRule="exact"/>
        <w:ind w:firstLine="480" w:firstLineChars="200"/>
        <w:rPr>
          <w:rFonts w:ascii="仿宋" w:hAnsi="仿宋" w:eastAsia="仿宋" w:cs="仿宋"/>
          <w:color w:val="auto"/>
          <w:sz w:val="24"/>
          <w:highlight w:val="none"/>
        </w:rPr>
      </w:pPr>
    </w:p>
    <w:p>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highlight w:val="none"/>
        </w:rPr>
        <w:sym w:font="Wingdings" w:char="00FE"/>
      </w:r>
      <w:r>
        <w:rPr>
          <w:rFonts w:hint="eastAsia" w:ascii="仿宋" w:hAnsi="仿宋" w:eastAsia="仿宋" w:cs="仿宋"/>
          <w:b/>
          <w:color w:val="auto"/>
          <w:sz w:val="24"/>
          <w:highlight w:val="none"/>
        </w:rPr>
        <w:t>是，☐否。</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spacing w:line="440" w:lineRule="exact"/>
        <w:ind w:firstLine="480" w:firstLineChars="200"/>
        <w:rPr>
          <w:rFonts w:hint="default"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3.落实政府采购政策需满足的资格要求：</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val="en-US" w:eastAsia="zh-CN"/>
        </w:rPr>
        <w:t>01标：</w:t>
      </w:r>
      <w:r>
        <w:rPr>
          <w:rFonts w:hint="eastAsia" w:ascii="仿宋" w:hAnsi="仿宋" w:eastAsia="仿宋" w:cs="仿宋"/>
          <w:color w:val="auto"/>
          <w:highlight w:val="none"/>
        </w:rPr>
        <w:sym w:font="Wingdings" w:char="00FE"/>
      </w:r>
      <w:r>
        <w:rPr>
          <w:rFonts w:hint="eastAsia" w:ascii="仿宋" w:hAnsi="仿宋" w:eastAsia="仿宋" w:cs="仿宋"/>
          <w:color w:val="auto"/>
          <w:sz w:val="24"/>
          <w:highlight w:val="none"/>
        </w:rPr>
        <w:t>无；</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val="en-US" w:eastAsia="zh-CN"/>
        </w:rPr>
        <w:t>02标：</w:t>
      </w:r>
      <w:r>
        <w:rPr>
          <w:rFonts w:hint="eastAsia" w:ascii="仿宋" w:hAnsi="仿宋" w:eastAsia="仿宋" w:cs="仿宋"/>
          <w:color w:val="auto"/>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440" w:lineRule="exact"/>
        <w:ind w:firstLine="785" w:firstLineChars="374"/>
        <w:rPr>
          <w:rFonts w:ascii="仿宋" w:hAnsi="仿宋" w:eastAsia="仿宋" w:cs="仿宋"/>
          <w:color w:val="auto"/>
          <w:sz w:val="24"/>
          <w:highlight w:val="none"/>
          <w:u w:val="single"/>
        </w:rPr>
      </w:pPr>
      <w:r>
        <w:rPr>
          <w:rFonts w:hint="eastAsia" w:ascii="仿宋" w:hAnsi="仿宋" w:eastAsia="仿宋" w:cs="仿宋"/>
          <w:color w:val="auto"/>
          <w:highlight w:val="none"/>
        </w:rPr>
        <w:sym w:font="Wingdings" w:char="00FE"/>
      </w:r>
      <w:r>
        <w:rPr>
          <w:rFonts w:hint="eastAsia" w:ascii="仿宋" w:hAnsi="仿宋" w:eastAsia="仿宋" w:cs="仿宋"/>
          <w:color w:val="auto"/>
          <w:sz w:val="24"/>
          <w:highlight w:val="none"/>
        </w:rPr>
        <w:t>货物全部由符合政策要求的中小企业制造，提供中小企业声明函；</w:t>
      </w:r>
    </w:p>
    <w:p>
      <w:pPr>
        <w:spacing w:line="44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年月日09点00分00秒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年月日09点00分00秒</w:t>
      </w:r>
      <w:r>
        <w:rPr>
          <w:rFonts w:hint="eastAsia" w:ascii="仿宋" w:hAnsi="仿宋" w:eastAsia="仿宋" w:cs="仿宋"/>
          <w:bCs/>
          <w:color w:val="auto"/>
          <w:sz w:val="24"/>
          <w:highlight w:val="none"/>
          <w:u w:val="single"/>
        </w:rPr>
        <w:t xml:space="preserve">  </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4"/>
        <w:spacing w:line="440" w:lineRule="exact"/>
        <w:ind w:left="0" w:firstLine="482" w:firstLineChars="200"/>
        <w:rPr>
          <w:rFonts w:ascii="仿宋" w:eastAsia="仿宋" w:cs="仿宋"/>
          <w:color w:val="auto"/>
          <w:sz w:val="24"/>
          <w:szCs w:val="24"/>
          <w:highlight w:val="none"/>
        </w:rPr>
      </w:pPr>
      <w:bookmarkStart w:id="11" w:name="_Toc35393806"/>
      <w:bookmarkStart w:id="12" w:name="_Toc35393637"/>
      <w:bookmarkStart w:id="13" w:name="_Toc28359096"/>
      <w:bookmarkStart w:id="14" w:name="_Toc28359019"/>
      <w:r>
        <w:rPr>
          <w:rFonts w:hint="eastAsia" w:ascii="仿宋" w:eastAsia="仿宋" w:cs="仿宋"/>
          <w:color w:val="auto"/>
          <w:sz w:val="24"/>
          <w:szCs w:val="24"/>
          <w:highlight w:val="none"/>
        </w:rPr>
        <w:t>1.采购人信息</w:t>
      </w:r>
      <w:bookmarkEnd w:id="11"/>
      <w:bookmarkEnd w:id="12"/>
      <w:bookmarkEnd w:id="13"/>
      <w:bookmarkEnd w:id="14"/>
      <w:r>
        <w:rPr>
          <w:rFonts w:hint="eastAsia" w:ascii="仿宋" w:eastAsia="仿宋" w:cs="仿宋"/>
          <w:color w:val="auto"/>
          <w:sz w:val="24"/>
          <w:szCs w:val="24"/>
          <w:highlight w:val="none"/>
        </w:rPr>
        <w:t>：</w:t>
      </w:r>
    </w:p>
    <w:p>
      <w:pPr>
        <w:spacing w:line="440" w:lineRule="exact"/>
        <w:ind w:firstLine="480" w:firstLineChars="200"/>
        <w:rPr>
          <w:rFonts w:hint="eastAsia" w:ascii="仿宋" w:hAnsi="仿宋" w:eastAsia="仿宋" w:cs="仿宋"/>
          <w:color w:val="auto"/>
          <w:sz w:val="24"/>
          <w:highlight w:val="none"/>
          <w:lang w:eastAsia="zh-CN"/>
        </w:rPr>
      </w:pPr>
      <w:bookmarkStart w:id="15" w:name="_Toc35393638"/>
      <w:bookmarkStart w:id="16" w:name="_Toc28359097"/>
      <w:bookmarkStart w:id="17" w:name="_Toc35393807"/>
      <w:bookmarkStart w:id="18" w:name="_Toc28359020"/>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w:t>
      </w:r>
      <w:r>
        <w:rPr>
          <w:rFonts w:hint="eastAsia" w:ascii="仿宋" w:hAnsi="仿宋" w:eastAsia="仿宋" w:cs="仿宋"/>
          <w:color w:val="auto"/>
          <w:sz w:val="24"/>
          <w:highlight w:val="none"/>
          <w:lang w:val="en-US" w:eastAsia="zh-CN"/>
        </w:rPr>
        <w:t>64</w:t>
      </w:r>
      <w:r>
        <w:rPr>
          <w:rFonts w:hint="eastAsia" w:ascii="仿宋" w:hAnsi="仿宋" w:eastAsia="仿宋" w:cs="仿宋"/>
          <w:color w:val="auto"/>
          <w:sz w:val="24"/>
          <w:highlight w:val="none"/>
        </w:rPr>
        <w:t>1号</w:t>
      </w:r>
    </w:p>
    <w:p>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王宁</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项目联系方式（询问）：0575-89102270</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pPr>
        <w:pStyle w:val="4"/>
        <w:spacing w:line="440" w:lineRule="exact"/>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15"/>
      <w:bookmarkEnd w:id="16"/>
      <w:bookmarkEnd w:id="17"/>
      <w:bookmarkEnd w:id="18"/>
      <w:r>
        <w:rPr>
          <w:rFonts w:hint="eastAsia" w:ascii="仿宋" w:eastAsia="仿宋" w:cs="仿宋"/>
          <w:color w:val="auto"/>
          <w:sz w:val="24"/>
          <w:szCs w:val="24"/>
          <w:highlight w:val="none"/>
        </w:rPr>
        <w:t>：</w:t>
      </w:r>
    </w:p>
    <w:p>
      <w:pPr>
        <w:spacing w:line="440" w:lineRule="exact"/>
        <w:ind w:firstLine="480" w:firstLineChars="200"/>
        <w:rPr>
          <w:rFonts w:hint="eastAsia" w:ascii="仿宋" w:hAnsi="仿宋" w:eastAsia="仿宋" w:cs="仿宋"/>
          <w:color w:val="auto"/>
          <w:sz w:val="24"/>
          <w:highlight w:val="none"/>
        </w:rPr>
      </w:pPr>
      <w:bookmarkStart w:id="19" w:name="_Toc28359021"/>
      <w:bookmarkStart w:id="20" w:name="_Toc28359098"/>
      <w:bookmarkStart w:id="21" w:name="_Toc35393808"/>
      <w:bookmarkStart w:id="22" w:name="_Toc35393639"/>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      </w:t>
      </w:r>
    </w:p>
    <w:p>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质疑联系方式：0575-85080066　</w:t>
      </w:r>
      <w:r>
        <w:rPr>
          <w:rFonts w:hint="eastAsia" w:ascii="仿宋" w:hAnsi="仿宋" w:eastAsia="仿宋" w:cs="仿宋"/>
          <w:color w:val="auto"/>
          <w:highlight w:val="none"/>
        </w:rPr>
        <w:t>　　</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传真：0575-85209806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监督投诉电话：0575-85209806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B要求提供，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详见招标文件第三部分中的样品</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详见招标项目范围及要求和评标办法   </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rPr>
              <w:t>。</w:t>
            </w:r>
          </w:p>
          <w:p>
            <w:pPr>
              <w:autoSpaceDE w:val="0"/>
              <w:autoSpaceDN w:val="0"/>
              <w:spacing w:line="42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提交样品</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开标结束后自行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pPr>
              <w:spacing w:line="440" w:lineRule="exact"/>
              <w:rPr>
                <w:rFonts w:ascii="仿宋_GB2312" w:hAnsi="仿宋" w:eastAsia="仿宋_GB2312" w:cs="仿宋_GB2312"/>
                <w:color w:val="auto"/>
                <w:kern w:val="0"/>
                <w:sz w:val="24"/>
                <w:highlight w:val="none"/>
                <w:lang w:val="zh-CN"/>
              </w:rPr>
            </w:pPr>
            <w:r>
              <w:rPr>
                <w:rFonts w:hint="eastAsia" w:ascii="仿宋" w:hAnsi="仿宋" w:eastAsia="仿宋" w:cs="仿宋"/>
                <w:b/>
                <w:color w:val="auto"/>
                <w:sz w:val="24"/>
                <w:highlight w:val="none"/>
              </w:rPr>
              <w:t>现场演示(讲解)：</w:t>
            </w:r>
            <w:r>
              <w:rPr>
                <w:rFonts w:hint="eastAsia" w:ascii="仿宋_GB2312" w:hAnsi="新宋体" w:eastAsia="仿宋_GB2312" w:cs="Arial"/>
                <w:b/>
                <w:bCs/>
                <w:color w:val="auto"/>
                <w:sz w:val="24"/>
                <w:highlight w:val="none"/>
                <w:bdr w:val="single" w:color="auto" w:sz="4" w:space="0"/>
              </w:rPr>
              <w:t>01标</w:t>
            </w:r>
            <w:r>
              <w:rPr>
                <w:rFonts w:hint="eastAsia" w:ascii="仿宋_GB2312" w:hAnsi="仿宋" w:eastAsia="仿宋_GB2312" w:cs="仿宋_GB2312"/>
                <w:color w:val="auto"/>
                <w:kern w:val="0"/>
                <w:sz w:val="24"/>
                <w:highlight w:val="none"/>
                <w:lang w:val="zh-CN"/>
              </w:rPr>
              <w:t>在评标时安排每个投标人进行现场演示或</w:t>
            </w:r>
            <w:r>
              <w:rPr>
                <w:rFonts w:hint="eastAsia" w:ascii="仿宋_GB2312" w:hAnsi="仿宋" w:eastAsia="仿宋_GB2312" w:cs="仿宋_GB2312"/>
                <w:color w:val="auto"/>
                <w:kern w:val="0"/>
                <w:sz w:val="24"/>
                <w:highlight w:val="none"/>
                <w:lang w:val="en-US" w:eastAsia="zh-CN"/>
              </w:rPr>
              <w:t>U盘录制演示（</w:t>
            </w:r>
            <w:r>
              <w:rPr>
                <w:rFonts w:hint="eastAsia" w:ascii="仿宋_GB2312" w:hAnsi="仿宋" w:eastAsia="仿宋_GB2312" w:cs="仿宋_GB2312"/>
                <w:color w:val="auto"/>
                <w:kern w:val="0"/>
                <w:sz w:val="24"/>
                <w:szCs w:val="24"/>
                <w:highlight w:val="none"/>
                <w:lang w:val="zh-CN"/>
              </w:rPr>
              <w:t>使用图片、PPT演示不得分</w:t>
            </w:r>
            <w:r>
              <w:rPr>
                <w:rFonts w:hint="eastAsia" w:ascii="仿宋_GB2312" w:hAnsi="仿宋" w:eastAsia="仿宋_GB2312" w:cs="仿宋_GB2312"/>
                <w:color w:val="auto"/>
                <w:kern w:val="0"/>
                <w:sz w:val="24"/>
                <w:highlight w:val="none"/>
                <w:lang w:val="en-US" w:eastAsia="zh-CN"/>
              </w:rPr>
              <w:t>）</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sz w:val="24"/>
                <w:highlight w:val="none"/>
              </w:rPr>
              <w:t>演示</w:t>
            </w:r>
            <w:r>
              <w:rPr>
                <w:rFonts w:hint="eastAsia" w:ascii="仿宋_GB2312" w:hAnsi="仿宋" w:eastAsia="仿宋_GB2312" w:cs="仿宋_GB2312"/>
                <w:color w:val="auto"/>
                <w:kern w:val="0"/>
                <w:sz w:val="24"/>
                <w:highlight w:val="none"/>
                <w:lang w:val="zh-CN"/>
              </w:rPr>
              <w:t>后按要求解答评标委员会的提问。</w:t>
            </w:r>
          </w:p>
          <w:p>
            <w:pPr>
              <w:spacing w:line="440" w:lineRule="exact"/>
              <w:rPr>
                <w:rFonts w:ascii="仿宋_GB2312" w:hAnsi="仿宋_GB2312" w:eastAsia="仿宋_GB2312" w:cs="仿宋_GB2312"/>
                <w:color w:val="auto"/>
                <w:sz w:val="24"/>
                <w:highlight w:val="none"/>
              </w:rPr>
            </w:pPr>
            <w:r>
              <w:rPr>
                <w:rFonts w:hint="eastAsia" w:ascii="仿宋_GB2312" w:hAnsi="仿宋" w:eastAsia="仿宋_GB2312" w:cs="仿宋_GB2312"/>
                <w:b/>
                <w:color w:val="auto"/>
                <w:kern w:val="0"/>
                <w:sz w:val="24"/>
                <w:highlight w:val="none"/>
                <w:lang w:val="zh-CN"/>
              </w:rPr>
              <w:t>演示设备：</w:t>
            </w:r>
            <w:r>
              <w:rPr>
                <w:rFonts w:hint="eastAsia" w:ascii="仿宋_GB2312" w:hAnsi="仿宋_GB2312" w:eastAsia="仿宋_GB2312" w:cs="仿宋_GB2312"/>
                <w:color w:val="auto"/>
                <w:sz w:val="24"/>
                <w:highlight w:val="none"/>
              </w:rPr>
              <w:t>演示所需设备由投标人自行准备。</w:t>
            </w:r>
          </w:p>
          <w:p>
            <w:pPr>
              <w:spacing w:line="440" w:lineRule="exact"/>
              <w:rPr>
                <w:rFonts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演示时间：</w:t>
            </w:r>
            <w:r>
              <w:rPr>
                <w:rFonts w:hint="eastAsia" w:ascii="仿宋_GB2312" w:hAnsi="仿宋" w:eastAsia="仿宋_GB2312" w:cs="仿宋_GB2312"/>
                <w:color w:val="auto"/>
                <w:kern w:val="0"/>
                <w:sz w:val="24"/>
                <w:highlight w:val="none"/>
                <w:lang w:val="zh-CN"/>
              </w:rPr>
              <w:t>每个投标人演示开始前的调试准备时间不超过15分钟，演示时间不超过15分钟，</w:t>
            </w:r>
            <w:r>
              <w:rPr>
                <w:rFonts w:hint="eastAsia" w:ascii="仿宋_GB2312" w:hAnsi="仿宋_GB2312" w:eastAsia="仿宋_GB2312" w:cs="仿宋_GB2312"/>
                <w:color w:val="auto"/>
                <w:sz w:val="24"/>
                <w:highlight w:val="none"/>
              </w:rPr>
              <w:t>不包含评委提问解答时间。</w:t>
            </w:r>
          </w:p>
          <w:p>
            <w:pPr>
              <w:spacing w:line="420" w:lineRule="exac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演示次序：</w:t>
            </w:r>
            <w:r>
              <w:rPr>
                <w:rFonts w:hint="eastAsia" w:ascii="仿宋_GB2312" w:hAnsi="仿宋" w:eastAsia="仿宋_GB2312" w:cs="仿宋_GB2312"/>
                <w:color w:val="auto"/>
                <w:kern w:val="0"/>
                <w:sz w:val="24"/>
                <w:highlight w:val="none"/>
                <w:lang w:val="zh-CN"/>
              </w:rPr>
              <w:t>以</w:t>
            </w:r>
            <w:r>
              <w:rPr>
                <w:rFonts w:hint="eastAsia" w:ascii="仿宋_GB2312" w:hAnsi="仿宋" w:eastAsia="仿宋_GB2312" w:cs="Arial"/>
                <w:bCs/>
                <w:color w:val="auto"/>
                <w:sz w:val="24"/>
                <w:highlight w:val="none"/>
              </w:rPr>
              <w:t>递交投标</w:t>
            </w:r>
            <w:r>
              <w:rPr>
                <w:rFonts w:hint="eastAsia" w:ascii="仿宋_GB2312" w:hAnsi="仿宋" w:eastAsia="仿宋_GB2312" w:cs="仿宋_GB2312"/>
                <w:color w:val="auto"/>
                <w:kern w:val="0"/>
                <w:sz w:val="24"/>
                <w:highlight w:val="none"/>
                <w:lang w:val="zh-CN"/>
              </w:rPr>
              <w:t>文件先后顺序为准。</w:t>
            </w:r>
          </w:p>
          <w:p>
            <w:pPr>
              <w:spacing w:line="420" w:lineRule="exact"/>
              <w:rPr>
                <w:rFonts w:hint="eastAsia" w:ascii="仿宋_GB2312" w:hAnsi="仿宋" w:eastAsia="仿宋_GB2312" w:cs="仿宋_GB2312"/>
                <w:b/>
                <w:color w:val="auto"/>
                <w:kern w:val="0"/>
                <w:sz w:val="24"/>
                <w:highlight w:val="none"/>
                <w:lang w:val="en-US" w:eastAsia="zh-CN"/>
              </w:rPr>
            </w:pPr>
            <w:r>
              <w:rPr>
                <w:rFonts w:hint="eastAsia" w:ascii="仿宋_GB2312" w:hAnsi="仿宋" w:eastAsia="仿宋_GB2312" w:cs="仿宋_GB2312"/>
                <w:b/>
                <w:color w:val="auto"/>
                <w:kern w:val="0"/>
                <w:sz w:val="24"/>
                <w:highlight w:val="none"/>
                <w:lang w:val="zh-CN"/>
              </w:rPr>
              <w:t>视频邮寄地址及联系方式：</w:t>
            </w:r>
            <w:r>
              <w:rPr>
                <w:rFonts w:hint="eastAsia" w:ascii="仿宋_GB2312" w:hAnsi="仿宋" w:eastAsia="仿宋_GB2312" w:cs="仿宋_GB2312"/>
                <w:b w:val="0"/>
                <w:bCs/>
                <w:color w:val="auto"/>
                <w:kern w:val="0"/>
                <w:sz w:val="24"/>
                <w:highlight w:val="none"/>
                <w:lang w:val="zh-CN"/>
              </w:rPr>
              <w:t>绍兴市越城区迎凤路</w:t>
            </w:r>
            <w:r>
              <w:rPr>
                <w:rFonts w:hint="eastAsia" w:ascii="仿宋_GB2312" w:hAnsi="仿宋" w:eastAsia="仿宋_GB2312" w:cs="仿宋_GB2312"/>
                <w:b w:val="0"/>
                <w:bCs/>
                <w:color w:val="auto"/>
                <w:kern w:val="0"/>
                <w:sz w:val="24"/>
                <w:highlight w:val="none"/>
                <w:lang w:val="en-US" w:eastAsia="zh-CN"/>
              </w:rPr>
              <w:t>87号鑫海大厦1601，收件人：金锦英，联系电话：13656752180。</w:t>
            </w:r>
          </w:p>
          <w:p>
            <w:pPr>
              <w:spacing w:line="420" w:lineRule="exact"/>
              <w:rPr>
                <w:rFonts w:hint="eastAsia" w:ascii="仿宋_GB2312" w:hAnsi="宋体" w:eastAsia="仿宋_GB2312" w:cs="宋体"/>
                <w:color w:val="auto"/>
                <w:sz w:val="24"/>
                <w:highlight w:val="none"/>
                <w:lang w:eastAsia="zh-CN"/>
              </w:rPr>
            </w:pPr>
            <w:r>
              <w:rPr>
                <w:rFonts w:hint="eastAsia" w:ascii="仿宋_GB2312" w:hAnsi="仿宋" w:eastAsia="仿宋_GB2312" w:cs="仿宋_GB2312"/>
                <w:b/>
                <w:color w:val="auto"/>
                <w:kern w:val="0"/>
                <w:sz w:val="24"/>
                <w:highlight w:val="none"/>
                <w:lang w:val="zh-CN"/>
              </w:rPr>
              <w:t>录制视频接收时间：</w:t>
            </w:r>
            <w:r>
              <w:rPr>
                <w:rFonts w:hint="eastAsia" w:ascii="仿宋_GB2312" w:hAnsi="宋体" w:eastAsia="仿宋_GB2312" w:cs="宋体"/>
                <w:color w:val="auto"/>
                <w:sz w:val="24"/>
                <w:highlight w:val="none"/>
                <w:lang w:eastAsia="zh-CN"/>
              </w:rPr>
              <w:t>投标截止前</w:t>
            </w:r>
          </w:p>
          <w:p>
            <w:pPr>
              <w:spacing w:line="440" w:lineRule="exact"/>
              <w:rPr>
                <w:rFonts w:hint="eastAsia" w:ascii="仿宋_GB2312" w:hAnsi="宋体" w:eastAsia="仿宋_GB2312" w:cs="宋体"/>
                <w:color w:val="auto"/>
                <w:sz w:val="24"/>
                <w:highlight w:val="none"/>
                <w:lang w:eastAsia="zh-CN"/>
              </w:rPr>
            </w:pPr>
            <w:r>
              <w:rPr>
                <w:rFonts w:hint="eastAsia" w:ascii="仿宋_GB2312" w:hAnsi="宋体" w:eastAsia="仿宋_GB2312" w:cs="宋体"/>
                <w:b/>
                <w:bCs/>
                <w:color w:val="auto"/>
                <w:sz w:val="24"/>
                <w:highlight w:val="none"/>
              </w:rPr>
              <w:t>其他：</w:t>
            </w:r>
          </w:p>
          <w:p>
            <w:pPr>
              <w:pStyle w:val="2"/>
              <w:rPr>
                <w:rFonts w:hint="eastAsia"/>
                <w:color w:val="auto"/>
                <w:highlight w:val="none"/>
                <w:lang w:eastAsia="zh-CN"/>
              </w:rPr>
            </w:pPr>
          </w:p>
          <w:p>
            <w:pPr>
              <w:spacing w:line="440" w:lineRule="exact"/>
              <w:rPr>
                <w:rFonts w:hint="eastAsia" w:ascii="仿宋_GB2312" w:hAnsi="宋体" w:eastAsia="仿宋_GB2312" w:cs="宋体"/>
                <w:color w:val="auto"/>
                <w:sz w:val="24"/>
                <w:highlight w:val="none"/>
                <w:lang w:eastAsia="zh-CN"/>
              </w:rPr>
            </w:pPr>
            <w:r>
              <w:rPr>
                <w:rFonts w:hint="eastAsia" w:ascii="仿宋_GB2312" w:hAnsi="宋体" w:eastAsia="仿宋_GB2312" w:cs="宋体"/>
                <w:color w:val="auto"/>
                <w:sz w:val="24"/>
                <w:highlight w:val="none"/>
              </w:rPr>
              <w:t>1）</w:t>
            </w:r>
            <w:r>
              <w:rPr>
                <w:rFonts w:hint="eastAsia" w:ascii="仿宋_GB2312" w:hAnsi="宋体" w:eastAsia="仿宋_GB2312" w:cs="宋体"/>
                <w:color w:val="auto"/>
                <w:sz w:val="24"/>
                <w:highlight w:val="none"/>
                <w:lang w:eastAsia="zh-CN"/>
              </w:rPr>
              <w:t>视频录制后存储</w:t>
            </w:r>
            <w:r>
              <w:rPr>
                <w:rFonts w:hint="eastAsia" w:ascii="仿宋_GB2312" w:hAnsi="宋体" w:eastAsia="仿宋_GB2312" w:cs="宋体"/>
                <w:color w:val="auto"/>
                <w:sz w:val="24"/>
                <w:highlight w:val="none"/>
                <w:lang w:val="en-US" w:eastAsia="zh-CN"/>
              </w:rPr>
              <w:t>U盘内（投标人需自行承担U盘内视频破坏或无法打开等风险），</w:t>
            </w:r>
            <w:r>
              <w:rPr>
                <w:rFonts w:hint="eastAsia" w:ascii="仿宋_GB2312" w:hAnsi="宋体" w:eastAsia="仿宋_GB2312" w:cs="宋体"/>
                <w:color w:val="auto"/>
                <w:sz w:val="24"/>
                <w:highlight w:val="none"/>
              </w:rPr>
              <w:t>需</w:t>
            </w:r>
            <w:r>
              <w:rPr>
                <w:rFonts w:hint="eastAsia" w:ascii="仿宋_GB2312" w:hAnsi="宋体" w:eastAsia="仿宋_GB2312" w:cs="宋体"/>
                <w:color w:val="auto"/>
                <w:sz w:val="24"/>
                <w:highlight w:val="none"/>
                <w:lang w:eastAsia="zh-CN"/>
              </w:rPr>
              <w:t>密封包装、</w:t>
            </w:r>
            <w:r>
              <w:rPr>
                <w:rFonts w:hint="eastAsia" w:ascii="仿宋_GB2312" w:hAnsi="宋体" w:eastAsia="仿宋_GB2312" w:cs="宋体"/>
                <w:color w:val="auto"/>
                <w:sz w:val="24"/>
                <w:highlight w:val="none"/>
              </w:rPr>
              <w:t>贴有标注供应商名称且加盖</w:t>
            </w:r>
            <w:r>
              <w:rPr>
                <w:rFonts w:hint="eastAsia" w:ascii="仿宋_GB2312" w:hAnsi="宋体" w:eastAsia="仿宋_GB2312" w:cs="宋体"/>
                <w:color w:val="auto"/>
                <w:sz w:val="24"/>
                <w:highlight w:val="none"/>
                <w:lang w:eastAsia="zh-CN"/>
              </w:rPr>
              <w:t>投标人</w:t>
            </w:r>
            <w:r>
              <w:rPr>
                <w:rFonts w:hint="eastAsia" w:ascii="仿宋_GB2312" w:hAnsi="宋体" w:eastAsia="仿宋_GB2312" w:cs="宋体"/>
                <w:color w:val="auto"/>
                <w:sz w:val="24"/>
                <w:highlight w:val="none"/>
              </w:rPr>
              <w:t>公章的标签。</w:t>
            </w:r>
          </w:p>
          <w:p>
            <w:pPr>
              <w:pStyle w:val="2"/>
              <w:rPr>
                <w:rFonts w:hint="eastAsia"/>
                <w:color w:val="auto"/>
                <w:highlight w:val="none"/>
                <w:lang w:eastAsia="zh-CN"/>
              </w:rPr>
            </w:pPr>
          </w:p>
          <w:p>
            <w:pPr>
              <w:spacing w:line="440" w:lineRule="exact"/>
              <w:rPr>
                <w:rFonts w:ascii="仿宋" w:hAnsi="仿宋" w:eastAsia="仿宋" w:cs="仿宋"/>
                <w:color w:val="auto"/>
                <w:sz w:val="24"/>
                <w:highlight w:val="none"/>
              </w:rPr>
            </w:pPr>
            <w:r>
              <w:rPr>
                <w:rFonts w:hint="eastAsia" w:ascii="仿宋_GB2312" w:hAnsi="宋体" w:eastAsia="仿宋_GB2312" w:cs="宋体"/>
                <w:color w:val="auto"/>
                <w:sz w:val="24"/>
                <w:highlight w:val="none"/>
              </w:rPr>
              <w:t>2）中标人</w:t>
            </w:r>
            <w:r>
              <w:rPr>
                <w:rFonts w:hint="eastAsia" w:ascii="仿宋_GB2312" w:hAnsi="宋体" w:eastAsia="仿宋_GB2312" w:cs="宋体"/>
                <w:color w:val="auto"/>
                <w:sz w:val="24"/>
                <w:highlight w:val="none"/>
                <w:lang w:eastAsia="zh-CN"/>
              </w:rPr>
              <w:t>视频</w:t>
            </w:r>
            <w:r>
              <w:rPr>
                <w:rFonts w:hint="eastAsia" w:ascii="仿宋_GB2312" w:hAnsi="宋体" w:eastAsia="仿宋_GB2312" w:cs="宋体"/>
                <w:color w:val="auto"/>
                <w:sz w:val="24"/>
                <w:highlight w:val="none"/>
              </w:rPr>
              <w:t>不予退还，由采购人带回并妥善保管作为验收的参考；未中标人</w:t>
            </w:r>
            <w:r>
              <w:rPr>
                <w:rFonts w:hint="eastAsia" w:ascii="仿宋_GB2312" w:hAnsi="宋体" w:eastAsia="仿宋_GB2312" w:cs="宋体"/>
                <w:color w:val="auto"/>
                <w:sz w:val="24"/>
                <w:highlight w:val="none"/>
                <w:lang w:eastAsia="zh-CN"/>
              </w:rPr>
              <w:t>视频</w:t>
            </w:r>
            <w:r>
              <w:rPr>
                <w:rFonts w:hint="eastAsia" w:ascii="仿宋_GB2312" w:hAnsi="宋体" w:eastAsia="仿宋_GB2312" w:cs="宋体"/>
                <w:color w:val="auto"/>
                <w:sz w:val="24"/>
                <w:highlight w:val="none"/>
              </w:rPr>
              <w:t>开标结束后请自行带回，本</w:t>
            </w:r>
            <w:r>
              <w:rPr>
                <w:rFonts w:hint="eastAsia" w:ascii="仿宋_GB2312" w:hAnsi="宋体" w:eastAsia="仿宋_GB2312" w:cs="宋体"/>
                <w:color w:val="auto"/>
                <w:sz w:val="24"/>
                <w:highlight w:val="none"/>
                <w:lang w:eastAsia="zh-CN"/>
              </w:rPr>
              <w:t>采购代理机构</w:t>
            </w:r>
            <w:r>
              <w:rPr>
                <w:rFonts w:hint="eastAsia" w:ascii="仿宋_GB2312" w:hAnsi="宋体" w:eastAsia="仿宋_GB2312" w:cs="宋体"/>
                <w:color w:val="auto"/>
                <w:sz w:val="24"/>
                <w:highlight w:val="none"/>
              </w:rPr>
              <w:t>不予保管。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本项目不允许采购进口产品。</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01标：数据库运行安全管理平台；02标：互联互通数据库备份2套 LINUX/WIN 标准客户端LICENSE</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snapToGrid w:val="0"/>
              <w:spacing w:line="440" w:lineRule="exact"/>
              <w:ind w:hanging="1"/>
              <w:jc w:val="left"/>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01标</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02标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lang w:val="en-US" w:eastAsia="zh-CN"/>
              </w:rPr>
              <w:t>软件和信息技术服务业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5" w:type="dxa"/>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auto"/>
                <w:sz w:val="24"/>
                <w:highlight w:val="none"/>
              </w:rPr>
            </w:pPr>
          </w:p>
        </w:tc>
        <w:tc>
          <w:tcPr>
            <w:tcW w:w="8370" w:type="dxa"/>
            <w:gridSpan w:val="2"/>
            <w:vAlign w:val="center"/>
          </w:tcPr>
          <w:p>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keepNext w:val="0"/>
              <w:keepLines w:val="0"/>
              <w:pageBreakBefore w:val="0"/>
              <w:widowControl w:val="0"/>
              <w:kinsoku/>
              <w:wordWrap/>
              <w:overflowPunct/>
              <w:topLinePunct w:val="0"/>
              <w:bidi w:val="0"/>
              <w:adjustRightInd w:val="0"/>
              <w:spacing w:line="440" w:lineRule="exact"/>
              <w:ind w:left="0" w:leftChars="0" w:right="0" w:rightChars="0"/>
              <w:rPr>
                <w:rFonts w:ascii="仿宋" w:hAnsi="仿宋" w:eastAsia="仿宋" w:cs="仿宋"/>
                <w:color w:val="auto"/>
                <w:sz w:val="24"/>
                <w:highlight w:val="none"/>
              </w:rPr>
            </w:pPr>
            <w:r>
              <w:rPr>
                <w:rFonts w:hint="eastAsia" w:ascii="仿宋" w:hAnsi="仿宋" w:eastAsia="仿宋" w:cs="仿宋"/>
                <w:color w:val="auto"/>
                <w:sz w:val="24"/>
                <w:highlight w:val="none"/>
              </w:rPr>
              <w:t>（1）以中标通知书中确定的中标金额作为服务费的计算基数，具体比例参照《国家计委关于印发&lt;招标代理服务收费管理暂行办法&gt;的通知》（计价格[2002]1980号）文件收费标准的</w:t>
            </w:r>
            <w:r>
              <w:rPr>
                <w:rFonts w:hint="eastAsia" w:ascii="仿宋" w:hAnsi="仿宋" w:eastAsia="仿宋" w:cs="仿宋"/>
                <w:color w:val="auto"/>
                <w:sz w:val="24"/>
                <w:highlight w:val="none"/>
                <w:lang w:val="en-US" w:eastAsia="zh-CN"/>
              </w:rPr>
              <w:t>62</w:t>
            </w:r>
            <w:r>
              <w:rPr>
                <w:rFonts w:hint="eastAsia" w:ascii="仿宋" w:hAnsi="仿宋" w:eastAsia="仿宋" w:cs="仿宋"/>
                <w:color w:val="auto"/>
                <w:sz w:val="24"/>
                <w:highlight w:val="none"/>
              </w:rPr>
              <w:t>%执行。</w:t>
            </w:r>
            <w:r>
              <w:rPr>
                <w:rFonts w:hint="eastAsia" w:ascii="仿宋" w:hAnsi="仿宋" w:eastAsia="仿宋" w:cs="仿宋"/>
                <w:snapToGrid w:val="0"/>
                <w:color w:val="auto"/>
                <w:kern w:val="28"/>
                <w:sz w:val="24"/>
                <w:highlight w:val="none"/>
              </w:rPr>
              <w:t>服务费不到2000元按照2000元收取。</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pPr>
              <w:spacing w:line="440" w:lineRule="exact"/>
              <w:rPr>
                <w:rFonts w:ascii="仿宋" w:hAnsi="仿宋" w:eastAsia="仿宋" w:cs="仿宋"/>
                <w:color w:val="auto"/>
                <w:kern w:val="0"/>
                <w:sz w:val="24"/>
                <w:szCs w:val="21"/>
                <w:highlight w:val="none"/>
              </w:rPr>
            </w:pPr>
            <w:r>
              <w:rPr>
                <w:rFonts w:hint="eastAsia" w:ascii="仿宋" w:hAnsi="仿宋" w:eastAsia="仿宋" w:cs="仿宋"/>
                <w:snapToGrid w:val="0"/>
                <w:color w:val="auto"/>
                <w:kern w:val="28"/>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color w:val="auto"/>
          <w:sz w:val="32"/>
          <w:szCs w:val="20"/>
          <w:highlight w:val="none"/>
        </w:rPr>
      </w:pPr>
    </w:p>
    <w:bookmarkEnd w:id="9"/>
    <w:p>
      <w:pPr>
        <w:adjustRightInd/>
        <w:spacing w:line="360" w:lineRule="auto"/>
        <w:jc w:val="center"/>
        <w:outlineLvl w:val="0"/>
        <w:rPr>
          <w:rFonts w:ascii="仿宋" w:hAnsi="仿宋" w:eastAsia="仿宋" w:cs="仿宋"/>
          <w:b/>
          <w:color w:val="auto"/>
          <w:sz w:val="32"/>
          <w:szCs w:val="32"/>
          <w:highlight w:val="none"/>
        </w:rPr>
      </w:pPr>
      <w:bookmarkStart w:id="23" w:name="_Hlt75236011"/>
      <w:bookmarkEnd w:id="23"/>
      <w:bookmarkStart w:id="24" w:name="_Hlt68057669"/>
      <w:bookmarkEnd w:id="24"/>
      <w:bookmarkStart w:id="25" w:name="_Hlt74730295"/>
      <w:bookmarkEnd w:id="25"/>
      <w:bookmarkStart w:id="26" w:name="_Hlt68072990"/>
      <w:bookmarkEnd w:id="26"/>
      <w:bookmarkStart w:id="27" w:name="_Hlt74714665"/>
      <w:bookmarkEnd w:id="27"/>
      <w:bookmarkStart w:id="28" w:name="_Hlt68073093"/>
      <w:bookmarkEnd w:id="28"/>
      <w:bookmarkStart w:id="29" w:name="_Hlt75236290"/>
      <w:bookmarkEnd w:id="29"/>
      <w:bookmarkStart w:id="30" w:name="_Hlt68403820"/>
      <w:bookmarkEnd w:id="30"/>
      <w:bookmarkStart w:id="31" w:name="_Hlt68072998"/>
      <w:bookmarkEnd w:id="31"/>
      <w:bookmarkStart w:id="32" w:name="_Hlt74707468"/>
      <w:bookmarkEnd w:id="32"/>
      <w:bookmarkStart w:id="33" w:name="_Hlt74729768"/>
      <w:bookmarkEnd w:id="33"/>
      <w:bookmarkStart w:id="34" w:name="_Hlt75236101"/>
      <w:bookmarkEnd w:id="34"/>
      <w:bookmarkStart w:id="35" w:name="_Toc164416483"/>
      <w:bookmarkStart w:id="36" w:name="第三部分"/>
      <w:r>
        <w:rPr>
          <w:rFonts w:hint="eastAsia" w:ascii="仿宋" w:hAnsi="仿宋" w:eastAsia="仿宋" w:cs="仿宋"/>
          <w:b/>
          <w:color w:val="auto"/>
          <w:sz w:val="32"/>
          <w:szCs w:val="32"/>
          <w:highlight w:val="none"/>
        </w:rPr>
        <w:t>一、总则</w:t>
      </w:r>
    </w:p>
    <w:p>
      <w:pPr>
        <w:snapToGrid w:val="0"/>
        <w:spacing w:line="440" w:lineRule="exact"/>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lang w:val="en"/>
        </w:rPr>
        <w:t>☑</w:t>
      </w:r>
      <w:r>
        <w:rPr>
          <w:rFonts w:hint="eastAsia" w:ascii="仿宋" w:hAnsi="仿宋" w:eastAsia="仿宋" w:cs="仿宋"/>
          <w:color w:val="auto"/>
          <w:sz w:val="24"/>
          <w:highlight w:val="none"/>
        </w:rPr>
        <w:t>” 系指适用本项目的要求，“☐” 系指不适用本项目的要求。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2"/>
        <w:rPr>
          <w:rFonts w:hint="eastAsia" w:ascii="仿宋" w:hAnsi="仿宋" w:eastAsia="仿宋" w:cs="仿宋"/>
          <w:color w:val="auto"/>
          <w:highlight w:val="none"/>
        </w:rPr>
      </w:pPr>
    </w:p>
    <w:p>
      <w:pPr>
        <w:pStyle w:val="133"/>
        <w:snapToGrid w:val="0"/>
        <w:spacing w:before="0" w:line="440" w:lineRule="exact"/>
        <w:ind w:firstLine="640"/>
        <w:rPr>
          <w:rFonts w:ascii="仿宋" w:hAnsi="仿宋" w:eastAsia="仿宋" w:cs="仿宋"/>
          <w:color w:val="auto"/>
          <w:sz w:val="32"/>
          <w:szCs w:val="32"/>
          <w:highlight w:val="none"/>
        </w:rPr>
      </w:pP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6"/>
        <w:tabs>
          <w:tab w:val="clear" w:pos="390"/>
          <w:tab w:val="clear" w:pos="454"/>
        </w:tabs>
        <w:spacing w:afterLines="0" w:line="440" w:lineRule="exact"/>
        <w:ind w:left="0" w:firstLine="480" w:firstLineChars="200"/>
        <w:rPr>
          <w:rFonts w:hint="eastAsia" w:ascii="仿宋" w:hAnsi="仿宋" w:eastAsia="仿宋" w:cs="仿宋"/>
          <w:b/>
          <w:bCs/>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pPr>
        <w:snapToGrid w:val="0"/>
        <w:spacing w:line="44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ind w:firstLine="723" w:firstLineChars="3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4"/>
        <w:spacing w:line="44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2.2.16验收方案；</w:t>
      </w:r>
    </w:p>
    <w:p>
      <w:pPr>
        <w:snapToGrid w:val="0"/>
        <w:spacing w:line="336" w:lineRule="auto"/>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2.2.18投标人需要说明的其他文件和说明（格式自拟）。</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pP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hint="eastAsia" w:ascii="仿宋" w:hAnsi="仿宋" w:eastAsia="仿宋" w:cs="仿宋"/>
          <w:snapToGrid w:val="0"/>
          <w:color w:val="auto"/>
          <w:sz w:val="24"/>
          <w:highlight w:val="none"/>
        </w:rPr>
        <w:t>残疾人福利性单位声明函（如果有）</w:t>
      </w:r>
    </w:p>
    <w:p>
      <w:pPr>
        <w:snapToGrid w:val="0"/>
        <w:spacing w:line="440" w:lineRule="exact"/>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pPr>
        <w:pStyle w:val="133"/>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133"/>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pPr>
        <w:pStyle w:val="133"/>
        <w:spacing w:before="0"/>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390"/>
          <w:tab w:val="clear" w:pos="454"/>
        </w:tabs>
        <w:spacing w:after="120" w:line="44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6"/>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napToGrid w:val="0"/>
        <w:spacing w:line="360" w:lineRule="auto"/>
        <w:ind w:firstLine="482" w:firstLineChars="150"/>
        <w:jc w:val="center"/>
        <w:rPr>
          <w:rFonts w:ascii="仿宋" w:hAnsi="仿宋" w:eastAsia="仿宋" w:cs="仿宋"/>
          <w:b/>
          <w:color w:val="auto"/>
          <w:sz w:val="32"/>
          <w:highlight w:val="none"/>
        </w:rPr>
      </w:pPr>
    </w:p>
    <w:bookmarkEnd w:id="37"/>
    <w:p>
      <w:pPr>
        <w:pStyle w:val="34"/>
        <w:spacing w:line="360" w:lineRule="auto"/>
        <w:ind w:firstLine="726"/>
        <w:jc w:val="center"/>
        <w:rPr>
          <w:rFonts w:ascii="仿宋" w:hAnsi="仿宋" w:eastAsia="仿宋" w:cs="仿宋"/>
          <w:b/>
          <w:color w:val="auto"/>
          <w:sz w:val="32"/>
          <w:szCs w:val="32"/>
          <w:highlight w:val="none"/>
        </w:rPr>
      </w:pPr>
      <w:bookmarkStart w:id="38" w:name="_Toc81372953"/>
      <w:bookmarkStart w:id="39" w:name="_Toc84325929"/>
      <w:bookmarkStart w:id="40" w:name="_Toc81372776"/>
      <w:r>
        <w:rPr>
          <w:rFonts w:hint="eastAsia" w:ascii="仿宋" w:hAnsi="仿宋" w:eastAsia="仿宋" w:cs="仿宋"/>
          <w:b/>
          <w:color w:val="auto"/>
          <w:sz w:val="32"/>
          <w:szCs w:val="32"/>
          <w:highlight w:val="none"/>
        </w:rPr>
        <w:t>五、授予合同</w:t>
      </w:r>
    </w:p>
    <w:bookmarkEnd w:id="38"/>
    <w:bookmarkEnd w:id="39"/>
    <w:bookmarkEnd w:id="40"/>
    <w:p>
      <w:pPr>
        <w:pStyle w:val="16"/>
        <w:tabs>
          <w:tab w:val="clear" w:pos="390"/>
          <w:tab w:val="clear" w:pos="454"/>
        </w:tabs>
        <w:spacing w:after="120" w:line="440" w:lineRule="exac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highlight w:val="none"/>
        </w:rPr>
      </w:pPr>
    </w:p>
    <w:p>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3"/>
          <w:cols w:space="720" w:num="1"/>
          <w:docGrid w:linePitch="312" w:charSpace="0"/>
        </w:sectPr>
      </w:pPr>
      <w:r>
        <w:rPr>
          <w:rFonts w:ascii="仿宋" w:hAnsi="仿宋" w:eastAsia="仿宋" w:cs="仿宋"/>
          <w:b/>
          <w:bCs/>
          <w:color w:val="auto"/>
          <w:sz w:val="24"/>
          <w:szCs w:val="20"/>
          <w:highlight w:val="none"/>
        </w:rPr>
        <w:t>投诉书范本及制作说明详见附件2</w:t>
      </w:r>
    </w:p>
    <w:bookmarkEnd w:id="35"/>
    <w:bookmarkEnd w:id="36"/>
    <w:p>
      <w:pPr>
        <w:spacing w:line="360" w:lineRule="auto"/>
        <w:jc w:val="center"/>
        <w:outlineLvl w:val="0"/>
        <w:rPr>
          <w:rFonts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pPr>
        <w:pStyle w:val="27"/>
        <w:widowControl w:val="0"/>
        <w:tabs>
          <w:tab w:val="clear" w:pos="360"/>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6"/>
        <w:spacing w:line="440" w:lineRule="exact"/>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5.1投标人须提供经调试、试运行、验收合格后至少5年的质保期(投标人可根据自身实力作出更长时间的质保承诺)。在此期间，投标人应免费处理因质量发生的故障，并进行正常保养。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费用。</w:t>
      </w:r>
    </w:p>
    <w:p>
      <w:pPr>
        <w:snapToGrid w:val="0"/>
        <w:spacing w:line="440" w:lineRule="exact"/>
        <w:jc w:val="left"/>
        <w:rPr>
          <w:rFonts w:hint="eastAsia" w:ascii="仿宋" w:hAnsi="仿宋" w:eastAsia="仿宋" w:cs="仿宋"/>
          <w:b/>
          <w:color w:val="auto"/>
          <w:sz w:val="24"/>
          <w:highlight w:val="none"/>
        </w:rPr>
      </w:pPr>
      <w:bookmarkStart w:id="43" w:name="_Toc151354173"/>
      <w:r>
        <w:rPr>
          <w:rFonts w:hint="eastAsia" w:ascii="仿宋" w:hAnsi="仿宋" w:eastAsia="仿宋" w:cs="仿宋"/>
          <w:b/>
          <w:color w:val="auto"/>
          <w:sz w:val="24"/>
          <w:highlight w:val="none"/>
        </w:rPr>
        <w:t>8.招标项目设备名称及数量：</w:t>
      </w:r>
    </w:p>
    <w:bookmarkEnd w:id="43"/>
    <w:p>
      <w:pPr>
        <w:spacing w:line="440" w:lineRule="exact"/>
        <w:ind w:right="420"/>
        <w:rPr>
          <w:rFonts w:hint="eastAsia" w:ascii="仿宋" w:hAnsi="仿宋" w:eastAsia="仿宋" w:cs="仿宋"/>
          <w:color w:val="auto"/>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数据库运行安全管理平台</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10</w:t>
      </w:r>
      <w:r>
        <w:rPr>
          <w:rFonts w:hint="eastAsia" w:ascii="仿宋" w:hAnsi="仿宋" w:eastAsia="仿宋" w:cs="仿宋"/>
          <w:b/>
          <w:bCs/>
          <w:color w:val="auto"/>
          <w:sz w:val="24"/>
          <w:highlight w:val="none"/>
        </w:rPr>
        <w:t>万元）</w:t>
      </w:r>
    </w:p>
    <w:p>
      <w:pPr>
        <w:pStyle w:val="44"/>
        <w:rPr>
          <w:rFonts w:hint="eastAsia" w:ascii="仿宋" w:hAnsi="仿宋" w:eastAsia="仿宋" w:cs="仿宋"/>
          <w:color w:val="auto"/>
          <w:highlight w:val="none"/>
          <w:lang w:val="en-US" w:eastAsia="zh-CN"/>
        </w:rPr>
      </w:pPr>
      <w:r>
        <w:rPr>
          <w:rFonts w:hint="eastAsia" w:ascii="仿宋" w:hAnsi="仿宋" w:eastAsia="仿宋" w:cs="仿宋"/>
          <w:b/>
          <w:bCs/>
          <w:color w:val="auto"/>
          <w:sz w:val="28"/>
          <w:szCs w:val="28"/>
          <w:highlight w:val="none"/>
          <w:lang w:val="en-US" w:eastAsia="zh-CN"/>
        </w:rPr>
        <w:t xml:space="preserve"> </w:t>
      </w:r>
      <w:r>
        <w:rPr>
          <w:rFonts w:hint="eastAsia" w:ascii="仿宋" w:hAnsi="仿宋" w:eastAsia="仿宋" w:cs="仿宋"/>
          <w:b/>
          <w:bCs/>
          <w:color w:val="auto"/>
          <w:kern w:val="2"/>
          <w:sz w:val="21"/>
          <w:szCs w:val="21"/>
          <w:highlight w:val="none"/>
          <w:lang w:val="en-US" w:eastAsia="zh-CN" w:bidi="ar-SA"/>
        </w:rPr>
        <w:t>一、主要技术参数要求：</w:t>
      </w:r>
    </w:p>
    <w:tbl>
      <w:tblPr>
        <w:tblStyle w:val="65"/>
        <w:tblW w:w="4998"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89"/>
        <w:gridCol w:w="1484"/>
        <w:gridCol w:w="679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9" w:hRule="atLeast"/>
        </w:trPr>
        <w:tc>
          <w:tcPr>
            <w:tcW w:w="485" w:type="pct"/>
            <w:noWrap w:val="0"/>
            <w:tcMar>
              <w:top w:w="28" w:type="dxa"/>
              <w:bottom w:w="28" w:type="dxa"/>
            </w:tcMar>
            <w:vAlign w:val="center"/>
          </w:tcPr>
          <w:p>
            <w:pPr>
              <w:widowControl/>
              <w:jc w:val="center"/>
              <w:rPr>
                <w:rFonts w:hint="eastAsia" w:ascii="仿宋" w:hAnsi="仿宋" w:eastAsia="仿宋" w:cs="仿宋"/>
                <w:b/>
                <w:color w:val="auto"/>
                <w:kern w:val="0"/>
                <w:sz w:val="21"/>
                <w:szCs w:val="21"/>
                <w:highlight w:val="none"/>
              </w:rPr>
            </w:pPr>
          </w:p>
        </w:tc>
        <w:tc>
          <w:tcPr>
            <w:tcW w:w="809" w:type="pct"/>
            <w:noWrap w:val="0"/>
            <w:tcMar>
              <w:top w:w="28" w:type="dxa"/>
              <w:bottom w:w="28" w:type="dxa"/>
            </w:tcMar>
            <w:vAlign w:val="center"/>
          </w:tcPr>
          <w:p>
            <w:pPr>
              <w:widowControl/>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指标项</w:t>
            </w:r>
          </w:p>
        </w:tc>
        <w:tc>
          <w:tcPr>
            <w:tcW w:w="3706" w:type="pct"/>
            <w:noWrap w:val="0"/>
            <w:tcMar>
              <w:top w:w="28" w:type="dxa"/>
              <w:bottom w:w="28" w:type="dxa"/>
            </w:tcMar>
            <w:vAlign w:val="center"/>
          </w:tcPr>
          <w:p>
            <w:pPr>
              <w:widowControl/>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指标要求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000" w:type="pct"/>
            <w:gridSpan w:val="3"/>
            <w:noWrap w:val="0"/>
            <w:tcMar>
              <w:top w:w="28" w:type="dxa"/>
              <w:bottom w:w="28" w:type="dxa"/>
            </w:tcMar>
            <w:vAlign w:val="center"/>
          </w:tcPr>
          <w:p>
            <w:pPr>
              <w:pStyle w:val="966"/>
              <w:tabs>
                <w:tab w:val="left" w:pos="862"/>
              </w:tabs>
              <w:ind w:firstLine="0" w:firstLineChars="0"/>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一、总体架构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noWrap w:val="0"/>
            <w:tcMar>
              <w:top w:w="28" w:type="dxa"/>
              <w:bottom w:w="28" w:type="dxa"/>
            </w:tcMar>
            <w:vAlign w:val="center"/>
          </w:tcPr>
          <w:p>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c>
          <w:tcPr>
            <w:tcW w:w="809" w:type="pct"/>
            <w:noWrap w:val="0"/>
            <w:tcMar>
              <w:top w:w="28" w:type="dxa"/>
              <w:bottom w:w="28" w:type="dxa"/>
            </w:tcMar>
            <w:vAlign w:val="center"/>
          </w:tcPr>
          <w:p>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系统架构</w:t>
            </w:r>
          </w:p>
        </w:tc>
        <w:tc>
          <w:tcPr>
            <w:tcW w:w="3706" w:type="pct"/>
            <w:noWrap w:val="0"/>
            <w:tcMar>
              <w:top w:w="28" w:type="dxa"/>
              <w:bottom w:w="28" w:type="dxa"/>
            </w:tcMar>
            <w:vAlign w:val="center"/>
          </w:tcPr>
          <w:p>
            <w:pPr>
              <w:pStyle w:val="966"/>
              <w:tabs>
                <w:tab w:val="left" w:pos="862"/>
              </w:tabs>
              <w:ind w:firstLine="0" w:firstLineChars="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采用B/S架构，支持中文管理界面。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vMerge w:val="restart"/>
            <w:noWrap w:val="0"/>
            <w:tcMar>
              <w:top w:w="28" w:type="dxa"/>
              <w:bottom w:w="28" w:type="dxa"/>
            </w:tcMar>
            <w:vAlign w:val="center"/>
          </w:tcPr>
          <w:p>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809" w:type="pct"/>
            <w:vMerge w:val="restart"/>
            <w:noWrap w:val="0"/>
            <w:tcMar>
              <w:top w:w="28" w:type="dxa"/>
              <w:bottom w:w="28" w:type="dxa"/>
            </w:tcMar>
            <w:vAlign w:val="center"/>
          </w:tcPr>
          <w:p>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部署方式</w:t>
            </w:r>
          </w:p>
        </w:tc>
        <w:tc>
          <w:tcPr>
            <w:tcW w:w="3706" w:type="pct"/>
            <w:noWrap w:val="0"/>
            <w:tcMar>
              <w:top w:w="28" w:type="dxa"/>
              <w:bottom w:w="28" w:type="dxa"/>
            </w:tcMar>
            <w:vAlign w:val="center"/>
          </w:tcPr>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Hans"/>
              </w:rPr>
              <w:t>支持</w:t>
            </w:r>
            <w:r>
              <w:rPr>
                <w:rFonts w:hint="eastAsia" w:ascii="仿宋" w:hAnsi="仿宋" w:eastAsia="仿宋" w:cs="仿宋"/>
                <w:color w:val="auto"/>
                <w:kern w:val="0"/>
                <w:sz w:val="21"/>
                <w:szCs w:val="21"/>
                <w:highlight w:val="none"/>
              </w:rPr>
              <w:t>无代理部署模式，要求轻量、安全、易维护。</w:t>
            </w:r>
          </w:p>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Hans"/>
              </w:rPr>
              <w:t>支持有</w:t>
            </w:r>
            <w:r>
              <w:rPr>
                <w:rFonts w:hint="eastAsia" w:ascii="仿宋" w:hAnsi="仿宋" w:eastAsia="仿宋" w:cs="仿宋"/>
                <w:color w:val="auto"/>
                <w:kern w:val="0"/>
                <w:sz w:val="21"/>
                <w:szCs w:val="21"/>
                <w:highlight w:val="none"/>
              </w:rPr>
              <w:t>代理部署模式，要求</w:t>
            </w:r>
            <w:r>
              <w:rPr>
                <w:rFonts w:hint="eastAsia" w:ascii="仿宋" w:hAnsi="仿宋" w:eastAsia="仿宋" w:cs="仿宋"/>
                <w:color w:val="auto"/>
                <w:kern w:val="0"/>
                <w:sz w:val="21"/>
                <w:szCs w:val="21"/>
                <w:highlight w:val="none"/>
                <w:lang w:eastAsia="zh-Hans"/>
              </w:rPr>
              <w:t>免提供主机账密</w:t>
            </w:r>
            <w:r>
              <w:rPr>
                <w:rFonts w:hint="eastAsia" w:ascii="仿宋" w:hAnsi="仿宋" w:eastAsia="仿宋" w:cs="仿宋"/>
                <w:color w:val="auto"/>
                <w:kern w:val="0"/>
                <w:sz w:val="21"/>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vMerge w:val="continue"/>
            <w:noWrap w:val="0"/>
            <w:tcMar>
              <w:top w:w="28" w:type="dxa"/>
              <w:bottom w:w="28" w:type="dxa"/>
            </w:tcMar>
            <w:vAlign w:val="center"/>
          </w:tcPr>
          <w:p>
            <w:pPr>
              <w:jc w:val="center"/>
              <w:rPr>
                <w:rFonts w:hint="eastAsia" w:ascii="仿宋" w:hAnsi="仿宋" w:eastAsia="仿宋" w:cs="仿宋"/>
                <w:color w:val="auto"/>
                <w:kern w:val="0"/>
                <w:sz w:val="21"/>
                <w:szCs w:val="21"/>
                <w:highlight w:val="none"/>
              </w:rPr>
            </w:pPr>
          </w:p>
        </w:tc>
        <w:tc>
          <w:tcPr>
            <w:tcW w:w="809" w:type="pct"/>
            <w:vMerge w:val="continue"/>
            <w:noWrap w:val="0"/>
            <w:tcMar>
              <w:top w:w="28" w:type="dxa"/>
              <w:bottom w:w="28" w:type="dxa"/>
            </w:tcMar>
            <w:vAlign w:val="center"/>
          </w:tcPr>
          <w:p>
            <w:pPr>
              <w:jc w:val="center"/>
              <w:rPr>
                <w:rFonts w:hint="eastAsia" w:ascii="仿宋" w:hAnsi="仿宋" w:eastAsia="仿宋" w:cs="仿宋"/>
                <w:color w:val="auto"/>
                <w:kern w:val="0"/>
                <w:sz w:val="21"/>
                <w:szCs w:val="21"/>
                <w:highlight w:val="none"/>
              </w:rPr>
            </w:pPr>
          </w:p>
        </w:tc>
        <w:tc>
          <w:tcPr>
            <w:tcW w:w="3706" w:type="pct"/>
            <w:noWrap w:val="0"/>
            <w:tcMar>
              <w:top w:w="28" w:type="dxa"/>
              <w:bottom w:w="28" w:type="dxa"/>
            </w:tcMar>
            <w:vAlign w:val="center"/>
          </w:tcPr>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支持多节点横向扩展模式。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noWrap w:val="0"/>
            <w:tcMar>
              <w:top w:w="28" w:type="dxa"/>
              <w:bottom w:w="28" w:type="dxa"/>
            </w:tcMar>
            <w:vAlign w:val="center"/>
          </w:tcPr>
          <w:p>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c>
          <w:tcPr>
            <w:tcW w:w="809" w:type="pct"/>
            <w:noWrap w:val="0"/>
            <w:tcMar>
              <w:top w:w="28" w:type="dxa"/>
              <w:bottom w:w="28" w:type="dxa"/>
            </w:tcMar>
            <w:vAlign w:val="center"/>
          </w:tcPr>
          <w:p>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用户权限</w:t>
            </w:r>
          </w:p>
        </w:tc>
        <w:tc>
          <w:tcPr>
            <w:tcW w:w="3706" w:type="pct"/>
            <w:noWrap w:val="0"/>
            <w:tcMar>
              <w:top w:w="28" w:type="dxa"/>
              <w:bottom w:w="28" w:type="dxa"/>
            </w:tcMar>
            <w:vAlign w:val="center"/>
          </w:tcPr>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支持按用户角色分配资产对象，实现用户角色和数据库对象的关联。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000" w:type="pct"/>
            <w:gridSpan w:val="3"/>
            <w:noWrap w:val="0"/>
            <w:tcMar>
              <w:top w:w="28" w:type="dxa"/>
              <w:bottom w:w="28" w:type="dxa"/>
            </w:tcMar>
            <w:vAlign w:val="center"/>
          </w:tcPr>
          <w:p>
            <w:pPr>
              <w:pStyle w:val="966"/>
              <w:tabs>
                <w:tab w:val="left" w:pos="862"/>
              </w:tabs>
              <w:ind w:firstLine="0" w:firstLineChars="0"/>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二、功能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3" w:hRule="atLeast"/>
        </w:trPr>
        <w:tc>
          <w:tcPr>
            <w:tcW w:w="485"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c>
          <w:tcPr>
            <w:tcW w:w="809"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数据库适配</w:t>
            </w:r>
          </w:p>
        </w:tc>
        <w:tc>
          <w:tcPr>
            <w:tcW w:w="3706" w:type="pct"/>
            <w:noWrap w:val="0"/>
            <w:tcMar>
              <w:top w:w="28" w:type="dxa"/>
              <w:bottom w:w="28" w:type="dxa"/>
            </w:tcMar>
            <w:vAlign w:val="center"/>
          </w:tcPr>
          <w:p>
            <w:pPr>
              <w:pStyle w:val="259"/>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支持数据库适配类型：Oracle、SQL Server、MySQL、DB2、PostgreSQL、MongoDB、达梦、人大金仓、Redis、Caché、HANA、TDSQL、T</w:t>
            </w:r>
            <w:r>
              <w:rPr>
                <w:rFonts w:hint="eastAsia" w:ascii="仿宋" w:hAnsi="仿宋" w:eastAsia="仿宋" w:cs="仿宋"/>
                <w:color w:val="auto"/>
                <w:kern w:val="0"/>
                <w:sz w:val="21"/>
                <w:szCs w:val="21"/>
                <w:highlight w:val="none"/>
                <w:lang w:eastAsia="zh-Hans"/>
              </w:rPr>
              <w:t>iDB</w:t>
            </w:r>
            <w:r>
              <w:rPr>
                <w:rFonts w:hint="eastAsia" w:ascii="仿宋" w:hAnsi="仿宋" w:eastAsia="仿宋" w:cs="仿宋"/>
                <w:color w:val="auto"/>
                <w:kern w:val="0"/>
                <w:sz w:val="21"/>
                <w:szCs w:val="21"/>
                <w:highlight w:val="none"/>
              </w:rPr>
              <w:t>、O</w:t>
            </w:r>
            <w:r>
              <w:rPr>
                <w:rFonts w:hint="eastAsia" w:ascii="仿宋" w:hAnsi="仿宋" w:eastAsia="仿宋" w:cs="仿宋"/>
                <w:color w:val="auto"/>
                <w:kern w:val="0"/>
                <w:sz w:val="21"/>
                <w:szCs w:val="21"/>
                <w:highlight w:val="none"/>
                <w:lang w:eastAsia="zh-Hans"/>
              </w:rPr>
              <w:t>ceanBase、Kafka、</w:t>
            </w:r>
            <w:r>
              <w:rPr>
                <w:rFonts w:hint="eastAsia" w:ascii="仿宋" w:hAnsi="仿宋" w:eastAsia="仿宋" w:cs="仿宋"/>
                <w:color w:val="auto"/>
                <w:kern w:val="0"/>
                <w:sz w:val="21"/>
                <w:szCs w:val="21"/>
                <w:highlight w:val="none"/>
              </w:rPr>
              <w:t>阿里云RDS for MySQL等。</w:t>
            </w:r>
          </w:p>
          <w:p>
            <w:pPr>
              <w:pStyle w:val="259"/>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支持主机适配类型：Linux、Windows、AIX、HP-UX、Solaris、中标麒麟等。</w:t>
            </w:r>
          </w:p>
          <w:p>
            <w:pPr>
              <w:pStyle w:val="259"/>
              <w:keepNext w:val="0"/>
              <w:keepLines w:val="0"/>
              <w:pageBreakBefore w:val="0"/>
              <w:widowControl w:val="0"/>
              <w:numPr>
                <w:ilvl w:val="0"/>
                <w:numId w:val="1"/>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Hans"/>
              </w:rPr>
              <w:t>支持云库和无主机模式接入</w:t>
            </w:r>
            <w:r>
              <w:rPr>
                <w:rFonts w:hint="eastAsia" w:ascii="仿宋" w:hAnsi="仿宋" w:eastAsia="仿宋" w:cs="仿宋"/>
                <w:color w:val="auto"/>
                <w:kern w:val="0"/>
                <w:sz w:val="21"/>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3" w:hRule="atLeast"/>
        </w:trPr>
        <w:tc>
          <w:tcPr>
            <w:tcW w:w="485"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809"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资产发现</w:t>
            </w:r>
          </w:p>
        </w:tc>
        <w:tc>
          <w:tcPr>
            <w:tcW w:w="3706" w:type="pct"/>
            <w:noWrap w:val="0"/>
            <w:tcMar>
              <w:top w:w="28" w:type="dxa"/>
              <w:bottom w:w="28" w:type="dxa"/>
            </w:tcMar>
            <w:vAlign w:val="center"/>
          </w:tcPr>
          <w:p>
            <w:pPr>
              <w:pStyle w:val="966"/>
              <w:keepNext w:val="0"/>
              <w:keepLines w:val="0"/>
              <w:pageBreakBefore w:val="0"/>
              <w:numPr>
                <w:ilvl w:val="0"/>
                <w:numId w:val="0"/>
              </w:numPr>
              <w:tabs>
                <w:tab w:val="left" w:pos="862"/>
              </w:tabs>
              <w:kinsoku/>
              <w:wordWrap/>
              <w:overflowPunct/>
              <w:topLinePunct w:val="0"/>
              <w:autoSpaceDE/>
              <w:autoSpaceDN/>
              <w:bidi w:val="0"/>
              <w:adjustRightInd w:val="0"/>
              <w:snapToGrid/>
              <w:spacing w:line="360" w:lineRule="exact"/>
              <w:ind w:leftChars="0"/>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支持自定义IP和数据库端口方式，自动发现数据库资产。</w:t>
            </w:r>
          </w:p>
          <w:p>
            <w:pPr>
              <w:pStyle w:val="966"/>
              <w:keepNext w:val="0"/>
              <w:keepLines w:val="0"/>
              <w:pageBreakBefore w:val="0"/>
              <w:numPr>
                <w:ilvl w:val="0"/>
                <w:numId w:val="0"/>
              </w:numPr>
              <w:tabs>
                <w:tab w:val="left" w:pos="862"/>
              </w:tabs>
              <w:kinsoku/>
              <w:wordWrap/>
              <w:overflowPunct/>
              <w:topLinePunct w:val="0"/>
              <w:autoSpaceDE/>
              <w:autoSpaceDN/>
              <w:bidi w:val="0"/>
              <w:adjustRightInd w:val="0"/>
              <w:snapToGrid/>
              <w:spacing w:line="360" w:lineRule="exact"/>
              <w:ind w:leftChars="0"/>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rPr>
              <w:t>▲支持自动识别数据库集群和容灾架构，包括：Oracle RAC/DG/OGG、SQL Server Alwayson、MySQL Cluster/主从/主主、DBRA等，并自动生成拓扑图。（提供产品功能截图）</w:t>
            </w:r>
          </w:p>
          <w:p>
            <w:pPr>
              <w:pStyle w:val="966"/>
              <w:keepNext w:val="0"/>
              <w:keepLines w:val="0"/>
              <w:pageBreakBefore w:val="0"/>
              <w:numPr>
                <w:ilvl w:val="0"/>
                <w:numId w:val="0"/>
              </w:numPr>
              <w:tabs>
                <w:tab w:val="left" w:pos="862"/>
              </w:tabs>
              <w:kinsoku/>
              <w:wordWrap/>
              <w:overflowPunct/>
              <w:topLinePunct w:val="0"/>
              <w:autoSpaceDE/>
              <w:autoSpaceDN/>
              <w:bidi w:val="0"/>
              <w:adjustRightInd w:val="0"/>
              <w:snapToGrid/>
              <w:spacing w:line="360" w:lineRule="exact"/>
              <w:ind w:leftChars="0"/>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rPr>
              <w:t>▲自动检测资产DB-LINK关系，提供拓扑图和表格形式展示，展示各对象之间的数据流向。（提供产品功能截图）</w:t>
            </w:r>
          </w:p>
          <w:p>
            <w:pPr>
              <w:pStyle w:val="966"/>
              <w:keepNext w:val="0"/>
              <w:keepLines w:val="0"/>
              <w:pageBreakBefore w:val="0"/>
              <w:numPr>
                <w:ilvl w:val="0"/>
                <w:numId w:val="0"/>
              </w:numPr>
              <w:tabs>
                <w:tab w:val="left" w:pos="862"/>
              </w:tabs>
              <w:kinsoku/>
              <w:wordWrap/>
              <w:overflowPunct/>
              <w:topLinePunct w:val="0"/>
              <w:autoSpaceDE/>
              <w:autoSpaceDN/>
              <w:bidi w:val="0"/>
              <w:adjustRightInd w:val="0"/>
              <w:snapToGrid/>
              <w:spacing w:line="360" w:lineRule="exact"/>
              <w:ind w:leftChars="0"/>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支持以报表形式批量导出数据库资产。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c>
          <w:tcPr>
            <w:tcW w:w="809"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自动化部署</w:t>
            </w:r>
          </w:p>
        </w:tc>
        <w:tc>
          <w:tcPr>
            <w:tcW w:w="3706" w:type="pct"/>
            <w:noWrap w:val="0"/>
            <w:tcMar>
              <w:top w:w="28" w:type="dxa"/>
              <w:bottom w:w="28" w:type="dxa"/>
            </w:tcMar>
            <w:vAlign w:val="center"/>
          </w:tcPr>
          <w:p>
            <w:pPr>
              <w:pStyle w:val="259"/>
              <w:keepNext w:val="0"/>
              <w:keepLines w:val="0"/>
              <w:pageBreakBefore w:val="0"/>
              <w:widowControl w:val="0"/>
              <w:numPr>
                <w:ilvl w:val="0"/>
                <w:numId w:val="2"/>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支持Oracle单机、RAC、DG等自动化部署。</w:t>
            </w:r>
          </w:p>
          <w:p>
            <w:pPr>
              <w:pStyle w:val="259"/>
              <w:keepNext w:val="0"/>
              <w:keepLines w:val="0"/>
              <w:pageBreakBefore w:val="0"/>
              <w:widowControl w:val="0"/>
              <w:numPr>
                <w:ilvl w:val="0"/>
                <w:numId w:val="2"/>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支持MySQL单机、集群自动化部署。</w:t>
            </w:r>
          </w:p>
          <w:p>
            <w:pPr>
              <w:pStyle w:val="259"/>
              <w:keepNext w:val="0"/>
              <w:keepLines w:val="0"/>
              <w:pageBreakBefore w:val="0"/>
              <w:widowControl w:val="0"/>
              <w:numPr>
                <w:ilvl w:val="0"/>
                <w:numId w:val="2"/>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支持数据库参数自动优化配置和自定义配置。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vMerge w:val="restar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w:t>
            </w:r>
          </w:p>
        </w:tc>
        <w:tc>
          <w:tcPr>
            <w:tcW w:w="809" w:type="pct"/>
            <w:vMerge w:val="restar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运行监控</w:t>
            </w:r>
          </w:p>
        </w:tc>
        <w:tc>
          <w:tcPr>
            <w:tcW w:w="3706"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运行监控内容至少包括：</w:t>
            </w:r>
          </w:p>
          <w:p>
            <w:pPr>
              <w:pStyle w:val="259"/>
              <w:keepNext w:val="0"/>
              <w:keepLines w:val="0"/>
              <w:pageBreakBefore w:val="0"/>
              <w:widowControl w:val="0"/>
              <w:numPr>
                <w:ilvl w:val="0"/>
                <w:numId w:val="3"/>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数据库连接、监听、实例状态，数据库启停状态。</w:t>
            </w:r>
          </w:p>
          <w:p>
            <w:pPr>
              <w:pStyle w:val="259"/>
              <w:keepNext w:val="0"/>
              <w:keepLines w:val="0"/>
              <w:pageBreakBefore w:val="0"/>
              <w:widowControl w:val="0"/>
              <w:numPr>
                <w:ilvl w:val="0"/>
                <w:numId w:val="3"/>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表空间、ASM磁盘组、归档日志、闪回空间、数据文件、文件系统状态和变化。</w:t>
            </w:r>
          </w:p>
          <w:p>
            <w:pPr>
              <w:pStyle w:val="259"/>
              <w:keepNext w:val="0"/>
              <w:keepLines w:val="0"/>
              <w:pageBreakBefore w:val="0"/>
              <w:widowControl w:val="0"/>
              <w:numPr>
                <w:ilvl w:val="0"/>
                <w:numId w:val="3"/>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Oracle RAC/DG/OGG、SQL Server Alwayson、MySQL Cluster/主从/主主、DBRA等集群和容灾状态。</w:t>
            </w:r>
          </w:p>
          <w:p>
            <w:pPr>
              <w:pStyle w:val="259"/>
              <w:keepNext w:val="0"/>
              <w:keepLines w:val="0"/>
              <w:pageBreakBefore w:val="0"/>
              <w:widowControl w:val="0"/>
              <w:numPr>
                <w:ilvl w:val="0"/>
                <w:numId w:val="3"/>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长事务、大事务运行状态。</w:t>
            </w:r>
          </w:p>
          <w:p>
            <w:pPr>
              <w:pStyle w:val="259"/>
              <w:keepNext w:val="0"/>
              <w:keepLines w:val="0"/>
              <w:pageBreakBefore w:val="0"/>
              <w:widowControl w:val="0"/>
              <w:numPr>
                <w:ilvl w:val="0"/>
                <w:numId w:val="3"/>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数据库登录、数据库连接、SQL解析、SQL执行、SQL提交状态。</w:t>
            </w:r>
          </w:p>
          <w:p>
            <w:pPr>
              <w:pStyle w:val="259"/>
              <w:keepNext w:val="0"/>
              <w:keepLines w:val="0"/>
              <w:pageBreakBefore w:val="0"/>
              <w:widowControl w:val="0"/>
              <w:numPr>
                <w:ilvl w:val="0"/>
                <w:numId w:val="3"/>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Processes、Sessions、DB files、Jobs等数据库资源使用状态。</w:t>
            </w:r>
          </w:p>
          <w:p>
            <w:pPr>
              <w:pStyle w:val="259"/>
              <w:keepNext w:val="0"/>
              <w:keepLines w:val="0"/>
              <w:pageBreakBefore w:val="0"/>
              <w:widowControl w:val="0"/>
              <w:numPr>
                <w:ilvl w:val="0"/>
                <w:numId w:val="3"/>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Lock、Latch、Mutex锁资源状态。</w:t>
            </w:r>
          </w:p>
          <w:p>
            <w:pPr>
              <w:pStyle w:val="259"/>
              <w:keepNext w:val="0"/>
              <w:keepLines w:val="0"/>
              <w:pageBreakBefore w:val="0"/>
              <w:widowControl w:val="0"/>
              <w:numPr>
                <w:ilvl w:val="0"/>
                <w:numId w:val="3"/>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物理备份和逻辑备份状态。</w:t>
            </w:r>
          </w:p>
          <w:p>
            <w:pPr>
              <w:pStyle w:val="259"/>
              <w:keepNext w:val="0"/>
              <w:keepLines w:val="0"/>
              <w:pageBreakBefore w:val="0"/>
              <w:widowControl w:val="0"/>
              <w:numPr>
                <w:ilvl w:val="0"/>
                <w:numId w:val="3"/>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CPU、内存、存储I/O、网络等主机资源使用状态。</w:t>
            </w:r>
          </w:p>
          <w:p>
            <w:pPr>
              <w:pStyle w:val="259"/>
              <w:keepNext w:val="0"/>
              <w:keepLines w:val="0"/>
              <w:pageBreakBefore w:val="0"/>
              <w:widowControl w:val="0"/>
              <w:numPr>
                <w:ilvl w:val="0"/>
                <w:numId w:val="3"/>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Hans"/>
              </w:rPr>
              <w:t>支持自定义监控指标项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809"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3706"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支持聚合监控大屏，显示内容至少包括：</w:t>
            </w:r>
          </w:p>
          <w:p>
            <w:pPr>
              <w:pStyle w:val="259"/>
              <w:keepNext w:val="0"/>
              <w:keepLines w:val="0"/>
              <w:pageBreakBefore w:val="0"/>
              <w:widowControl w:val="0"/>
              <w:numPr>
                <w:ilvl w:val="0"/>
                <w:numId w:val="4"/>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▲显示全局或指定业务系统的健康度、繁忙度、可用度指数。（提供产品功能截图）</w:t>
            </w:r>
          </w:p>
          <w:p>
            <w:pPr>
              <w:pStyle w:val="259"/>
              <w:keepNext w:val="0"/>
              <w:keepLines w:val="0"/>
              <w:pageBreakBefore w:val="0"/>
              <w:widowControl w:val="0"/>
              <w:numPr>
                <w:ilvl w:val="0"/>
                <w:numId w:val="4"/>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显示Top5告警数、变更数、会话数、健康度、过去7天可用度、繁忙度的数据库资产。</w:t>
            </w:r>
          </w:p>
          <w:p>
            <w:pPr>
              <w:pStyle w:val="259"/>
              <w:keepNext w:val="0"/>
              <w:keepLines w:val="0"/>
              <w:pageBreakBefore w:val="0"/>
              <w:widowControl w:val="0"/>
              <w:numPr>
                <w:ilvl w:val="0"/>
                <w:numId w:val="4"/>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显示多实例的正常/异常状态，并可以下钻到指定实例或集群大屏。</w:t>
            </w:r>
          </w:p>
          <w:p>
            <w:pPr>
              <w:pStyle w:val="259"/>
              <w:keepNext w:val="0"/>
              <w:keepLines w:val="0"/>
              <w:pageBreakBefore w:val="0"/>
              <w:widowControl w:val="0"/>
              <w:numPr>
                <w:ilvl w:val="0"/>
                <w:numId w:val="4"/>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显示待处理告警列表。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809"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3706"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支持单实例和集群监控大屏模版，显示内容至少包括：</w:t>
            </w:r>
          </w:p>
          <w:p>
            <w:pPr>
              <w:pStyle w:val="259"/>
              <w:keepNext w:val="0"/>
              <w:keepLines w:val="0"/>
              <w:pageBreakBefore w:val="0"/>
              <w:widowControl w:val="0"/>
              <w:numPr>
                <w:ilvl w:val="0"/>
                <w:numId w:val="5"/>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自动识别单实例/集群架构，并自动选择单实例/集群大屏模版进行适配展示。</w:t>
            </w:r>
          </w:p>
          <w:p>
            <w:pPr>
              <w:pStyle w:val="259"/>
              <w:keepNext w:val="0"/>
              <w:keepLines w:val="0"/>
              <w:pageBreakBefore w:val="0"/>
              <w:widowControl w:val="0"/>
              <w:numPr>
                <w:ilvl w:val="0"/>
                <w:numId w:val="5"/>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显示数据库可用性、错误、性能、变化、可靠性状态。</w:t>
            </w:r>
          </w:p>
          <w:p>
            <w:pPr>
              <w:pStyle w:val="259"/>
              <w:keepNext w:val="0"/>
              <w:keepLines w:val="0"/>
              <w:pageBreakBefore w:val="0"/>
              <w:widowControl w:val="0"/>
              <w:numPr>
                <w:ilvl w:val="0"/>
                <w:numId w:val="5"/>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显示数据库登录、数据库连接、SQL解析、SQL执行、SQL提交状态。</w:t>
            </w:r>
          </w:p>
          <w:p>
            <w:pPr>
              <w:pStyle w:val="259"/>
              <w:keepNext w:val="0"/>
              <w:keepLines w:val="0"/>
              <w:pageBreakBefore w:val="0"/>
              <w:widowControl w:val="0"/>
              <w:numPr>
                <w:ilvl w:val="0"/>
                <w:numId w:val="5"/>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显示SQL执行次数、SQL执行时间，直观发现SQL执行性能瓶颈。</w:t>
            </w:r>
          </w:p>
          <w:p>
            <w:pPr>
              <w:pStyle w:val="259"/>
              <w:keepNext w:val="0"/>
              <w:keepLines w:val="0"/>
              <w:pageBreakBefore w:val="0"/>
              <w:widowControl w:val="0"/>
              <w:numPr>
                <w:ilvl w:val="0"/>
                <w:numId w:val="5"/>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显示数据库资源（Processes、Sessions、DB files、Jobs）、锁资源（Lock、Latch、Mutex）和主机资源（CPU、内存、存储、网络）状态。</w:t>
            </w:r>
          </w:p>
          <w:p>
            <w:pPr>
              <w:pStyle w:val="259"/>
              <w:keepNext w:val="0"/>
              <w:keepLines w:val="0"/>
              <w:pageBreakBefore w:val="0"/>
              <w:widowControl w:val="0"/>
              <w:numPr>
                <w:ilvl w:val="0"/>
                <w:numId w:val="5"/>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显示各单元模块状态指示灯，直观展示该单元模块指标正常和异常情况，不同单元模块的状态指示灯支持告警联动。</w:t>
            </w:r>
          </w:p>
          <w:p>
            <w:pPr>
              <w:pStyle w:val="259"/>
              <w:keepNext w:val="0"/>
              <w:keepLines w:val="0"/>
              <w:pageBreakBefore w:val="0"/>
              <w:widowControl w:val="0"/>
              <w:numPr>
                <w:ilvl w:val="0"/>
                <w:numId w:val="5"/>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显示单实例/集群资产当前的待处理告警分布。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809"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3706" w:type="pct"/>
            <w:noWrap w:val="0"/>
            <w:tcMar>
              <w:top w:w="28" w:type="dxa"/>
              <w:bottom w:w="28" w:type="dxa"/>
            </w:tcMar>
            <w:vAlign w:val="center"/>
          </w:tcPr>
          <w:p>
            <w:pPr>
              <w:pStyle w:val="259"/>
              <w:keepNext w:val="0"/>
              <w:keepLines w:val="0"/>
              <w:pageBreakBefore w:val="0"/>
              <w:kinsoku/>
              <w:wordWrap/>
              <w:overflowPunct/>
              <w:topLinePunct w:val="0"/>
              <w:autoSpaceDE/>
              <w:autoSpaceDN/>
              <w:bidi w:val="0"/>
              <w:adjustRightInd w:val="0"/>
              <w:snapToGrid/>
              <w:spacing w:line="360" w:lineRule="exact"/>
              <w:ind w:firstLine="0" w:firstLineChars="0"/>
              <w:textAlignment w:val="auto"/>
              <w:rPr>
                <w:rFonts w:hint="eastAsia" w:ascii="仿宋" w:hAnsi="仿宋" w:eastAsia="仿宋" w:cs="仿宋"/>
                <w:color w:val="auto"/>
                <w:kern w:val="0"/>
                <w:sz w:val="21"/>
                <w:szCs w:val="21"/>
                <w:highlight w:val="none"/>
                <w:lang w:eastAsia="zh-Hans"/>
              </w:rPr>
            </w:pPr>
            <w:r>
              <w:rPr>
                <w:rFonts w:hint="eastAsia" w:ascii="仿宋" w:hAnsi="仿宋" w:eastAsia="仿宋" w:cs="仿宋"/>
                <w:color w:val="auto"/>
                <w:kern w:val="0"/>
                <w:sz w:val="21"/>
                <w:szCs w:val="21"/>
                <w:highlight w:val="none"/>
                <w:lang w:eastAsia="zh-Hans"/>
              </w:rPr>
              <w:t>支持可视化内容自定义，包括：</w:t>
            </w:r>
          </w:p>
          <w:p>
            <w:pPr>
              <w:pStyle w:val="259"/>
              <w:keepNext w:val="0"/>
              <w:keepLines w:val="0"/>
              <w:pageBreakBefore w:val="0"/>
              <w:widowControl w:val="0"/>
              <w:numPr>
                <w:ilvl w:val="0"/>
                <w:numId w:val="6"/>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Hans"/>
              </w:rPr>
              <w:t>支持对单资产的多指标自由组合展示查看，可自定义指标内容展示样式，如表格、线图、柱图、饼图等</w:t>
            </w:r>
          </w:p>
          <w:p>
            <w:pPr>
              <w:pStyle w:val="259"/>
              <w:keepNext w:val="0"/>
              <w:keepLines w:val="0"/>
              <w:pageBreakBefore w:val="0"/>
              <w:widowControl w:val="0"/>
              <w:numPr>
                <w:ilvl w:val="0"/>
                <w:numId w:val="6"/>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Hans"/>
              </w:rPr>
              <w:t>支持对核心指标的自定义比对查看，一屏对多个资产的某重要指标信息的比对展示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vMerge w:val="restar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w:t>
            </w:r>
          </w:p>
        </w:tc>
        <w:tc>
          <w:tcPr>
            <w:tcW w:w="809" w:type="pct"/>
            <w:vMerge w:val="restar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巡检</w:t>
            </w:r>
          </w:p>
        </w:tc>
        <w:tc>
          <w:tcPr>
            <w:tcW w:w="3706"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b/>
                <w:color w:val="auto"/>
                <w:kern w:val="0"/>
                <w:sz w:val="21"/>
                <w:szCs w:val="21"/>
                <w:highlight w:val="none"/>
              </w:rPr>
            </w:pPr>
            <w:r>
              <w:rPr>
                <w:rFonts w:hint="eastAsia" w:ascii="仿宋" w:hAnsi="仿宋" w:eastAsia="仿宋" w:cs="仿宋"/>
                <w:color w:val="auto"/>
                <w:kern w:val="0"/>
                <w:sz w:val="21"/>
                <w:szCs w:val="21"/>
                <w:highlight w:val="none"/>
              </w:rPr>
              <w:t>1.▲日常轻量巡检，至少包括以下内容（提供产品功能截图）：</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从数据库可用性、资源就绪、可靠性、变化、作业等维度，完成对数据库资产的轻量级检查；</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通过设定上班、下班时间，自动执行日常巡检，并支持基于上班时间点和下班时间点的巡检结果比对，掌握数据库系统变化；</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支持一页展示多实例的日常巡检结果，实现快捷查阅；</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日常轻量巡检项目支持自定义。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809"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3706"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2.全面深度巡检，至少包含以下内容</w:t>
            </w:r>
            <w:r>
              <w:rPr>
                <w:rFonts w:hint="eastAsia" w:ascii="仿宋" w:hAnsi="仿宋" w:eastAsia="仿宋" w:cs="仿宋"/>
                <w:b/>
                <w:bCs/>
                <w:color w:val="auto"/>
                <w:kern w:val="0"/>
                <w:sz w:val="21"/>
                <w:szCs w:val="21"/>
                <w:highlight w:val="none"/>
              </w:rPr>
              <w:t>（提供产品功能演示）</w:t>
            </w:r>
            <w:r>
              <w:rPr>
                <w:rFonts w:hint="eastAsia" w:ascii="仿宋" w:hAnsi="仿宋" w:eastAsia="仿宋" w:cs="仿宋"/>
                <w:color w:val="auto"/>
                <w:kern w:val="0"/>
                <w:sz w:val="21"/>
                <w:szCs w:val="21"/>
                <w:highlight w:val="none"/>
              </w:rPr>
              <w:t>：</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支持自动和手动两种方式实深度巡检，支持批量巡检；</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从数据库可用性、空间管理、安全性、可靠性、性能、错误、主机资源、数据库资源、数据库软件、数据库参数、系统参数等维度，完成对数据库资产的全面深度检查；</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巡检结果提供异常告警项汇总页，可查看近期巡检的异常告警项数量分布图，并支持查看当前巡检的异常告警项具体内容；</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可通过巡检报告对数据库可能存在的故障和问题进行快速定位，对每个异常指标提供专业解读和建议；</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支持WORD和PDF文档两种方式下载巡检报告。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w:t>
            </w:r>
          </w:p>
        </w:tc>
        <w:tc>
          <w:tcPr>
            <w:tcW w:w="809"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错误日志</w:t>
            </w:r>
          </w:p>
        </w:tc>
        <w:tc>
          <w:tcPr>
            <w:tcW w:w="3706" w:type="pct"/>
            <w:noWrap w:val="0"/>
            <w:tcMar>
              <w:top w:w="28" w:type="dxa"/>
              <w:bottom w:w="28" w:type="dxa"/>
            </w:tcMar>
            <w:vAlign w:val="center"/>
          </w:tcPr>
          <w:p>
            <w:pPr>
              <w:pStyle w:val="259"/>
              <w:keepNext w:val="0"/>
              <w:keepLines w:val="0"/>
              <w:pageBreakBefore w:val="0"/>
              <w:widowControl w:val="0"/>
              <w:numPr>
                <w:ilvl w:val="0"/>
                <w:numId w:val="7"/>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支持错误日志自动获取，并以图形化方式展示错误日志的分布。</w:t>
            </w:r>
          </w:p>
          <w:p>
            <w:pPr>
              <w:pStyle w:val="259"/>
              <w:keepNext w:val="0"/>
              <w:keepLines w:val="0"/>
              <w:pageBreakBefore w:val="0"/>
              <w:widowControl w:val="0"/>
              <w:numPr>
                <w:ilvl w:val="0"/>
                <w:numId w:val="7"/>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支持对错误日志内容的特征码自动识别，并自动合并统计。</w:t>
            </w:r>
          </w:p>
          <w:p>
            <w:pPr>
              <w:pStyle w:val="259"/>
              <w:keepNext w:val="0"/>
              <w:keepLines w:val="0"/>
              <w:pageBreakBefore w:val="0"/>
              <w:widowControl w:val="0"/>
              <w:numPr>
                <w:ilvl w:val="0"/>
                <w:numId w:val="7"/>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支持对错误日志的历史数据查询。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w:t>
            </w:r>
          </w:p>
        </w:tc>
        <w:tc>
          <w:tcPr>
            <w:tcW w:w="809"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容量</w:t>
            </w:r>
          </w:p>
        </w:tc>
        <w:tc>
          <w:tcPr>
            <w:tcW w:w="3706" w:type="pct"/>
            <w:noWrap w:val="0"/>
            <w:tcMar>
              <w:top w:w="28" w:type="dxa"/>
              <w:bottom w:w="28" w:type="dxa"/>
            </w:tcMar>
            <w:vAlign w:val="center"/>
          </w:tcPr>
          <w:p>
            <w:pPr>
              <w:pStyle w:val="259"/>
              <w:keepNext w:val="0"/>
              <w:keepLines w:val="0"/>
              <w:pageBreakBefore w:val="0"/>
              <w:widowControl w:val="0"/>
              <w:numPr>
                <w:ilvl w:val="0"/>
                <w:numId w:val="8"/>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支持从数据库维度和文件系统维度入口，统计分析容量信息。</w:t>
            </w:r>
          </w:p>
          <w:p>
            <w:pPr>
              <w:pStyle w:val="259"/>
              <w:keepNext w:val="0"/>
              <w:keepLines w:val="0"/>
              <w:pageBreakBefore w:val="0"/>
              <w:widowControl w:val="0"/>
              <w:numPr>
                <w:ilvl w:val="0"/>
                <w:numId w:val="8"/>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支持查看数据库与表空间层级的增量变化与增量统计。</w:t>
            </w:r>
          </w:p>
          <w:p>
            <w:pPr>
              <w:pStyle w:val="259"/>
              <w:keepNext w:val="0"/>
              <w:keepLines w:val="0"/>
              <w:pageBreakBefore w:val="0"/>
              <w:widowControl w:val="0"/>
              <w:numPr>
                <w:ilvl w:val="0"/>
                <w:numId w:val="8"/>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支持容量空间基于未来可用天数的预警。</w:t>
            </w:r>
          </w:p>
          <w:p>
            <w:pPr>
              <w:pStyle w:val="259"/>
              <w:keepNext w:val="0"/>
              <w:keepLines w:val="0"/>
              <w:pageBreakBefore w:val="0"/>
              <w:widowControl w:val="0"/>
              <w:numPr>
                <w:ilvl w:val="0"/>
                <w:numId w:val="8"/>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提供表空间一键扩容，支持已有表空间扩容和创建新表空间扩容方式</w:t>
            </w:r>
            <w:r>
              <w:rPr>
                <w:rFonts w:hint="eastAsia" w:ascii="仿宋" w:hAnsi="仿宋" w:eastAsia="仿宋" w:cs="仿宋"/>
                <w:b/>
                <w:bCs/>
                <w:color w:val="auto"/>
                <w:kern w:val="0"/>
                <w:sz w:val="21"/>
                <w:szCs w:val="21"/>
                <w:highlight w:val="none"/>
              </w:rPr>
              <w:t>（提供产品功能演示）</w:t>
            </w:r>
            <w:r>
              <w:rPr>
                <w:rFonts w:hint="eastAsia" w:ascii="仿宋" w:hAnsi="仿宋" w:eastAsia="仿宋" w:cs="仿宋"/>
                <w:color w:val="auto"/>
                <w:kern w:val="0"/>
                <w:sz w:val="21"/>
                <w:szCs w:val="21"/>
                <w:highlight w:val="none"/>
              </w:rPr>
              <w:t>。</w:t>
            </w:r>
          </w:p>
          <w:p>
            <w:pPr>
              <w:pStyle w:val="259"/>
              <w:keepNext w:val="0"/>
              <w:keepLines w:val="0"/>
              <w:pageBreakBefore w:val="0"/>
              <w:widowControl w:val="0"/>
              <w:numPr>
                <w:ilvl w:val="0"/>
                <w:numId w:val="8"/>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Hans"/>
              </w:rPr>
              <w:t>支持ASM磁盘组的管理，包括但不局限于磁盘组的查看、创建新磁盘组等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w:t>
            </w:r>
          </w:p>
        </w:tc>
        <w:tc>
          <w:tcPr>
            <w:tcW w:w="809"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性能</w:t>
            </w:r>
          </w:p>
        </w:tc>
        <w:tc>
          <w:tcPr>
            <w:tcW w:w="3706" w:type="pct"/>
            <w:noWrap w:val="0"/>
            <w:tcMar>
              <w:top w:w="28" w:type="dxa"/>
              <w:bottom w:w="28" w:type="dxa"/>
            </w:tcMar>
            <w:vAlign w:val="center"/>
          </w:tcPr>
          <w:p>
            <w:pPr>
              <w:pStyle w:val="259"/>
              <w:keepNext w:val="0"/>
              <w:keepLines w:val="0"/>
              <w:pageBreakBefore w:val="0"/>
              <w:widowControl w:val="0"/>
              <w:numPr>
                <w:ilvl w:val="0"/>
                <w:numId w:val="9"/>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支持基于主机、数据库资源和SQL性能指标的分析下钻，智能定位性能瓶颈点。</w:t>
            </w:r>
          </w:p>
          <w:p>
            <w:pPr>
              <w:pStyle w:val="259"/>
              <w:keepNext w:val="0"/>
              <w:keepLines w:val="0"/>
              <w:pageBreakBefore w:val="0"/>
              <w:widowControl w:val="0"/>
              <w:numPr>
                <w:ilvl w:val="0"/>
                <w:numId w:val="9"/>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Hans"/>
              </w:rPr>
              <w:t>支持自动</w:t>
            </w:r>
            <w:r>
              <w:rPr>
                <w:rFonts w:hint="eastAsia" w:ascii="仿宋" w:hAnsi="仿宋" w:eastAsia="仿宋" w:cs="仿宋"/>
                <w:color w:val="auto"/>
                <w:kern w:val="0"/>
                <w:sz w:val="21"/>
                <w:szCs w:val="21"/>
                <w:highlight w:val="none"/>
              </w:rPr>
              <w:t>获取指定时间窗口的Top SQL，并对SQL语句提供在线诊断，输出诊断报告</w:t>
            </w:r>
          </w:p>
          <w:p>
            <w:pPr>
              <w:pStyle w:val="259"/>
              <w:keepNext w:val="0"/>
              <w:keepLines w:val="0"/>
              <w:pageBreakBefore w:val="0"/>
              <w:widowControl w:val="0"/>
              <w:numPr>
                <w:ilvl w:val="0"/>
                <w:numId w:val="9"/>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支持自动获取AWR报告。</w:t>
            </w:r>
          </w:p>
          <w:p>
            <w:pPr>
              <w:pStyle w:val="259"/>
              <w:keepNext w:val="0"/>
              <w:keepLines w:val="0"/>
              <w:pageBreakBefore w:val="0"/>
              <w:widowControl w:val="0"/>
              <w:numPr>
                <w:ilvl w:val="0"/>
                <w:numId w:val="9"/>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支持AWR报告全中文解读，解读内容至少包括：主机资源、数据库资源、会话登录、SQL解析、SQL执行、事务提交、RAC统计和数据库参数等，并</w:t>
            </w:r>
            <w:r>
              <w:rPr>
                <w:rFonts w:hint="eastAsia" w:ascii="仿宋" w:hAnsi="仿宋" w:eastAsia="仿宋" w:cs="仿宋"/>
                <w:color w:val="auto"/>
                <w:kern w:val="0"/>
                <w:sz w:val="21"/>
                <w:szCs w:val="21"/>
                <w:highlight w:val="none"/>
                <w:shd w:val="clear" w:color="auto" w:fill="FFFFFF"/>
              </w:rPr>
              <w:t>根据数据库的性能状况给出专业分析，对数据库存在的性能瓶颈进行定位，对异常指标提供优化建议。</w:t>
            </w:r>
            <w:r>
              <w:rPr>
                <w:rFonts w:hint="eastAsia" w:ascii="仿宋" w:hAnsi="仿宋" w:eastAsia="仿宋" w:cs="仿宋"/>
                <w:b/>
                <w:bCs/>
                <w:color w:val="auto"/>
                <w:kern w:val="0"/>
                <w:sz w:val="21"/>
                <w:szCs w:val="21"/>
                <w:highlight w:val="none"/>
                <w:shd w:val="clear" w:color="auto" w:fill="FFFFFF"/>
              </w:rPr>
              <w:t>（提供产品功能演示）</w:t>
            </w:r>
          </w:p>
          <w:p>
            <w:pPr>
              <w:pStyle w:val="259"/>
              <w:keepNext w:val="0"/>
              <w:keepLines w:val="0"/>
              <w:pageBreakBefore w:val="0"/>
              <w:widowControl w:val="0"/>
              <w:numPr>
                <w:ilvl w:val="0"/>
                <w:numId w:val="9"/>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AWR解读报告支持WORD和PDF格式输出。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w:t>
            </w:r>
          </w:p>
        </w:tc>
        <w:tc>
          <w:tcPr>
            <w:tcW w:w="809"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lang w:eastAsia="zh-Hans"/>
              </w:rPr>
            </w:pPr>
            <w:r>
              <w:rPr>
                <w:rFonts w:hint="eastAsia" w:ascii="仿宋" w:hAnsi="仿宋" w:eastAsia="仿宋" w:cs="仿宋"/>
                <w:color w:val="auto"/>
                <w:kern w:val="0"/>
                <w:sz w:val="21"/>
                <w:szCs w:val="21"/>
                <w:highlight w:val="none"/>
              </w:rPr>
              <w:t>SQL</w:t>
            </w:r>
            <w:r>
              <w:rPr>
                <w:rFonts w:hint="eastAsia" w:ascii="仿宋" w:hAnsi="仿宋" w:eastAsia="仿宋" w:cs="仿宋"/>
                <w:color w:val="auto"/>
                <w:kern w:val="0"/>
                <w:sz w:val="21"/>
                <w:szCs w:val="21"/>
                <w:highlight w:val="none"/>
                <w:lang w:eastAsia="zh-Hans"/>
              </w:rPr>
              <w:t>审核</w:t>
            </w:r>
          </w:p>
        </w:tc>
        <w:tc>
          <w:tcPr>
            <w:tcW w:w="3706" w:type="pct"/>
            <w:noWrap w:val="0"/>
            <w:tcMar>
              <w:top w:w="28" w:type="dxa"/>
              <w:bottom w:w="28" w:type="dxa"/>
            </w:tcMar>
            <w:vAlign w:val="center"/>
          </w:tcPr>
          <w:p>
            <w:pPr>
              <w:pStyle w:val="259"/>
              <w:keepNext w:val="0"/>
              <w:keepLines w:val="0"/>
              <w:pageBreakBefore w:val="0"/>
              <w:widowControl w:val="0"/>
              <w:numPr>
                <w:ilvl w:val="0"/>
                <w:numId w:val="10"/>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应用上线前，提供</w:t>
            </w:r>
            <w:r>
              <w:rPr>
                <w:rFonts w:hint="eastAsia" w:ascii="仿宋" w:hAnsi="仿宋" w:eastAsia="仿宋" w:cs="仿宋"/>
                <w:color w:val="auto"/>
                <w:kern w:val="0"/>
                <w:sz w:val="21"/>
                <w:szCs w:val="21"/>
                <w:highlight w:val="none"/>
                <w:lang w:eastAsia="zh-Hans"/>
              </w:rPr>
              <w:t>输入</w:t>
            </w:r>
            <w:r>
              <w:rPr>
                <w:rFonts w:hint="eastAsia" w:ascii="仿宋" w:hAnsi="仿宋" w:eastAsia="仿宋" w:cs="仿宋"/>
                <w:color w:val="auto"/>
                <w:kern w:val="0"/>
                <w:sz w:val="21"/>
                <w:szCs w:val="21"/>
                <w:highlight w:val="none"/>
              </w:rPr>
              <w:t>SQL语句、</w:t>
            </w:r>
            <w:r>
              <w:rPr>
                <w:rFonts w:hint="eastAsia" w:ascii="仿宋" w:hAnsi="仿宋" w:eastAsia="仿宋" w:cs="仿宋"/>
                <w:color w:val="auto"/>
                <w:kern w:val="0"/>
                <w:sz w:val="21"/>
                <w:szCs w:val="21"/>
                <w:highlight w:val="none"/>
                <w:lang w:eastAsia="zh-Hans"/>
              </w:rPr>
              <w:t>导入脚本文件方式进行</w:t>
            </w:r>
            <w:r>
              <w:rPr>
                <w:rFonts w:hint="eastAsia" w:ascii="仿宋" w:hAnsi="仿宋" w:eastAsia="仿宋" w:cs="仿宋"/>
                <w:color w:val="auto"/>
                <w:kern w:val="0"/>
                <w:sz w:val="21"/>
                <w:szCs w:val="21"/>
                <w:highlight w:val="none"/>
              </w:rPr>
              <w:t>静态规则审核，给出SQL语句优化建议。</w:t>
            </w:r>
          </w:p>
          <w:p>
            <w:pPr>
              <w:pStyle w:val="259"/>
              <w:keepNext w:val="0"/>
              <w:keepLines w:val="0"/>
              <w:pageBreakBefore w:val="0"/>
              <w:widowControl w:val="0"/>
              <w:numPr>
                <w:ilvl w:val="0"/>
                <w:numId w:val="10"/>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应用上线后，可</w:t>
            </w:r>
            <w:r>
              <w:rPr>
                <w:rFonts w:hint="eastAsia" w:ascii="仿宋" w:hAnsi="仿宋" w:eastAsia="仿宋" w:cs="仿宋"/>
                <w:color w:val="auto"/>
                <w:kern w:val="0"/>
                <w:sz w:val="21"/>
                <w:szCs w:val="21"/>
                <w:highlight w:val="none"/>
                <w:lang w:eastAsia="zh-Hans"/>
              </w:rPr>
              <w:t>指定时间段</w:t>
            </w:r>
            <w:r>
              <w:rPr>
                <w:rFonts w:hint="eastAsia" w:ascii="仿宋" w:hAnsi="仿宋" w:eastAsia="仿宋" w:cs="仿宋"/>
                <w:color w:val="auto"/>
                <w:kern w:val="0"/>
                <w:sz w:val="21"/>
                <w:szCs w:val="21"/>
                <w:highlight w:val="none"/>
              </w:rPr>
              <w:t>自动</w:t>
            </w:r>
            <w:r>
              <w:rPr>
                <w:rFonts w:hint="eastAsia" w:ascii="仿宋" w:hAnsi="仿宋" w:eastAsia="仿宋" w:cs="仿宋"/>
                <w:color w:val="auto"/>
                <w:kern w:val="0"/>
                <w:sz w:val="21"/>
                <w:szCs w:val="21"/>
                <w:highlight w:val="none"/>
                <w:lang w:eastAsia="zh-Hans"/>
              </w:rPr>
              <w:t>捕获低效、高消耗、异常的增量SQL等</w:t>
            </w:r>
            <w:r>
              <w:rPr>
                <w:rFonts w:hint="eastAsia" w:ascii="仿宋" w:hAnsi="仿宋" w:eastAsia="仿宋" w:cs="仿宋"/>
                <w:color w:val="auto"/>
                <w:kern w:val="0"/>
                <w:sz w:val="21"/>
                <w:szCs w:val="21"/>
                <w:highlight w:val="none"/>
              </w:rPr>
              <w:t>，并对SQL语句提供在线诊断，输出诊断报告，</w:t>
            </w:r>
            <w:r>
              <w:rPr>
                <w:rFonts w:hint="eastAsia" w:ascii="仿宋" w:hAnsi="仿宋" w:eastAsia="仿宋" w:cs="仿宋"/>
                <w:color w:val="auto"/>
                <w:sz w:val="21"/>
                <w:szCs w:val="21"/>
                <w:highlight w:val="none"/>
              </w:rPr>
              <w:t>诊断</w:t>
            </w:r>
            <w:r>
              <w:rPr>
                <w:rFonts w:hint="eastAsia" w:ascii="仿宋" w:hAnsi="仿宋" w:eastAsia="仿宋" w:cs="仿宋"/>
                <w:color w:val="auto"/>
                <w:kern w:val="0"/>
                <w:sz w:val="21"/>
                <w:szCs w:val="21"/>
                <w:highlight w:val="none"/>
              </w:rPr>
              <w:t>报告内容至少包括：SQL ID、SQL文本、SQL执行计划和SQL优化建议。</w:t>
            </w:r>
          </w:p>
          <w:p>
            <w:pPr>
              <w:pStyle w:val="259"/>
              <w:keepNext w:val="0"/>
              <w:keepLines w:val="0"/>
              <w:pageBreakBefore w:val="0"/>
              <w:widowControl w:val="0"/>
              <w:numPr>
                <w:ilvl w:val="0"/>
                <w:numId w:val="10"/>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SQL诊断报告支持在线查看和PDF格式下载，</w:t>
            </w:r>
            <w:r>
              <w:rPr>
                <w:rFonts w:hint="eastAsia" w:ascii="仿宋" w:hAnsi="仿宋" w:eastAsia="仿宋" w:cs="仿宋"/>
                <w:color w:val="auto"/>
                <w:kern w:val="0"/>
                <w:sz w:val="21"/>
                <w:szCs w:val="21"/>
                <w:highlight w:val="none"/>
                <w:lang w:eastAsia="zh-Hans"/>
              </w:rPr>
              <w:t>支持汇总报告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66" w:hRule="atLeast"/>
        </w:trPr>
        <w:tc>
          <w:tcPr>
            <w:tcW w:w="485"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10</w:t>
            </w:r>
          </w:p>
        </w:tc>
        <w:tc>
          <w:tcPr>
            <w:tcW w:w="809"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运维编排</w:t>
            </w:r>
          </w:p>
        </w:tc>
        <w:tc>
          <w:tcPr>
            <w:tcW w:w="3706" w:type="pct"/>
            <w:noWrap w:val="0"/>
            <w:tcMar>
              <w:top w:w="28" w:type="dxa"/>
              <w:bottom w:w="28" w:type="dxa"/>
            </w:tcMar>
            <w:vAlign w:val="center"/>
          </w:tcPr>
          <w:p>
            <w:pPr>
              <w:pStyle w:val="259"/>
              <w:keepNext w:val="0"/>
              <w:keepLines w:val="0"/>
              <w:pageBreakBefore w:val="0"/>
              <w:widowControl w:val="0"/>
              <w:numPr>
                <w:ilvl w:val="0"/>
                <w:numId w:val="11"/>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提供常见运维场景的编排模版，实现从告警到故障处理的自动化运维，要求至少提供2个以上运维编排模版。</w:t>
            </w:r>
          </w:p>
          <w:p>
            <w:pPr>
              <w:pStyle w:val="259"/>
              <w:keepNext w:val="0"/>
              <w:keepLines w:val="0"/>
              <w:pageBreakBefore w:val="0"/>
              <w:widowControl w:val="0"/>
              <w:numPr>
                <w:ilvl w:val="0"/>
                <w:numId w:val="11"/>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b/>
                <w:color w:val="auto"/>
                <w:kern w:val="0"/>
                <w:sz w:val="21"/>
                <w:szCs w:val="21"/>
                <w:highlight w:val="none"/>
              </w:rPr>
            </w:pPr>
            <w:r>
              <w:rPr>
                <w:rFonts w:hint="eastAsia" w:ascii="仿宋" w:hAnsi="仿宋" w:eastAsia="仿宋" w:cs="仿宋"/>
                <w:color w:val="auto"/>
                <w:kern w:val="0"/>
                <w:sz w:val="21"/>
                <w:szCs w:val="21"/>
                <w:highlight w:val="none"/>
              </w:rPr>
              <w:t>支持触发条件自定义。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43" w:hRule="atLeast"/>
        </w:trPr>
        <w:tc>
          <w:tcPr>
            <w:tcW w:w="485"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w:t>
            </w:r>
            <w:r>
              <w:rPr>
                <w:rFonts w:hint="eastAsia" w:ascii="仿宋" w:hAnsi="仿宋" w:eastAsia="仿宋" w:cs="仿宋"/>
                <w:color w:val="auto"/>
                <w:kern w:val="0"/>
                <w:sz w:val="21"/>
                <w:szCs w:val="21"/>
                <w:highlight w:val="none"/>
                <w:lang w:val="en-US" w:eastAsia="zh-CN"/>
              </w:rPr>
              <w:t>1</w:t>
            </w:r>
          </w:p>
        </w:tc>
        <w:tc>
          <w:tcPr>
            <w:tcW w:w="809"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报告生成</w:t>
            </w:r>
          </w:p>
        </w:tc>
        <w:tc>
          <w:tcPr>
            <w:tcW w:w="3706" w:type="pct"/>
            <w:noWrap w:val="0"/>
            <w:tcMar>
              <w:top w:w="28" w:type="dxa"/>
              <w:bottom w:w="28" w:type="dxa"/>
            </w:tcMar>
            <w:vAlign w:val="center"/>
          </w:tcPr>
          <w:p>
            <w:pPr>
              <w:pStyle w:val="259"/>
              <w:keepNext w:val="0"/>
              <w:keepLines w:val="0"/>
              <w:pageBreakBefore w:val="0"/>
              <w:widowControl w:val="0"/>
              <w:numPr>
                <w:ilvl w:val="0"/>
                <w:numId w:val="12"/>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支持不同资产、不同功能模块的报告汇总和输出。</w:t>
            </w:r>
          </w:p>
          <w:p>
            <w:pPr>
              <w:pStyle w:val="259"/>
              <w:keepNext w:val="0"/>
              <w:keepLines w:val="0"/>
              <w:pageBreakBefore w:val="0"/>
              <w:widowControl w:val="0"/>
              <w:numPr>
                <w:ilvl w:val="0"/>
                <w:numId w:val="12"/>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提供不同使用场景的报告模板。</w:t>
            </w:r>
          </w:p>
          <w:p>
            <w:pPr>
              <w:pStyle w:val="259"/>
              <w:keepNext w:val="0"/>
              <w:keepLines w:val="0"/>
              <w:pageBreakBefore w:val="0"/>
              <w:widowControl w:val="0"/>
              <w:numPr>
                <w:ilvl w:val="0"/>
                <w:numId w:val="12"/>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b/>
                <w:color w:val="auto"/>
                <w:kern w:val="0"/>
                <w:sz w:val="21"/>
                <w:szCs w:val="21"/>
                <w:highlight w:val="none"/>
              </w:rPr>
            </w:pPr>
            <w:r>
              <w:rPr>
                <w:rFonts w:hint="eastAsia" w:ascii="仿宋" w:hAnsi="仿宋" w:eastAsia="仿宋" w:cs="仿宋"/>
                <w:color w:val="auto"/>
                <w:kern w:val="0"/>
                <w:sz w:val="21"/>
                <w:szCs w:val="21"/>
                <w:highlight w:val="none"/>
              </w:rPr>
              <w:t>支持报告封面、报告内容等信息自定义。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1" w:hRule="atLeast"/>
        </w:trPr>
        <w:tc>
          <w:tcPr>
            <w:tcW w:w="485" w:type="pct"/>
            <w:vMerge w:val="restar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w:t>
            </w:r>
            <w:r>
              <w:rPr>
                <w:rFonts w:hint="eastAsia" w:ascii="仿宋" w:hAnsi="仿宋" w:eastAsia="仿宋" w:cs="仿宋"/>
                <w:color w:val="auto"/>
                <w:kern w:val="0"/>
                <w:sz w:val="21"/>
                <w:szCs w:val="21"/>
                <w:highlight w:val="none"/>
                <w:lang w:val="en-US" w:eastAsia="zh-CN"/>
              </w:rPr>
              <w:t>2</w:t>
            </w:r>
          </w:p>
        </w:tc>
        <w:tc>
          <w:tcPr>
            <w:tcW w:w="809" w:type="pct"/>
            <w:vMerge w:val="restar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lang w:eastAsia="zh-Hans"/>
              </w:rPr>
            </w:pPr>
            <w:r>
              <w:rPr>
                <w:rFonts w:hint="eastAsia" w:ascii="仿宋" w:hAnsi="仿宋" w:eastAsia="仿宋" w:cs="仿宋"/>
                <w:color w:val="auto"/>
                <w:kern w:val="0"/>
                <w:sz w:val="21"/>
                <w:szCs w:val="21"/>
                <w:highlight w:val="none"/>
                <w:lang w:eastAsia="zh-Hans"/>
              </w:rPr>
              <w:t>安全</w:t>
            </w:r>
          </w:p>
        </w:tc>
        <w:tc>
          <w:tcPr>
            <w:tcW w:w="3706"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Hans"/>
              </w:rPr>
              <w:t>数据库账户安全管理，包括如下支持</w:t>
            </w:r>
            <w:r>
              <w:rPr>
                <w:rFonts w:hint="eastAsia" w:ascii="仿宋" w:hAnsi="仿宋" w:eastAsia="仿宋" w:cs="仿宋"/>
                <w:color w:val="auto"/>
                <w:kern w:val="0"/>
                <w:sz w:val="21"/>
                <w:szCs w:val="21"/>
                <w:highlight w:val="none"/>
              </w:rPr>
              <w:t>：</w:t>
            </w:r>
          </w:p>
          <w:p>
            <w:pPr>
              <w:pStyle w:val="259"/>
              <w:keepNext w:val="0"/>
              <w:keepLines w:val="0"/>
              <w:pageBreakBefore w:val="0"/>
              <w:widowControl w:val="0"/>
              <w:numPr>
                <w:ilvl w:val="0"/>
                <w:numId w:val="13"/>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支持数据库账户的创建、</w:t>
            </w:r>
            <w:r>
              <w:rPr>
                <w:rFonts w:hint="eastAsia" w:ascii="仿宋" w:hAnsi="仿宋" w:eastAsia="仿宋" w:cs="仿宋"/>
                <w:color w:val="auto"/>
                <w:kern w:val="0"/>
                <w:sz w:val="21"/>
                <w:szCs w:val="21"/>
                <w:highlight w:val="none"/>
                <w:lang w:eastAsia="zh-Hans"/>
              </w:rPr>
              <w:t>赋权、改密、启停</w:t>
            </w:r>
            <w:r>
              <w:rPr>
                <w:rFonts w:hint="eastAsia" w:ascii="仿宋" w:hAnsi="仿宋" w:eastAsia="仿宋" w:cs="仿宋"/>
                <w:color w:val="auto"/>
                <w:kern w:val="0"/>
                <w:sz w:val="21"/>
                <w:szCs w:val="21"/>
                <w:highlight w:val="none"/>
              </w:rPr>
              <w:t>等操作。</w:t>
            </w:r>
          </w:p>
          <w:p>
            <w:pPr>
              <w:pStyle w:val="259"/>
              <w:keepNext w:val="0"/>
              <w:keepLines w:val="0"/>
              <w:pageBreakBefore w:val="0"/>
              <w:widowControl w:val="0"/>
              <w:numPr>
                <w:ilvl w:val="0"/>
                <w:numId w:val="13"/>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全局展示所有数据库对象从权限、用户状态、登录时间用户检测统计结果，对大权限账户、过期状态账户态和长时间未登录账户等告警，并给出检测报告。</w:t>
            </w:r>
          </w:p>
          <w:p>
            <w:pPr>
              <w:pStyle w:val="259"/>
              <w:keepNext w:val="0"/>
              <w:keepLines w:val="0"/>
              <w:pageBreakBefore w:val="0"/>
              <w:widowControl w:val="0"/>
              <w:numPr>
                <w:ilvl w:val="0"/>
                <w:numId w:val="13"/>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支持查看单个数据库对象用户检测详细结果，并对用户检测结果给出等级分类。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24" w:hRule="atLeast"/>
        </w:trPr>
        <w:tc>
          <w:tcPr>
            <w:tcW w:w="485"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lang w:eastAsia="zh-Hans"/>
              </w:rPr>
            </w:pPr>
          </w:p>
        </w:tc>
        <w:tc>
          <w:tcPr>
            <w:tcW w:w="809"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lang w:eastAsia="zh-Hans"/>
              </w:rPr>
            </w:pPr>
          </w:p>
        </w:tc>
        <w:tc>
          <w:tcPr>
            <w:tcW w:w="3706"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Hans"/>
              </w:rPr>
              <w:t>对数据库运行环境的安全检测，包括如下支持</w:t>
            </w:r>
            <w:r>
              <w:rPr>
                <w:rFonts w:hint="eastAsia" w:ascii="仿宋" w:hAnsi="仿宋" w:eastAsia="仿宋" w:cs="仿宋"/>
                <w:color w:val="auto"/>
                <w:kern w:val="0"/>
                <w:sz w:val="21"/>
                <w:szCs w:val="21"/>
                <w:highlight w:val="none"/>
              </w:rPr>
              <w:t>：</w:t>
            </w:r>
          </w:p>
          <w:p>
            <w:pPr>
              <w:pStyle w:val="259"/>
              <w:keepNext w:val="0"/>
              <w:keepLines w:val="0"/>
              <w:pageBreakBefore w:val="0"/>
              <w:widowControl w:val="0"/>
              <w:numPr>
                <w:ilvl w:val="0"/>
                <w:numId w:val="14"/>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Hans"/>
              </w:rPr>
              <w:t>支持数据库补丁安装检测，可查看最新补丁详细信息，包括补丁号、发布日期、修复BUG等</w:t>
            </w:r>
            <w:r>
              <w:rPr>
                <w:rFonts w:hint="eastAsia" w:ascii="仿宋" w:hAnsi="仿宋" w:eastAsia="仿宋" w:cs="仿宋"/>
                <w:color w:val="auto"/>
                <w:kern w:val="0"/>
                <w:sz w:val="21"/>
                <w:szCs w:val="21"/>
                <w:highlight w:val="none"/>
              </w:rPr>
              <w:t>。</w:t>
            </w:r>
          </w:p>
          <w:p>
            <w:pPr>
              <w:pStyle w:val="259"/>
              <w:keepNext w:val="0"/>
              <w:keepLines w:val="0"/>
              <w:pageBreakBefore w:val="0"/>
              <w:widowControl w:val="0"/>
              <w:numPr>
                <w:ilvl w:val="0"/>
                <w:numId w:val="14"/>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Hans"/>
              </w:rPr>
              <w:t>支持比特币病毒检测，并提供一键清理比特币病毒功能。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w:t>
            </w:r>
            <w:r>
              <w:rPr>
                <w:rFonts w:hint="eastAsia" w:ascii="仿宋" w:hAnsi="仿宋" w:eastAsia="仿宋" w:cs="仿宋"/>
                <w:color w:val="auto"/>
                <w:kern w:val="0"/>
                <w:sz w:val="21"/>
                <w:szCs w:val="21"/>
                <w:highlight w:val="none"/>
                <w:lang w:val="en-US" w:eastAsia="zh-CN"/>
              </w:rPr>
              <w:t>3</w:t>
            </w:r>
          </w:p>
        </w:tc>
        <w:tc>
          <w:tcPr>
            <w:tcW w:w="809"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变更追溯</w:t>
            </w:r>
          </w:p>
        </w:tc>
        <w:tc>
          <w:tcPr>
            <w:tcW w:w="3706" w:type="pct"/>
            <w:noWrap w:val="0"/>
            <w:tcMar>
              <w:top w:w="28" w:type="dxa"/>
              <w:bottom w:w="28" w:type="dxa"/>
            </w:tcMar>
            <w:vAlign w:val="center"/>
          </w:tcPr>
          <w:p>
            <w:pPr>
              <w:pStyle w:val="259"/>
              <w:keepNext w:val="0"/>
              <w:keepLines w:val="0"/>
              <w:pageBreakBefore w:val="0"/>
              <w:widowControl w:val="0"/>
              <w:numPr>
                <w:ilvl w:val="0"/>
                <w:numId w:val="15"/>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变更追溯信息要求包括：主机配置、主机资源、数据库用户、数据库应用、数据库对象、数据库配置、数据库空间等维度。</w:t>
            </w:r>
          </w:p>
          <w:p>
            <w:pPr>
              <w:pStyle w:val="259"/>
              <w:keepNext w:val="0"/>
              <w:keepLines w:val="0"/>
              <w:pageBreakBefore w:val="0"/>
              <w:widowControl w:val="0"/>
              <w:numPr>
                <w:ilvl w:val="0"/>
                <w:numId w:val="15"/>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支持查看变更的详细信息，包括：变更时间、变更类型、变更操作和变更内容。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vMerge w:val="restar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w:t>
            </w:r>
            <w:r>
              <w:rPr>
                <w:rFonts w:hint="eastAsia" w:ascii="仿宋" w:hAnsi="仿宋" w:eastAsia="仿宋" w:cs="仿宋"/>
                <w:color w:val="auto"/>
                <w:kern w:val="0"/>
                <w:sz w:val="21"/>
                <w:szCs w:val="21"/>
                <w:highlight w:val="none"/>
                <w:lang w:val="en-US" w:eastAsia="zh-CN"/>
              </w:rPr>
              <w:t>4</w:t>
            </w:r>
          </w:p>
        </w:tc>
        <w:tc>
          <w:tcPr>
            <w:tcW w:w="809" w:type="pct"/>
            <w:vMerge w:val="restar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Hans"/>
              </w:rPr>
              <w:t>运维</w:t>
            </w:r>
            <w:r>
              <w:rPr>
                <w:rFonts w:hint="eastAsia" w:ascii="仿宋" w:hAnsi="仿宋" w:eastAsia="仿宋" w:cs="仿宋"/>
                <w:color w:val="auto"/>
                <w:kern w:val="0"/>
                <w:sz w:val="21"/>
                <w:szCs w:val="21"/>
                <w:highlight w:val="none"/>
              </w:rPr>
              <w:t>工具</w:t>
            </w:r>
          </w:p>
        </w:tc>
        <w:tc>
          <w:tcPr>
            <w:tcW w:w="3706" w:type="pct"/>
            <w:noWrap w:val="0"/>
            <w:tcMar>
              <w:top w:w="28" w:type="dxa"/>
              <w:bottom w:w="28" w:type="dxa"/>
            </w:tcMar>
            <w:vAlign w:val="center"/>
          </w:tcPr>
          <w:p>
            <w:pPr>
              <w:keepNext w:val="0"/>
              <w:keepLines w:val="0"/>
              <w:pageBreakBefore w:val="0"/>
              <w:numPr>
                <w:ilvl w:val="0"/>
                <w:numId w:val="16"/>
              </w:numPr>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提供</w:t>
            </w:r>
            <w:r>
              <w:rPr>
                <w:rFonts w:hint="eastAsia" w:ascii="仿宋" w:hAnsi="仿宋" w:eastAsia="仿宋" w:cs="仿宋"/>
                <w:color w:val="auto"/>
                <w:kern w:val="0"/>
                <w:sz w:val="21"/>
                <w:szCs w:val="21"/>
                <w:highlight w:val="none"/>
                <w:lang w:eastAsia="zh-Hans"/>
              </w:rPr>
              <w:t>自定义</w:t>
            </w:r>
            <w:r>
              <w:rPr>
                <w:rFonts w:hint="eastAsia" w:ascii="仿宋" w:hAnsi="仿宋" w:eastAsia="仿宋" w:cs="仿宋"/>
                <w:color w:val="auto"/>
                <w:kern w:val="0"/>
                <w:sz w:val="21"/>
                <w:szCs w:val="21"/>
                <w:highlight w:val="none"/>
              </w:rPr>
              <w:t>工具</w:t>
            </w:r>
            <w:r>
              <w:rPr>
                <w:rFonts w:hint="eastAsia" w:ascii="仿宋" w:hAnsi="仿宋" w:eastAsia="仿宋" w:cs="仿宋"/>
                <w:color w:val="auto"/>
                <w:kern w:val="0"/>
                <w:sz w:val="21"/>
                <w:szCs w:val="21"/>
                <w:highlight w:val="none"/>
                <w:lang w:eastAsia="zh-Hans"/>
              </w:rPr>
              <w:t>功能</w:t>
            </w:r>
            <w:r>
              <w:rPr>
                <w:rFonts w:hint="eastAsia" w:ascii="仿宋" w:hAnsi="仿宋" w:eastAsia="仿宋" w:cs="仿宋"/>
                <w:color w:val="auto"/>
                <w:kern w:val="0"/>
                <w:sz w:val="21"/>
                <w:szCs w:val="21"/>
                <w:highlight w:val="none"/>
              </w:rPr>
              <w:t>：</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w:t>
            </w:r>
            <w:r>
              <w:rPr>
                <w:rFonts w:hint="eastAsia" w:ascii="仿宋" w:hAnsi="仿宋" w:eastAsia="仿宋" w:cs="仿宋"/>
                <w:color w:val="auto"/>
                <w:kern w:val="0"/>
                <w:sz w:val="21"/>
                <w:szCs w:val="21"/>
                <w:highlight w:val="none"/>
                <w:lang w:eastAsia="zh-Hans"/>
              </w:rPr>
              <w:t>用户自定义添加新工具</w:t>
            </w:r>
            <w:r>
              <w:rPr>
                <w:rFonts w:hint="eastAsia" w:ascii="仿宋" w:hAnsi="仿宋" w:eastAsia="仿宋" w:cs="仿宋"/>
                <w:color w:val="auto"/>
                <w:kern w:val="0"/>
                <w:sz w:val="21"/>
                <w:szCs w:val="21"/>
                <w:highlight w:val="none"/>
              </w:rPr>
              <w:t>。</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Hans"/>
              </w:rPr>
              <w:t>自定义添加的新工具，可以分配给指定用户使用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809"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3706" w:type="pct"/>
            <w:noWrap w:val="0"/>
            <w:tcMar>
              <w:top w:w="28" w:type="dxa"/>
              <w:bottom w:w="28" w:type="dxa"/>
            </w:tcMar>
            <w:vAlign w:val="center"/>
          </w:tcPr>
          <w:p>
            <w:pPr>
              <w:keepNext w:val="0"/>
              <w:keepLines w:val="0"/>
              <w:pageBreakBefore w:val="0"/>
              <w:numPr>
                <w:ilvl w:val="0"/>
                <w:numId w:val="16"/>
              </w:numPr>
              <w:kinsoku/>
              <w:wordWrap/>
              <w:overflowPunct/>
              <w:topLinePunct w:val="0"/>
              <w:autoSpaceDE/>
              <w:autoSpaceDN/>
              <w:bidi w:val="0"/>
              <w:adjustRightInd w:val="0"/>
              <w:snapToGrid/>
              <w:spacing w:line="360" w:lineRule="exact"/>
              <w:ind w:left="0" w:leftChars="0" w:firstLine="0" w:firstLineChars="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▲提供自动锁处理工具（提供产品功能截图）：</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支持自动定位锁源及被锁源阻塞的会话。</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支持SQL锁源现场保留。</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支持一键杀锁操作。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809"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3706" w:type="pct"/>
            <w:noWrap w:val="0"/>
            <w:tcMar>
              <w:top w:w="28" w:type="dxa"/>
              <w:bottom w:w="28" w:type="dxa"/>
            </w:tcMar>
            <w:vAlign w:val="center"/>
          </w:tcPr>
          <w:p>
            <w:pPr>
              <w:keepNext w:val="0"/>
              <w:keepLines w:val="0"/>
              <w:pageBreakBefore w:val="0"/>
              <w:numPr>
                <w:ilvl w:val="0"/>
                <w:numId w:val="16"/>
              </w:numPr>
              <w:kinsoku/>
              <w:wordWrap/>
              <w:overflowPunct/>
              <w:topLinePunct w:val="0"/>
              <w:autoSpaceDE/>
              <w:autoSpaceDN/>
              <w:bidi w:val="0"/>
              <w:adjustRightInd w:val="0"/>
              <w:snapToGrid/>
              <w:spacing w:line="360" w:lineRule="exact"/>
              <w:ind w:left="0" w:leftChars="0" w:firstLine="0" w:firstLineChars="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提供归档日志清理工具</w:t>
            </w:r>
            <w:r>
              <w:rPr>
                <w:rFonts w:hint="eastAsia" w:ascii="仿宋" w:hAnsi="仿宋" w:eastAsia="仿宋" w:cs="仿宋"/>
                <w:b/>
                <w:bCs/>
                <w:color w:val="auto"/>
                <w:kern w:val="0"/>
                <w:sz w:val="21"/>
                <w:szCs w:val="21"/>
                <w:highlight w:val="none"/>
              </w:rPr>
              <w:t>（提供产品功能演示）</w:t>
            </w:r>
            <w:r>
              <w:rPr>
                <w:rFonts w:hint="eastAsia" w:ascii="仿宋" w:hAnsi="仿宋" w:eastAsia="仿宋" w:cs="仿宋"/>
                <w:color w:val="auto"/>
                <w:kern w:val="0"/>
                <w:sz w:val="21"/>
                <w:szCs w:val="21"/>
                <w:highlight w:val="none"/>
              </w:rPr>
              <w:t>：</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提供归档路径、归档空间使用率、备份成功开始时间、最近归档时间等信息；</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支持清理最近一次成功全备份之前的全面归档日志的安全清理方式；</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支持清理1小时之前的全部归档日志的紧急清理方式。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809"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3706" w:type="pct"/>
            <w:noWrap w:val="0"/>
            <w:tcMar>
              <w:top w:w="28" w:type="dxa"/>
              <w:bottom w:w="28" w:type="dxa"/>
            </w:tcMar>
            <w:vAlign w:val="center"/>
          </w:tcPr>
          <w:p>
            <w:pPr>
              <w:keepNext w:val="0"/>
              <w:keepLines w:val="0"/>
              <w:pageBreakBefore w:val="0"/>
              <w:numPr>
                <w:ilvl w:val="0"/>
                <w:numId w:val="16"/>
              </w:numPr>
              <w:kinsoku/>
              <w:wordWrap/>
              <w:overflowPunct/>
              <w:topLinePunct w:val="0"/>
              <w:autoSpaceDE/>
              <w:autoSpaceDN/>
              <w:bidi w:val="0"/>
              <w:adjustRightInd w:val="0"/>
              <w:snapToGrid/>
              <w:spacing w:line="360" w:lineRule="exact"/>
              <w:ind w:left="0" w:leftChars="0" w:firstLine="0" w:firstLineChars="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提供</w:t>
            </w:r>
            <w:r>
              <w:rPr>
                <w:rFonts w:hint="eastAsia" w:ascii="仿宋" w:hAnsi="仿宋" w:eastAsia="仿宋" w:cs="仿宋"/>
                <w:color w:val="auto"/>
                <w:kern w:val="0"/>
                <w:sz w:val="21"/>
                <w:szCs w:val="21"/>
                <w:highlight w:val="none"/>
                <w:lang w:eastAsia="zh-Hans"/>
              </w:rPr>
              <w:t>监听</w:t>
            </w:r>
            <w:r>
              <w:rPr>
                <w:rFonts w:hint="eastAsia" w:ascii="仿宋" w:hAnsi="仿宋" w:eastAsia="仿宋" w:cs="仿宋"/>
                <w:color w:val="auto"/>
                <w:kern w:val="0"/>
                <w:sz w:val="21"/>
                <w:szCs w:val="21"/>
                <w:highlight w:val="none"/>
              </w:rPr>
              <w:t>日志清理工具</w:t>
            </w:r>
            <w:r>
              <w:rPr>
                <w:rFonts w:hint="eastAsia" w:ascii="仿宋" w:hAnsi="仿宋" w:eastAsia="仿宋" w:cs="仿宋"/>
                <w:b/>
                <w:bCs/>
                <w:color w:val="auto"/>
                <w:kern w:val="0"/>
                <w:sz w:val="21"/>
                <w:szCs w:val="21"/>
                <w:highlight w:val="none"/>
              </w:rPr>
              <w:t>（提供产品功能演示）</w:t>
            </w:r>
            <w:r>
              <w:rPr>
                <w:rFonts w:hint="eastAsia" w:ascii="仿宋" w:hAnsi="仿宋" w:eastAsia="仿宋" w:cs="仿宋"/>
                <w:color w:val="auto"/>
                <w:kern w:val="0"/>
                <w:sz w:val="21"/>
                <w:szCs w:val="21"/>
                <w:highlight w:val="none"/>
              </w:rPr>
              <w:t>：</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提供</w:t>
            </w:r>
            <w:r>
              <w:rPr>
                <w:rFonts w:hint="eastAsia" w:ascii="仿宋" w:hAnsi="仿宋" w:eastAsia="仿宋" w:cs="仿宋"/>
                <w:color w:val="auto"/>
                <w:kern w:val="0"/>
                <w:sz w:val="21"/>
                <w:szCs w:val="21"/>
                <w:highlight w:val="none"/>
                <w:lang w:eastAsia="zh-Hans"/>
              </w:rPr>
              <w:t>监听日志</w:t>
            </w:r>
            <w:r>
              <w:rPr>
                <w:rFonts w:hint="eastAsia" w:ascii="仿宋" w:hAnsi="仿宋" w:eastAsia="仿宋" w:cs="仿宋"/>
                <w:color w:val="auto"/>
                <w:kern w:val="0"/>
                <w:sz w:val="21"/>
                <w:szCs w:val="21"/>
                <w:highlight w:val="none"/>
              </w:rPr>
              <w:t>路径、</w:t>
            </w:r>
            <w:r>
              <w:rPr>
                <w:rFonts w:hint="eastAsia" w:ascii="仿宋" w:hAnsi="仿宋" w:eastAsia="仿宋" w:cs="仿宋"/>
                <w:color w:val="auto"/>
                <w:kern w:val="0"/>
                <w:sz w:val="21"/>
                <w:szCs w:val="21"/>
                <w:highlight w:val="none"/>
                <w:lang w:eastAsia="zh-Hans"/>
              </w:rPr>
              <w:t>大小</w:t>
            </w:r>
            <w:r>
              <w:rPr>
                <w:rFonts w:hint="eastAsia" w:ascii="仿宋" w:hAnsi="仿宋" w:eastAsia="仿宋" w:cs="仿宋"/>
                <w:color w:val="auto"/>
                <w:kern w:val="0"/>
                <w:sz w:val="21"/>
                <w:szCs w:val="21"/>
                <w:highlight w:val="none"/>
              </w:rPr>
              <w:t>等信息；</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w:t>
            </w:r>
            <w:r>
              <w:rPr>
                <w:rFonts w:hint="eastAsia" w:ascii="仿宋" w:hAnsi="仿宋" w:eastAsia="仿宋" w:cs="仿宋"/>
                <w:color w:val="auto"/>
                <w:kern w:val="0"/>
                <w:sz w:val="21"/>
                <w:szCs w:val="21"/>
                <w:highlight w:val="none"/>
                <w:lang w:eastAsia="zh-Hans"/>
              </w:rPr>
              <w:t>对监听日志进行一键</w:t>
            </w:r>
            <w:r>
              <w:rPr>
                <w:rFonts w:hint="eastAsia" w:ascii="仿宋" w:hAnsi="仿宋" w:eastAsia="仿宋" w:cs="仿宋"/>
                <w:color w:val="auto"/>
                <w:kern w:val="0"/>
                <w:sz w:val="21"/>
                <w:szCs w:val="21"/>
                <w:highlight w:val="none"/>
              </w:rPr>
              <w:t>清理。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809"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3706" w:type="pct"/>
            <w:noWrap w:val="0"/>
            <w:tcMar>
              <w:top w:w="28" w:type="dxa"/>
              <w:bottom w:w="28" w:type="dxa"/>
            </w:tcMar>
            <w:vAlign w:val="center"/>
          </w:tcPr>
          <w:p>
            <w:pPr>
              <w:keepNext w:val="0"/>
              <w:keepLines w:val="0"/>
              <w:pageBreakBefore w:val="0"/>
              <w:numPr>
                <w:ilvl w:val="0"/>
                <w:numId w:val="16"/>
              </w:numPr>
              <w:kinsoku/>
              <w:wordWrap/>
              <w:overflowPunct/>
              <w:topLinePunct w:val="0"/>
              <w:autoSpaceDE/>
              <w:autoSpaceDN/>
              <w:bidi w:val="0"/>
              <w:adjustRightInd w:val="0"/>
              <w:snapToGrid/>
              <w:spacing w:line="360" w:lineRule="exact"/>
              <w:ind w:left="0" w:leftChars="0" w:firstLine="0" w:firstLineChars="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提供</w:t>
            </w:r>
            <w:r>
              <w:rPr>
                <w:rFonts w:hint="eastAsia" w:ascii="仿宋" w:hAnsi="仿宋" w:eastAsia="仿宋" w:cs="仿宋"/>
                <w:color w:val="auto"/>
                <w:kern w:val="0"/>
                <w:sz w:val="21"/>
                <w:szCs w:val="21"/>
                <w:highlight w:val="none"/>
                <w:lang w:eastAsia="zh-Hans"/>
              </w:rPr>
              <w:t>实例启停</w:t>
            </w:r>
            <w:r>
              <w:rPr>
                <w:rFonts w:hint="eastAsia" w:ascii="仿宋" w:hAnsi="仿宋" w:eastAsia="仿宋" w:cs="仿宋"/>
                <w:color w:val="auto"/>
                <w:kern w:val="0"/>
                <w:sz w:val="21"/>
                <w:szCs w:val="21"/>
                <w:highlight w:val="none"/>
              </w:rPr>
              <w:t>工具：</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Hans"/>
              </w:rPr>
              <w:t>支持对实例一键启动、停止操作</w:t>
            </w:r>
            <w:r>
              <w:rPr>
                <w:rFonts w:hint="eastAsia" w:ascii="仿宋" w:hAnsi="仿宋" w:eastAsia="仿宋" w:cs="仿宋"/>
                <w:color w:val="auto"/>
                <w:kern w:val="0"/>
                <w:sz w:val="21"/>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809"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3706" w:type="pct"/>
            <w:noWrap w:val="0"/>
            <w:tcMar>
              <w:top w:w="28" w:type="dxa"/>
              <w:bottom w:w="28" w:type="dxa"/>
            </w:tcMar>
            <w:vAlign w:val="center"/>
          </w:tcPr>
          <w:p>
            <w:pPr>
              <w:keepNext w:val="0"/>
              <w:keepLines w:val="0"/>
              <w:pageBreakBefore w:val="0"/>
              <w:numPr>
                <w:ilvl w:val="0"/>
                <w:numId w:val="16"/>
              </w:numPr>
              <w:kinsoku/>
              <w:wordWrap/>
              <w:overflowPunct/>
              <w:topLinePunct w:val="0"/>
              <w:autoSpaceDE/>
              <w:autoSpaceDN/>
              <w:bidi w:val="0"/>
              <w:adjustRightInd w:val="0"/>
              <w:snapToGrid/>
              <w:spacing w:line="360" w:lineRule="exact"/>
              <w:ind w:left="0" w:leftChars="0" w:firstLine="0" w:firstLineChars="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提供DUMP文件导出工具：</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支持exp、expdp两种类别导出dump文件。</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支持全库、用户、</w:t>
            </w:r>
            <w:r>
              <w:rPr>
                <w:rFonts w:hint="eastAsia" w:ascii="仿宋" w:hAnsi="仿宋" w:eastAsia="仿宋" w:cs="仿宋"/>
                <w:color w:val="auto"/>
                <w:kern w:val="0"/>
                <w:sz w:val="21"/>
                <w:szCs w:val="21"/>
                <w:highlight w:val="none"/>
                <w:lang w:eastAsia="zh-Hans"/>
              </w:rPr>
              <w:t>表格三</w:t>
            </w:r>
            <w:r>
              <w:rPr>
                <w:rFonts w:hint="eastAsia" w:ascii="仿宋" w:hAnsi="仿宋" w:eastAsia="仿宋" w:cs="仿宋"/>
                <w:color w:val="auto"/>
                <w:kern w:val="0"/>
                <w:sz w:val="21"/>
                <w:szCs w:val="21"/>
                <w:highlight w:val="none"/>
              </w:rPr>
              <w:t>种方式导出dump文件。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809"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3706" w:type="pct"/>
            <w:noWrap w:val="0"/>
            <w:tcMar>
              <w:top w:w="28" w:type="dxa"/>
              <w:bottom w:w="28" w:type="dxa"/>
            </w:tcMar>
            <w:vAlign w:val="center"/>
          </w:tcPr>
          <w:p>
            <w:pPr>
              <w:keepNext w:val="0"/>
              <w:keepLines w:val="0"/>
              <w:pageBreakBefore w:val="0"/>
              <w:numPr>
                <w:ilvl w:val="0"/>
                <w:numId w:val="16"/>
              </w:numPr>
              <w:kinsoku/>
              <w:wordWrap/>
              <w:overflowPunct/>
              <w:topLinePunct w:val="0"/>
              <w:autoSpaceDE/>
              <w:autoSpaceDN/>
              <w:bidi w:val="0"/>
              <w:adjustRightInd w:val="0"/>
              <w:snapToGrid/>
              <w:spacing w:line="360" w:lineRule="exact"/>
              <w:ind w:left="0" w:leftChars="0" w:firstLine="0" w:firstLineChars="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提供主机连接检测工具：</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支持一键实时发起主机连接检测，提供主机连接检测结果。</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提供主机连接检测详细信息，至少包含：主机名、程序名、总连接数、状态等。</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支持一键中止主机连接。</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支持主机连接历史记录查看。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809" w:type="pct"/>
            <w:vMerge w:val="continue"/>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p>
        </w:tc>
        <w:tc>
          <w:tcPr>
            <w:tcW w:w="3706" w:type="pct"/>
            <w:noWrap w:val="0"/>
            <w:tcMar>
              <w:top w:w="28" w:type="dxa"/>
              <w:bottom w:w="28" w:type="dxa"/>
            </w:tcMar>
            <w:vAlign w:val="center"/>
          </w:tcPr>
          <w:p>
            <w:pPr>
              <w:keepNext w:val="0"/>
              <w:keepLines w:val="0"/>
              <w:pageBreakBefore w:val="0"/>
              <w:numPr>
                <w:ilvl w:val="0"/>
                <w:numId w:val="16"/>
              </w:numPr>
              <w:kinsoku/>
              <w:wordWrap/>
              <w:overflowPunct/>
              <w:topLinePunct w:val="0"/>
              <w:autoSpaceDE/>
              <w:autoSpaceDN/>
              <w:bidi w:val="0"/>
              <w:adjustRightInd w:val="0"/>
              <w:snapToGrid/>
              <w:spacing w:line="360" w:lineRule="exact"/>
              <w:ind w:left="0" w:leftChars="0" w:firstLine="0" w:firstLineChars="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提供数据库SCN检测工具：</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支持查看数据库对象SCN检测详细信息，包括：数据库版本号、补丁集、SCN增长速率、当前SCN值、Headroom值以及临界值。</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提供数据库对象SCN趋势分布图。</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提供SCN检测结论和建议。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62" w:hRule="atLeast"/>
        </w:trPr>
        <w:tc>
          <w:tcPr>
            <w:tcW w:w="485"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w:t>
            </w:r>
            <w:r>
              <w:rPr>
                <w:rFonts w:hint="eastAsia" w:ascii="仿宋" w:hAnsi="仿宋" w:eastAsia="仿宋" w:cs="仿宋"/>
                <w:color w:val="auto"/>
                <w:kern w:val="0"/>
                <w:sz w:val="21"/>
                <w:szCs w:val="21"/>
                <w:highlight w:val="none"/>
                <w:lang w:val="en-US" w:eastAsia="zh-CN"/>
              </w:rPr>
              <w:t>5</w:t>
            </w:r>
          </w:p>
        </w:tc>
        <w:tc>
          <w:tcPr>
            <w:tcW w:w="809"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lang w:eastAsia="zh-Hans"/>
              </w:rPr>
            </w:pPr>
            <w:r>
              <w:rPr>
                <w:rFonts w:hint="eastAsia" w:ascii="仿宋" w:hAnsi="仿宋" w:eastAsia="仿宋" w:cs="仿宋"/>
                <w:color w:val="auto"/>
                <w:kern w:val="0"/>
                <w:sz w:val="21"/>
                <w:szCs w:val="21"/>
                <w:highlight w:val="none"/>
                <w:lang w:eastAsia="zh-Hans"/>
              </w:rPr>
              <w:t>数据库备份</w:t>
            </w:r>
          </w:p>
        </w:tc>
        <w:tc>
          <w:tcPr>
            <w:tcW w:w="3706" w:type="pct"/>
            <w:noWrap w:val="0"/>
            <w:tcMar>
              <w:top w:w="28" w:type="dxa"/>
              <w:bottom w:w="28" w:type="dxa"/>
            </w:tcMar>
            <w:vAlign w:val="center"/>
          </w:tcPr>
          <w:p>
            <w:pPr>
              <w:pStyle w:val="966"/>
              <w:keepNext w:val="0"/>
              <w:keepLines w:val="0"/>
              <w:pageBreakBefore w:val="0"/>
              <w:tabs>
                <w:tab w:val="left" w:pos="862"/>
              </w:tabs>
              <w:kinsoku/>
              <w:wordWrap/>
              <w:overflowPunct/>
              <w:topLinePunct w:val="0"/>
              <w:autoSpaceDE/>
              <w:autoSpaceDN/>
              <w:bidi w:val="0"/>
              <w:adjustRightInd w:val="0"/>
              <w:snapToGrid/>
              <w:spacing w:line="360" w:lineRule="exact"/>
              <w:ind w:firstLine="0" w:firstLineChars="0"/>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Hans"/>
              </w:rPr>
              <w:t>提供数据库备份能力，包括如下支持</w:t>
            </w:r>
            <w:r>
              <w:rPr>
                <w:rFonts w:hint="eastAsia" w:ascii="仿宋" w:hAnsi="仿宋" w:eastAsia="仿宋" w:cs="仿宋"/>
                <w:color w:val="auto"/>
                <w:kern w:val="0"/>
                <w:sz w:val="21"/>
                <w:szCs w:val="21"/>
                <w:highlight w:val="none"/>
              </w:rPr>
              <w:t>：</w:t>
            </w:r>
          </w:p>
          <w:p>
            <w:pPr>
              <w:pStyle w:val="259"/>
              <w:keepNext w:val="0"/>
              <w:keepLines w:val="0"/>
              <w:pageBreakBefore w:val="0"/>
              <w:widowControl w:val="0"/>
              <w:numPr>
                <w:ilvl w:val="0"/>
                <w:numId w:val="17"/>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lang w:eastAsia="zh-Hans"/>
              </w:rPr>
            </w:pPr>
            <w:r>
              <w:rPr>
                <w:rFonts w:hint="eastAsia" w:ascii="仿宋" w:hAnsi="仿宋" w:eastAsia="仿宋" w:cs="仿宋"/>
                <w:color w:val="auto"/>
                <w:kern w:val="0"/>
                <w:sz w:val="21"/>
                <w:szCs w:val="21"/>
                <w:highlight w:val="none"/>
                <w:lang w:eastAsia="zh-Hans"/>
              </w:rPr>
              <w:t>支持数据库的全量备份、增量备份、永久增量备份</w:t>
            </w:r>
            <w:r>
              <w:rPr>
                <w:rFonts w:hint="eastAsia" w:ascii="仿宋" w:hAnsi="仿宋" w:eastAsia="仿宋" w:cs="仿宋"/>
                <w:color w:val="auto"/>
                <w:kern w:val="0"/>
                <w:sz w:val="21"/>
                <w:szCs w:val="21"/>
                <w:highlight w:val="none"/>
              </w:rPr>
              <w:t>。</w:t>
            </w:r>
          </w:p>
          <w:p>
            <w:pPr>
              <w:pStyle w:val="259"/>
              <w:keepNext w:val="0"/>
              <w:keepLines w:val="0"/>
              <w:pageBreakBefore w:val="0"/>
              <w:widowControl w:val="0"/>
              <w:numPr>
                <w:ilvl w:val="0"/>
                <w:numId w:val="17"/>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lang w:eastAsia="zh-Hans"/>
              </w:rPr>
            </w:pPr>
            <w:r>
              <w:rPr>
                <w:rFonts w:hint="eastAsia" w:ascii="仿宋" w:hAnsi="仿宋" w:eastAsia="仿宋" w:cs="仿宋"/>
                <w:color w:val="auto"/>
                <w:kern w:val="0"/>
                <w:sz w:val="21"/>
                <w:szCs w:val="21"/>
                <w:highlight w:val="none"/>
                <w:lang w:eastAsia="zh-Hans"/>
              </w:rPr>
              <w:t>支持自定义备份时间计划，如按间隔时间、按周、按月等</w:t>
            </w:r>
          </w:p>
          <w:p>
            <w:pPr>
              <w:pStyle w:val="259"/>
              <w:keepNext w:val="0"/>
              <w:keepLines w:val="0"/>
              <w:pageBreakBefore w:val="0"/>
              <w:widowControl w:val="0"/>
              <w:numPr>
                <w:ilvl w:val="0"/>
                <w:numId w:val="17"/>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lang w:eastAsia="zh-Hans"/>
              </w:rPr>
            </w:pPr>
            <w:r>
              <w:rPr>
                <w:rFonts w:hint="eastAsia" w:ascii="仿宋" w:hAnsi="仿宋" w:eastAsia="仿宋" w:cs="仿宋"/>
                <w:color w:val="auto"/>
                <w:kern w:val="0"/>
                <w:sz w:val="21"/>
                <w:szCs w:val="21"/>
                <w:highlight w:val="none"/>
                <w:lang w:eastAsia="zh-Hans"/>
              </w:rPr>
              <w:t>支持查看备份记录和日志信息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w:t>
            </w:r>
            <w:r>
              <w:rPr>
                <w:rFonts w:hint="eastAsia" w:ascii="仿宋" w:hAnsi="仿宋" w:eastAsia="仿宋" w:cs="仿宋"/>
                <w:color w:val="auto"/>
                <w:kern w:val="0"/>
                <w:sz w:val="21"/>
                <w:szCs w:val="21"/>
                <w:highlight w:val="none"/>
                <w:lang w:val="en-US" w:eastAsia="zh-CN"/>
              </w:rPr>
              <w:t>6</w:t>
            </w:r>
          </w:p>
        </w:tc>
        <w:tc>
          <w:tcPr>
            <w:tcW w:w="809"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告警</w:t>
            </w:r>
          </w:p>
        </w:tc>
        <w:tc>
          <w:tcPr>
            <w:tcW w:w="3706" w:type="pct"/>
            <w:noWrap w:val="0"/>
            <w:tcMar>
              <w:top w:w="28" w:type="dxa"/>
              <w:bottom w:w="28" w:type="dxa"/>
            </w:tcMar>
            <w:vAlign w:val="center"/>
          </w:tcPr>
          <w:p>
            <w:pPr>
              <w:pStyle w:val="259"/>
              <w:keepNext w:val="0"/>
              <w:keepLines w:val="0"/>
              <w:pageBreakBefore w:val="0"/>
              <w:widowControl w:val="0"/>
              <w:numPr>
                <w:ilvl w:val="0"/>
                <w:numId w:val="18"/>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支持待处理告警和日常运维工具的自动关联。</w:t>
            </w:r>
          </w:p>
          <w:p>
            <w:pPr>
              <w:pStyle w:val="259"/>
              <w:keepNext w:val="0"/>
              <w:keepLines w:val="0"/>
              <w:pageBreakBefore w:val="0"/>
              <w:widowControl w:val="0"/>
              <w:numPr>
                <w:ilvl w:val="0"/>
                <w:numId w:val="18"/>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历史告警支持按时间线进行聚合展示。</w:t>
            </w:r>
          </w:p>
          <w:p>
            <w:pPr>
              <w:pStyle w:val="259"/>
              <w:keepNext w:val="0"/>
              <w:keepLines w:val="0"/>
              <w:pageBreakBefore w:val="0"/>
              <w:widowControl w:val="0"/>
              <w:numPr>
                <w:ilvl w:val="0"/>
                <w:numId w:val="18"/>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支持对指定待处理告警进行隔离，隔离后的待处理告警不影响数据库健康指数。</w:t>
            </w:r>
          </w:p>
          <w:p>
            <w:pPr>
              <w:pStyle w:val="259"/>
              <w:keepNext w:val="0"/>
              <w:keepLines w:val="0"/>
              <w:pageBreakBefore w:val="0"/>
              <w:widowControl w:val="0"/>
              <w:numPr>
                <w:ilvl w:val="0"/>
                <w:numId w:val="18"/>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支持在默认告警模版基础上实现告警模版自定义</w:t>
            </w:r>
          </w:p>
          <w:p>
            <w:pPr>
              <w:pStyle w:val="259"/>
              <w:keepNext w:val="0"/>
              <w:keepLines w:val="0"/>
              <w:pageBreakBefore w:val="0"/>
              <w:widowControl w:val="0"/>
              <w:numPr>
                <w:ilvl w:val="0"/>
                <w:numId w:val="18"/>
              </w:numPr>
              <w:kinsoku/>
              <w:wordWrap/>
              <w:overflowPunct/>
              <w:topLinePunct w:val="0"/>
              <w:autoSpaceDE/>
              <w:autoSpaceDN/>
              <w:bidi w:val="0"/>
              <w:adjustRightInd w:val="0"/>
              <w:snapToGrid/>
              <w:spacing w:line="360" w:lineRule="exact"/>
              <w:ind w:left="360" w:leftChars="0" w:hanging="36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Hans"/>
              </w:rPr>
              <w:t>支持对待处理告警的关联诊断分析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1</w:t>
            </w:r>
            <w:r>
              <w:rPr>
                <w:rFonts w:hint="eastAsia" w:ascii="仿宋" w:hAnsi="仿宋" w:eastAsia="仿宋" w:cs="仿宋"/>
                <w:color w:val="auto"/>
                <w:kern w:val="0"/>
                <w:sz w:val="21"/>
                <w:szCs w:val="21"/>
                <w:highlight w:val="none"/>
                <w:lang w:val="en-US" w:eastAsia="zh-CN"/>
              </w:rPr>
              <w:t>7</w:t>
            </w:r>
          </w:p>
        </w:tc>
        <w:tc>
          <w:tcPr>
            <w:tcW w:w="809"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通知</w:t>
            </w:r>
          </w:p>
        </w:tc>
        <w:tc>
          <w:tcPr>
            <w:tcW w:w="3706" w:type="pct"/>
            <w:noWrap w:val="0"/>
            <w:tcMar>
              <w:top w:w="28" w:type="dxa"/>
              <w:bottom w:w="28" w:type="dxa"/>
            </w:tcMar>
            <w:vAlign w:val="center"/>
          </w:tcPr>
          <w:p>
            <w:pPr>
              <w:pStyle w:val="259"/>
              <w:keepNext w:val="0"/>
              <w:keepLines w:val="0"/>
              <w:pageBreakBefore w:val="0"/>
              <w:widowControl w:val="0"/>
              <w:numPr>
                <w:ilvl w:val="0"/>
                <w:numId w:val="19"/>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支持邮件、</w:t>
            </w:r>
            <w:r>
              <w:rPr>
                <w:rFonts w:hint="eastAsia" w:ascii="仿宋" w:hAnsi="仿宋" w:eastAsia="仿宋" w:cs="仿宋"/>
                <w:color w:val="auto"/>
                <w:kern w:val="0"/>
                <w:sz w:val="21"/>
                <w:szCs w:val="21"/>
                <w:highlight w:val="none"/>
                <w:lang w:eastAsia="zh-Hans"/>
              </w:rPr>
              <w:t>企业</w:t>
            </w:r>
            <w:r>
              <w:rPr>
                <w:rFonts w:hint="eastAsia" w:ascii="仿宋" w:hAnsi="仿宋" w:eastAsia="仿宋" w:cs="仿宋"/>
                <w:color w:val="auto"/>
                <w:kern w:val="0"/>
                <w:sz w:val="21"/>
                <w:szCs w:val="21"/>
                <w:highlight w:val="none"/>
              </w:rPr>
              <w:t>微信、钉钉、短信等通知方式。</w:t>
            </w:r>
          </w:p>
          <w:p>
            <w:pPr>
              <w:pStyle w:val="259"/>
              <w:keepNext w:val="0"/>
              <w:keepLines w:val="0"/>
              <w:pageBreakBefore w:val="0"/>
              <w:widowControl w:val="0"/>
              <w:numPr>
                <w:ilvl w:val="0"/>
                <w:numId w:val="19"/>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通知内容包括告警、错误日志，并支持自定义选择。</w:t>
            </w:r>
          </w:p>
          <w:p>
            <w:pPr>
              <w:pStyle w:val="259"/>
              <w:keepNext w:val="0"/>
              <w:keepLines w:val="0"/>
              <w:pageBreakBefore w:val="0"/>
              <w:widowControl w:val="0"/>
              <w:numPr>
                <w:ilvl w:val="0"/>
                <w:numId w:val="19"/>
              </w:numPr>
              <w:kinsoku/>
              <w:wordWrap/>
              <w:overflowPunct/>
              <w:topLinePunct w:val="0"/>
              <w:autoSpaceDE/>
              <w:autoSpaceDN/>
              <w:bidi w:val="0"/>
              <w:adjustRightInd w:val="0"/>
              <w:snapToGrid/>
              <w:spacing w:line="360" w:lineRule="exact"/>
              <w:ind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通知支持聚合降噪，避免状态抖动引发的通知泛滥。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000" w:type="pct"/>
            <w:gridSpan w:val="3"/>
            <w:noWrap w:val="0"/>
            <w:tcMar>
              <w:top w:w="28" w:type="dxa"/>
              <w:bottom w:w="28" w:type="dxa"/>
            </w:tcMar>
            <w:vAlign w:val="center"/>
          </w:tcPr>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b/>
                <w:color w:val="auto"/>
                <w:sz w:val="21"/>
                <w:szCs w:val="21"/>
                <w:highlight w:val="none"/>
              </w:rPr>
              <w:t>三、服务要求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c>
          <w:tcPr>
            <w:tcW w:w="809"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预防性定期巡检服务</w:t>
            </w:r>
          </w:p>
        </w:tc>
        <w:tc>
          <w:tcPr>
            <w:tcW w:w="3706" w:type="pct"/>
            <w:noWrap w:val="0"/>
            <w:tcMar>
              <w:top w:w="28" w:type="dxa"/>
              <w:bottom w:w="28" w:type="dxa"/>
            </w:tcMar>
            <w:vAlign w:val="center"/>
          </w:tcPr>
          <w:p>
            <w:pPr>
              <w:pStyle w:val="259"/>
              <w:keepNext w:val="0"/>
              <w:keepLines w:val="0"/>
              <w:pageBreakBefore w:val="0"/>
              <w:kinsoku/>
              <w:wordWrap/>
              <w:overflowPunct/>
              <w:topLinePunct w:val="0"/>
              <w:autoSpaceDE/>
              <w:autoSpaceDN/>
              <w:bidi w:val="0"/>
              <w:adjustRightInd w:val="0"/>
              <w:snapToGrid/>
              <w:spacing w:line="360" w:lineRule="exact"/>
              <w:ind w:firstLine="0" w:firstLineChars="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每年提供4次现场预防性定期巡检服务，检查至少包括以下内容：</w:t>
            </w:r>
          </w:p>
          <w:p>
            <w:pPr>
              <w:pStyle w:val="259"/>
              <w:keepNext w:val="0"/>
              <w:keepLines w:val="0"/>
              <w:pageBreakBefore w:val="0"/>
              <w:kinsoku/>
              <w:wordWrap/>
              <w:overflowPunct/>
              <w:topLinePunct w:val="0"/>
              <w:autoSpaceDE/>
              <w:autoSpaceDN/>
              <w:bidi w:val="0"/>
              <w:adjustRightInd w:val="0"/>
              <w:snapToGrid/>
              <w:spacing w:line="360" w:lineRule="exact"/>
              <w:ind w:firstLine="0" w:firstLineChars="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a)</w:t>
            </w:r>
            <w:r>
              <w:rPr>
                <w:rFonts w:hint="eastAsia" w:ascii="仿宋" w:hAnsi="仿宋" w:eastAsia="仿宋" w:cs="仿宋"/>
                <w:color w:val="auto"/>
                <w:kern w:val="0"/>
                <w:sz w:val="21"/>
                <w:szCs w:val="21"/>
                <w:highlight w:val="none"/>
              </w:rPr>
              <w:tab/>
            </w:r>
            <w:r>
              <w:rPr>
                <w:rFonts w:hint="eastAsia" w:ascii="仿宋" w:hAnsi="仿宋" w:eastAsia="仿宋" w:cs="仿宋"/>
                <w:color w:val="auto"/>
                <w:kern w:val="0"/>
                <w:sz w:val="21"/>
                <w:szCs w:val="21"/>
                <w:highlight w:val="none"/>
              </w:rPr>
              <w:t>检查相关软硬件、数据库配置和SGA、PGA的配置情况；</w:t>
            </w:r>
          </w:p>
          <w:p>
            <w:pPr>
              <w:pStyle w:val="259"/>
              <w:keepNext w:val="0"/>
              <w:keepLines w:val="0"/>
              <w:pageBreakBefore w:val="0"/>
              <w:kinsoku/>
              <w:wordWrap/>
              <w:overflowPunct/>
              <w:topLinePunct w:val="0"/>
              <w:autoSpaceDE/>
              <w:autoSpaceDN/>
              <w:bidi w:val="0"/>
              <w:adjustRightInd w:val="0"/>
              <w:snapToGrid/>
              <w:spacing w:line="360" w:lineRule="exact"/>
              <w:ind w:firstLine="0" w:firstLineChars="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b)</w:t>
            </w:r>
            <w:r>
              <w:rPr>
                <w:rFonts w:hint="eastAsia" w:ascii="仿宋" w:hAnsi="仿宋" w:eastAsia="仿宋" w:cs="仿宋"/>
                <w:color w:val="auto"/>
                <w:kern w:val="0"/>
                <w:sz w:val="21"/>
                <w:szCs w:val="21"/>
                <w:highlight w:val="none"/>
              </w:rPr>
              <w:tab/>
            </w:r>
            <w:r>
              <w:rPr>
                <w:rFonts w:hint="eastAsia" w:ascii="仿宋" w:hAnsi="仿宋" w:eastAsia="仿宋" w:cs="仿宋"/>
                <w:color w:val="auto"/>
                <w:kern w:val="0"/>
                <w:sz w:val="21"/>
                <w:szCs w:val="21"/>
                <w:highlight w:val="none"/>
              </w:rPr>
              <w:t>检查数据库、备份结果集、各表空间的变化情况等，并对数据变化情况作评估；</w:t>
            </w:r>
          </w:p>
          <w:p>
            <w:pPr>
              <w:pStyle w:val="259"/>
              <w:keepNext w:val="0"/>
              <w:keepLines w:val="0"/>
              <w:pageBreakBefore w:val="0"/>
              <w:kinsoku/>
              <w:wordWrap/>
              <w:overflowPunct/>
              <w:topLinePunct w:val="0"/>
              <w:autoSpaceDE/>
              <w:autoSpaceDN/>
              <w:bidi w:val="0"/>
              <w:adjustRightInd w:val="0"/>
              <w:snapToGrid/>
              <w:spacing w:line="360" w:lineRule="exact"/>
              <w:ind w:firstLine="0" w:firstLineChars="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c)</w:t>
            </w:r>
            <w:r>
              <w:rPr>
                <w:rFonts w:hint="eastAsia" w:ascii="仿宋" w:hAnsi="仿宋" w:eastAsia="仿宋" w:cs="仿宋"/>
                <w:color w:val="auto"/>
                <w:kern w:val="0"/>
                <w:sz w:val="21"/>
                <w:szCs w:val="21"/>
                <w:highlight w:val="none"/>
              </w:rPr>
              <w:tab/>
            </w:r>
            <w:r>
              <w:rPr>
                <w:rFonts w:hint="eastAsia" w:ascii="仿宋" w:hAnsi="仿宋" w:eastAsia="仿宋" w:cs="仿宋"/>
                <w:color w:val="auto"/>
                <w:kern w:val="0"/>
                <w:sz w:val="21"/>
                <w:szCs w:val="21"/>
                <w:highlight w:val="none"/>
              </w:rPr>
              <w:t>统计当前表空间、文件系统和数据文件的使用情况；</w:t>
            </w:r>
          </w:p>
          <w:p>
            <w:pPr>
              <w:pStyle w:val="259"/>
              <w:keepNext w:val="0"/>
              <w:keepLines w:val="0"/>
              <w:pageBreakBefore w:val="0"/>
              <w:kinsoku/>
              <w:wordWrap/>
              <w:overflowPunct/>
              <w:topLinePunct w:val="0"/>
              <w:autoSpaceDE/>
              <w:autoSpaceDN/>
              <w:bidi w:val="0"/>
              <w:adjustRightInd w:val="0"/>
              <w:snapToGrid/>
              <w:spacing w:line="360" w:lineRule="exact"/>
              <w:ind w:firstLine="0" w:firstLineChars="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d)</w:t>
            </w:r>
            <w:r>
              <w:rPr>
                <w:rFonts w:hint="eastAsia" w:ascii="仿宋" w:hAnsi="仿宋" w:eastAsia="仿宋" w:cs="仿宋"/>
                <w:color w:val="auto"/>
                <w:kern w:val="0"/>
                <w:sz w:val="21"/>
                <w:szCs w:val="21"/>
                <w:highlight w:val="none"/>
              </w:rPr>
              <w:tab/>
            </w:r>
            <w:r>
              <w:rPr>
                <w:rFonts w:hint="eastAsia" w:ascii="仿宋" w:hAnsi="仿宋" w:eastAsia="仿宋" w:cs="仿宋"/>
                <w:color w:val="auto"/>
                <w:kern w:val="0"/>
                <w:sz w:val="21"/>
                <w:szCs w:val="21"/>
                <w:highlight w:val="none"/>
              </w:rPr>
              <w:t>检查数据库alert.log日志文件和相关trace文件；</w:t>
            </w:r>
          </w:p>
          <w:p>
            <w:pPr>
              <w:pStyle w:val="259"/>
              <w:keepNext w:val="0"/>
              <w:keepLines w:val="0"/>
              <w:pageBreakBefore w:val="0"/>
              <w:kinsoku/>
              <w:wordWrap/>
              <w:overflowPunct/>
              <w:topLinePunct w:val="0"/>
              <w:autoSpaceDE/>
              <w:autoSpaceDN/>
              <w:bidi w:val="0"/>
              <w:adjustRightInd w:val="0"/>
              <w:snapToGrid/>
              <w:spacing w:line="360" w:lineRule="exact"/>
              <w:ind w:firstLine="0" w:firstLineChars="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e)</w:t>
            </w:r>
            <w:r>
              <w:rPr>
                <w:rFonts w:hint="eastAsia" w:ascii="仿宋" w:hAnsi="仿宋" w:eastAsia="仿宋" w:cs="仿宋"/>
                <w:color w:val="auto"/>
                <w:kern w:val="0"/>
                <w:sz w:val="21"/>
                <w:szCs w:val="21"/>
                <w:highlight w:val="none"/>
              </w:rPr>
              <w:tab/>
            </w:r>
            <w:r>
              <w:rPr>
                <w:rFonts w:hint="eastAsia" w:ascii="仿宋" w:hAnsi="仿宋" w:eastAsia="仿宋" w:cs="仿宋"/>
                <w:color w:val="auto"/>
                <w:kern w:val="0"/>
                <w:sz w:val="21"/>
                <w:szCs w:val="21"/>
                <w:highlight w:val="none"/>
              </w:rPr>
              <w:t>检查操作系统用户、数据库用户、系统本身的安全性；</w:t>
            </w:r>
          </w:p>
          <w:p>
            <w:pPr>
              <w:pStyle w:val="259"/>
              <w:keepNext w:val="0"/>
              <w:keepLines w:val="0"/>
              <w:pageBreakBefore w:val="0"/>
              <w:kinsoku/>
              <w:wordWrap/>
              <w:overflowPunct/>
              <w:topLinePunct w:val="0"/>
              <w:autoSpaceDE/>
              <w:autoSpaceDN/>
              <w:bidi w:val="0"/>
              <w:adjustRightInd w:val="0"/>
              <w:snapToGrid/>
              <w:spacing w:line="360" w:lineRule="exact"/>
              <w:ind w:firstLine="0" w:firstLineChars="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f)</w:t>
            </w:r>
            <w:r>
              <w:rPr>
                <w:rFonts w:hint="eastAsia" w:ascii="仿宋" w:hAnsi="仿宋" w:eastAsia="仿宋" w:cs="仿宋"/>
                <w:color w:val="auto"/>
                <w:kern w:val="0"/>
                <w:sz w:val="21"/>
                <w:szCs w:val="21"/>
                <w:highlight w:val="none"/>
              </w:rPr>
              <w:tab/>
            </w:r>
            <w:r>
              <w:rPr>
                <w:rFonts w:hint="eastAsia" w:ascii="仿宋" w:hAnsi="仿宋" w:eastAsia="仿宋" w:cs="仿宋"/>
                <w:color w:val="auto"/>
                <w:kern w:val="0"/>
                <w:sz w:val="21"/>
                <w:szCs w:val="21"/>
                <w:highlight w:val="none"/>
              </w:rPr>
              <w:t>收集数据库运行期间的负载情况和Instance各性能指标；</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g)</w:t>
            </w:r>
            <w:r>
              <w:rPr>
                <w:rFonts w:hint="eastAsia" w:ascii="仿宋" w:hAnsi="仿宋" w:eastAsia="仿宋" w:cs="仿宋"/>
                <w:color w:val="auto"/>
                <w:kern w:val="0"/>
                <w:sz w:val="21"/>
                <w:szCs w:val="21"/>
                <w:highlight w:val="none"/>
              </w:rPr>
              <w:tab/>
            </w:r>
            <w:r>
              <w:rPr>
                <w:rFonts w:hint="eastAsia" w:ascii="仿宋" w:hAnsi="仿宋" w:eastAsia="仿宋" w:cs="仿宋"/>
                <w:color w:val="auto"/>
                <w:kern w:val="0"/>
                <w:sz w:val="21"/>
                <w:szCs w:val="21"/>
                <w:highlight w:val="none"/>
              </w:rPr>
              <w:t>检查数据库备份是否正常；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809"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7*24小时远程咨询服务</w:t>
            </w:r>
          </w:p>
        </w:tc>
        <w:tc>
          <w:tcPr>
            <w:tcW w:w="3706" w:type="pct"/>
            <w:noWrap w:val="0"/>
            <w:tcMar>
              <w:top w:w="28" w:type="dxa"/>
              <w:bottom w:w="28" w:type="dxa"/>
            </w:tcMar>
            <w:vAlign w:val="center"/>
          </w:tcPr>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对数据库系统故障或与数据库系统相关联的系统故障，提供7*24小时不间断非现场(可以是400电话、e-mail、VPN、QQ等形式)支持服务，通过以上方式直接联络服务商的技术工程师，寻求问题的解决方案、技术文档以及技术指导，提供故障处理案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c>
          <w:tcPr>
            <w:tcW w:w="809" w:type="pct"/>
            <w:noWrap w:val="0"/>
            <w:tcMar>
              <w:top w:w="28" w:type="dxa"/>
              <w:bottom w:w="28" w:type="dxa"/>
            </w:tcMar>
            <w:vAlign w:val="center"/>
          </w:tcPr>
          <w:p>
            <w:pPr>
              <w:keepNext w:val="0"/>
              <w:keepLines w:val="0"/>
              <w:pageBreakBefore w:val="0"/>
              <w:kinsoku/>
              <w:wordWrap/>
              <w:overflowPunct/>
              <w:topLinePunct w:val="0"/>
              <w:autoSpaceDE/>
              <w:autoSpaceDN/>
              <w:bidi w:val="0"/>
              <w:adjustRightInd w:val="0"/>
              <w:snapToGrid/>
              <w:spacing w:line="36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现场及优化服务</w:t>
            </w:r>
          </w:p>
        </w:tc>
        <w:tc>
          <w:tcPr>
            <w:tcW w:w="3706" w:type="pct"/>
            <w:noWrap w:val="0"/>
            <w:tcMar>
              <w:top w:w="28" w:type="dxa"/>
              <w:bottom w:w="28" w:type="dxa"/>
            </w:tcMar>
            <w:vAlign w:val="center"/>
          </w:tcPr>
          <w:p>
            <w:pPr>
              <w:pStyle w:val="259"/>
              <w:keepNext w:val="0"/>
              <w:keepLines w:val="0"/>
              <w:pageBreakBefore w:val="0"/>
              <w:kinsoku/>
              <w:wordWrap/>
              <w:overflowPunct/>
              <w:topLinePunct w:val="0"/>
              <w:autoSpaceDE/>
              <w:autoSpaceDN/>
              <w:bidi w:val="0"/>
              <w:adjustRightInd w:val="0"/>
              <w:snapToGrid/>
              <w:spacing w:line="360" w:lineRule="exact"/>
              <w:ind w:firstLine="0" w:firstLineChars="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提供一年现场服务</w:t>
            </w:r>
            <w:r>
              <w:rPr>
                <w:rFonts w:hint="eastAsia" w:ascii="仿宋" w:hAnsi="仿宋" w:eastAsia="仿宋" w:cs="仿宋"/>
                <w:color w:val="auto"/>
                <w:kern w:val="0"/>
                <w:sz w:val="21"/>
                <w:szCs w:val="21"/>
                <w:highlight w:val="none"/>
                <w:lang w:val="en-US" w:eastAsia="zh-CN"/>
              </w:rPr>
              <w:t>(1名工程师*48小时）</w:t>
            </w:r>
            <w:r>
              <w:rPr>
                <w:rFonts w:hint="eastAsia" w:ascii="仿宋" w:hAnsi="仿宋" w:eastAsia="仿宋" w:cs="仿宋"/>
                <w:color w:val="auto"/>
                <w:kern w:val="0"/>
                <w:sz w:val="21"/>
                <w:szCs w:val="21"/>
                <w:highlight w:val="none"/>
              </w:rPr>
              <w:t>和数据库高级优化服务</w:t>
            </w:r>
            <w:r>
              <w:rPr>
                <w:rFonts w:hint="eastAsia" w:ascii="仿宋" w:hAnsi="仿宋" w:eastAsia="仿宋" w:cs="仿宋"/>
                <w:color w:val="auto"/>
                <w:kern w:val="0"/>
                <w:sz w:val="21"/>
                <w:szCs w:val="21"/>
                <w:highlight w:val="none"/>
                <w:lang w:val="en-US" w:eastAsia="zh-CN"/>
              </w:rPr>
              <w:t>(1名工程师*48小时）</w:t>
            </w:r>
            <w:r>
              <w:rPr>
                <w:rFonts w:hint="eastAsia" w:ascii="仿宋" w:hAnsi="仿宋" w:eastAsia="仿宋" w:cs="仿宋"/>
                <w:color w:val="auto"/>
                <w:kern w:val="0"/>
                <w:sz w:val="21"/>
                <w:szCs w:val="21"/>
                <w:highlight w:val="none"/>
              </w:rPr>
              <w:t>，包含任意远程无法解决的相关服务内容，包含但不限于数据库现场应急支持服务、数据库现场优化服务、数据库现场保障服务等。</w:t>
            </w:r>
          </w:p>
          <w:p>
            <w:pPr>
              <w:pStyle w:val="259"/>
              <w:keepNext w:val="0"/>
              <w:keepLines w:val="0"/>
              <w:pageBreakBefore w:val="0"/>
              <w:kinsoku/>
              <w:wordWrap/>
              <w:overflowPunct/>
              <w:topLinePunct w:val="0"/>
              <w:autoSpaceDE/>
              <w:autoSpaceDN/>
              <w:bidi w:val="0"/>
              <w:adjustRightInd w:val="0"/>
              <w:snapToGrid/>
              <w:spacing w:line="360" w:lineRule="exact"/>
              <w:ind w:firstLine="0" w:firstLineChars="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①当遇到复杂性问题，需要到现场进行综合诊断或者用户要求现场支持服务的时候，服务团队人员乃至专家后援服务团队人员在4小时内到达支持现场，同时在路途中不中断电话支持以求快速解决问题。</w:t>
            </w:r>
          </w:p>
          <w:p>
            <w:pPr>
              <w:pStyle w:val="259"/>
              <w:keepNext w:val="0"/>
              <w:keepLines w:val="0"/>
              <w:pageBreakBefore w:val="0"/>
              <w:widowControl w:val="0"/>
              <w:kinsoku/>
              <w:wordWrap/>
              <w:overflowPunct/>
              <w:topLinePunct w:val="0"/>
              <w:autoSpaceDE/>
              <w:autoSpaceDN/>
              <w:bidi w:val="0"/>
              <w:adjustRightInd w:val="0"/>
              <w:snapToGrid/>
              <w:spacing w:line="360" w:lineRule="exact"/>
              <w:ind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②结合系统检查内容和用户方重大事件等实际需要，根据检查的内容和用户提出的具体需求，制定数据库性能调优方案。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000" w:type="pct"/>
            <w:gridSpan w:val="3"/>
            <w:noWrap w:val="0"/>
            <w:tcMar>
              <w:top w:w="28" w:type="dxa"/>
              <w:bottom w:w="28" w:type="dxa"/>
            </w:tcMar>
            <w:vAlign w:val="center"/>
          </w:tcPr>
          <w:p>
            <w:pPr>
              <w:pStyle w:val="966"/>
              <w:tabs>
                <w:tab w:val="left" w:pos="862"/>
              </w:tabs>
              <w:ind w:firstLine="0" w:firstLineChars="0"/>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四、产品规格与授权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noWrap w:val="0"/>
            <w:tcMar>
              <w:top w:w="28" w:type="dxa"/>
              <w:bottom w:w="28" w:type="dxa"/>
            </w:tcMar>
            <w:vAlign w:val="center"/>
          </w:tcPr>
          <w:p>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c>
          <w:tcPr>
            <w:tcW w:w="809" w:type="pct"/>
            <w:noWrap w:val="0"/>
            <w:tcMar>
              <w:top w:w="28" w:type="dxa"/>
              <w:bottom w:w="28" w:type="dxa"/>
            </w:tcMar>
            <w:vAlign w:val="center"/>
          </w:tcPr>
          <w:p>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产品形态</w:t>
            </w:r>
          </w:p>
        </w:tc>
        <w:tc>
          <w:tcPr>
            <w:tcW w:w="3706" w:type="pct"/>
            <w:noWrap w:val="0"/>
            <w:tcMar>
              <w:top w:w="28" w:type="dxa"/>
              <w:bottom w:w="28" w:type="dxa"/>
            </w:tcMar>
            <w:vAlign w:val="center"/>
          </w:tcPr>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1U机架式设备:单电源,至少具备6个电口,2个万兆光口（含光模块），至少具备1个扩展槽位,至少具备16G内存,至少具备1T存储空间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noWrap w:val="0"/>
            <w:tcMar>
              <w:top w:w="28" w:type="dxa"/>
              <w:bottom w:w="28" w:type="dxa"/>
            </w:tcMar>
            <w:vAlign w:val="center"/>
          </w:tcPr>
          <w:p>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809" w:type="pct"/>
            <w:noWrap w:val="0"/>
            <w:tcMar>
              <w:top w:w="28" w:type="dxa"/>
              <w:bottom w:w="28" w:type="dxa"/>
            </w:tcMar>
            <w:vAlign w:val="center"/>
          </w:tcPr>
          <w:p>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授权数量</w:t>
            </w:r>
          </w:p>
        </w:tc>
        <w:tc>
          <w:tcPr>
            <w:tcW w:w="3706" w:type="pct"/>
            <w:noWrap w:val="0"/>
            <w:tcMar>
              <w:top w:w="28" w:type="dxa"/>
              <w:bottom w:w="28" w:type="dxa"/>
            </w:tcMar>
            <w:vAlign w:val="center"/>
          </w:tcPr>
          <w:p>
            <w:pPr>
              <w:keepNext w:val="0"/>
              <w:keepLines w:val="0"/>
              <w:widowControl/>
              <w:suppressLineNumbers w:val="0"/>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至少支持9个数据库实例</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提供1年原厂质保服务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000" w:type="pct"/>
            <w:gridSpan w:val="3"/>
            <w:noWrap w:val="0"/>
            <w:tcMar>
              <w:top w:w="28" w:type="dxa"/>
              <w:bottom w:w="28" w:type="dxa"/>
            </w:tcMar>
            <w:vAlign w:val="center"/>
          </w:tcPr>
          <w:p>
            <w:pPr>
              <w:pStyle w:val="966"/>
              <w:tabs>
                <w:tab w:val="left" w:pos="862"/>
              </w:tabs>
              <w:ind w:firstLine="0" w:firstLineChars="0"/>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五、产品相关资质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noWrap w:val="0"/>
            <w:tcMar>
              <w:top w:w="28" w:type="dxa"/>
              <w:bottom w:w="28" w:type="dxa"/>
            </w:tcMar>
            <w:vAlign w:val="center"/>
          </w:tcPr>
          <w:p>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c>
          <w:tcPr>
            <w:tcW w:w="809" w:type="pct"/>
            <w:noWrap w:val="0"/>
            <w:tcMar>
              <w:top w:w="28" w:type="dxa"/>
              <w:bottom w:w="28" w:type="dxa"/>
            </w:tcMar>
            <w:vAlign w:val="center"/>
          </w:tcPr>
          <w:p>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产品资质</w:t>
            </w:r>
          </w:p>
        </w:tc>
        <w:tc>
          <w:tcPr>
            <w:tcW w:w="3706" w:type="pct"/>
            <w:noWrap w:val="0"/>
            <w:tcMar>
              <w:top w:w="28" w:type="dxa"/>
              <w:bottom w:w="28" w:type="dxa"/>
            </w:tcMar>
            <w:vAlign w:val="center"/>
          </w:tcPr>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具备软件著作权登记证书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noWrap w:val="0"/>
            <w:tcMar>
              <w:top w:w="28" w:type="dxa"/>
              <w:bottom w:w="28" w:type="dxa"/>
            </w:tcMar>
            <w:vAlign w:val="center"/>
          </w:tcPr>
          <w:p>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809" w:type="pct"/>
            <w:noWrap w:val="0"/>
            <w:tcMar>
              <w:top w:w="28" w:type="dxa"/>
              <w:bottom w:w="28" w:type="dxa"/>
            </w:tcMar>
            <w:vAlign w:val="center"/>
          </w:tcPr>
          <w:p>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厂商资质</w:t>
            </w:r>
          </w:p>
        </w:tc>
        <w:tc>
          <w:tcPr>
            <w:tcW w:w="3706" w:type="pct"/>
            <w:noWrap w:val="0"/>
            <w:tcMar>
              <w:top w:w="28" w:type="dxa"/>
              <w:bottom w:w="28" w:type="dxa"/>
            </w:tcMar>
            <w:vAlign w:val="center"/>
          </w:tcPr>
          <w:p>
            <w:pPr>
              <w:pStyle w:val="59"/>
              <w:spacing w:before="0" w:beforeAutospacing="0" w:after="0" w:afterAutospacing="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投标人</w:t>
            </w:r>
            <w:r>
              <w:rPr>
                <w:rFonts w:hint="eastAsia" w:ascii="仿宋" w:hAnsi="仿宋" w:eastAsia="仿宋" w:cs="仿宋"/>
                <w:color w:val="auto"/>
                <w:sz w:val="21"/>
                <w:szCs w:val="21"/>
                <w:highlight w:val="none"/>
              </w:rPr>
              <w:t>同时拥有ISO系列证书，9001/27001/20000等。</w:t>
            </w:r>
          </w:p>
          <w:p>
            <w:pPr>
              <w:pStyle w:val="59"/>
              <w:spacing w:before="0" w:beforeAutospacing="0" w:after="0" w:afterAutospacing="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具备CMMI3能力成熟度模型集成认证证书</w:t>
            </w:r>
          </w:p>
          <w:p>
            <w:pPr>
              <w:pStyle w:val="59"/>
              <w:spacing w:before="0" w:beforeAutospacing="0" w:after="0" w:afterAutospacing="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具备成熟度三级及以上的ITSS(信息技术服务标准)认证资格。</w:t>
            </w:r>
          </w:p>
          <w:p>
            <w:pPr>
              <w:pStyle w:val="59"/>
              <w:spacing w:before="0" w:beforeAutospacing="0" w:after="0" w:afterAutospacing="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为保证产品为自研产品，需要具备政府颁布的地市级专利示范企业证书。</w:t>
            </w:r>
          </w:p>
          <w:p>
            <w:pPr>
              <w:pStyle w:val="59"/>
              <w:spacing w:before="0" w:beforeAutospacing="0" w:after="0" w:afterAutospacing="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为判断</w:t>
            </w:r>
            <w:r>
              <w:rPr>
                <w:rFonts w:hint="eastAsia" w:ascii="仿宋" w:hAnsi="仿宋" w:eastAsia="仿宋" w:cs="仿宋"/>
                <w:color w:val="auto"/>
                <w:sz w:val="21"/>
                <w:szCs w:val="21"/>
                <w:highlight w:val="none"/>
                <w:lang w:eastAsia="zh-CN"/>
              </w:rPr>
              <w:t>投标人</w:t>
            </w:r>
            <w:r>
              <w:rPr>
                <w:rFonts w:hint="eastAsia" w:ascii="仿宋" w:hAnsi="仿宋" w:eastAsia="仿宋" w:cs="仿宋"/>
                <w:color w:val="auto"/>
                <w:sz w:val="21"/>
                <w:szCs w:val="21"/>
                <w:highlight w:val="none"/>
              </w:rPr>
              <w:t>服务能力，需要</w:t>
            </w:r>
            <w:r>
              <w:rPr>
                <w:rFonts w:hint="eastAsia" w:ascii="仿宋" w:hAnsi="仿宋" w:eastAsia="仿宋" w:cs="仿宋"/>
                <w:color w:val="auto"/>
                <w:sz w:val="21"/>
                <w:szCs w:val="21"/>
                <w:highlight w:val="none"/>
                <w:lang w:eastAsia="zh-CN"/>
              </w:rPr>
              <w:t>投标人</w:t>
            </w:r>
            <w:r>
              <w:rPr>
                <w:rFonts w:hint="eastAsia" w:ascii="仿宋" w:hAnsi="仿宋" w:eastAsia="仿宋" w:cs="仿宋"/>
                <w:color w:val="auto"/>
                <w:sz w:val="21"/>
                <w:szCs w:val="21"/>
                <w:highlight w:val="none"/>
              </w:rPr>
              <w:t>为国家网络与信息安全信息通报机制技术支持单位。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485" w:type="pct"/>
            <w:noWrap w:val="0"/>
            <w:tcMar>
              <w:top w:w="28" w:type="dxa"/>
              <w:bottom w:w="28" w:type="dxa"/>
            </w:tcMar>
            <w:vAlign w:val="center"/>
          </w:tcPr>
          <w:p>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c>
          <w:tcPr>
            <w:tcW w:w="809" w:type="pct"/>
            <w:noWrap w:val="0"/>
            <w:tcMar>
              <w:top w:w="28" w:type="dxa"/>
              <w:bottom w:w="28" w:type="dxa"/>
            </w:tcMar>
            <w:vAlign w:val="center"/>
          </w:tcPr>
          <w:p>
            <w:pPr>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人员资质</w:t>
            </w:r>
          </w:p>
        </w:tc>
        <w:tc>
          <w:tcPr>
            <w:tcW w:w="3706" w:type="pct"/>
            <w:noWrap w:val="0"/>
            <w:tcMar>
              <w:top w:w="28" w:type="dxa"/>
              <w:bottom w:w="28" w:type="dxa"/>
            </w:tcMar>
            <w:vAlign w:val="center"/>
          </w:tcPr>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由</w:t>
            </w:r>
            <w:r>
              <w:rPr>
                <w:rFonts w:hint="eastAsia" w:ascii="仿宋" w:hAnsi="仿宋" w:eastAsia="仿宋" w:cs="仿宋"/>
                <w:color w:val="auto"/>
                <w:sz w:val="21"/>
                <w:szCs w:val="21"/>
                <w:highlight w:val="none"/>
                <w:lang w:eastAsia="zh-CN" w:bidi="ar"/>
              </w:rPr>
              <w:t>投标人</w:t>
            </w:r>
            <w:r>
              <w:rPr>
                <w:rFonts w:hint="eastAsia" w:ascii="仿宋" w:hAnsi="仿宋" w:eastAsia="仿宋" w:cs="仿宋"/>
                <w:color w:val="auto"/>
                <w:kern w:val="0"/>
                <w:sz w:val="21"/>
                <w:szCs w:val="21"/>
                <w:highlight w:val="none"/>
              </w:rPr>
              <w:t>提供售后服务，且团队成员具备良好的数据库技术支持能力以保障本系统的顺利运行，项目团队成员具体要求如下（要求提供相关证书和社保复印件备查）：</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r>
              <w:rPr>
                <w:rFonts w:hint="eastAsia" w:ascii="仿宋" w:hAnsi="仿宋" w:eastAsia="仿宋" w:cs="仿宋"/>
                <w:color w:val="auto"/>
                <w:sz w:val="21"/>
                <w:szCs w:val="21"/>
                <w:highlight w:val="none"/>
                <w:lang w:eastAsia="zh-CN" w:bidi="ar"/>
              </w:rPr>
              <w:t>投标人</w:t>
            </w:r>
            <w:r>
              <w:rPr>
                <w:rFonts w:hint="eastAsia" w:ascii="仿宋" w:hAnsi="仿宋" w:eastAsia="仿宋" w:cs="仿宋"/>
                <w:color w:val="auto"/>
                <w:kern w:val="0"/>
                <w:sz w:val="21"/>
                <w:szCs w:val="21"/>
                <w:highlight w:val="none"/>
              </w:rPr>
              <w:t>具备3名以上数据库ACE称号专家；</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r>
              <w:rPr>
                <w:rFonts w:hint="eastAsia" w:ascii="仿宋" w:hAnsi="仿宋" w:eastAsia="仿宋" w:cs="仿宋"/>
                <w:color w:val="auto"/>
                <w:sz w:val="21"/>
                <w:szCs w:val="21"/>
                <w:highlight w:val="none"/>
                <w:lang w:eastAsia="zh-CN" w:bidi="ar"/>
              </w:rPr>
              <w:t>投标人</w:t>
            </w:r>
            <w:r>
              <w:rPr>
                <w:rFonts w:hint="eastAsia" w:ascii="仿宋" w:hAnsi="仿宋" w:eastAsia="仿宋" w:cs="仿宋"/>
                <w:color w:val="auto"/>
                <w:kern w:val="0"/>
                <w:sz w:val="21"/>
                <w:szCs w:val="21"/>
                <w:highlight w:val="none"/>
              </w:rPr>
              <w:t>运维专家库至少包含10名Oracle OCM认证专家。</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3、培训讲师同时具有两种或以上数据库ACE认证证书和OCM认证证书。</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二、付款方式</w:t>
      </w:r>
    </w:p>
    <w:p>
      <w:pPr>
        <w:widowControl/>
        <w:wordWrap w:val="0"/>
        <w:topLinePunct/>
        <w:adjustRightInd w:val="0"/>
        <w:spacing w:line="440" w:lineRule="exact"/>
        <w:textAlignment w:val="baseline"/>
        <w:rPr>
          <w:rFonts w:hint="eastAsia" w:ascii="仿宋" w:hAnsi="仿宋" w:eastAsia="仿宋" w:cs="仿宋"/>
          <w:b/>
          <w:color w:val="auto"/>
          <w:highlight w:val="none"/>
        </w:rPr>
      </w:pPr>
      <w:r>
        <w:rPr>
          <w:rFonts w:hint="eastAsia" w:ascii="仿宋" w:hAnsi="仿宋" w:eastAsia="仿宋" w:cs="仿宋"/>
          <w:color w:val="auto"/>
          <w:highlight w:val="none"/>
          <w:lang w:val="en-US" w:eastAsia="zh-CN"/>
        </w:rPr>
        <w:t xml:space="preserve">   </w:t>
      </w:r>
      <w:r>
        <w:rPr>
          <w:rFonts w:hint="eastAsia" w:ascii="仿宋" w:hAnsi="仿宋" w:eastAsia="仿宋" w:cs="仿宋"/>
          <w:color w:val="auto"/>
          <w:kern w:val="0"/>
          <w:sz w:val="21"/>
          <w:szCs w:val="21"/>
          <w:highlight w:val="none"/>
          <w:lang w:val="en-US" w:eastAsia="zh-CN" w:bidi="ar-SA"/>
        </w:rPr>
        <w:t xml:space="preserve"> 按《浙江省财政厅关于进一步发挥政府采购政策 功能全力推动经济稳进提质的通知》（浙财采监〔2022〕3号）文件要求执行，具体付款方式由双方协商后在合同中明确。</w:t>
      </w:r>
    </w:p>
    <w:p>
      <w:pPr>
        <w:pStyle w:val="24"/>
        <w:rPr>
          <w:rFonts w:hint="eastAsia" w:ascii="仿宋" w:hAnsi="仿宋" w:eastAsia="仿宋" w:cs="仿宋"/>
          <w:b/>
          <w:color w:val="auto"/>
          <w:highlight w:val="none"/>
        </w:rPr>
      </w:pPr>
    </w:p>
    <w:p>
      <w:pPr>
        <w:rPr>
          <w:rFonts w:hint="eastAsia"/>
          <w:color w:val="auto"/>
          <w:highlight w:val="none"/>
        </w:rPr>
      </w:pPr>
    </w:p>
    <w:p>
      <w:pPr>
        <w:spacing w:line="440" w:lineRule="exact"/>
        <w:ind w:right="42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2</w:t>
      </w:r>
      <w:r>
        <w:rPr>
          <w:rFonts w:hint="eastAsia" w:ascii="仿宋" w:hAnsi="仿宋" w:eastAsia="仿宋" w:cs="仿宋"/>
          <w:b/>
          <w:bCs/>
          <w:color w:val="auto"/>
          <w:sz w:val="24"/>
          <w:highlight w:val="none"/>
          <w:bdr w:val="single" w:color="auto" w:sz="4" w:space="0"/>
        </w:rPr>
        <w:t>标</w:t>
      </w:r>
      <w:r>
        <w:rPr>
          <w:rFonts w:hint="eastAsia" w:ascii="仿宋" w:hAnsi="仿宋" w:eastAsia="仿宋" w:cs="仿宋"/>
          <w:b/>
          <w:bCs/>
          <w:color w:val="auto"/>
          <w:sz w:val="24"/>
          <w:highlight w:val="none"/>
          <w:lang w:eastAsia="zh-CN"/>
        </w:rPr>
        <w:t>数据库备份</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rPr>
        <w:t>万元）</w:t>
      </w:r>
    </w:p>
    <w:p>
      <w:pPr>
        <w:widowControl/>
        <w:wordWrap w:val="0"/>
        <w:topLinePunct/>
        <w:spacing w:line="440" w:lineRule="exact"/>
        <w:ind w:firstLine="420" w:firstLineChars="200"/>
        <w:textAlignment w:val="baseline"/>
        <w:rPr>
          <w:rFonts w:hint="eastAsia" w:ascii="仿宋" w:hAnsi="仿宋" w:eastAsia="仿宋" w:cs="仿宋"/>
          <w:color w:val="auto"/>
          <w:highlight w:val="none"/>
        </w:rPr>
      </w:pPr>
      <w:r>
        <w:rPr>
          <w:rFonts w:hint="eastAsia" w:ascii="仿宋" w:hAnsi="仿宋" w:eastAsia="仿宋" w:cs="仿宋"/>
          <w:color w:val="auto"/>
          <w:sz w:val="21"/>
          <w:szCs w:val="24"/>
          <w:highlight w:val="none"/>
        </w:rPr>
        <w:t>项目背景描述：医院需要对于互联互通数据库进行数据库备份，要求在原有的备份软件上进行升级，从而达到医院数据安全的要求。</w:t>
      </w:r>
    </w:p>
    <w:p>
      <w:pPr>
        <w:ind w:firstLine="422" w:firstLineChars="200"/>
        <w:rPr>
          <w:rFonts w:hint="eastAsia" w:ascii="仿宋" w:hAnsi="仿宋" w:eastAsia="仿宋" w:cs="仿宋"/>
          <w:b/>
          <w:color w:val="auto"/>
          <w:highlight w:val="none"/>
        </w:rPr>
      </w:pPr>
      <w:r>
        <w:rPr>
          <w:rFonts w:hint="eastAsia" w:ascii="仿宋" w:hAnsi="仿宋" w:eastAsia="仿宋" w:cs="仿宋"/>
          <w:b/>
          <w:color w:val="auto"/>
          <w:highlight w:val="none"/>
          <w:lang w:eastAsia="zh-CN"/>
        </w:rPr>
        <w:t>一、</w:t>
      </w:r>
      <w:r>
        <w:rPr>
          <w:rFonts w:hint="eastAsia" w:ascii="仿宋" w:hAnsi="仿宋" w:eastAsia="仿宋" w:cs="仿宋"/>
          <w:b/>
          <w:color w:val="auto"/>
          <w:highlight w:val="none"/>
        </w:rPr>
        <w:t>货物清单</w:t>
      </w:r>
    </w:p>
    <w:tbl>
      <w:tblPr>
        <w:tblStyle w:val="64"/>
        <w:tblW w:w="8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436"/>
        <w:gridCol w:w="6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00" w:type="dxa"/>
            <w:noWrap w:val="0"/>
            <w:vAlign w:val="center"/>
          </w:tcPr>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36" w:type="dxa"/>
            <w:noWrap w:val="0"/>
            <w:vAlign w:val="center"/>
          </w:tcPr>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55" w:type="dxa"/>
            <w:noWrap w:val="0"/>
            <w:vAlign w:val="center"/>
          </w:tcPr>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00" w:type="dxa"/>
            <w:noWrap w:val="0"/>
            <w:vAlign w:val="center"/>
          </w:tcPr>
          <w:p>
            <w:pPr>
              <w:snapToGrid w:val="0"/>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36" w:type="dxa"/>
            <w:noWrap w:val="0"/>
            <w:vAlign w:val="center"/>
          </w:tcPr>
          <w:p>
            <w:pPr>
              <w:snapToGrid w:val="0"/>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数据库备份    </w:t>
            </w:r>
          </w:p>
        </w:tc>
        <w:tc>
          <w:tcPr>
            <w:tcW w:w="6555" w:type="dxa"/>
            <w:noWrap w:val="0"/>
            <w:vAlign w:val="center"/>
          </w:tcPr>
          <w:p>
            <w:pPr>
              <w:snapToGrid w:val="0"/>
              <w:spacing w:line="240" w:lineRule="atLeas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1）1</w:t>
            </w:r>
            <w:r>
              <w:rPr>
                <w:rFonts w:hint="eastAsia" w:ascii="仿宋" w:hAnsi="仿宋" w:eastAsia="仿宋" w:cs="仿宋"/>
                <w:color w:val="auto"/>
                <w:kern w:val="0"/>
                <w:szCs w:val="21"/>
                <w:highlight w:val="none"/>
              </w:rPr>
              <w:t>套 LINUX/WIN 标准客户端（支持文件备份，数据库备份，虚拟机备份）LICENSE;</w:t>
            </w:r>
          </w:p>
          <w:p>
            <w:pPr>
              <w:snapToGrid w:val="0"/>
              <w:spacing w:line="240" w:lineRule="atLeas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1</w:t>
            </w:r>
            <w:r>
              <w:rPr>
                <w:rFonts w:hint="eastAsia" w:ascii="仿宋" w:hAnsi="仿宋" w:eastAsia="仿宋" w:cs="仿宋"/>
                <w:color w:val="auto"/>
                <w:kern w:val="0"/>
                <w:szCs w:val="21"/>
                <w:highlight w:val="none"/>
              </w:rPr>
              <w:t>套控制台，容灾备份统一管理，支持VMWARE Vcenter管理查看，支持备份策略配置，支持容灾复制策略配置，支持容灾切换</w:t>
            </w:r>
          </w:p>
          <w:p>
            <w:pPr>
              <w:snapToGrid w:val="0"/>
              <w:spacing w:line="240" w:lineRule="atLeas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详见软件升级指标参数</w:t>
            </w:r>
          </w:p>
          <w:p>
            <w:pPr>
              <w:snapToGrid w:val="0"/>
              <w:spacing w:line="240" w:lineRule="atLeast"/>
              <w:jc w:val="both"/>
              <w:rPr>
                <w:rFonts w:hint="eastAsia" w:ascii="仿宋" w:hAnsi="仿宋" w:eastAsia="仿宋" w:cs="仿宋"/>
                <w:color w:val="auto"/>
                <w:sz w:val="24"/>
                <w:highlight w:val="none"/>
              </w:rPr>
            </w:pPr>
            <w:r>
              <w:rPr>
                <w:rFonts w:hint="eastAsia" w:ascii="仿宋" w:hAnsi="仿宋" w:eastAsia="仿宋" w:cs="仿宋"/>
                <w:color w:val="auto"/>
                <w:kern w:val="0"/>
                <w:szCs w:val="21"/>
                <w:highlight w:val="none"/>
              </w:rPr>
              <w:t>2）2个USB量子安全Q盾</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二、指标参数</w:t>
      </w:r>
    </w:p>
    <w:p>
      <w:pPr>
        <w:pStyle w:val="2"/>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color w:val="auto"/>
          <w:sz w:val="21"/>
          <w:szCs w:val="21"/>
          <w:highlight w:val="none"/>
        </w:rPr>
        <w:t>灾备软件指标参数</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1665"/>
        <w:gridCol w:w="5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noWrap w:val="0"/>
            <w:vAlign w:val="center"/>
          </w:tcPr>
          <w:p>
            <w:pPr>
              <w:widowControl/>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主指标项</w:t>
            </w:r>
          </w:p>
        </w:tc>
        <w:tc>
          <w:tcPr>
            <w:tcW w:w="1665" w:type="dxa"/>
            <w:noWrap w:val="0"/>
            <w:vAlign w:val="center"/>
          </w:tcPr>
          <w:p>
            <w:pPr>
              <w:widowControl/>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子指标项</w:t>
            </w:r>
          </w:p>
        </w:tc>
        <w:tc>
          <w:tcPr>
            <w:tcW w:w="5971" w:type="dxa"/>
            <w:noWrap w:val="0"/>
            <w:vAlign w:val="center"/>
          </w:tcPr>
          <w:p>
            <w:pPr>
              <w:widowControl/>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指标参数要求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noWrap w:val="0"/>
            <w:vAlign w:val="center"/>
          </w:tcPr>
          <w:p>
            <w:pPr>
              <w:widowControl/>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数量</w:t>
            </w:r>
          </w:p>
        </w:tc>
        <w:tc>
          <w:tcPr>
            <w:tcW w:w="1665" w:type="dxa"/>
            <w:noWrap w:val="0"/>
            <w:vAlign w:val="center"/>
          </w:tcPr>
          <w:p>
            <w:pPr>
              <w:widowControl/>
              <w:jc w:val="center"/>
              <w:rPr>
                <w:rFonts w:hint="eastAsia" w:ascii="仿宋" w:hAnsi="仿宋" w:eastAsia="仿宋" w:cs="仿宋"/>
                <w:color w:val="auto"/>
                <w:sz w:val="21"/>
                <w:szCs w:val="21"/>
                <w:highlight w:val="none"/>
              </w:rPr>
            </w:pP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一套备</w:t>
            </w:r>
            <w:r>
              <w:rPr>
                <w:rFonts w:hint="eastAsia" w:ascii="仿宋" w:hAnsi="仿宋" w:eastAsia="仿宋" w:cs="仿宋"/>
                <w:color w:val="auto"/>
                <w:sz w:val="21"/>
                <w:szCs w:val="21"/>
                <w:highlight w:val="none"/>
                <w:lang w:val="en-US" w:eastAsia="zh-CN"/>
              </w:rPr>
              <w:t>份</w:t>
            </w:r>
            <w:r>
              <w:rPr>
                <w:rFonts w:hint="eastAsia" w:ascii="仿宋" w:hAnsi="仿宋" w:eastAsia="仿宋" w:cs="仿宋"/>
                <w:color w:val="auto"/>
                <w:sz w:val="21"/>
                <w:szCs w:val="21"/>
                <w:highlight w:val="none"/>
              </w:rPr>
              <w:t>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noWrap w:val="0"/>
            <w:vAlign w:val="center"/>
          </w:tcPr>
          <w:p>
            <w:pPr>
              <w:widowControl/>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品牌</w:t>
            </w:r>
          </w:p>
        </w:tc>
        <w:tc>
          <w:tcPr>
            <w:tcW w:w="1665" w:type="dxa"/>
            <w:noWrap w:val="0"/>
            <w:vAlign w:val="center"/>
          </w:tcPr>
          <w:p>
            <w:pPr>
              <w:widowControl/>
              <w:jc w:val="center"/>
              <w:rPr>
                <w:rFonts w:hint="eastAsia" w:ascii="仿宋" w:hAnsi="仿宋" w:eastAsia="仿宋" w:cs="仿宋"/>
                <w:color w:val="auto"/>
                <w:sz w:val="21"/>
                <w:szCs w:val="21"/>
                <w:highlight w:val="none"/>
              </w:rPr>
            </w:pP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非OEM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noWrap w:val="0"/>
            <w:vAlign w:val="center"/>
          </w:tcPr>
          <w:p>
            <w:pPr>
              <w:widowControl/>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资质证明</w:t>
            </w:r>
          </w:p>
        </w:tc>
        <w:tc>
          <w:tcPr>
            <w:tcW w:w="1665" w:type="dxa"/>
            <w:noWrap w:val="0"/>
            <w:vAlign w:val="center"/>
          </w:tcPr>
          <w:p>
            <w:pPr>
              <w:widowControl/>
              <w:jc w:val="center"/>
              <w:rPr>
                <w:rFonts w:hint="eastAsia" w:ascii="仿宋" w:hAnsi="仿宋" w:eastAsia="仿宋" w:cs="仿宋"/>
                <w:color w:val="auto"/>
                <w:sz w:val="21"/>
                <w:szCs w:val="21"/>
                <w:highlight w:val="none"/>
              </w:rPr>
            </w:pP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具有自主研发能力，提供软件著作权登记证书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482" w:type="dxa"/>
            <w:vMerge w:val="restart"/>
            <w:noWrap w:val="0"/>
            <w:vAlign w:val="center"/>
          </w:tcPr>
          <w:p>
            <w:pPr>
              <w:widowControl/>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数据保护功能</w:t>
            </w: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平台兼容性</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备份系统支持Windows/Linux/Unix操作系统，满足对32/64位系统平台及应用支持，满足IT系统复杂性和兼容性需求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备份方式</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支持LAN-base、LAN-free等多种备份方式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平台安全性</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容灾备份系统软件为专用基于Linux的64位嵌入式系统，减少病毒感染几率，确保系统稳定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restart"/>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操作系统保护</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支持对WIN/LINUX操作系统的在线备份，支持原机及异机进行恢复，支持使用光盘进行恢复；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continue"/>
            <w:noWrap w:val="0"/>
            <w:vAlign w:val="center"/>
          </w:tcPr>
          <w:p>
            <w:pPr>
              <w:jc w:val="center"/>
              <w:rPr>
                <w:rFonts w:hint="eastAsia" w:ascii="仿宋" w:hAnsi="仿宋" w:eastAsia="仿宋" w:cs="仿宋"/>
                <w:color w:val="auto"/>
                <w:sz w:val="21"/>
                <w:szCs w:val="21"/>
                <w:highlight w:val="none"/>
              </w:rPr>
            </w:pP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支持UNIX（如IBM AIX）操作系统的在线备份保护【此功能提供产品功能截图证明，并加盖原厂公章，截图无法直接说明的需附相关文字说明，中标公示结束后7天内提供详细测试；】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restart"/>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数据库备份恢复</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支持对SQL Server、Oracle、Sybase、Exchange Server、Lotus Domino、DB2、MySQL、AD等主流应用进行在线备份保护</w:t>
            </w:r>
          </w:p>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continue"/>
            <w:noWrap w:val="0"/>
            <w:vAlign w:val="center"/>
          </w:tcPr>
          <w:p>
            <w:pPr>
              <w:jc w:val="center"/>
              <w:rPr>
                <w:rFonts w:hint="eastAsia" w:ascii="仿宋" w:hAnsi="仿宋" w:eastAsia="仿宋" w:cs="仿宋"/>
                <w:color w:val="auto"/>
                <w:sz w:val="21"/>
                <w:szCs w:val="21"/>
                <w:highlight w:val="none"/>
              </w:rPr>
            </w:pP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支持用 IB交换机进行 TCP/IP 高速备份和恢复，以提高备份和恢复的速度；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continue"/>
            <w:noWrap w:val="0"/>
            <w:vAlign w:val="center"/>
          </w:tcPr>
          <w:p>
            <w:pPr>
              <w:jc w:val="center"/>
              <w:rPr>
                <w:rFonts w:hint="eastAsia" w:ascii="仿宋" w:hAnsi="仿宋" w:eastAsia="仿宋" w:cs="仿宋"/>
                <w:color w:val="auto"/>
                <w:sz w:val="21"/>
                <w:szCs w:val="21"/>
                <w:highlight w:val="none"/>
              </w:rPr>
            </w:pP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支持对Oracle RAC 等主流集群应用进行在线备份保护；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continue"/>
            <w:noWrap w:val="0"/>
            <w:vAlign w:val="center"/>
          </w:tcPr>
          <w:p>
            <w:pPr>
              <w:jc w:val="center"/>
              <w:rPr>
                <w:rFonts w:hint="eastAsia" w:ascii="仿宋" w:hAnsi="仿宋" w:eastAsia="仿宋" w:cs="仿宋"/>
                <w:color w:val="auto"/>
                <w:sz w:val="21"/>
                <w:szCs w:val="21"/>
                <w:highlight w:val="none"/>
              </w:rPr>
            </w:pP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支持对 SQLSERVER数据库的异机恢复；</w:t>
            </w:r>
          </w:p>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虚拟机备份</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支持以vstorage API的方式对Vmware虚拟化进行保护，备份过程中支持以CBT的方式只备份变化的虚拟磁盘数据,提高数据备份速度和降低备份所需的磁盘空间【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数据加密</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支持以RSA2048位算法对备份数据进行加密，确保备份数据无泄密风险；</w:t>
            </w:r>
          </w:p>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数据压缩</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支持基于源端的备份数据压缩技术，确保最大限度的减少备份存储空间占用和带宽资源占用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流量控制</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支持基于备份数据流的流量控制特性，确保限制备份数据流可根据实际情况进行上限控制，避免对业务带宽的过度占用；</w:t>
            </w:r>
          </w:p>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restart"/>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重复数据删除</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支持基于源端的4KB-16KB块级重复数据删除技术，支持定长、变长、滑动块，支持ORACLE RMAN/SQLSERVER/DB2/VMWARE/HyperV/文件备份重删，降低网络传输数据量，减轻带宽压力。【此功能提供原厂盖章的产品功能截图证明，截图无法直接说明的需附相关文字说明，中标公示结束后7天内提供详细测试；】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continue"/>
            <w:noWrap w:val="0"/>
            <w:vAlign w:val="center"/>
          </w:tcPr>
          <w:p>
            <w:pPr>
              <w:jc w:val="center"/>
              <w:rPr>
                <w:rFonts w:hint="eastAsia" w:ascii="仿宋" w:hAnsi="仿宋" w:eastAsia="仿宋" w:cs="仿宋"/>
                <w:color w:val="auto"/>
                <w:sz w:val="21"/>
                <w:szCs w:val="21"/>
                <w:highlight w:val="none"/>
              </w:rPr>
            </w:pP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支持基于目标端的全局重复数据删除特性，所有备份客户端共享同一个全局重删指纹库，在所有备份数据中仅保存唯一一份相同数据，最大限度的减少备份存储空间的使用；</w:t>
            </w:r>
          </w:p>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continue"/>
            <w:noWrap w:val="0"/>
            <w:vAlign w:val="center"/>
          </w:tcPr>
          <w:p>
            <w:pPr>
              <w:jc w:val="center"/>
              <w:rPr>
                <w:rFonts w:hint="eastAsia" w:ascii="仿宋" w:hAnsi="仿宋" w:eastAsia="仿宋" w:cs="仿宋"/>
                <w:color w:val="auto"/>
                <w:sz w:val="21"/>
                <w:szCs w:val="21"/>
                <w:highlight w:val="none"/>
              </w:rPr>
            </w:pP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针对不同的应用数据可以指定数据块大小，可实现根据不同的应用数据类型进行块切分，最大限度的提高重删效果；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continue"/>
            <w:noWrap w:val="0"/>
            <w:vAlign w:val="center"/>
          </w:tcPr>
          <w:p>
            <w:pPr>
              <w:jc w:val="center"/>
              <w:rPr>
                <w:rFonts w:hint="eastAsia" w:ascii="仿宋" w:hAnsi="仿宋" w:eastAsia="仿宋" w:cs="仿宋"/>
                <w:color w:val="auto"/>
                <w:sz w:val="21"/>
                <w:szCs w:val="21"/>
                <w:highlight w:val="none"/>
              </w:rPr>
            </w:pP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ORACLE重删备份重删率需达到90%以上，VMWARE虚拟机重删备份重删率需达到99%以上【中标后提供详细测试，如测试无法达到招标要求的重删率，招标方可追究中标方法律责任】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continue"/>
            <w:noWrap w:val="0"/>
            <w:vAlign w:val="center"/>
          </w:tcPr>
          <w:p>
            <w:pPr>
              <w:jc w:val="center"/>
              <w:rPr>
                <w:rFonts w:hint="eastAsia" w:ascii="仿宋" w:hAnsi="仿宋" w:eastAsia="仿宋" w:cs="仿宋"/>
                <w:color w:val="auto"/>
                <w:sz w:val="21"/>
                <w:szCs w:val="21"/>
                <w:highlight w:val="none"/>
              </w:rPr>
            </w:pP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备份一体机重删介质池可采用大容量SSD作为备份介质，提高重删效能；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restart"/>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备份数据远程复制</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支持将本地备份数据远程复制到异地，当本地发生场地灾难时，可以通过异地的备份数据进行恢复; 【中标后提供详细测试，如测试无法达到招标要求，招标方可追究中标方法律责任】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continue"/>
            <w:noWrap w:val="0"/>
            <w:vAlign w:val="center"/>
          </w:tcPr>
          <w:p>
            <w:pPr>
              <w:jc w:val="center"/>
              <w:rPr>
                <w:rFonts w:hint="eastAsia" w:ascii="仿宋" w:hAnsi="仿宋" w:eastAsia="仿宋" w:cs="仿宋"/>
                <w:color w:val="auto"/>
                <w:sz w:val="21"/>
                <w:szCs w:val="21"/>
                <w:highlight w:val="none"/>
              </w:rPr>
            </w:pP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支持1对1及1对多的多种方式远程复制，最大限度的满足多分支机构的异地数据备份恢复需要；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continue"/>
            <w:noWrap w:val="0"/>
            <w:vAlign w:val="center"/>
          </w:tcPr>
          <w:p>
            <w:pPr>
              <w:jc w:val="center"/>
              <w:rPr>
                <w:rFonts w:hint="eastAsia" w:ascii="仿宋" w:hAnsi="仿宋" w:eastAsia="仿宋" w:cs="仿宋"/>
                <w:color w:val="auto"/>
                <w:sz w:val="21"/>
                <w:szCs w:val="21"/>
                <w:highlight w:val="none"/>
              </w:rPr>
            </w:pP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支持异地备份集的浏览和远程恢复；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continue"/>
            <w:noWrap w:val="0"/>
            <w:vAlign w:val="center"/>
          </w:tcPr>
          <w:p>
            <w:pPr>
              <w:jc w:val="center"/>
              <w:rPr>
                <w:rFonts w:hint="eastAsia" w:ascii="仿宋" w:hAnsi="仿宋" w:eastAsia="仿宋" w:cs="仿宋"/>
                <w:color w:val="auto"/>
                <w:sz w:val="21"/>
                <w:szCs w:val="21"/>
                <w:highlight w:val="none"/>
              </w:rPr>
            </w:pP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支持流量限速，当远程复制链路资源比较紧张时，可通过流量限速以减小对正常业务的影响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自备份管理</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可针对备份存储系统自身的数据库进行备份保护，并支持离线导出到磁带，当容灾备份系统自身发生故障时，可通过备份数据进行还原；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1482" w:type="dxa"/>
            <w:vMerge w:val="restart"/>
            <w:noWrap w:val="0"/>
            <w:vAlign w:val="center"/>
          </w:tcPr>
          <w:p>
            <w:pPr>
              <w:widowControl/>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ORACLE物理复制</w:t>
            </w: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数据同步类型</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非数据块级复制和文件级复制，必须是ORACLE日志级数据复制，备库可实现实时查询功能，备库与主库的延迟不超过 5分钟【此功能提供产品功能截图证明，并加盖原厂公章，截图无法直接说明的需附相关文字说明，中标公示结束后7天内提供详细测试；】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1482" w:type="dxa"/>
            <w:vMerge w:val="continue"/>
            <w:noWrap w:val="0"/>
            <w:vAlign w:val="center"/>
          </w:tcPr>
          <w:p>
            <w:pPr>
              <w:widowControl/>
              <w:jc w:val="center"/>
              <w:rPr>
                <w:rFonts w:hint="eastAsia" w:ascii="仿宋" w:hAnsi="仿宋" w:eastAsia="仿宋" w:cs="仿宋"/>
                <w:b/>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容灾支持ORACLE数据库版本</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支持ORACLE 10G 以上数据库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同步方式</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要求采用物理同步方式。【中标公示结束后7天内根据采购人要求提供详细测试】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对业务系统影响</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要求对业务系统无影响，无需改造生产系统主机上的文件系统，不能更改系统卷配置，生产数据库内不允许嵌入程序。【中标公示结束后7天内根据采购人要求提供详细测试】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RPO要求</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要求实现数据零丢失。【中标公示结束后7天内根据采购人要求提供详细测试】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RTO要求</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要求容灾切换在10分钟之内完成。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网络带宽</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对于网络带宽要求低，一般的百兆网络和千兆网络即可满足容灾要求。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网络质量</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对于网络质量要求低，允许出现网络终止等异常问题;等网络恢复正常后，自动续传增量数据。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restart"/>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灾难完备性</w:t>
            </w:r>
          </w:p>
        </w:tc>
        <w:tc>
          <w:tcPr>
            <w:tcW w:w="5971" w:type="dxa"/>
            <w:vMerge w:val="restart"/>
            <w:noWrap w:val="0"/>
            <w:vAlign w:val="center"/>
          </w:tcPr>
          <w:p>
            <w:pPr>
              <w:widowControl/>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实现由于自然灾害（地震，火灾，雷击等）引起的站点失败恢复。实现由于大面积电力故障等非自然灾害引起的站点失败恢复。</w:t>
            </w:r>
          </w:p>
          <w:p>
            <w:pPr>
              <w:widowControl/>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实现由于主机，存储以及其他IT物理部件失败或者电力故障引起的物理部件失败灾难恢复。</w:t>
            </w:r>
          </w:p>
          <w:p>
            <w:pPr>
              <w:widowControl/>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实现由于基础平台bug（Oracle bug,OS bug,卷管理器以及文件系统bug，存储系统bug以及其他基础软件）引起的数据库无法启动以及数据获取失败等各类灾难恢复。实现由于电力故障引起的逻辑失败引起的数据库无法启动以及数据获取失败等各类灾难恢复。</w:t>
            </w:r>
          </w:p>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实现由于程序错误、误操作以及入侵引起的灾难性恢复。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continue"/>
            <w:noWrap w:val="0"/>
            <w:vAlign w:val="center"/>
          </w:tcPr>
          <w:p>
            <w:pPr>
              <w:jc w:val="center"/>
              <w:rPr>
                <w:rFonts w:hint="eastAsia" w:ascii="仿宋" w:hAnsi="仿宋" w:eastAsia="仿宋" w:cs="仿宋"/>
                <w:color w:val="auto"/>
                <w:sz w:val="21"/>
                <w:szCs w:val="21"/>
                <w:highlight w:val="none"/>
              </w:rPr>
            </w:pPr>
          </w:p>
        </w:tc>
        <w:tc>
          <w:tcPr>
            <w:tcW w:w="5971" w:type="dxa"/>
            <w:vMerge w:val="continue"/>
            <w:noWrap w:val="0"/>
            <w:vAlign w:val="center"/>
          </w:tcPr>
          <w:p>
            <w:pPr>
              <w:jc w:val="left"/>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continue"/>
            <w:noWrap w:val="0"/>
            <w:vAlign w:val="center"/>
          </w:tcPr>
          <w:p>
            <w:pPr>
              <w:jc w:val="center"/>
              <w:rPr>
                <w:rFonts w:hint="eastAsia" w:ascii="仿宋" w:hAnsi="仿宋" w:eastAsia="仿宋" w:cs="仿宋"/>
                <w:color w:val="auto"/>
                <w:sz w:val="21"/>
                <w:szCs w:val="21"/>
                <w:highlight w:val="none"/>
              </w:rPr>
            </w:pPr>
          </w:p>
        </w:tc>
        <w:tc>
          <w:tcPr>
            <w:tcW w:w="5971" w:type="dxa"/>
            <w:vMerge w:val="continue"/>
            <w:noWrap w:val="0"/>
            <w:vAlign w:val="center"/>
          </w:tcPr>
          <w:p>
            <w:pPr>
              <w:jc w:val="left"/>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continue"/>
            <w:noWrap w:val="0"/>
            <w:vAlign w:val="center"/>
          </w:tcPr>
          <w:p>
            <w:pPr>
              <w:jc w:val="center"/>
              <w:rPr>
                <w:rFonts w:hint="eastAsia" w:ascii="仿宋" w:hAnsi="仿宋" w:eastAsia="仿宋" w:cs="仿宋"/>
                <w:color w:val="auto"/>
                <w:sz w:val="21"/>
                <w:szCs w:val="21"/>
                <w:highlight w:val="none"/>
              </w:rPr>
            </w:pPr>
          </w:p>
        </w:tc>
        <w:tc>
          <w:tcPr>
            <w:tcW w:w="5971" w:type="dxa"/>
            <w:vMerge w:val="continue"/>
            <w:noWrap w:val="0"/>
            <w:vAlign w:val="center"/>
          </w:tcPr>
          <w:p>
            <w:pPr>
              <w:jc w:val="left"/>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逻辑错误传播</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要求避免逻辑错误传播，从而对于逻辑失败形成根本性的保护。【中标公示结束后7天内根据采购人要求提供详细测试】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restart"/>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数据完整性</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实现所有oracle数据库内的数据操作的复制，包括INSERT\UPDATE\DELETE、DDL操作、Create table ..as 语句，ROWID相关语句等。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continue"/>
            <w:noWrap w:val="0"/>
            <w:vAlign w:val="center"/>
          </w:tcPr>
          <w:p>
            <w:pPr>
              <w:jc w:val="center"/>
              <w:rPr>
                <w:rFonts w:hint="eastAsia" w:ascii="仿宋" w:hAnsi="仿宋" w:eastAsia="仿宋" w:cs="仿宋"/>
                <w:color w:val="auto"/>
                <w:sz w:val="21"/>
                <w:szCs w:val="21"/>
                <w:highlight w:val="none"/>
              </w:rPr>
            </w:pP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实现所有oracle内的数据类型和操作类型，包括LOB字段的支持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continue"/>
            <w:noWrap w:val="0"/>
            <w:vAlign w:val="center"/>
          </w:tcPr>
          <w:p>
            <w:pPr>
              <w:jc w:val="center"/>
              <w:rPr>
                <w:rFonts w:hint="eastAsia" w:ascii="仿宋" w:hAnsi="仿宋" w:eastAsia="仿宋" w:cs="仿宋"/>
                <w:color w:val="auto"/>
                <w:sz w:val="21"/>
                <w:szCs w:val="21"/>
                <w:highlight w:val="none"/>
              </w:rPr>
            </w:pP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要求两个库之间的对象完全相同，包括ROWID，基表，视图，同义词，自定义TYPE，IOT表格，SYS用户内的所有对象等。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容灾切换</w:t>
            </w:r>
          </w:p>
        </w:tc>
        <w:tc>
          <w:tcPr>
            <w:tcW w:w="5971" w:type="dxa"/>
            <w:noWrap w:val="0"/>
            <w:vAlign w:val="center"/>
          </w:tcPr>
          <w:p>
            <w:pPr>
              <w:widowControl/>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支持 灾难切换，主切备【正切】和 备切主【回切】，数据0丢失。</w:t>
            </w:r>
          </w:p>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实现一键式切换，为操作方便，所有切换都要求提供图形界面，所有切换都要求一步完成。</w:t>
            </w:r>
          </w:p>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网络切换</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容灾系统内，实现网络主机IP地址切换，无须改变应用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计划内维护</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实现计划内维护切换,要求一键式将数据库切换到容灾端，并且ORACLE数据库零丢失，以支持日常运行涉及时间比较长的运行维护操作(比如生产端主机检修等);【中标公示结束后7天内根据采购人要求提供详细测试】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数据库备份能力</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要求容灾站点可实现常规RMAN备份,以代替生产系统RMAN备份（减轻生产系统压力），可以使用RMAN完成数据库恢复。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统一的容灾管理</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提供直观的简体中文图形化操作控制台，可以在一个图形界面里管理所有业务系统的容灾系统管理, 要求所有容灾功能统一在界面上操作。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容灾系统在线校验</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实现容灾系统在线校验，支持容灾系统运行时随时打开容灾库以检查容灾可用性。数据库在其生产端数据产生后，灾备端在1分钟内可以实时查询到数据；【中标公示结束后7天内根据采购人要求提供详细测试】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在线实施要求</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在线实施，实施期间生产系统不得停机，业务不能终止。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restart"/>
            <w:noWrap w:val="0"/>
            <w:vAlign w:val="center"/>
          </w:tcPr>
          <w:p>
            <w:pPr>
              <w:widowControl/>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文件级复制</w:t>
            </w: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复制目标</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通过文件级复制可以自动实现生产端服务器上的文件、文件系统等文件类数据的实时同步。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粒度</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字节级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副本</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多个数据副本： 支持≥ 24个数据副本，可恢复到故障发生前的任一数据副本；</w:t>
            </w:r>
          </w:p>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压缩</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压缩：对复制的文件在传输时可进行压缩处理，减少网络流量，加速数据复制过程 ；【中标公示结束后7天内根据采购人要求提供详细测试】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restart"/>
            <w:noWrap w:val="0"/>
            <w:vAlign w:val="center"/>
          </w:tcPr>
          <w:p>
            <w:pPr>
              <w:widowControl/>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SQLSERVER物理复制</w:t>
            </w: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同步方式</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准同步地将源端SQLSERVER任何变化数据实时复制到目标备用端；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备库查询</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灾备端 SQLSERVER库 提供实时查询功能，与生产库的数据延时不超过 10分钟；【中标公示结束后7天内根据采购人要求提供详细测试】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历史备份集</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将历史的全量或差分备份版本保留起来以供恢复，这一功能可替代传统的备份功能。根据可用存储空间大小，可设置历史版本保留数量和时间；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报警功能</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细致的短信报警权限功能，可以指定每一个SQLSERVER数据库复制故障时的报警发送对象。对同一报警信息，能够指定多位报警接受者；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2" w:type="dxa"/>
            <w:noWrap w:val="0"/>
            <w:vAlign w:val="center"/>
          </w:tcPr>
          <w:p>
            <w:pPr>
              <w:widowControl/>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VMWARE虚拟机复制</w:t>
            </w: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虚拟机复制</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w:t>
            </w:r>
            <w:r>
              <w:rPr>
                <w:rFonts w:hint="eastAsia" w:ascii="仿宋" w:hAnsi="仿宋" w:eastAsia="仿宋" w:cs="仿宋"/>
                <w:color w:val="auto"/>
                <w:sz w:val="21"/>
                <w:szCs w:val="21"/>
                <w:highlight w:val="none"/>
              </w:rPr>
              <w:t>生产VMWARE虚拟机，可以跨VCENTER复制到异地容灾端虚拟机；按照需求和数据量，策略可以设置为每隔5-1440分钟复制1次，多个虚拟机副本，可以恢复到故障前的任一虚拟机副本；</w:t>
            </w:r>
          </w:p>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2" w:type="dxa"/>
            <w:noWrap w:val="0"/>
            <w:vAlign w:val="center"/>
          </w:tcPr>
          <w:p>
            <w:pPr>
              <w:widowControl/>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ORACLE 数据库快速还原管理</w:t>
            </w:r>
          </w:p>
        </w:tc>
        <w:tc>
          <w:tcPr>
            <w:tcW w:w="1665" w:type="dxa"/>
            <w:noWrap w:val="0"/>
            <w:vAlign w:val="center"/>
          </w:tcPr>
          <w:p>
            <w:pPr>
              <w:widowControl/>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ORACLE 数据库快速还原管理</w:t>
            </w:r>
          </w:p>
        </w:tc>
        <w:tc>
          <w:tcPr>
            <w:tcW w:w="5971" w:type="dxa"/>
            <w:noWrap w:val="0"/>
            <w:vAlign w:val="center"/>
          </w:tcPr>
          <w:p>
            <w:pPr>
              <w:widowControl/>
              <w:jc w:val="left"/>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自动化管理还原点：自动实现定时添加、删除数据库还原点，可以自定义保留还原点的数量，新增还原点的时间</w:t>
            </w:r>
          </w:p>
          <w:p>
            <w:pPr>
              <w:widowControl/>
              <w:jc w:val="left"/>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图形化实现数据库恢复：web界面实现数据库的恢复，可以恢复到任务周期内的任意时间</w:t>
            </w:r>
          </w:p>
          <w:p>
            <w:pPr>
              <w:widowControl/>
              <w:jc w:val="left"/>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图形化管理容灾库同步状态：web界面管理容灾库同步，启动停止容灾同步，无须使用命令</w:t>
            </w:r>
          </w:p>
          <w:p>
            <w:pPr>
              <w:widowControl/>
              <w:jc w:val="left"/>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图形化实现容灾数据库配置：web界面完成容灾数据库参数的配置</w:t>
            </w:r>
          </w:p>
          <w:p>
            <w:pPr>
              <w:widowControl/>
              <w:jc w:val="left"/>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图形化实现容灾数据库初始化：web界面自动完成容灾数据库初始化过程，无须手动命令（仅支持11g以上版本）</w:t>
            </w:r>
          </w:p>
          <w:p>
            <w:pPr>
              <w:widowControl/>
              <w:jc w:val="left"/>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用户管理： 增加用户，删除用户，日志查询</w:t>
            </w:r>
          </w:p>
          <w:p>
            <w:pPr>
              <w:widowControl/>
              <w:jc w:val="left"/>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482" w:type="dxa"/>
            <w:noWrap w:val="0"/>
            <w:vAlign w:val="center"/>
          </w:tcPr>
          <w:p>
            <w:pPr>
              <w:widowControl/>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SYBASE数据库复制</w:t>
            </w: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SYBASE复制</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SYBASE生产数据库的数据，通过复制传送到容灾SYBASE数据库；按照需求，策略可以设置为每隔5-1440分钟复制1次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482" w:type="dxa"/>
            <w:vMerge w:val="restart"/>
            <w:noWrap w:val="0"/>
            <w:vAlign w:val="center"/>
          </w:tcPr>
          <w:p>
            <w:pPr>
              <w:widowControl/>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ORACLE性能监控</w:t>
            </w: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性能监控</w:t>
            </w:r>
          </w:p>
        </w:tc>
        <w:tc>
          <w:tcPr>
            <w:tcW w:w="5971" w:type="dxa"/>
            <w:noWrap w:val="0"/>
            <w:vAlign w:val="center"/>
          </w:tcPr>
          <w:p>
            <w:pPr>
              <w:widowControl/>
              <w:numPr>
                <w:ilvl w:val="0"/>
                <w:numId w:val="20"/>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性能监控 </w:t>
            </w:r>
          </w:p>
          <w:p>
            <w:pPr>
              <w:widowControl/>
              <w:numPr>
                <w:ilvl w:val="0"/>
                <w:numId w:val="20"/>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 超过30种预定义的趋势图模板（全方位24x7的监控）；</w:t>
            </w:r>
          </w:p>
          <w:p>
            <w:pPr>
              <w:widowControl/>
              <w:numPr>
                <w:ilvl w:val="0"/>
                <w:numId w:val="20"/>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 通过趋势图可快速定位速数据库异常原因以及异常触发的时间段；</w:t>
            </w:r>
          </w:p>
          <w:p>
            <w:pPr>
              <w:widowControl/>
              <w:numPr>
                <w:ilvl w:val="0"/>
                <w:numId w:val="20"/>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 通过趋势图可为将来的硬件扩容提供数据依据；</w:t>
            </w:r>
          </w:p>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1"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数据库快照及报表</w:t>
            </w:r>
          </w:p>
        </w:tc>
        <w:tc>
          <w:tcPr>
            <w:tcW w:w="5971" w:type="dxa"/>
            <w:noWrap w:val="0"/>
            <w:vAlign w:val="center"/>
          </w:tcPr>
          <w:p>
            <w:pPr>
              <w:widowControl/>
              <w:numPr>
                <w:ilvl w:val="0"/>
                <w:numId w:val="20"/>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数据库快照及报表</w:t>
            </w:r>
          </w:p>
          <w:p>
            <w:pPr>
              <w:widowControl/>
              <w:numPr>
                <w:ilvl w:val="0"/>
                <w:numId w:val="20"/>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2.1 方便查看最近1月任1时段的sql report、sys metric report、awr report、addm report等；</w:t>
            </w:r>
          </w:p>
          <w:p>
            <w:pPr>
              <w:widowControl/>
              <w:numPr>
                <w:ilvl w:val="0"/>
                <w:numId w:val="20"/>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2.2 可对任1时段的sql进行多维度的排序，以便分析出引起性能故障的sql；</w:t>
            </w:r>
          </w:p>
          <w:p>
            <w:pPr>
              <w:widowControl/>
              <w:numPr>
                <w:ilvl w:val="0"/>
                <w:numId w:val="20"/>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2.3 可查看任1 sql的执行计划、执行次数趋势图以及该sql的历史明细数据；</w:t>
            </w:r>
          </w:p>
          <w:p>
            <w:pPr>
              <w:widowControl/>
              <w:numPr>
                <w:ilvl w:val="0"/>
                <w:numId w:val="20"/>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 提供SQL REPORT，对SQL进行多维度的排序,让维护人员更好地发现异常的SQL；</w:t>
            </w:r>
          </w:p>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SQL全文索引</w:t>
            </w:r>
          </w:p>
        </w:tc>
        <w:tc>
          <w:tcPr>
            <w:tcW w:w="5971" w:type="dxa"/>
            <w:noWrap w:val="0"/>
            <w:vAlign w:val="center"/>
          </w:tcPr>
          <w:p>
            <w:pPr>
              <w:widowControl/>
              <w:numPr>
                <w:ilvl w:val="0"/>
                <w:numId w:val="20"/>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SQL全文索引</w:t>
            </w:r>
          </w:p>
          <w:p>
            <w:pPr>
              <w:widowControl/>
              <w:numPr>
                <w:ilvl w:val="0"/>
                <w:numId w:val="20"/>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 可对sql语句进行全模糊查询、可展示sql的执行计划；</w:t>
            </w:r>
          </w:p>
          <w:p>
            <w:pPr>
              <w:widowControl/>
              <w:numPr>
                <w:ilvl w:val="0"/>
                <w:numId w:val="20"/>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 可多维度对sql进行排序，方便诊断出引起性能异常的sql；</w:t>
            </w:r>
          </w:p>
          <w:p>
            <w:pPr>
              <w:widowControl/>
              <w:numPr>
                <w:ilvl w:val="0"/>
                <w:numId w:val="20"/>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 统计出最近1天以来所有sql的执行次数；</w:t>
            </w:r>
          </w:p>
          <w:p>
            <w:pPr>
              <w:widowControl/>
              <w:numPr>
                <w:ilvl w:val="0"/>
                <w:numId w:val="20"/>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 标识出最近1天以来全表/全索引扫描的sql；</w:t>
            </w:r>
          </w:p>
          <w:p>
            <w:pPr>
              <w:widowControl/>
              <w:numPr>
                <w:ilvl w:val="0"/>
                <w:numId w:val="20"/>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3.5 统计出未绑定变量的sql，以避免引起数据库故障；</w:t>
            </w:r>
          </w:p>
          <w:p>
            <w:pPr>
              <w:widowControl/>
              <w:numPr>
                <w:ilvl w:val="0"/>
                <w:numId w:val="20"/>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3.6 统计出sql区段报表，以了解sql在数据库的分布情况；</w:t>
            </w:r>
          </w:p>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记录变更报表</w:t>
            </w:r>
          </w:p>
        </w:tc>
        <w:tc>
          <w:tcPr>
            <w:tcW w:w="5971" w:type="dxa"/>
            <w:noWrap w:val="0"/>
            <w:vAlign w:val="center"/>
          </w:tcPr>
          <w:p>
            <w:pPr>
              <w:widowControl/>
              <w:numPr>
                <w:ilvl w:val="0"/>
                <w:numId w:val="20"/>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记录变更报表</w:t>
            </w:r>
          </w:p>
          <w:p>
            <w:pPr>
              <w:widowControl/>
              <w:numPr>
                <w:ilvl w:val="0"/>
                <w:numId w:val="20"/>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4.1 通过记录变更报表可了解应用与数据库的数据活动情况；</w:t>
            </w:r>
          </w:p>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表空间报表</w:t>
            </w:r>
          </w:p>
        </w:tc>
        <w:tc>
          <w:tcPr>
            <w:tcW w:w="5971" w:type="dxa"/>
            <w:noWrap w:val="0"/>
            <w:vAlign w:val="center"/>
          </w:tcPr>
          <w:p>
            <w:pPr>
              <w:widowControl/>
              <w:numPr>
                <w:ilvl w:val="0"/>
                <w:numId w:val="21"/>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表空间报表；</w:t>
            </w:r>
          </w:p>
          <w:p>
            <w:pPr>
              <w:widowControl/>
              <w:numPr>
                <w:ilvl w:val="0"/>
                <w:numId w:val="21"/>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 表空间监控报表可查看每个表空间的使用率、可用空间、可用天数等；</w:t>
            </w:r>
          </w:p>
          <w:p>
            <w:pPr>
              <w:widowControl/>
              <w:numPr>
                <w:ilvl w:val="0"/>
                <w:numId w:val="21"/>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5.2 通过表空间的增长系数，可预估将来的存储空间消耗情况；</w:t>
            </w:r>
          </w:p>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段空间报表</w:t>
            </w:r>
          </w:p>
        </w:tc>
        <w:tc>
          <w:tcPr>
            <w:tcW w:w="5971" w:type="dxa"/>
            <w:noWrap w:val="0"/>
            <w:vAlign w:val="center"/>
          </w:tcPr>
          <w:p>
            <w:pPr>
              <w:widowControl/>
              <w:numPr>
                <w:ilvl w:val="0"/>
                <w:numId w:val="21"/>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段空间报表</w:t>
            </w:r>
          </w:p>
          <w:p>
            <w:pPr>
              <w:widowControl/>
              <w:numPr>
                <w:ilvl w:val="0"/>
                <w:numId w:val="21"/>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6.1 段空间监控报表可查看每个段（索引/表）消耗的存储空间以及增量空间等；</w:t>
            </w:r>
          </w:p>
          <w:p>
            <w:pPr>
              <w:widowControl/>
              <w:numPr>
                <w:ilvl w:val="0"/>
                <w:numId w:val="21"/>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6.2 通过段链接可查看所有访问段的sql语句；</w:t>
            </w:r>
          </w:p>
          <w:p>
            <w:pPr>
              <w:widowControl/>
              <w:numPr>
                <w:ilvl w:val="0"/>
                <w:numId w:val="21"/>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6.3 通过查看历史链接可查看每个段的历史明细数据等;</w:t>
            </w:r>
          </w:p>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6"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关键指标趋势图</w:t>
            </w:r>
          </w:p>
        </w:tc>
        <w:tc>
          <w:tcPr>
            <w:tcW w:w="5971" w:type="dxa"/>
            <w:noWrap w:val="0"/>
            <w:vAlign w:val="center"/>
          </w:tcPr>
          <w:p>
            <w:pPr>
              <w:widowControl/>
              <w:numPr>
                <w:ilvl w:val="0"/>
                <w:numId w:val="21"/>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关键指标趋势图的部分介绍</w:t>
            </w:r>
          </w:p>
          <w:p>
            <w:pPr>
              <w:widowControl/>
              <w:numPr>
                <w:ilvl w:val="0"/>
                <w:numId w:val="21"/>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7.1 数据库存储空间使用率趋势图</w:t>
            </w:r>
          </w:p>
          <w:p>
            <w:pPr>
              <w:widowControl/>
              <w:numPr>
                <w:ilvl w:val="0"/>
                <w:numId w:val="21"/>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数据库存储空间使用率，通过该图片的链接，可查看最近2天、2周、1月、1年来的存储空间使用情况</w:t>
            </w:r>
          </w:p>
          <w:p>
            <w:pPr>
              <w:widowControl/>
              <w:numPr>
                <w:ilvl w:val="0"/>
                <w:numId w:val="21"/>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7.2 物理读趋势图；</w:t>
            </w:r>
          </w:p>
          <w:p>
            <w:pPr>
              <w:widowControl/>
              <w:numPr>
                <w:ilvl w:val="0"/>
                <w:numId w:val="21"/>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7.3 物理写趋势图；</w:t>
            </w:r>
          </w:p>
          <w:p>
            <w:pPr>
              <w:widowControl/>
              <w:numPr>
                <w:ilvl w:val="0"/>
                <w:numId w:val="21"/>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7.4 逻辑读趋势图；</w:t>
            </w:r>
          </w:p>
          <w:p>
            <w:pPr>
              <w:widowControl/>
              <w:numPr>
                <w:ilvl w:val="0"/>
                <w:numId w:val="21"/>
              </w:num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7.5 全表扫描事件等待趋势图；</w:t>
            </w:r>
          </w:p>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9" w:hRule="atLeast"/>
        </w:trPr>
        <w:tc>
          <w:tcPr>
            <w:tcW w:w="1482" w:type="dxa"/>
            <w:vMerge w:val="restart"/>
            <w:noWrap w:val="0"/>
            <w:vAlign w:val="center"/>
          </w:tcPr>
          <w:p>
            <w:pPr>
              <w:widowControl/>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可管理性</w:t>
            </w: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管理方式</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统一中文界面软件管理平台至少包含数据备份功能、数据库容灾复制（ORACLE,SQLSERVER）、虚拟机容灾复制（VMWARE虚拟机容灾）、文件级同步复制、ORACLE性能监控 五大功能，需带报警功能：当容灾复制出现异常情况，容灾管理平台需要立即报警，报警方式：短信报警，</w:t>
            </w:r>
          </w:p>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restart"/>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锁屏功能</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须提供手工锁屏功能，管理员要离开电脑 可以锁屏（锁容灾备份管理界面）离开，需继续工作则输入管理员密码即恢复原工作界面；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continue"/>
            <w:noWrap w:val="0"/>
            <w:vAlign w:val="center"/>
          </w:tcPr>
          <w:p>
            <w:pPr>
              <w:jc w:val="center"/>
              <w:rPr>
                <w:rFonts w:hint="eastAsia" w:ascii="仿宋" w:hAnsi="仿宋" w:eastAsia="仿宋" w:cs="仿宋"/>
                <w:color w:val="auto"/>
                <w:sz w:val="21"/>
                <w:szCs w:val="21"/>
                <w:highlight w:val="none"/>
              </w:rPr>
            </w:pP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须提供自动锁屏功能，管理员长时间不做操作则自动锁屏（锁容灾备份管理界面），需继续工作则输入管理员密码即恢复原工作界面；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用户管理</w:t>
            </w: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具备管理员和审计管理员双管理员角色。审计管理员只做审计工作，可以进行备份内容审计、备份系统安全性审计和备份行为审计，以保证备份的安全性。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restart"/>
            <w:noWrap w:val="0"/>
            <w:vAlign w:val="center"/>
          </w:tcPr>
          <w:p>
            <w:pPr>
              <w:widowControl/>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配置需求</w:t>
            </w:r>
          </w:p>
        </w:tc>
        <w:tc>
          <w:tcPr>
            <w:tcW w:w="5971" w:type="dxa"/>
            <w:vMerge w:val="restart"/>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配置需求：</w:t>
            </w:r>
          </w:p>
          <w:p>
            <w:pPr>
              <w:widowControl/>
              <w:shd w:val="clear" w:color="auto" w:fill="FFFFFF"/>
              <w:spacing w:line="276"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套 LINUX/WIN 标准客户端（支持文件备份，数据库备份，虚拟机备份）LICENSE;</w:t>
            </w:r>
          </w:p>
          <w:p>
            <w:pPr>
              <w:widowControl/>
              <w:jc w:val="left"/>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rPr>
              <w:t>套控制台，灾备统一管理，支持备份策略配置，支持容灾复制策略配置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continue"/>
            <w:noWrap w:val="0"/>
            <w:vAlign w:val="center"/>
          </w:tcPr>
          <w:p>
            <w:pPr>
              <w:jc w:val="center"/>
              <w:rPr>
                <w:rFonts w:hint="eastAsia" w:ascii="仿宋" w:hAnsi="仿宋" w:eastAsia="仿宋" w:cs="仿宋"/>
                <w:color w:val="auto"/>
                <w:sz w:val="21"/>
                <w:szCs w:val="21"/>
                <w:highlight w:val="none"/>
              </w:rPr>
            </w:pPr>
          </w:p>
        </w:tc>
        <w:tc>
          <w:tcPr>
            <w:tcW w:w="5971" w:type="dxa"/>
            <w:vMerge w:val="continue"/>
            <w:noWrap w:val="0"/>
            <w:vAlign w:val="center"/>
          </w:tcPr>
          <w:p>
            <w:pPr>
              <w:jc w:val="left"/>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82" w:type="dxa"/>
            <w:vMerge w:val="continue"/>
            <w:noWrap w:val="0"/>
            <w:vAlign w:val="center"/>
          </w:tcPr>
          <w:p>
            <w:pPr>
              <w:jc w:val="center"/>
              <w:rPr>
                <w:rFonts w:hint="eastAsia" w:ascii="仿宋" w:hAnsi="仿宋" w:eastAsia="仿宋" w:cs="仿宋"/>
                <w:color w:val="auto"/>
                <w:sz w:val="21"/>
                <w:szCs w:val="21"/>
                <w:highlight w:val="none"/>
              </w:rPr>
            </w:pPr>
          </w:p>
        </w:tc>
        <w:tc>
          <w:tcPr>
            <w:tcW w:w="1665" w:type="dxa"/>
            <w:vMerge w:val="continue"/>
            <w:noWrap w:val="0"/>
            <w:vAlign w:val="center"/>
          </w:tcPr>
          <w:p>
            <w:pPr>
              <w:jc w:val="center"/>
              <w:rPr>
                <w:rFonts w:hint="eastAsia" w:ascii="仿宋" w:hAnsi="仿宋" w:eastAsia="仿宋" w:cs="仿宋"/>
                <w:color w:val="auto"/>
                <w:sz w:val="21"/>
                <w:szCs w:val="21"/>
                <w:highlight w:val="none"/>
              </w:rPr>
            </w:pPr>
          </w:p>
        </w:tc>
        <w:tc>
          <w:tcPr>
            <w:tcW w:w="5971" w:type="dxa"/>
            <w:vMerge w:val="continue"/>
            <w:noWrap w:val="0"/>
            <w:vAlign w:val="center"/>
          </w:tcPr>
          <w:p>
            <w:pPr>
              <w:jc w:val="left"/>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482" w:type="dxa"/>
            <w:noWrap w:val="0"/>
            <w:vAlign w:val="center"/>
          </w:tcPr>
          <w:p>
            <w:pPr>
              <w:widowControl/>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合同签订前要求</w:t>
            </w:r>
          </w:p>
        </w:tc>
        <w:tc>
          <w:tcPr>
            <w:tcW w:w="1665" w:type="dxa"/>
            <w:noWrap w:val="0"/>
            <w:vAlign w:val="center"/>
          </w:tcPr>
          <w:p>
            <w:pPr>
              <w:widowControl/>
              <w:jc w:val="center"/>
              <w:rPr>
                <w:rFonts w:hint="eastAsia" w:ascii="仿宋" w:hAnsi="仿宋" w:eastAsia="仿宋" w:cs="仿宋"/>
                <w:color w:val="auto"/>
                <w:sz w:val="21"/>
                <w:szCs w:val="21"/>
                <w:highlight w:val="none"/>
              </w:rPr>
            </w:pP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1、投标文件中须提供相关的截图证明材料，若无法按时提供（或提供虚假材料）的，采购人有权取消其中标资格。</w:t>
            </w:r>
          </w:p>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2、本表所述的中标后测试项目，若无法在规定时间内提供测试（或测试结果不合格）的，采购人有权取消其中标资格，拒签项目合同，并没收其履约保证金。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82" w:type="dxa"/>
            <w:noWrap w:val="0"/>
            <w:vAlign w:val="center"/>
          </w:tcPr>
          <w:p>
            <w:pPr>
              <w:widowControl/>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服务</w:t>
            </w:r>
          </w:p>
        </w:tc>
        <w:tc>
          <w:tcPr>
            <w:tcW w:w="1665" w:type="dxa"/>
            <w:noWrap w:val="0"/>
            <w:vAlign w:val="center"/>
          </w:tcPr>
          <w:p>
            <w:pPr>
              <w:widowControl/>
              <w:jc w:val="center"/>
              <w:rPr>
                <w:rFonts w:hint="eastAsia" w:ascii="仿宋" w:hAnsi="仿宋" w:eastAsia="仿宋" w:cs="仿宋"/>
                <w:color w:val="auto"/>
                <w:sz w:val="21"/>
                <w:szCs w:val="21"/>
                <w:highlight w:val="none"/>
              </w:rPr>
            </w:pPr>
          </w:p>
        </w:tc>
        <w:tc>
          <w:tcPr>
            <w:tcW w:w="5971" w:type="dxa"/>
            <w:noWrap w:val="0"/>
            <w:vAlign w:val="center"/>
          </w:tcPr>
          <w:p>
            <w:pPr>
              <w:widowControl/>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要求工程师至用户现场进行数据库安装、实施，生产环境搭建完成，必须通过充分测试、验证，并且在测试数据完全清除后，再正式交由生产业务系统使用，相关费用由中标单位承担，质保期内厂商提供至少一年一次的现场巡检服务，巡检服务完成后出具巡检报告。</w:t>
            </w:r>
          </w:p>
        </w:tc>
      </w:tr>
    </w:tbl>
    <w:p>
      <w:pPr>
        <w:pStyle w:val="2"/>
        <w:numPr>
          <w:ilvl w:val="0"/>
          <w:numId w:val="0"/>
        </w:numPr>
        <w:ind w:left="360" w:leftChars="0"/>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2.USB量子安全Q盾性能指标</w:t>
      </w:r>
    </w:p>
    <w:p>
      <w:pPr>
        <w:spacing w:line="440" w:lineRule="exact"/>
        <w:ind w:firstLine="420" w:firstLineChars="200"/>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rPr>
        <w:t>投标人提供</w:t>
      </w:r>
      <w:r>
        <w:rPr>
          <w:rFonts w:hint="eastAsia" w:ascii="仿宋" w:hAnsi="仿宋" w:eastAsia="仿宋" w:cs="仿宋"/>
          <w:bCs/>
          <w:color w:val="auto"/>
          <w:sz w:val="21"/>
          <w:szCs w:val="21"/>
          <w:highlight w:val="none"/>
          <w:lang w:val="en-US" w:eastAsia="zh-CN"/>
        </w:rPr>
        <w:t>两</w:t>
      </w:r>
      <w:r>
        <w:rPr>
          <w:rFonts w:hint="eastAsia" w:ascii="仿宋" w:hAnsi="仿宋" w:eastAsia="仿宋" w:cs="仿宋"/>
          <w:bCs/>
          <w:color w:val="auto"/>
          <w:sz w:val="21"/>
          <w:szCs w:val="21"/>
          <w:highlight w:val="none"/>
        </w:rPr>
        <w:t>套USB量子安全Q盾，对系统提供信息加密、身份认证、密钥协商、密钥管理等功能的密码服务</w:t>
      </w:r>
      <w:r>
        <w:rPr>
          <w:rFonts w:hint="eastAsia" w:ascii="仿宋" w:hAnsi="仿宋" w:eastAsia="仿宋" w:cs="仿宋"/>
          <w:bCs/>
          <w:color w:val="auto"/>
          <w:sz w:val="21"/>
          <w:szCs w:val="21"/>
          <w:highlight w:val="none"/>
          <w:lang w:eastAsia="zh-CN"/>
        </w:rPr>
        <w:t>。</w:t>
      </w:r>
    </w:p>
    <w:tbl>
      <w:tblPr>
        <w:tblStyle w:val="64"/>
        <w:tblW w:w="91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985"/>
        <w:gridCol w:w="6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7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序号</w:t>
            </w:r>
          </w:p>
        </w:tc>
        <w:tc>
          <w:tcPr>
            <w:tcW w:w="198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设备参数</w:t>
            </w:r>
          </w:p>
        </w:tc>
        <w:tc>
          <w:tcPr>
            <w:tcW w:w="6502"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参数指标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67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w:t>
            </w:r>
          </w:p>
        </w:tc>
        <w:tc>
          <w:tcPr>
            <w:tcW w:w="198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量子加密</w:t>
            </w:r>
          </w:p>
        </w:tc>
        <w:tc>
          <w:tcPr>
            <w:tcW w:w="6502" w:type="dxa"/>
            <w:noWrap w:val="0"/>
            <w:vAlign w:val="center"/>
          </w:tcPr>
          <w:p>
            <w:pP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基于量子力学不可预测，不可复制，不可分割的技术原理。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7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2</w:t>
            </w:r>
          </w:p>
        </w:tc>
        <w:tc>
          <w:tcPr>
            <w:tcW w:w="198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密钥获取</w:t>
            </w:r>
          </w:p>
        </w:tc>
        <w:tc>
          <w:tcPr>
            <w:tcW w:w="6502" w:type="dxa"/>
            <w:noWrap w:val="0"/>
            <w:vAlign w:val="center"/>
          </w:tcPr>
          <w:p>
            <w:pP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支持多种密钥注入方式：离线注入量子密钥，在线获取量子密钥。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67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3</w:t>
            </w:r>
          </w:p>
        </w:tc>
        <w:tc>
          <w:tcPr>
            <w:tcW w:w="198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在线密钥源选择</w:t>
            </w:r>
          </w:p>
        </w:tc>
        <w:tc>
          <w:tcPr>
            <w:tcW w:w="6502" w:type="dxa"/>
            <w:noWrap w:val="0"/>
            <w:vAlign w:val="center"/>
          </w:tcPr>
          <w:p>
            <w:pPr>
              <w:rPr>
                <w:rFonts w:hint="eastAsia" w:ascii="仿宋" w:hAnsi="仿宋" w:eastAsia="仿宋" w:cs="仿宋"/>
                <w:bCs/>
                <w:color w:val="auto"/>
                <w:sz w:val="21"/>
                <w:szCs w:val="21"/>
                <w:highlight w:val="none"/>
              </w:rPr>
            </w:pPr>
            <w:r>
              <w:rPr>
                <w:rFonts w:hint="eastAsia" w:ascii="仿宋" w:hAnsi="仿宋" w:eastAsia="仿宋" w:cs="仿宋"/>
                <w:b/>
                <w:color w:val="auto"/>
                <w:sz w:val="21"/>
                <w:szCs w:val="21"/>
                <w:highlight w:val="none"/>
              </w:rPr>
              <w:t>▲</w:t>
            </w:r>
            <w:r>
              <w:rPr>
                <w:rFonts w:hint="eastAsia" w:ascii="仿宋" w:hAnsi="仿宋" w:eastAsia="仿宋" w:cs="仿宋"/>
                <w:bCs/>
                <w:color w:val="auto"/>
                <w:sz w:val="21"/>
                <w:szCs w:val="21"/>
                <w:highlight w:val="none"/>
              </w:rPr>
              <w:t>支持从量子密钥分发设备QKD获取在线密钥，支持从量子真随机数发生器QRNG获取在线密钥。</w:t>
            </w:r>
            <w:r>
              <w:rPr>
                <w:rFonts w:hint="eastAsia" w:ascii="仿宋" w:hAnsi="仿宋" w:eastAsia="仿宋" w:cs="仿宋"/>
                <w:color w:val="auto"/>
                <w:sz w:val="21"/>
                <w:szCs w:val="21"/>
                <w:highlight w:val="none"/>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67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4</w:t>
            </w:r>
          </w:p>
        </w:tc>
        <w:tc>
          <w:tcPr>
            <w:tcW w:w="198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高速密码运算接口</w:t>
            </w:r>
          </w:p>
        </w:tc>
        <w:tc>
          <w:tcPr>
            <w:tcW w:w="6502" w:type="dxa"/>
            <w:noWrap w:val="0"/>
            <w:vAlign w:val="center"/>
          </w:tcPr>
          <w:p>
            <w:pPr>
              <w:rPr>
                <w:rFonts w:hint="eastAsia" w:ascii="仿宋" w:hAnsi="仿宋" w:eastAsia="仿宋" w:cs="仿宋"/>
                <w:bCs/>
                <w:color w:val="auto"/>
                <w:sz w:val="21"/>
                <w:szCs w:val="21"/>
                <w:highlight w:val="none"/>
              </w:rPr>
            </w:pPr>
            <w:r>
              <w:rPr>
                <w:rFonts w:hint="eastAsia" w:ascii="仿宋" w:hAnsi="仿宋" w:eastAsia="仿宋" w:cs="仿宋"/>
                <w:b/>
                <w:color w:val="auto"/>
                <w:sz w:val="21"/>
                <w:szCs w:val="21"/>
                <w:highlight w:val="none"/>
              </w:rPr>
              <w:t>▲</w:t>
            </w:r>
            <w:r>
              <w:rPr>
                <w:rFonts w:hint="eastAsia" w:ascii="仿宋" w:hAnsi="仿宋" w:eastAsia="仿宋" w:cs="仿宋"/>
                <w:bCs/>
                <w:color w:val="auto"/>
                <w:sz w:val="21"/>
                <w:szCs w:val="21"/>
                <w:highlight w:val="none"/>
              </w:rPr>
              <w:t>基于High Speed USB接口提供高速的密码算法运算功能，支持的算法包括：SM1、SM2、SM3、SM4；</w:t>
            </w:r>
            <w:r>
              <w:rPr>
                <w:rFonts w:hint="eastAsia" w:ascii="仿宋" w:hAnsi="仿宋" w:eastAsia="仿宋" w:cs="仿宋"/>
                <w:color w:val="auto"/>
                <w:sz w:val="21"/>
                <w:szCs w:val="21"/>
                <w:highlight w:val="none"/>
              </w:rPr>
              <w:t>【提供产品检测报告或产品宣传彩页，并加盖原厂公章】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67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5</w:t>
            </w:r>
          </w:p>
        </w:tc>
        <w:tc>
          <w:tcPr>
            <w:tcW w:w="198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支持多种操作系统</w:t>
            </w:r>
          </w:p>
        </w:tc>
        <w:tc>
          <w:tcPr>
            <w:tcW w:w="6502" w:type="dxa"/>
            <w:noWrap w:val="0"/>
            <w:vAlign w:val="center"/>
          </w:tcPr>
          <w:p>
            <w:pP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应用层对象通过SDK与高速USB加密模块进行通信，通信采用的是High Speed USB SCSI协议，其中SDK提供基于多种操作系统的实现版本（包括：Windows、Linux、MAC 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67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6</w:t>
            </w:r>
          </w:p>
        </w:tc>
        <w:tc>
          <w:tcPr>
            <w:tcW w:w="198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安全芯片</w:t>
            </w:r>
          </w:p>
        </w:tc>
        <w:tc>
          <w:tcPr>
            <w:tcW w:w="6502" w:type="dxa"/>
            <w:noWrap w:val="0"/>
            <w:vAlign w:val="center"/>
          </w:tcPr>
          <w:p>
            <w:pPr>
              <w:rPr>
                <w:rFonts w:hint="eastAsia" w:ascii="仿宋" w:hAnsi="仿宋" w:eastAsia="仿宋" w:cs="仿宋"/>
                <w:bCs/>
                <w:color w:val="auto"/>
                <w:sz w:val="21"/>
                <w:szCs w:val="21"/>
                <w:highlight w:val="none"/>
              </w:rPr>
            </w:pPr>
            <w:r>
              <w:rPr>
                <w:rFonts w:hint="eastAsia" w:ascii="仿宋" w:hAnsi="仿宋" w:eastAsia="仿宋" w:cs="仿宋"/>
                <w:b/>
                <w:color w:val="auto"/>
                <w:sz w:val="21"/>
                <w:szCs w:val="21"/>
                <w:highlight w:val="none"/>
              </w:rPr>
              <w:t>▲</w:t>
            </w:r>
            <w:r>
              <w:rPr>
                <w:rFonts w:hint="eastAsia" w:ascii="仿宋" w:hAnsi="仿宋" w:eastAsia="仿宋" w:cs="仿宋"/>
                <w:bCs/>
                <w:color w:val="auto"/>
                <w:sz w:val="21"/>
                <w:szCs w:val="21"/>
                <w:highlight w:val="none"/>
              </w:rPr>
              <w:t>采用通过国家密码管理局商用密码检测中心《安全芯片密码检测准则》第二级的安全芯片，提供商用密码产品认证证书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67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7</w:t>
            </w:r>
          </w:p>
        </w:tc>
        <w:tc>
          <w:tcPr>
            <w:tcW w:w="198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支持标准接口</w:t>
            </w:r>
          </w:p>
        </w:tc>
        <w:tc>
          <w:tcPr>
            <w:tcW w:w="6502" w:type="dxa"/>
            <w:noWrap w:val="0"/>
            <w:vAlign w:val="center"/>
          </w:tcPr>
          <w:p>
            <w:pP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支持High Speed USB硬件接口，基于SCSI协议提供符合《GMT 0017-2012 智能密码钥匙密码应用接口数据格式规范》标准的接口定义和APDU封装，而SDK提供符合《GMT 0018-2012 密码设备应用接口规范》标准的API封装，具有良好的通用性。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67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8</w:t>
            </w:r>
          </w:p>
        </w:tc>
        <w:tc>
          <w:tcPr>
            <w:tcW w:w="198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安全密钥存储</w:t>
            </w:r>
          </w:p>
        </w:tc>
        <w:tc>
          <w:tcPr>
            <w:tcW w:w="6502" w:type="dxa"/>
            <w:noWrap w:val="0"/>
            <w:vAlign w:val="center"/>
          </w:tcPr>
          <w:p>
            <w:pP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设备内部存储的密钥具备有效保护机制，防止解剖、探测和非法读取。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67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9</w:t>
            </w:r>
          </w:p>
        </w:tc>
        <w:tc>
          <w:tcPr>
            <w:tcW w:w="198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身份认证</w:t>
            </w:r>
          </w:p>
        </w:tc>
        <w:tc>
          <w:tcPr>
            <w:tcW w:w="6502" w:type="dxa"/>
            <w:noWrap w:val="0"/>
            <w:vAlign w:val="center"/>
          </w:tcPr>
          <w:p>
            <w:pP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支持通过量子密钥对设备进行身份认证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67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10</w:t>
            </w:r>
          </w:p>
        </w:tc>
        <w:tc>
          <w:tcPr>
            <w:tcW w:w="198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rPr>
              <w:t>高速SM4算法性能</w:t>
            </w:r>
          </w:p>
        </w:tc>
        <w:tc>
          <w:tcPr>
            <w:tcW w:w="6502" w:type="dxa"/>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w:t>
            </w:r>
            <w:r>
              <w:rPr>
                <w:rFonts w:hint="eastAsia" w:ascii="仿宋" w:hAnsi="仿宋" w:eastAsia="仿宋" w:cs="仿宋"/>
                <w:color w:val="auto"/>
                <w:sz w:val="21"/>
                <w:szCs w:val="21"/>
                <w:highlight w:val="none"/>
              </w:rPr>
              <w:t>ECB模式（32K字节）：68.7Mbps；CBC模式（32K字节）：68.7Mbps</w:t>
            </w:r>
          </w:p>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【提供产品检测报告或产品宣传彩页，并加盖原厂公章】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67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11</w:t>
            </w:r>
          </w:p>
        </w:tc>
        <w:tc>
          <w:tcPr>
            <w:tcW w:w="198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rPr>
              <w:t>高速SM3算法性能</w:t>
            </w:r>
          </w:p>
        </w:tc>
        <w:tc>
          <w:tcPr>
            <w:tcW w:w="6502" w:type="dxa"/>
            <w:noWrap w:val="0"/>
            <w:vAlign w:val="center"/>
          </w:tcPr>
          <w:p>
            <w:pPr>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rPr>
              <w:t>杂凑速率（32K字节）：6.8Mbps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7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12</w:t>
            </w:r>
          </w:p>
        </w:tc>
        <w:tc>
          <w:tcPr>
            <w:tcW w:w="198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rPr>
              <w:t>SM4算法性能</w:t>
            </w:r>
          </w:p>
        </w:tc>
        <w:tc>
          <w:tcPr>
            <w:tcW w:w="6502" w:type="dxa"/>
            <w:noWrap w:val="0"/>
            <w:vAlign w:val="center"/>
          </w:tcPr>
          <w:p>
            <w:pPr>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rPr>
              <w:t>ECB加密速率（1024字节）：75.4Kbps；ECB解密速率（1024字节）：80.3Kbps；CBC加密速率（1024字节）：75.4Kbps；CBC解密速率（1024字节）：80.3Kbps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7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13</w:t>
            </w:r>
          </w:p>
        </w:tc>
        <w:tc>
          <w:tcPr>
            <w:tcW w:w="198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rPr>
              <w:t>随机数</w:t>
            </w:r>
          </w:p>
        </w:tc>
        <w:tc>
          <w:tcPr>
            <w:tcW w:w="6502" w:type="dxa"/>
            <w:noWrap w:val="0"/>
            <w:vAlign w:val="center"/>
          </w:tcPr>
          <w:p>
            <w:pPr>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rPr>
              <w:t>生成：353.6Kbps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7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14</w:t>
            </w:r>
          </w:p>
        </w:tc>
        <w:tc>
          <w:tcPr>
            <w:tcW w:w="198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rPr>
              <w:t>SM2算法性能</w:t>
            </w:r>
          </w:p>
        </w:tc>
        <w:tc>
          <w:tcPr>
            <w:tcW w:w="6502" w:type="dxa"/>
            <w:noWrap w:val="0"/>
            <w:vAlign w:val="center"/>
          </w:tcPr>
          <w:p>
            <w:pPr>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rPr>
              <w:t>密钥对生成：20对/秒；签名：60次/秒；验签：35次/秒；加密（128字节）：47次/秒；解密（128字节）：11次/秒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67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15</w:t>
            </w:r>
          </w:p>
        </w:tc>
        <w:tc>
          <w:tcPr>
            <w:tcW w:w="198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rPr>
              <w:t>SM3算法性能</w:t>
            </w:r>
          </w:p>
        </w:tc>
        <w:tc>
          <w:tcPr>
            <w:tcW w:w="6502" w:type="dxa"/>
            <w:noWrap w:val="0"/>
            <w:vAlign w:val="center"/>
          </w:tcPr>
          <w:p>
            <w:pPr>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rPr>
              <w:t>杂凑速率：16Kbps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7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16</w:t>
            </w:r>
          </w:p>
        </w:tc>
        <w:tc>
          <w:tcPr>
            <w:tcW w:w="198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rPr>
              <w:t>HMACSM3</w:t>
            </w:r>
          </w:p>
        </w:tc>
        <w:tc>
          <w:tcPr>
            <w:tcW w:w="6502" w:type="dxa"/>
            <w:noWrap w:val="0"/>
            <w:vAlign w:val="center"/>
          </w:tcPr>
          <w:p>
            <w:pPr>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rPr>
              <w:t>HMACSM3性能：55Kbps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75" w:type="dxa"/>
            <w:noWrap w:val="0"/>
            <w:vAlign w:val="center"/>
          </w:tcPr>
          <w:p>
            <w:pPr>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17</w:t>
            </w:r>
          </w:p>
        </w:tc>
        <w:tc>
          <w:tcPr>
            <w:tcW w:w="1985" w:type="dxa"/>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产品资质</w:t>
            </w:r>
          </w:p>
        </w:tc>
        <w:tc>
          <w:tcPr>
            <w:tcW w:w="6502" w:type="dxa"/>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w:t>
            </w:r>
            <w:r>
              <w:rPr>
                <w:rFonts w:hint="eastAsia" w:ascii="仿宋" w:hAnsi="仿宋" w:eastAsia="仿宋" w:cs="仿宋"/>
                <w:bCs/>
                <w:color w:val="auto"/>
                <w:sz w:val="21"/>
                <w:szCs w:val="21"/>
                <w:highlight w:val="none"/>
              </w:rPr>
              <w:t>通过国家密码管理局商用密码检测中心《密码模块安全技术要求》第二级，提供商用密码产品认证证书</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三、付款方式</w:t>
      </w:r>
    </w:p>
    <w:p>
      <w:pPr>
        <w:pStyle w:val="44"/>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   </w:t>
      </w:r>
      <w:r>
        <w:rPr>
          <w:rFonts w:hint="eastAsia" w:ascii="仿宋" w:hAnsi="仿宋" w:eastAsia="仿宋" w:cs="仿宋"/>
          <w:color w:val="auto"/>
          <w:kern w:val="0"/>
          <w:sz w:val="21"/>
          <w:szCs w:val="21"/>
          <w:highlight w:val="none"/>
          <w:lang w:val="en-US" w:eastAsia="zh-CN" w:bidi="ar-SA"/>
        </w:rPr>
        <w:t xml:space="preserve"> 按《浙江省财政厅关于进一步发挥政府采购政策 功能全力推动经济稳进提质的通知》（浙财采监〔2022〕3号）文件要求执行，具体付款方式由双方协商后在合同中明确。</w:t>
      </w:r>
    </w:p>
    <w:p>
      <w:pPr>
        <w:spacing w:line="360" w:lineRule="auto"/>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ascii="仿宋" w:hAnsi="仿宋" w:eastAsia="仿宋" w:cs="仿宋"/>
          <w:b/>
          <w:color w:val="auto"/>
          <w:sz w:val="28"/>
          <w:szCs w:val="28"/>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703"/>
        <w:ind w:left="0" w:leftChars="0" w:firstLine="0" w:firstLineChars="0"/>
        <w:rPr>
          <w:rFonts w:ascii="仿宋" w:hAnsi="仿宋" w:eastAsia="仿宋" w:cs="仿宋"/>
          <w:color w:val="auto"/>
          <w:szCs w:val="24"/>
          <w:highlight w:val="none"/>
        </w:rPr>
      </w:pPr>
    </w:p>
    <w:p>
      <w:pPr>
        <w:pStyle w:val="703"/>
        <w:jc w:val="center"/>
        <w:rPr>
          <w:rFonts w:ascii="仿宋" w:hAnsi="仿宋" w:eastAsia="仿宋" w:cs="仿宋"/>
          <w:color w:val="auto"/>
          <w:szCs w:val="24"/>
          <w:highlight w:val="none"/>
        </w:rPr>
      </w:pPr>
    </w:p>
    <w:p>
      <w:pPr>
        <w:pStyle w:val="703"/>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703"/>
        <w:rPr>
          <w:rFonts w:ascii="仿宋" w:hAnsi="仿宋" w:eastAsia="仿宋" w:cs="仿宋"/>
          <w:color w:val="auto"/>
          <w:szCs w:val="24"/>
          <w:highlight w:val="none"/>
        </w:rPr>
      </w:pPr>
    </w:p>
    <w:p>
      <w:pPr>
        <w:pStyle w:val="703"/>
        <w:rPr>
          <w:rFonts w:ascii="仿宋" w:hAnsi="仿宋" w:eastAsia="仿宋" w:cs="仿宋"/>
          <w:color w:val="auto"/>
          <w:szCs w:val="24"/>
          <w:highlight w:val="none"/>
        </w:rPr>
      </w:pPr>
    </w:p>
    <w:p>
      <w:pPr>
        <w:spacing w:before="120" w:line="22" w:lineRule="atLeast"/>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600"/>
        <w:spacing w:before="120" w:line="22" w:lineRule="atLeast"/>
        <w:rPr>
          <w:rFonts w:ascii="仿宋" w:hAnsi="仿宋" w:eastAsia="仿宋" w:cs="仿宋"/>
          <w:color w:val="auto"/>
          <w:szCs w:val="24"/>
          <w:highlight w:val="none"/>
        </w:rPr>
      </w:pPr>
    </w:p>
    <w:p>
      <w:pPr>
        <w:pStyle w:val="600"/>
        <w:spacing w:before="120" w:line="22" w:lineRule="atLeast"/>
        <w:rPr>
          <w:rFonts w:ascii="仿宋" w:hAnsi="仿宋" w:eastAsia="仿宋" w:cs="仿宋"/>
          <w:color w:val="auto"/>
          <w:szCs w:val="24"/>
          <w:highlight w:val="none"/>
        </w:rPr>
      </w:pPr>
    </w:p>
    <w:p>
      <w:pPr>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仿宋" w:hAnsi="仿宋" w:eastAsia="仿宋" w:cs="仿宋"/>
          <w:color w:val="auto"/>
          <w:kern w:val="0"/>
          <w:sz w:val="24"/>
          <w:highlight w:val="none"/>
        </w:rPr>
        <w:sectPr>
          <w:pgSz w:w="11907" w:h="16840"/>
          <w:pgMar w:top="1814" w:right="1474" w:bottom="1814" w:left="1474" w:header="851" w:footer="851" w:gutter="0"/>
          <w:cols w:space="720" w:num="1"/>
        </w:sectPr>
      </w:pP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ascii="仿宋" w:hAnsi="仿宋" w:eastAsia="仿宋" w:cs="仿宋"/>
          <w:b/>
          <w:color w:val="auto"/>
          <w:sz w:val="24"/>
          <w:highlight w:val="none"/>
        </w:rPr>
      </w:pPr>
      <w:bookmarkStart w:id="44" w:name="_Toc24059"/>
      <w:bookmarkStart w:id="45" w:name="_Toc3029"/>
      <w:bookmarkStart w:id="46" w:name="_Toc2232"/>
      <w:r>
        <w:rPr>
          <w:rFonts w:hint="eastAsia" w:ascii="仿宋" w:hAnsi="仿宋" w:eastAsia="仿宋" w:cs="仿宋"/>
          <w:b/>
          <w:color w:val="auto"/>
          <w:sz w:val="24"/>
          <w:highlight w:val="none"/>
        </w:rPr>
        <w:t>1.1 合同组成部分</w:t>
      </w:r>
      <w:bookmarkEnd w:id="44"/>
      <w:bookmarkEnd w:id="45"/>
      <w:bookmarkEnd w:id="4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ascii="仿宋" w:hAnsi="仿宋" w:eastAsia="仿宋" w:cs="仿宋"/>
          <w:b/>
          <w:color w:val="auto"/>
          <w:sz w:val="24"/>
          <w:highlight w:val="none"/>
        </w:rPr>
      </w:pPr>
      <w:bookmarkStart w:id="47" w:name="_Toc21295"/>
      <w:bookmarkStart w:id="48" w:name="_Toc27126"/>
      <w:bookmarkStart w:id="49" w:name="_Toc24300"/>
      <w:r>
        <w:rPr>
          <w:rFonts w:hint="eastAsia" w:ascii="仿宋" w:hAnsi="仿宋" w:eastAsia="仿宋" w:cs="仿宋"/>
          <w:b/>
          <w:color w:val="auto"/>
          <w:sz w:val="24"/>
          <w:highlight w:val="none"/>
        </w:rPr>
        <w:t>1.2 货物</w:t>
      </w:r>
      <w:bookmarkEnd w:id="47"/>
      <w:bookmarkEnd w:id="48"/>
      <w:bookmarkEnd w:id="49"/>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pPr>
        <w:spacing w:line="560" w:lineRule="exact"/>
        <w:ind w:firstLine="482" w:firstLineChars="200"/>
        <w:outlineLvl w:val="0"/>
        <w:rPr>
          <w:rFonts w:ascii="仿宋" w:hAnsi="仿宋" w:eastAsia="仿宋" w:cs="仿宋"/>
          <w:b/>
          <w:color w:val="auto"/>
          <w:sz w:val="24"/>
          <w:highlight w:val="none"/>
        </w:rPr>
      </w:pPr>
      <w:bookmarkStart w:id="50" w:name="_Toc21551"/>
      <w:bookmarkStart w:id="51" w:name="_Toc23292"/>
      <w:bookmarkStart w:id="52" w:name="_Toc21631"/>
      <w:r>
        <w:rPr>
          <w:rFonts w:hint="eastAsia" w:ascii="仿宋" w:hAnsi="仿宋" w:eastAsia="仿宋" w:cs="仿宋"/>
          <w:b/>
          <w:color w:val="auto"/>
          <w:sz w:val="24"/>
          <w:highlight w:val="none"/>
        </w:rPr>
        <w:t>1.3 价款</w:t>
      </w:r>
      <w:bookmarkEnd w:id="50"/>
      <w:bookmarkEnd w:id="51"/>
      <w:bookmarkEnd w:id="5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ascii="仿宋" w:hAnsi="仿宋" w:eastAsia="仿宋" w:cs="仿宋"/>
                <w:color w:val="auto"/>
                <w:sz w:val="24"/>
                <w:szCs w:val="24"/>
                <w:highlight w:val="none"/>
              </w:rPr>
            </w:pPr>
          </w:p>
        </w:tc>
      </w:tr>
    </w:tbl>
    <w:p>
      <w:pPr>
        <w:pStyle w:val="960"/>
        <w:spacing w:before="0" w:beforeAutospacing="0" w:after="0" w:afterAutospacing="0" w:line="360" w:lineRule="auto"/>
        <w:ind w:firstLine="480"/>
        <w:rPr>
          <w:rFonts w:ascii="仿宋" w:hAnsi="仿宋" w:eastAsia="仿宋" w:cs="仿宋"/>
          <w:b/>
          <w:color w:val="auto"/>
          <w:highlight w:val="none"/>
        </w:rPr>
      </w:pPr>
      <w:bookmarkStart w:id="53" w:name="_Toc1814"/>
      <w:bookmarkStart w:id="54" w:name="_Toc22618"/>
      <w:bookmarkStart w:id="55" w:name="_Toc10340"/>
      <w:r>
        <w:rPr>
          <w:rFonts w:hint="eastAsia" w:ascii="仿宋" w:hAnsi="仿宋" w:eastAsia="仿宋" w:cs="仿宋"/>
          <w:b/>
          <w:color w:val="auto"/>
          <w:highlight w:val="none"/>
        </w:rPr>
        <w:t>1.4履约保证金</w:t>
      </w:r>
    </w:p>
    <w:p>
      <w:pPr>
        <w:pStyle w:val="960"/>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56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spacing w:line="56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4"/>
        <w:tabs>
          <w:tab w:val="clear" w:pos="432"/>
        </w:tabs>
        <w:spacing w:line="56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spacing w:line="56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53"/>
      <w:bookmarkEnd w:id="54"/>
      <w:bookmarkEnd w:id="55"/>
      <w:r>
        <w:rPr>
          <w:rFonts w:hint="eastAsia" w:ascii="仿宋" w:hAnsi="仿宋" w:eastAsia="仿宋" w:cs="仿宋"/>
          <w:b/>
          <w:color w:val="auto"/>
          <w:sz w:val="24"/>
          <w:highlight w:val="none"/>
        </w:rPr>
        <w:t>预付款</w:t>
      </w:r>
    </w:p>
    <w:p>
      <w:pPr>
        <w:pStyle w:val="960"/>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spacing w:line="56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60"/>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60"/>
        <w:spacing w:before="0" w:beforeAutospacing="0" w:after="0" w:afterAutospacing="0" w:line="360" w:lineRule="auto"/>
        <w:ind w:firstLine="48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60"/>
        <w:spacing w:before="0" w:beforeAutospacing="0" w:after="0" w:afterAutospacing="0" w:line="360" w:lineRule="auto"/>
        <w:ind w:firstLine="48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60"/>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56" w:name="_Toc2846"/>
      <w:bookmarkStart w:id="57" w:name="_Toc32071"/>
      <w:bookmarkStart w:id="58" w:name="_Toc19304"/>
      <w:r>
        <w:rPr>
          <w:rFonts w:hint="eastAsia" w:ascii="仿宋" w:hAnsi="仿宋" w:eastAsia="仿宋" w:cs="仿宋"/>
          <w:b/>
          <w:color w:val="auto"/>
          <w:sz w:val="24"/>
          <w:highlight w:val="none"/>
        </w:rPr>
        <w:t>1.7货物交付期限、地点和方式</w:t>
      </w:r>
      <w:bookmarkEnd w:id="56"/>
      <w:bookmarkEnd w:id="57"/>
      <w:bookmarkEnd w:id="58"/>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59" w:name="_Toc21423"/>
      <w:bookmarkStart w:id="60" w:name="_Toc19554"/>
      <w:bookmarkStart w:id="61" w:name="_Toc27250"/>
      <w:r>
        <w:rPr>
          <w:rFonts w:hint="eastAsia" w:ascii="仿宋" w:hAnsi="仿宋" w:eastAsia="仿宋" w:cs="仿宋"/>
          <w:b/>
          <w:color w:val="auto"/>
          <w:sz w:val="24"/>
          <w:highlight w:val="none"/>
        </w:rPr>
        <w:t>1.8违约责任</w:t>
      </w:r>
      <w:bookmarkEnd w:id="59"/>
      <w:bookmarkEnd w:id="60"/>
      <w:bookmarkEnd w:id="6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ascii="仿宋" w:hAnsi="仿宋" w:eastAsia="仿宋" w:cs="仿宋"/>
          <w:b/>
          <w:color w:val="auto"/>
          <w:sz w:val="24"/>
          <w:highlight w:val="none"/>
        </w:rPr>
      </w:pPr>
      <w:bookmarkStart w:id="62" w:name="_Toc16021"/>
      <w:bookmarkStart w:id="63" w:name="_Toc15583"/>
      <w:bookmarkStart w:id="64" w:name="_Toc28375"/>
      <w:r>
        <w:rPr>
          <w:rFonts w:hint="eastAsia" w:ascii="仿宋" w:hAnsi="仿宋" w:eastAsia="仿宋" w:cs="仿宋"/>
          <w:b/>
          <w:color w:val="auto"/>
          <w:sz w:val="24"/>
          <w:highlight w:val="none"/>
        </w:rPr>
        <w:t>1.9合同争议的解决</w:t>
      </w:r>
      <w:bookmarkEnd w:id="62"/>
      <w:bookmarkEnd w:id="63"/>
      <w:bookmarkEnd w:id="64"/>
    </w:p>
    <w:p>
      <w:pPr>
        <w:spacing w:line="560" w:lineRule="exact"/>
        <w:ind w:left="-61" w:leftChars="-29" w:right="-420" w:rightChars="-200"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840" w:firstLineChars="350"/>
        <w:rPr>
          <w:rFonts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ascii="仿宋" w:hAnsi="仿宋" w:eastAsia="仿宋" w:cs="仿宋"/>
          <w:b/>
          <w:color w:val="auto"/>
          <w:sz w:val="24"/>
          <w:highlight w:val="none"/>
        </w:rPr>
      </w:pPr>
      <w:bookmarkStart w:id="65" w:name="_Toc7245"/>
      <w:bookmarkStart w:id="66" w:name="_Toc11173"/>
      <w:bookmarkStart w:id="67" w:name="_Toc15322"/>
      <w:r>
        <w:rPr>
          <w:rFonts w:hint="eastAsia" w:ascii="仿宋" w:hAnsi="仿宋" w:eastAsia="仿宋" w:cs="仿宋"/>
          <w:b/>
          <w:color w:val="auto"/>
          <w:sz w:val="24"/>
          <w:highlight w:val="none"/>
        </w:rPr>
        <w:t>2.0 合同生效</w:t>
      </w:r>
      <w:bookmarkEnd w:id="65"/>
      <w:bookmarkEnd w:id="66"/>
      <w:bookmarkEnd w:id="67"/>
    </w:p>
    <w:p>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autoSpaceDE w:val="0"/>
        <w:autoSpaceDN w:val="0"/>
        <w:spacing w:line="560" w:lineRule="exact"/>
        <w:rPr>
          <w:rFonts w:ascii="仿宋" w:hAnsi="仿宋" w:eastAsia="仿宋" w:cs="仿宋"/>
          <w:color w:val="auto"/>
          <w:sz w:val="24"/>
          <w:highlight w:val="none"/>
          <w:lang w:val="zh-CN"/>
        </w:rPr>
      </w:pP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560" w:lineRule="exact"/>
        <w:rPr>
          <w:rFonts w:ascii="仿宋" w:hAnsi="仿宋" w:eastAsia="仿宋" w:cs="仿宋"/>
          <w:color w:val="auto"/>
          <w:sz w:val="24"/>
          <w:highlight w:val="none"/>
          <w:lang w:val="zh-CN"/>
        </w:rPr>
      </w:pP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pStyle w:val="4"/>
        <w:rPr>
          <w:rFonts w:ascii="仿宋" w:eastAsia="仿宋" w:cs="仿宋"/>
          <w:color w:val="auto"/>
          <w:sz w:val="24"/>
          <w:highlight w:val="none"/>
        </w:rPr>
      </w:pPr>
    </w:p>
    <w:p>
      <w:pPr>
        <w:rPr>
          <w:rFonts w:ascii="仿宋" w:hAnsi="仿宋" w:eastAsia="仿宋" w:cs="仿宋"/>
          <w:color w:val="auto"/>
          <w:sz w:val="24"/>
          <w:highlight w:val="none"/>
        </w:rPr>
      </w:pPr>
    </w:p>
    <w:p>
      <w:pPr>
        <w:pStyle w:val="4"/>
        <w:rPr>
          <w:rFonts w:ascii="仿宋" w:eastAsia="仿宋" w:cs="仿宋"/>
          <w:color w:val="auto"/>
          <w:sz w:val="24"/>
          <w:highlight w:val="none"/>
        </w:rPr>
      </w:pPr>
    </w:p>
    <w:p>
      <w:pPr>
        <w:rPr>
          <w:rFonts w:ascii="仿宋" w:hAnsi="仿宋" w:eastAsia="仿宋" w:cs="仿宋"/>
          <w:color w:val="auto"/>
          <w:sz w:val="24"/>
          <w:highlight w:val="none"/>
        </w:rPr>
      </w:pPr>
    </w:p>
    <w:p>
      <w:pPr>
        <w:pStyle w:val="4"/>
        <w:rPr>
          <w:rFonts w:ascii="仿宋" w:eastAsia="仿宋" w:cs="仿宋"/>
          <w:color w:val="auto"/>
          <w:sz w:val="24"/>
          <w:highlight w:val="none"/>
        </w:rPr>
      </w:pPr>
    </w:p>
    <w:p>
      <w:pPr>
        <w:rPr>
          <w:rFonts w:ascii="仿宋" w:hAnsi="仿宋" w:eastAsia="仿宋" w:cs="仿宋"/>
          <w:color w:val="auto"/>
          <w:sz w:val="24"/>
          <w:highlight w:val="none"/>
        </w:rPr>
      </w:pPr>
    </w:p>
    <w:p>
      <w:pPr>
        <w:pStyle w:val="703"/>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ascii="仿宋" w:hAnsi="仿宋" w:eastAsia="仿宋" w:cs="仿宋"/>
          <w:b/>
          <w:color w:val="auto"/>
          <w:sz w:val="24"/>
          <w:highlight w:val="none"/>
        </w:rPr>
      </w:pPr>
      <w:bookmarkStart w:id="68" w:name="_Toc16917"/>
      <w:bookmarkStart w:id="69" w:name="_Ref467379109"/>
      <w:bookmarkStart w:id="70" w:name="_Toc28763"/>
      <w:bookmarkStart w:id="71" w:name="_Ref467378463"/>
      <w:bookmarkStart w:id="72" w:name="_Ref467379225"/>
      <w:bookmarkStart w:id="73" w:name="_Ref467379094"/>
      <w:bookmarkStart w:id="74" w:name="_Ref467379195"/>
      <w:bookmarkStart w:id="75" w:name="_Ref467379214"/>
      <w:bookmarkStart w:id="76" w:name="_Toc259093669"/>
      <w:bookmarkStart w:id="77" w:name="_Ref467379101"/>
      <w:bookmarkStart w:id="78" w:name="_Ref467378499"/>
      <w:bookmarkStart w:id="79" w:name="_Toc279701240"/>
      <w:bookmarkStart w:id="80" w:name="_Ref467379205"/>
      <w:bookmarkStart w:id="81" w:name="_Toc487900349"/>
      <w:bookmarkStart w:id="82" w:name="_Ref467378404"/>
      <w:bookmarkStart w:id="83" w:name="_Toc19614"/>
      <w:r>
        <w:rPr>
          <w:rFonts w:hint="eastAsia" w:ascii="仿宋" w:hAnsi="仿宋" w:eastAsia="仿宋" w:cs="仿宋"/>
          <w:b/>
          <w:color w:val="auto"/>
          <w:sz w:val="24"/>
          <w:highlight w:val="none"/>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color w:val="auto"/>
          <w:sz w:val="24"/>
          <w:highlight w:val="none"/>
        </w:rPr>
      </w:pPr>
      <w:bookmarkStart w:id="84" w:name="_Ref467378840"/>
      <w:r>
        <w:rPr>
          <w:rFonts w:hint="eastAsia" w:ascii="仿宋" w:hAnsi="仿宋" w:eastAsia="仿宋" w:cs="仿宋"/>
          <w:color w:val="auto"/>
          <w:sz w:val="24"/>
          <w:highlight w:val="none"/>
        </w:rPr>
        <w:t>2.1.4 “甲方”系指与中标或成交供应商签署合同的采购人</w:t>
      </w:r>
      <w:bookmarkEnd w:id="84"/>
      <w:r>
        <w:rPr>
          <w:rFonts w:hint="eastAsia" w:ascii="仿宋" w:hAnsi="仿宋" w:eastAsia="仿宋" w:cs="仿宋"/>
          <w:color w:val="auto"/>
          <w:sz w:val="24"/>
          <w:highlight w:val="none"/>
        </w:rPr>
        <w:t>；采购人委托采购代理机构代表其与乙方签订合同的，采购人的授权委托书作为合同附件。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highlight w:val="none"/>
        </w:rPr>
      </w:pPr>
      <w:bookmarkStart w:id="85" w:name="_Ref467379400"/>
      <w:r>
        <w:rPr>
          <w:rFonts w:hint="eastAsia" w:ascii="仿宋" w:hAnsi="仿宋" w:eastAsia="仿宋" w:cs="仿宋"/>
          <w:color w:val="auto"/>
          <w:sz w:val="24"/>
          <w:highlight w:val="none"/>
        </w:rPr>
        <w:t>2.1.5 “乙方”系指根据合同约定交付货物的中标或成交供应商</w:t>
      </w:r>
      <w:bookmarkEnd w:id="85"/>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highlight w:val="none"/>
        </w:rPr>
      </w:pPr>
      <w:bookmarkStart w:id="86" w:name="_Ref467379436"/>
      <w:r>
        <w:rPr>
          <w:rFonts w:hint="eastAsia" w:ascii="仿宋" w:hAnsi="仿宋" w:eastAsia="仿宋" w:cs="仿宋"/>
          <w:color w:val="auto"/>
          <w:sz w:val="24"/>
          <w:highlight w:val="none"/>
        </w:rPr>
        <w:t>2.1.6 “现场”系指合同约定货物将要运至或者安装的地点。</w:t>
      </w:r>
      <w:bookmarkEnd w:id="86"/>
    </w:p>
    <w:p>
      <w:pPr>
        <w:spacing w:line="560" w:lineRule="exact"/>
        <w:ind w:firstLine="482" w:firstLineChars="200"/>
        <w:outlineLvl w:val="0"/>
        <w:rPr>
          <w:rFonts w:ascii="仿宋" w:hAnsi="仿宋" w:eastAsia="仿宋" w:cs="仿宋"/>
          <w:b/>
          <w:color w:val="auto"/>
          <w:sz w:val="24"/>
          <w:highlight w:val="none"/>
        </w:rPr>
      </w:pPr>
      <w:bookmarkStart w:id="87" w:name="_Toc487900350"/>
      <w:bookmarkStart w:id="88" w:name="_Toc13336"/>
      <w:bookmarkStart w:id="89" w:name="_Toc32504"/>
      <w:bookmarkStart w:id="90" w:name="_Toc259093670"/>
      <w:bookmarkStart w:id="91" w:name="_Toc279701241"/>
      <w:bookmarkStart w:id="92" w:name="_Toc27635"/>
      <w:r>
        <w:rPr>
          <w:rFonts w:hint="eastAsia" w:ascii="仿宋" w:hAnsi="仿宋" w:eastAsia="仿宋" w:cs="仿宋"/>
          <w:b/>
          <w:color w:val="auto"/>
          <w:sz w:val="24"/>
          <w:highlight w:val="none"/>
        </w:rPr>
        <w:t>2.2 技术规范</w:t>
      </w:r>
      <w:bookmarkEnd w:id="87"/>
      <w:bookmarkEnd w:id="88"/>
      <w:bookmarkEnd w:id="89"/>
      <w:bookmarkEnd w:id="90"/>
      <w:bookmarkEnd w:id="91"/>
      <w:bookmarkEnd w:id="9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highlight w:val="none"/>
        </w:rPr>
      </w:pPr>
      <w:bookmarkStart w:id="93" w:name="_Toc487900351"/>
      <w:bookmarkStart w:id="94" w:name="_Toc31634"/>
      <w:bookmarkStart w:id="95" w:name="_Toc27853"/>
      <w:bookmarkStart w:id="96" w:name="_Toc259093671"/>
      <w:bookmarkStart w:id="97" w:name="_Toc9829"/>
      <w:bookmarkStart w:id="98" w:name="_Toc279701242"/>
      <w:r>
        <w:rPr>
          <w:rFonts w:hint="eastAsia" w:ascii="仿宋" w:hAnsi="仿宋" w:eastAsia="仿宋" w:cs="仿宋"/>
          <w:b/>
          <w:color w:val="auto"/>
          <w:sz w:val="24"/>
          <w:highlight w:val="none"/>
        </w:rPr>
        <w:t>2.3 知识产权</w:t>
      </w:r>
      <w:bookmarkEnd w:id="93"/>
      <w:bookmarkEnd w:id="94"/>
      <w:bookmarkEnd w:id="95"/>
      <w:bookmarkEnd w:id="96"/>
      <w:bookmarkEnd w:id="97"/>
      <w:bookmarkEnd w:id="9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99" w:name="_Toc4194"/>
      <w:bookmarkStart w:id="100" w:name="_Toc11932"/>
      <w:bookmarkStart w:id="101" w:name="_Toc29149"/>
      <w:r>
        <w:rPr>
          <w:rFonts w:hint="eastAsia" w:ascii="仿宋" w:hAnsi="仿宋" w:eastAsia="仿宋" w:cs="仿宋"/>
          <w:b/>
          <w:color w:val="auto"/>
          <w:sz w:val="24"/>
          <w:highlight w:val="none"/>
        </w:rPr>
        <w:t>2.4 包装和装运</w:t>
      </w:r>
      <w:bookmarkEnd w:id="99"/>
      <w:bookmarkEnd w:id="100"/>
      <w:bookmarkEnd w:id="10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102" w:name="_Toc259093674"/>
      <w:bookmarkStart w:id="103" w:name="_Ref467379527"/>
      <w:bookmarkStart w:id="104" w:name="_Ref467378591"/>
      <w:bookmarkStart w:id="105" w:name="_Ref467379536"/>
      <w:bookmarkStart w:id="106" w:name="_Ref467378541"/>
      <w:bookmarkStart w:id="107" w:name="_Toc279701245"/>
      <w:bookmarkStart w:id="108" w:name="_Ref467379542"/>
      <w:bookmarkStart w:id="109" w:name="_Toc487900354"/>
      <w:bookmarkStart w:id="110" w:name="_Toc30272"/>
      <w:bookmarkStart w:id="111" w:name="_Toc26182"/>
      <w:bookmarkStart w:id="112" w:name="_Toc19074"/>
      <w:r>
        <w:rPr>
          <w:rFonts w:hint="eastAsia" w:ascii="仿宋" w:hAnsi="仿宋" w:eastAsia="仿宋" w:cs="仿宋"/>
          <w:b/>
          <w:color w:val="auto"/>
          <w:sz w:val="24"/>
          <w:highlight w:val="none"/>
        </w:rPr>
        <w:t>2.</w:t>
      </w:r>
      <w:bookmarkEnd w:id="102"/>
      <w:bookmarkEnd w:id="103"/>
      <w:bookmarkEnd w:id="104"/>
      <w:bookmarkEnd w:id="105"/>
      <w:bookmarkEnd w:id="106"/>
      <w:bookmarkEnd w:id="107"/>
      <w:bookmarkEnd w:id="108"/>
      <w:bookmarkEnd w:id="109"/>
      <w:r>
        <w:rPr>
          <w:rFonts w:hint="eastAsia" w:ascii="仿宋" w:hAnsi="仿宋" w:eastAsia="仿宋" w:cs="仿宋"/>
          <w:b/>
          <w:color w:val="auto"/>
          <w:sz w:val="24"/>
          <w:highlight w:val="none"/>
        </w:rPr>
        <w:t>5 履约检查和问题反馈</w:t>
      </w:r>
      <w:bookmarkEnd w:id="110"/>
      <w:bookmarkEnd w:id="111"/>
      <w:bookmarkEnd w:id="112"/>
    </w:p>
    <w:p>
      <w:pPr>
        <w:spacing w:line="560" w:lineRule="exact"/>
        <w:ind w:firstLine="480" w:firstLineChars="200"/>
        <w:rPr>
          <w:rFonts w:ascii="仿宋" w:hAnsi="仿宋" w:eastAsia="仿宋" w:cs="仿宋"/>
          <w:color w:val="auto"/>
          <w:sz w:val="24"/>
          <w:highlight w:val="none"/>
        </w:rPr>
      </w:pPr>
      <w:bookmarkStart w:id="113" w:name="_Ref467379657"/>
      <w:r>
        <w:rPr>
          <w:rFonts w:hint="eastAsia" w:ascii="仿宋" w:hAnsi="仿宋" w:eastAsia="仿宋" w:cs="仿宋"/>
          <w:color w:val="auto"/>
          <w:sz w:val="24"/>
          <w:highlight w:val="none"/>
        </w:rPr>
        <w:t>2.5.1</w:t>
      </w:r>
      <w:bookmarkEnd w:id="113"/>
      <w:bookmarkStart w:id="114" w:name="_Toc186431854"/>
      <w:bookmarkStart w:id="115" w:name="_Ref467379807"/>
      <w:bookmarkStart w:id="116" w:name="_Toc259093676"/>
      <w:bookmarkStart w:id="117" w:name="_Toc279701247"/>
      <w:bookmarkStart w:id="118" w:name="_Ref467379793"/>
      <w:bookmarkStart w:id="119" w:name="_Toc48790035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color w:val="auto"/>
          <w:sz w:val="24"/>
          <w:highlight w:val="none"/>
        </w:rPr>
        <w:t>。</w:t>
      </w:r>
    </w:p>
    <w:bookmarkEnd w:id="115"/>
    <w:bookmarkEnd w:id="116"/>
    <w:bookmarkEnd w:id="117"/>
    <w:bookmarkEnd w:id="118"/>
    <w:bookmarkEnd w:id="119"/>
    <w:bookmarkEnd w:id="120"/>
    <w:p>
      <w:pPr>
        <w:spacing w:line="560" w:lineRule="exact"/>
        <w:ind w:firstLine="482" w:firstLineChars="200"/>
        <w:outlineLvl w:val="0"/>
        <w:rPr>
          <w:rFonts w:ascii="仿宋" w:hAnsi="仿宋" w:eastAsia="仿宋" w:cs="仿宋"/>
          <w:b/>
          <w:color w:val="auto"/>
          <w:sz w:val="24"/>
          <w:highlight w:val="none"/>
        </w:rPr>
      </w:pPr>
      <w:bookmarkStart w:id="121" w:name="_Toc487900358"/>
      <w:bookmarkStart w:id="122" w:name="_Toc279701248"/>
      <w:bookmarkStart w:id="123" w:name="_Toc259093677"/>
      <w:bookmarkStart w:id="124" w:name="_Ref467379923"/>
      <w:bookmarkStart w:id="125" w:name="_Ref467379863"/>
      <w:bookmarkStart w:id="126" w:name="_Ref467379852"/>
      <w:bookmarkStart w:id="127" w:name="_Toc16110"/>
      <w:bookmarkStart w:id="128" w:name="_Toc3225"/>
      <w:bookmarkStart w:id="129" w:name="_Toc774"/>
      <w:r>
        <w:rPr>
          <w:rFonts w:hint="eastAsia" w:ascii="仿宋" w:hAnsi="仿宋" w:eastAsia="仿宋" w:cs="仿宋"/>
          <w:b/>
          <w:color w:val="auto"/>
          <w:sz w:val="24"/>
          <w:highlight w:val="none"/>
        </w:rPr>
        <w:t>2.6 技术资料</w:t>
      </w:r>
      <w:bookmarkEnd w:id="121"/>
      <w:bookmarkEnd w:id="122"/>
      <w:bookmarkEnd w:id="123"/>
      <w:bookmarkEnd w:id="124"/>
      <w:bookmarkEnd w:id="125"/>
      <w:bookmarkEnd w:id="126"/>
      <w:r>
        <w:rPr>
          <w:rFonts w:hint="eastAsia" w:ascii="仿宋" w:hAnsi="仿宋" w:eastAsia="仿宋" w:cs="仿宋"/>
          <w:b/>
          <w:color w:val="auto"/>
          <w:sz w:val="24"/>
          <w:highlight w:val="none"/>
        </w:rPr>
        <w:t>和保密义务</w:t>
      </w:r>
      <w:bookmarkEnd w:id="127"/>
      <w:bookmarkEnd w:id="128"/>
      <w:bookmarkEnd w:id="12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highlight w:val="none"/>
        </w:rPr>
      </w:pPr>
      <w:bookmarkStart w:id="130" w:name="_Toc7860"/>
      <w:r>
        <w:rPr>
          <w:rFonts w:hint="eastAsia" w:ascii="仿宋" w:hAnsi="仿宋" w:eastAsia="仿宋" w:cs="仿宋"/>
          <w:b/>
          <w:color w:val="auto"/>
          <w:sz w:val="24"/>
          <w:highlight w:val="none"/>
        </w:rPr>
        <w:t>2.7 质量保证</w:t>
      </w:r>
      <w:bookmarkEnd w:id="13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highlight w:val="none"/>
        </w:rPr>
      </w:pPr>
      <w:bookmarkStart w:id="131" w:name="_Toc17244"/>
      <w:bookmarkStart w:id="132" w:name="_Toc279701252"/>
      <w:bookmarkStart w:id="133" w:name="_Toc487900362"/>
      <w:bookmarkStart w:id="134" w:name="_Toc259093681"/>
      <w:r>
        <w:rPr>
          <w:rFonts w:hint="eastAsia" w:ascii="仿宋" w:hAnsi="仿宋" w:eastAsia="仿宋" w:cs="仿宋"/>
          <w:b/>
          <w:color w:val="auto"/>
          <w:sz w:val="24"/>
          <w:highlight w:val="none"/>
        </w:rPr>
        <w:t>2.8 货物的风险负担</w:t>
      </w:r>
      <w:bookmarkEnd w:id="131"/>
    </w:p>
    <w:p>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135" w:name="_Toc14055"/>
      <w:r>
        <w:rPr>
          <w:rFonts w:hint="eastAsia" w:ascii="仿宋" w:hAnsi="仿宋" w:eastAsia="仿宋" w:cs="仿宋"/>
          <w:b/>
          <w:color w:val="auto"/>
          <w:sz w:val="24"/>
          <w:highlight w:val="none"/>
        </w:rPr>
        <w:t>2.9 延迟交货</w:t>
      </w:r>
      <w:bookmarkEnd w:id="132"/>
      <w:bookmarkEnd w:id="133"/>
      <w:bookmarkEnd w:id="134"/>
      <w:bookmarkEnd w:id="13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color w:val="auto"/>
          <w:sz w:val="24"/>
          <w:highlight w:val="none"/>
        </w:rPr>
      </w:pPr>
      <w:bookmarkStart w:id="136" w:name="_Toc7502"/>
      <w:bookmarkStart w:id="137" w:name="_Toc487900364"/>
      <w:bookmarkStart w:id="138" w:name="_Ref467378121"/>
      <w:bookmarkStart w:id="139" w:name="_Toc279701254"/>
      <w:bookmarkStart w:id="140" w:name="_Toc259093683"/>
      <w:r>
        <w:rPr>
          <w:rFonts w:hint="eastAsia" w:ascii="仿宋" w:hAnsi="仿宋" w:eastAsia="仿宋" w:cs="仿宋"/>
          <w:b/>
          <w:color w:val="auto"/>
          <w:sz w:val="24"/>
          <w:highlight w:val="none"/>
        </w:rPr>
        <w:t>2.10 合同变更</w:t>
      </w:r>
      <w:bookmarkEnd w:id="13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1" w:name="_Toc279701259"/>
      <w:bookmarkStart w:id="142" w:name="_Toc487900369"/>
      <w:bookmarkStart w:id="143" w:name="_Toc259093688"/>
    </w:p>
    <w:p>
      <w:pPr>
        <w:spacing w:line="560" w:lineRule="exact"/>
        <w:ind w:firstLine="482" w:firstLineChars="200"/>
        <w:outlineLvl w:val="0"/>
        <w:rPr>
          <w:rFonts w:ascii="仿宋" w:hAnsi="仿宋" w:eastAsia="仿宋" w:cs="仿宋"/>
          <w:b/>
          <w:color w:val="auto"/>
          <w:sz w:val="24"/>
          <w:highlight w:val="none"/>
        </w:rPr>
      </w:pPr>
      <w:bookmarkStart w:id="144" w:name="_Toc10366"/>
      <w:bookmarkStart w:id="145" w:name="_Toc22955"/>
      <w:bookmarkStart w:id="146" w:name="_Toc15237"/>
      <w:r>
        <w:rPr>
          <w:rFonts w:hint="eastAsia" w:ascii="仿宋" w:hAnsi="仿宋" w:eastAsia="仿宋" w:cs="仿宋"/>
          <w:b/>
          <w:color w:val="auto"/>
          <w:sz w:val="24"/>
          <w:highlight w:val="none"/>
        </w:rPr>
        <w:t>2.11 合同转让</w:t>
      </w:r>
      <w:bookmarkEnd w:id="141"/>
      <w:bookmarkEnd w:id="142"/>
      <w:bookmarkEnd w:id="143"/>
      <w:r>
        <w:rPr>
          <w:rFonts w:hint="eastAsia" w:ascii="仿宋" w:hAnsi="仿宋" w:eastAsia="仿宋" w:cs="仿宋"/>
          <w:b/>
          <w:color w:val="auto"/>
          <w:sz w:val="24"/>
          <w:highlight w:val="none"/>
        </w:rPr>
        <w:t>和分包</w:t>
      </w:r>
      <w:bookmarkEnd w:id="144"/>
      <w:bookmarkEnd w:id="145"/>
      <w:bookmarkEnd w:id="14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cs="仿宋"/>
          <w:b/>
          <w:color w:val="auto"/>
          <w:sz w:val="24"/>
          <w:highlight w:val="none"/>
        </w:rPr>
      </w:pPr>
      <w:bookmarkStart w:id="147" w:name="_Toc16508"/>
      <w:bookmarkStart w:id="148" w:name="_Toc13566"/>
      <w:bookmarkStart w:id="149" w:name="_Toc14066"/>
      <w:r>
        <w:rPr>
          <w:rFonts w:hint="eastAsia" w:ascii="仿宋" w:hAnsi="仿宋" w:eastAsia="仿宋" w:cs="仿宋"/>
          <w:b/>
          <w:color w:val="auto"/>
          <w:sz w:val="24"/>
          <w:highlight w:val="none"/>
        </w:rPr>
        <w:t>2.12 不可抗力</w:t>
      </w:r>
      <w:bookmarkEnd w:id="147"/>
      <w:bookmarkEnd w:id="148"/>
      <w:bookmarkEnd w:id="14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highlight w:val="none"/>
        </w:rPr>
      </w:pPr>
      <w:bookmarkStart w:id="150" w:name="_Toc30676"/>
      <w:bookmarkStart w:id="151" w:name="_Toc689"/>
      <w:bookmarkStart w:id="152" w:name="_Toc279701255"/>
      <w:bookmarkStart w:id="153" w:name="_Toc6969"/>
      <w:bookmarkStart w:id="154" w:name="_Toc487900365"/>
      <w:bookmarkStart w:id="155" w:name="_Toc259093684"/>
      <w:r>
        <w:rPr>
          <w:rFonts w:hint="eastAsia" w:ascii="仿宋" w:hAnsi="仿宋" w:eastAsia="仿宋" w:cs="仿宋"/>
          <w:b/>
          <w:color w:val="auto"/>
          <w:sz w:val="24"/>
          <w:highlight w:val="none"/>
        </w:rPr>
        <w:t>2.13 税费</w:t>
      </w:r>
      <w:bookmarkEnd w:id="150"/>
      <w:bookmarkEnd w:id="151"/>
      <w:bookmarkEnd w:id="152"/>
      <w:bookmarkEnd w:id="153"/>
      <w:bookmarkEnd w:id="154"/>
      <w:bookmarkEnd w:id="15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cs="仿宋"/>
          <w:b/>
          <w:color w:val="auto"/>
          <w:sz w:val="24"/>
          <w:highlight w:val="none"/>
        </w:rPr>
      </w:pPr>
      <w:bookmarkStart w:id="156" w:name="_Toc487900368"/>
      <w:bookmarkStart w:id="157" w:name="_Toc16959"/>
      <w:bookmarkStart w:id="158" w:name="_Toc259093687"/>
      <w:bookmarkStart w:id="159" w:name="_Toc7102"/>
      <w:bookmarkStart w:id="160" w:name="_Toc8298"/>
      <w:bookmarkStart w:id="161" w:name="_Toc279701258"/>
      <w:r>
        <w:rPr>
          <w:rFonts w:hint="eastAsia" w:ascii="仿宋" w:hAnsi="仿宋" w:eastAsia="仿宋" w:cs="仿宋"/>
          <w:b/>
          <w:color w:val="auto"/>
          <w:sz w:val="24"/>
          <w:highlight w:val="none"/>
        </w:rPr>
        <w:t>2.14乙方破产</w:t>
      </w:r>
      <w:bookmarkEnd w:id="156"/>
      <w:bookmarkEnd w:id="157"/>
      <w:bookmarkEnd w:id="158"/>
      <w:bookmarkEnd w:id="159"/>
      <w:bookmarkEnd w:id="160"/>
      <w:bookmarkEnd w:id="16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highlight w:val="none"/>
        </w:rPr>
      </w:pPr>
      <w:bookmarkStart w:id="162" w:name="_Toc6134"/>
      <w:bookmarkStart w:id="163" w:name="_Toc29333"/>
      <w:bookmarkStart w:id="164" w:name="_Toc15387"/>
      <w:r>
        <w:rPr>
          <w:rFonts w:hint="eastAsia" w:ascii="仿宋" w:hAnsi="仿宋" w:eastAsia="仿宋" w:cs="仿宋"/>
          <w:b/>
          <w:color w:val="auto"/>
          <w:sz w:val="24"/>
          <w:highlight w:val="none"/>
        </w:rPr>
        <w:t>2.15 合同中止、终止</w:t>
      </w:r>
      <w:bookmarkEnd w:id="162"/>
      <w:bookmarkEnd w:id="163"/>
      <w:bookmarkEnd w:id="164"/>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highlight w:val="none"/>
        </w:rPr>
      </w:pPr>
      <w:bookmarkStart w:id="165" w:name="_Toc1125"/>
      <w:bookmarkStart w:id="166" w:name="_Toc6596"/>
      <w:bookmarkStart w:id="167" w:name="_Toc14563"/>
      <w:r>
        <w:rPr>
          <w:rFonts w:hint="eastAsia" w:ascii="仿宋" w:hAnsi="仿宋" w:eastAsia="仿宋" w:cs="仿宋"/>
          <w:b/>
          <w:color w:val="auto"/>
          <w:sz w:val="24"/>
          <w:highlight w:val="none"/>
        </w:rPr>
        <w:t>2.16检验和验收</w:t>
      </w:r>
      <w:bookmarkEnd w:id="165"/>
      <w:bookmarkEnd w:id="166"/>
      <w:bookmarkEnd w:id="167"/>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7"/>
    <w:bookmarkEnd w:id="138"/>
    <w:bookmarkEnd w:id="139"/>
    <w:bookmarkEnd w:id="140"/>
    <w:p>
      <w:pPr>
        <w:spacing w:line="560" w:lineRule="exact"/>
        <w:ind w:firstLine="482" w:firstLineChars="200"/>
        <w:outlineLvl w:val="0"/>
        <w:rPr>
          <w:rFonts w:ascii="仿宋" w:hAnsi="仿宋" w:eastAsia="仿宋" w:cs="仿宋"/>
          <w:b/>
          <w:color w:val="auto"/>
          <w:sz w:val="24"/>
          <w:highlight w:val="none"/>
        </w:rPr>
      </w:pPr>
      <w:bookmarkStart w:id="168" w:name="_Toc279701261"/>
      <w:bookmarkStart w:id="169" w:name="_Toc259093690"/>
      <w:bookmarkStart w:id="170" w:name="_Toc487900371"/>
      <w:bookmarkStart w:id="171" w:name="_Toc11284"/>
      <w:bookmarkStart w:id="172" w:name="_Toc25182"/>
      <w:bookmarkStart w:id="173" w:name="_Toc19604"/>
      <w:r>
        <w:rPr>
          <w:rFonts w:hint="eastAsia" w:ascii="仿宋" w:hAnsi="仿宋" w:eastAsia="仿宋" w:cs="仿宋"/>
          <w:b/>
          <w:color w:val="auto"/>
          <w:sz w:val="24"/>
          <w:highlight w:val="none"/>
        </w:rPr>
        <w:t>2.17 通知</w:t>
      </w:r>
      <w:bookmarkEnd w:id="168"/>
      <w:bookmarkEnd w:id="169"/>
      <w:bookmarkEnd w:id="170"/>
      <w:r>
        <w:rPr>
          <w:rFonts w:hint="eastAsia" w:ascii="仿宋" w:hAnsi="仿宋" w:eastAsia="仿宋" w:cs="仿宋"/>
          <w:b/>
          <w:color w:val="auto"/>
          <w:sz w:val="24"/>
          <w:highlight w:val="none"/>
        </w:rPr>
        <w:t>和送达</w:t>
      </w:r>
      <w:bookmarkEnd w:id="171"/>
      <w:bookmarkEnd w:id="172"/>
      <w:bookmarkEnd w:id="173"/>
    </w:p>
    <w:p>
      <w:pPr>
        <w:spacing w:line="560" w:lineRule="exact"/>
        <w:ind w:firstLine="480" w:firstLineChars="200"/>
        <w:rPr>
          <w:rFonts w:ascii="仿宋" w:hAnsi="仿宋" w:eastAsia="仿宋" w:cs="仿宋"/>
          <w:color w:val="auto"/>
          <w:sz w:val="24"/>
          <w:highlight w:val="none"/>
        </w:rPr>
      </w:pPr>
      <w:bookmarkStart w:id="174" w:name="_Toc3135"/>
      <w:bookmarkStart w:id="175" w:name="_Toc6698"/>
      <w:bookmarkStart w:id="176" w:name="_Toc279701262"/>
      <w:bookmarkStart w:id="177" w:name="_Toc487900372"/>
      <w:bookmarkStart w:id="178" w:name="_Toc25909369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4"/>
      <w:bookmarkEnd w:id="175"/>
    </w:p>
    <w:p>
      <w:pPr>
        <w:spacing w:line="560" w:lineRule="exact"/>
        <w:ind w:firstLine="480" w:firstLineChars="200"/>
        <w:rPr>
          <w:rFonts w:ascii="仿宋" w:hAnsi="仿宋" w:eastAsia="仿宋" w:cs="仿宋"/>
          <w:color w:val="auto"/>
          <w:sz w:val="24"/>
          <w:highlight w:val="none"/>
        </w:rPr>
      </w:pPr>
      <w:bookmarkStart w:id="179" w:name="_Toc23294"/>
      <w:bookmarkStart w:id="180"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pPr>
        <w:spacing w:line="560" w:lineRule="exact"/>
        <w:ind w:firstLine="482" w:firstLineChars="200"/>
        <w:outlineLvl w:val="0"/>
        <w:rPr>
          <w:rFonts w:ascii="仿宋" w:hAnsi="仿宋" w:eastAsia="仿宋" w:cs="仿宋"/>
          <w:b/>
          <w:color w:val="auto"/>
          <w:sz w:val="24"/>
          <w:highlight w:val="none"/>
        </w:rPr>
      </w:pPr>
      <w:bookmarkStart w:id="181" w:name="_Toc18540"/>
      <w:bookmarkStart w:id="182" w:name="_Toc4355"/>
      <w:bookmarkStart w:id="183" w:name="_Toc30599"/>
      <w:r>
        <w:rPr>
          <w:rFonts w:hint="eastAsia" w:ascii="仿宋" w:hAnsi="仿宋" w:eastAsia="仿宋" w:cs="仿宋"/>
          <w:b/>
          <w:color w:val="auto"/>
          <w:sz w:val="24"/>
          <w:highlight w:val="none"/>
        </w:rPr>
        <w:t>2.18 计量单位</w:t>
      </w:r>
      <w:bookmarkEnd w:id="176"/>
      <w:bookmarkEnd w:id="177"/>
      <w:bookmarkEnd w:id="178"/>
      <w:bookmarkEnd w:id="181"/>
      <w:bookmarkEnd w:id="182"/>
      <w:bookmarkEnd w:id="18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highlight w:val="none"/>
        </w:rPr>
      </w:pPr>
      <w:bookmarkStart w:id="184" w:name="_Toc12773"/>
      <w:bookmarkStart w:id="185" w:name="_Toc487900373"/>
      <w:bookmarkStart w:id="186" w:name="_Toc10330"/>
      <w:bookmarkStart w:id="187" w:name="_Toc18567"/>
      <w:bookmarkStart w:id="188" w:name="_Toc279701263"/>
      <w:bookmarkStart w:id="189" w:name="_Toc259093692"/>
      <w:r>
        <w:rPr>
          <w:rFonts w:hint="eastAsia" w:ascii="仿宋" w:hAnsi="仿宋" w:eastAsia="仿宋" w:cs="仿宋"/>
          <w:b/>
          <w:color w:val="auto"/>
          <w:sz w:val="24"/>
          <w:highlight w:val="none"/>
        </w:rPr>
        <w:t>2.19 合同使用的文字和适用的法律</w:t>
      </w:r>
      <w:bookmarkEnd w:id="184"/>
      <w:bookmarkEnd w:id="185"/>
      <w:bookmarkEnd w:id="186"/>
      <w:bookmarkEnd w:id="187"/>
      <w:bookmarkEnd w:id="188"/>
      <w:bookmarkEnd w:id="18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ascii="仿宋" w:hAnsi="仿宋" w:eastAsia="仿宋" w:cs="仿宋"/>
          <w:b/>
          <w:color w:val="auto"/>
          <w:sz w:val="24"/>
          <w:highlight w:val="none"/>
        </w:rPr>
      </w:pPr>
      <w:bookmarkStart w:id="190" w:name="_Toc14001"/>
      <w:bookmarkStart w:id="191" w:name="_Toc19890"/>
      <w:bookmarkStart w:id="192" w:name="_Toc6885"/>
      <w:r>
        <w:rPr>
          <w:rFonts w:hint="eastAsia" w:ascii="仿宋" w:hAnsi="仿宋" w:eastAsia="仿宋" w:cs="仿宋"/>
          <w:b/>
          <w:color w:val="auto"/>
          <w:sz w:val="24"/>
          <w:highlight w:val="none"/>
        </w:rPr>
        <w:t>2.20 合同份数</w:t>
      </w:r>
      <w:bookmarkEnd w:id="190"/>
      <w:bookmarkEnd w:id="191"/>
      <w:bookmarkEnd w:id="19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adjustRightInd/>
        <w:spacing w:line="360" w:lineRule="auto"/>
        <w:ind w:firstLine="480" w:firstLineChars="200"/>
        <w:jc w:val="center"/>
        <w:outlineLvl w:val="0"/>
        <w:rPr>
          <w:rFonts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sz w:val="24"/>
          <w:highlight w:val="none"/>
        </w:rPr>
        <w:t>第三部分  合同专用条款</w:t>
      </w:r>
    </w:p>
    <w:p>
      <w:pPr>
        <w:spacing w:line="560" w:lineRule="exac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pPr>
              <w:spacing w:line="360" w:lineRule="auto"/>
              <w:rPr>
                <w:rFonts w:ascii="仿宋" w:hAnsi="仿宋" w:eastAsia="仿宋" w:cs="仿宋"/>
                <w:color w:val="auto"/>
                <w:sz w:val="24"/>
                <w:highlight w:val="none"/>
              </w:rPr>
            </w:pPr>
          </w:p>
        </w:tc>
      </w:tr>
    </w:tbl>
    <w:p>
      <w:pPr>
        <w:rPr>
          <w:rFonts w:ascii="仿宋" w:hAnsi="仿宋" w:eastAsia="仿宋" w:cs="仿宋"/>
          <w:color w:val="auto"/>
          <w:highlight w:val="none"/>
        </w:rPr>
      </w:pPr>
    </w:p>
    <w:p>
      <w:pPr>
        <w:spacing w:line="360" w:lineRule="auto"/>
        <w:jc w:val="center"/>
        <w:rPr>
          <w:rFonts w:ascii="仿宋" w:hAnsi="仿宋" w:eastAsia="仿宋" w:cs="仿宋"/>
          <w:b/>
          <w:color w:val="auto"/>
          <w:sz w:val="36"/>
          <w:szCs w:val="36"/>
          <w:highlight w:val="none"/>
        </w:rPr>
      </w:pPr>
    </w:p>
    <w:p>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p>
      <w:pPr>
        <w:pStyle w:val="24"/>
        <w:rPr>
          <w:color w:val="auto"/>
          <w:highlight w:val="none"/>
        </w:rPr>
      </w:pPr>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1</w:t>
      </w:r>
      <w:r>
        <w:rPr>
          <w:rFonts w:hint="eastAsia" w:ascii="仿宋" w:hAnsi="仿宋" w:eastAsia="仿宋" w:cs="仿宋"/>
          <w:b/>
          <w:bCs/>
          <w:color w:val="auto"/>
          <w:sz w:val="24"/>
          <w:highlight w:val="none"/>
          <w:bdr w:val="single" w:color="auto" w:sz="4" w:space="0"/>
        </w:rPr>
        <w:t>标</w:t>
      </w:r>
    </w:p>
    <w:tbl>
      <w:tblPr>
        <w:tblStyle w:val="6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54"/>
        <w:gridCol w:w="1125"/>
        <w:gridCol w:w="1215"/>
        <w:gridCol w:w="5293"/>
        <w:gridCol w:w="72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75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eastAsia="zh-CN" w:bidi="ar"/>
              </w:rPr>
            </w:pPr>
            <w:r>
              <w:rPr>
                <w:rFonts w:hint="eastAsia" w:ascii="仿宋" w:hAnsi="仿宋" w:eastAsia="仿宋" w:cs="仿宋"/>
                <w:color w:val="auto"/>
                <w:sz w:val="21"/>
                <w:szCs w:val="21"/>
                <w:highlight w:val="none"/>
                <w:lang w:eastAsia="zh-CN" w:bidi="ar"/>
              </w:rPr>
              <w:t>序号</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类别</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评审内容</w:t>
            </w:r>
          </w:p>
        </w:tc>
        <w:tc>
          <w:tcPr>
            <w:tcW w:w="529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评分标准</w:t>
            </w:r>
          </w:p>
        </w:tc>
        <w:tc>
          <w:tcPr>
            <w:tcW w:w="7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分值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754" w:type="dxa"/>
            <w:vMerge w:val="restart"/>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bidi="ar"/>
              </w:rPr>
              <w:t>1</w:t>
            </w:r>
          </w:p>
        </w:tc>
        <w:tc>
          <w:tcPr>
            <w:tcW w:w="1125" w:type="dxa"/>
            <w:vMerge w:val="restart"/>
            <w:tcBorders>
              <w:top w:val="single" w:color="auto" w:sz="4" w:space="0"/>
              <w:left w:val="single" w:color="auto" w:sz="4" w:space="0"/>
              <w:right w:val="single" w:color="auto" w:sz="4" w:space="0"/>
            </w:tcBorders>
            <w:noWrap w:val="0"/>
            <w:vAlign w:val="center"/>
          </w:tcPr>
          <w:p>
            <w:pP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资信部分（1</w:t>
            </w:r>
            <w:r>
              <w:rPr>
                <w:rFonts w:hint="eastAsia" w:ascii="仿宋" w:hAnsi="仿宋" w:eastAsia="仿宋" w:cs="仿宋"/>
                <w:color w:val="auto"/>
                <w:sz w:val="21"/>
                <w:szCs w:val="21"/>
                <w:highlight w:val="none"/>
                <w:lang w:eastAsia="zh-CN" w:bidi="ar"/>
              </w:rPr>
              <w:t>5</w:t>
            </w:r>
            <w:r>
              <w:rPr>
                <w:rFonts w:hint="eastAsia" w:ascii="仿宋" w:hAnsi="仿宋" w:eastAsia="仿宋" w:cs="仿宋"/>
                <w:color w:val="auto"/>
                <w:sz w:val="21"/>
                <w:szCs w:val="21"/>
                <w:highlight w:val="none"/>
                <w:lang w:bidi="ar"/>
              </w:rPr>
              <w:t>分）</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综合能力</w:t>
            </w:r>
          </w:p>
        </w:tc>
        <w:tc>
          <w:tcPr>
            <w:tcW w:w="529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1、</w:t>
            </w:r>
            <w:r>
              <w:rPr>
                <w:rFonts w:hint="eastAsia" w:ascii="仿宋" w:hAnsi="仿宋" w:eastAsia="仿宋" w:cs="仿宋"/>
                <w:color w:val="auto"/>
                <w:sz w:val="21"/>
                <w:szCs w:val="21"/>
                <w:highlight w:val="none"/>
                <w:lang w:eastAsia="zh-CN" w:bidi="ar"/>
              </w:rPr>
              <w:t>投标人</w:t>
            </w:r>
            <w:r>
              <w:rPr>
                <w:rFonts w:hint="eastAsia" w:ascii="仿宋" w:hAnsi="仿宋" w:eastAsia="仿宋" w:cs="仿宋"/>
                <w:color w:val="auto"/>
                <w:sz w:val="21"/>
                <w:szCs w:val="21"/>
                <w:highlight w:val="none"/>
                <w:lang w:bidi="ar"/>
              </w:rPr>
              <w:t>同时具备ISO系列证书，9001/27001/20000证书。</w:t>
            </w:r>
          </w:p>
          <w:p>
            <w:pP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2、</w:t>
            </w:r>
            <w:r>
              <w:rPr>
                <w:rFonts w:hint="eastAsia" w:ascii="仿宋" w:hAnsi="仿宋" w:eastAsia="仿宋" w:cs="仿宋"/>
                <w:color w:val="auto"/>
                <w:sz w:val="21"/>
                <w:szCs w:val="21"/>
                <w:highlight w:val="none"/>
                <w:lang w:eastAsia="zh-CN" w:bidi="ar"/>
              </w:rPr>
              <w:t>投标人</w:t>
            </w:r>
            <w:r>
              <w:rPr>
                <w:rFonts w:hint="eastAsia" w:ascii="仿宋" w:hAnsi="仿宋" w:eastAsia="仿宋" w:cs="仿宋"/>
                <w:color w:val="auto"/>
                <w:sz w:val="21"/>
                <w:szCs w:val="21"/>
                <w:highlight w:val="none"/>
                <w:lang w:bidi="ar"/>
              </w:rPr>
              <w:t>具备CMMI3能力成熟度模型集成认证证书。</w:t>
            </w:r>
          </w:p>
          <w:p>
            <w:pP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3、</w:t>
            </w:r>
            <w:r>
              <w:rPr>
                <w:rFonts w:hint="eastAsia" w:ascii="仿宋" w:hAnsi="仿宋" w:eastAsia="仿宋" w:cs="仿宋"/>
                <w:color w:val="auto"/>
                <w:sz w:val="21"/>
                <w:szCs w:val="21"/>
                <w:highlight w:val="none"/>
                <w:lang w:eastAsia="zh-CN" w:bidi="ar"/>
              </w:rPr>
              <w:t>投标人</w:t>
            </w:r>
            <w:r>
              <w:rPr>
                <w:rFonts w:hint="eastAsia" w:ascii="仿宋" w:hAnsi="仿宋" w:eastAsia="仿宋" w:cs="仿宋"/>
                <w:color w:val="auto"/>
                <w:sz w:val="21"/>
                <w:szCs w:val="21"/>
                <w:highlight w:val="none"/>
                <w:lang w:bidi="ar"/>
              </w:rPr>
              <w:t>具备成熟度三级及以上的ITSS(信息技术服务标准)认证资格。</w:t>
            </w:r>
          </w:p>
          <w:p>
            <w:pP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4、</w:t>
            </w:r>
            <w:r>
              <w:rPr>
                <w:rFonts w:hint="eastAsia" w:ascii="仿宋" w:hAnsi="仿宋" w:eastAsia="仿宋" w:cs="仿宋"/>
                <w:color w:val="auto"/>
                <w:sz w:val="21"/>
                <w:szCs w:val="21"/>
                <w:highlight w:val="none"/>
                <w:lang w:eastAsia="zh-CN" w:bidi="ar"/>
              </w:rPr>
              <w:t>投标人</w:t>
            </w:r>
            <w:r>
              <w:rPr>
                <w:rFonts w:hint="eastAsia" w:ascii="仿宋" w:hAnsi="仿宋" w:eastAsia="仿宋" w:cs="仿宋"/>
                <w:color w:val="auto"/>
                <w:sz w:val="21"/>
                <w:szCs w:val="21"/>
                <w:highlight w:val="none"/>
                <w:lang w:bidi="ar"/>
              </w:rPr>
              <w:t>为国家网络与信息安全信息通报机制技术支持单位。</w:t>
            </w:r>
          </w:p>
          <w:p>
            <w:pP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以上资质要求满足一条得</w:t>
            </w:r>
            <w:r>
              <w:rPr>
                <w:rFonts w:hint="eastAsia" w:ascii="仿宋" w:hAnsi="仿宋" w:eastAsia="仿宋" w:cs="仿宋"/>
                <w:color w:val="auto"/>
                <w:sz w:val="21"/>
                <w:szCs w:val="21"/>
                <w:highlight w:val="none"/>
                <w:lang w:val="en-US" w:eastAsia="zh-CN" w:bidi="ar"/>
              </w:rPr>
              <w:t>2.5</w:t>
            </w:r>
            <w:r>
              <w:rPr>
                <w:rFonts w:hint="eastAsia" w:ascii="仿宋" w:hAnsi="仿宋" w:eastAsia="仿宋" w:cs="仿宋"/>
                <w:color w:val="auto"/>
                <w:sz w:val="21"/>
                <w:szCs w:val="21"/>
                <w:highlight w:val="none"/>
                <w:lang w:bidi="ar"/>
              </w:rPr>
              <w:t>分，</w:t>
            </w:r>
            <w:r>
              <w:rPr>
                <w:rFonts w:hint="eastAsia" w:ascii="仿宋" w:hAnsi="仿宋" w:eastAsia="仿宋" w:cs="仿宋"/>
                <w:color w:val="auto"/>
                <w:sz w:val="21"/>
                <w:szCs w:val="21"/>
                <w:highlight w:val="none"/>
                <w:lang w:eastAsia="zh-CN" w:bidi="ar"/>
              </w:rPr>
              <w:t>本项最高得</w:t>
            </w:r>
            <w:r>
              <w:rPr>
                <w:rFonts w:hint="eastAsia" w:ascii="仿宋" w:hAnsi="仿宋" w:eastAsia="仿宋" w:cs="仿宋"/>
                <w:color w:val="auto"/>
                <w:sz w:val="21"/>
                <w:szCs w:val="21"/>
                <w:highlight w:val="none"/>
                <w:lang w:val="en-US" w:eastAsia="zh-CN" w:bidi="ar"/>
              </w:rPr>
              <w:t>10分，需</w:t>
            </w:r>
            <w:r>
              <w:rPr>
                <w:rFonts w:hint="eastAsia" w:ascii="仿宋" w:hAnsi="仿宋" w:eastAsia="仿宋" w:cs="仿宋"/>
                <w:color w:val="auto"/>
                <w:sz w:val="21"/>
                <w:szCs w:val="21"/>
                <w:highlight w:val="none"/>
                <w:lang w:bidi="ar"/>
              </w:rPr>
              <w:t>提供相关资质复印件证明并加盖</w:t>
            </w:r>
            <w:r>
              <w:rPr>
                <w:rFonts w:hint="eastAsia" w:ascii="仿宋" w:hAnsi="仿宋" w:eastAsia="仿宋" w:cs="仿宋"/>
                <w:color w:val="auto"/>
                <w:sz w:val="21"/>
                <w:szCs w:val="21"/>
                <w:highlight w:val="none"/>
                <w:lang w:eastAsia="zh-CN" w:bidi="ar"/>
              </w:rPr>
              <w:t>投标人</w:t>
            </w:r>
            <w:r>
              <w:rPr>
                <w:rFonts w:hint="eastAsia" w:ascii="仿宋" w:hAnsi="仿宋" w:eastAsia="仿宋" w:cs="仿宋"/>
                <w:color w:val="auto"/>
                <w:sz w:val="21"/>
                <w:szCs w:val="21"/>
                <w:highlight w:val="none"/>
                <w:lang w:bidi="ar"/>
              </w:rPr>
              <w:t>公章。</w:t>
            </w:r>
          </w:p>
        </w:tc>
        <w:tc>
          <w:tcPr>
            <w:tcW w:w="7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754"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val="en-US" w:eastAsia="zh-CN" w:bidi="ar"/>
              </w:rPr>
            </w:pPr>
          </w:p>
        </w:tc>
        <w:tc>
          <w:tcPr>
            <w:tcW w:w="1125" w:type="dxa"/>
            <w:vMerge w:val="continue"/>
            <w:tcBorders>
              <w:left w:val="single" w:color="auto" w:sz="4" w:space="0"/>
              <w:right w:val="single" w:color="auto" w:sz="4" w:space="0"/>
            </w:tcBorders>
            <w:noWrap w:val="0"/>
            <w:vAlign w:val="center"/>
          </w:tcPr>
          <w:p>
            <w:pPr>
              <w:rPr>
                <w:rFonts w:hint="eastAsia" w:ascii="仿宋" w:hAnsi="仿宋" w:eastAsia="仿宋" w:cs="仿宋"/>
                <w:color w:val="auto"/>
                <w:sz w:val="21"/>
                <w:szCs w:val="21"/>
                <w:highlight w:val="none"/>
                <w:lang w:bidi="ar"/>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产品资质</w:t>
            </w:r>
          </w:p>
        </w:tc>
        <w:tc>
          <w:tcPr>
            <w:tcW w:w="529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1"/>
                <w:szCs w:val="21"/>
                <w:highlight w:val="none"/>
                <w:lang w:eastAsia="zh-CN" w:bidi="ar"/>
              </w:rPr>
            </w:pPr>
            <w:r>
              <w:rPr>
                <w:rFonts w:hint="eastAsia" w:ascii="仿宋" w:hAnsi="仿宋" w:eastAsia="仿宋" w:cs="仿宋"/>
                <w:color w:val="auto"/>
                <w:sz w:val="21"/>
                <w:szCs w:val="21"/>
                <w:highlight w:val="none"/>
                <w:lang w:bidi="ar"/>
              </w:rPr>
              <w:t>所投产品具</w:t>
            </w:r>
            <w:r>
              <w:rPr>
                <w:rFonts w:hint="eastAsia" w:ascii="仿宋" w:hAnsi="仿宋" w:eastAsia="仿宋" w:cs="仿宋"/>
                <w:color w:val="auto"/>
                <w:sz w:val="21"/>
                <w:szCs w:val="21"/>
                <w:highlight w:val="none"/>
                <w:lang w:eastAsia="zh-CN" w:bidi="ar"/>
              </w:rPr>
              <w:t>有</w:t>
            </w:r>
            <w:r>
              <w:rPr>
                <w:rFonts w:hint="eastAsia" w:ascii="仿宋" w:hAnsi="仿宋" w:eastAsia="仿宋" w:cs="仿宋"/>
                <w:color w:val="auto"/>
                <w:sz w:val="21"/>
                <w:szCs w:val="21"/>
                <w:highlight w:val="none"/>
                <w:lang w:bidi="ar"/>
              </w:rPr>
              <w:t>软件著作权登记证书得2分</w:t>
            </w:r>
            <w:r>
              <w:rPr>
                <w:rFonts w:hint="eastAsia" w:ascii="仿宋" w:hAnsi="仿宋" w:eastAsia="仿宋" w:cs="仿宋"/>
                <w:color w:val="auto"/>
                <w:sz w:val="21"/>
                <w:szCs w:val="21"/>
                <w:highlight w:val="none"/>
                <w:lang w:eastAsia="zh-CN" w:bidi="ar"/>
              </w:rPr>
              <w:t>，提供相关证书复印件加盖投标人公章。</w:t>
            </w:r>
          </w:p>
        </w:tc>
        <w:tc>
          <w:tcPr>
            <w:tcW w:w="7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4"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p>
        </w:tc>
        <w:tc>
          <w:tcPr>
            <w:tcW w:w="1125" w:type="dxa"/>
            <w:vMerge w:val="continue"/>
            <w:tcBorders>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1"/>
                <w:szCs w:val="21"/>
                <w:highlight w:val="none"/>
                <w:lang w:bidi="ar"/>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企业业绩</w:t>
            </w:r>
          </w:p>
        </w:tc>
        <w:tc>
          <w:tcPr>
            <w:tcW w:w="529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eastAsia="zh-CN" w:bidi="ar"/>
              </w:rPr>
              <w:t>投标人提供</w:t>
            </w:r>
            <w:r>
              <w:rPr>
                <w:rFonts w:hint="eastAsia" w:ascii="仿宋" w:hAnsi="仿宋" w:eastAsia="仿宋" w:cs="仿宋"/>
                <w:color w:val="auto"/>
                <w:sz w:val="21"/>
                <w:szCs w:val="21"/>
                <w:highlight w:val="none"/>
                <w:lang w:bidi="ar"/>
              </w:rPr>
              <w:t>所投产品近三年（2021年1月1日至今</w:t>
            </w:r>
            <w:r>
              <w:rPr>
                <w:rFonts w:hint="eastAsia" w:ascii="仿宋" w:hAnsi="仿宋" w:eastAsia="仿宋" w:cs="仿宋"/>
                <w:color w:val="auto"/>
                <w:sz w:val="21"/>
                <w:szCs w:val="21"/>
                <w:highlight w:val="none"/>
                <w:lang w:eastAsia="zh-CN" w:bidi="ar"/>
              </w:rPr>
              <w:t>，以合同签订时间为准</w:t>
            </w:r>
            <w:r>
              <w:rPr>
                <w:rFonts w:hint="eastAsia" w:ascii="仿宋" w:hAnsi="仿宋" w:eastAsia="仿宋" w:cs="仿宋"/>
                <w:color w:val="auto"/>
                <w:sz w:val="21"/>
                <w:szCs w:val="21"/>
                <w:highlight w:val="none"/>
                <w:lang w:bidi="ar"/>
              </w:rPr>
              <w:t>）类似项目业绩，每</w:t>
            </w:r>
            <w:r>
              <w:rPr>
                <w:rFonts w:hint="eastAsia" w:ascii="仿宋" w:hAnsi="仿宋" w:eastAsia="仿宋" w:cs="仿宋"/>
                <w:color w:val="auto"/>
                <w:sz w:val="21"/>
                <w:szCs w:val="21"/>
                <w:highlight w:val="none"/>
                <w:lang w:eastAsia="zh-CN" w:bidi="ar"/>
              </w:rPr>
              <w:t>提供</w:t>
            </w:r>
            <w:r>
              <w:rPr>
                <w:rFonts w:hint="eastAsia" w:ascii="仿宋" w:hAnsi="仿宋" w:eastAsia="仿宋" w:cs="仿宋"/>
                <w:color w:val="auto"/>
                <w:sz w:val="21"/>
                <w:szCs w:val="21"/>
                <w:highlight w:val="none"/>
                <w:lang w:bidi="ar"/>
              </w:rPr>
              <w:t>一个得1分，最高得3分，需提供合同复印件加盖</w:t>
            </w:r>
            <w:r>
              <w:rPr>
                <w:rFonts w:hint="eastAsia" w:ascii="仿宋" w:hAnsi="仿宋" w:eastAsia="仿宋" w:cs="仿宋"/>
                <w:color w:val="auto"/>
                <w:sz w:val="21"/>
                <w:szCs w:val="21"/>
                <w:highlight w:val="none"/>
                <w:lang w:eastAsia="zh-CN" w:bidi="ar"/>
              </w:rPr>
              <w:t>投标人</w:t>
            </w:r>
            <w:r>
              <w:rPr>
                <w:rFonts w:hint="eastAsia" w:ascii="仿宋" w:hAnsi="仿宋" w:eastAsia="仿宋" w:cs="仿宋"/>
                <w:color w:val="auto"/>
                <w:sz w:val="21"/>
                <w:szCs w:val="21"/>
                <w:highlight w:val="none"/>
                <w:lang w:bidi="ar"/>
              </w:rPr>
              <w:t>公章；未提供不得分。</w:t>
            </w:r>
          </w:p>
        </w:tc>
        <w:tc>
          <w:tcPr>
            <w:tcW w:w="7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754" w:type="dxa"/>
            <w:vMerge w:val="restart"/>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bidi="ar"/>
              </w:rPr>
              <w:t>2</w:t>
            </w:r>
          </w:p>
        </w:tc>
        <w:tc>
          <w:tcPr>
            <w:tcW w:w="1125" w:type="dxa"/>
            <w:vMerge w:val="restart"/>
            <w:tcBorders>
              <w:top w:val="single" w:color="auto" w:sz="4" w:space="0"/>
              <w:left w:val="single" w:color="auto" w:sz="4" w:space="0"/>
              <w:right w:val="single" w:color="auto" w:sz="4" w:space="0"/>
            </w:tcBorders>
            <w:noWrap w:val="0"/>
            <w:vAlign w:val="center"/>
          </w:tcPr>
          <w:p>
            <w:pP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 xml:space="preserve"> 技术方案及售后服务（4</w:t>
            </w:r>
            <w:r>
              <w:rPr>
                <w:rFonts w:hint="eastAsia" w:ascii="仿宋" w:hAnsi="仿宋" w:eastAsia="仿宋" w:cs="仿宋"/>
                <w:color w:val="auto"/>
                <w:sz w:val="21"/>
                <w:szCs w:val="21"/>
                <w:highlight w:val="none"/>
                <w:lang w:eastAsia="zh-CN" w:bidi="ar"/>
              </w:rPr>
              <w:t>0</w:t>
            </w:r>
            <w:r>
              <w:rPr>
                <w:rFonts w:hint="eastAsia" w:ascii="仿宋" w:hAnsi="仿宋" w:eastAsia="仿宋" w:cs="仿宋"/>
                <w:color w:val="auto"/>
                <w:sz w:val="21"/>
                <w:szCs w:val="21"/>
                <w:highlight w:val="none"/>
                <w:lang w:bidi="ar"/>
              </w:rPr>
              <w:t>分）</w:t>
            </w:r>
          </w:p>
        </w:tc>
        <w:tc>
          <w:tcPr>
            <w:tcW w:w="1215"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基本技术分</w:t>
            </w:r>
          </w:p>
        </w:tc>
        <w:tc>
          <w:tcPr>
            <w:tcW w:w="529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eastAsia="zh-CN" w:bidi="ar"/>
              </w:rPr>
              <w:t>完全满足</w:t>
            </w:r>
            <w:r>
              <w:rPr>
                <w:rFonts w:hint="eastAsia" w:ascii="仿宋" w:hAnsi="仿宋" w:eastAsia="仿宋" w:cs="仿宋"/>
                <w:color w:val="auto"/>
                <w:sz w:val="21"/>
                <w:szCs w:val="21"/>
                <w:highlight w:val="none"/>
                <w:lang w:bidi="ar"/>
              </w:rPr>
              <w:t>招标文件针对招标项目的各项要求得</w:t>
            </w:r>
            <w:r>
              <w:rPr>
                <w:rFonts w:hint="eastAsia" w:ascii="仿宋" w:hAnsi="仿宋" w:eastAsia="仿宋" w:cs="仿宋"/>
                <w:color w:val="auto"/>
                <w:sz w:val="21"/>
                <w:szCs w:val="21"/>
                <w:highlight w:val="none"/>
                <w:lang w:val="en-US" w:eastAsia="zh-CN" w:bidi="ar"/>
              </w:rPr>
              <w:t>20</w:t>
            </w:r>
            <w:r>
              <w:rPr>
                <w:rFonts w:hint="eastAsia" w:ascii="仿宋" w:hAnsi="仿宋" w:eastAsia="仿宋" w:cs="仿宋"/>
                <w:color w:val="auto"/>
                <w:sz w:val="21"/>
                <w:szCs w:val="21"/>
                <w:highlight w:val="none"/>
                <w:lang w:bidi="ar"/>
              </w:rPr>
              <w:t>分。打“▲”为主要性能指标，每负偏离一项扣2分；其他</w:t>
            </w:r>
            <w:r>
              <w:rPr>
                <w:rFonts w:hint="eastAsia" w:ascii="仿宋" w:hAnsi="仿宋" w:eastAsia="仿宋" w:cs="仿宋"/>
                <w:color w:val="auto"/>
                <w:sz w:val="21"/>
                <w:szCs w:val="21"/>
                <w:highlight w:val="none"/>
                <w:lang w:eastAsia="zh-CN" w:bidi="ar"/>
              </w:rPr>
              <w:t>一般</w:t>
            </w:r>
            <w:r>
              <w:rPr>
                <w:rFonts w:hint="eastAsia" w:ascii="仿宋" w:hAnsi="仿宋" w:eastAsia="仿宋" w:cs="仿宋"/>
                <w:color w:val="auto"/>
                <w:sz w:val="21"/>
                <w:szCs w:val="21"/>
                <w:highlight w:val="none"/>
                <w:lang w:bidi="ar"/>
              </w:rPr>
              <w:t>指标，每负偏离一项扣1分，扣完为止。</w:t>
            </w:r>
          </w:p>
          <w:p>
            <w:pP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注：同一参数有演示或提供功能视频打分的，按演示或提供功能视频打分，不重复打分。</w:t>
            </w:r>
          </w:p>
        </w:tc>
        <w:tc>
          <w:tcPr>
            <w:tcW w:w="7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754"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p>
        </w:tc>
        <w:tc>
          <w:tcPr>
            <w:tcW w:w="1125" w:type="dxa"/>
            <w:vMerge w:val="continue"/>
            <w:tcBorders>
              <w:left w:val="single" w:color="auto" w:sz="4" w:space="0"/>
              <w:right w:val="single" w:color="auto" w:sz="4" w:space="0"/>
            </w:tcBorders>
            <w:noWrap w:val="0"/>
            <w:vAlign w:val="center"/>
          </w:tcPr>
          <w:p>
            <w:pPr>
              <w:rPr>
                <w:rFonts w:hint="eastAsia" w:ascii="仿宋" w:hAnsi="仿宋" w:eastAsia="仿宋" w:cs="仿宋"/>
                <w:color w:val="auto"/>
                <w:sz w:val="21"/>
                <w:szCs w:val="21"/>
                <w:highlight w:val="none"/>
                <w:lang w:bidi="ar"/>
              </w:rPr>
            </w:pPr>
          </w:p>
        </w:tc>
        <w:tc>
          <w:tcPr>
            <w:tcW w:w="1215"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项目设计方案</w:t>
            </w:r>
          </w:p>
        </w:tc>
        <w:tc>
          <w:tcPr>
            <w:tcW w:w="529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对采购人的实际需求提出合理的设计方案；功能模块、实现思路和关键技术的实施方案具备较强的落地性和实施性；有完善的质量保障体系，可行的质量保障措施,投标人提出的实施方案和应急方案，能够识别风险且有风险应对措施进行打分，0-6分</w:t>
            </w:r>
            <w:r>
              <w:rPr>
                <w:rFonts w:hint="eastAsia" w:ascii="仿宋" w:hAnsi="仿宋" w:eastAsia="仿宋" w:cs="仿宋"/>
                <w:color w:val="auto"/>
                <w:sz w:val="21"/>
                <w:szCs w:val="21"/>
                <w:highlight w:val="none"/>
                <w:lang w:eastAsia="zh-CN" w:bidi="ar"/>
              </w:rPr>
              <w:t>。</w:t>
            </w:r>
          </w:p>
        </w:tc>
        <w:tc>
          <w:tcPr>
            <w:tcW w:w="7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754"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p>
        </w:tc>
        <w:tc>
          <w:tcPr>
            <w:tcW w:w="1125" w:type="dxa"/>
            <w:vMerge w:val="continue"/>
            <w:tcBorders>
              <w:left w:val="single" w:color="auto" w:sz="4" w:space="0"/>
              <w:right w:val="single" w:color="auto" w:sz="4" w:space="0"/>
            </w:tcBorders>
            <w:noWrap w:val="0"/>
            <w:vAlign w:val="center"/>
          </w:tcPr>
          <w:p>
            <w:pPr>
              <w:rPr>
                <w:rFonts w:hint="eastAsia" w:ascii="仿宋" w:hAnsi="仿宋" w:eastAsia="仿宋" w:cs="仿宋"/>
                <w:color w:val="auto"/>
                <w:sz w:val="21"/>
                <w:szCs w:val="21"/>
                <w:highlight w:val="none"/>
                <w:lang w:bidi="ar"/>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售后服务能力</w:t>
            </w:r>
          </w:p>
        </w:tc>
        <w:tc>
          <w:tcPr>
            <w:tcW w:w="529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1、服务人员具</w:t>
            </w:r>
            <w:r>
              <w:rPr>
                <w:rFonts w:hint="eastAsia" w:ascii="仿宋" w:hAnsi="仿宋" w:eastAsia="仿宋" w:cs="仿宋"/>
                <w:color w:val="auto"/>
                <w:sz w:val="21"/>
                <w:szCs w:val="21"/>
                <w:highlight w:val="none"/>
                <w:lang w:eastAsia="zh-CN"/>
              </w:rPr>
              <w:t>有</w:t>
            </w:r>
            <w:r>
              <w:rPr>
                <w:rFonts w:hint="eastAsia" w:ascii="仿宋" w:hAnsi="仿宋" w:eastAsia="仿宋" w:cs="仿宋"/>
                <w:color w:val="auto"/>
                <w:sz w:val="21"/>
                <w:szCs w:val="21"/>
                <w:highlight w:val="none"/>
              </w:rPr>
              <w:t>数据</w:t>
            </w:r>
            <w:r>
              <w:rPr>
                <w:rFonts w:hint="eastAsia" w:ascii="仿宋" w:hAnsi="仿宋" w:eastAsia="仿宋" w:cs="仿宋"/>
                <w:color w:val="auto"/>
                <w:sz w:val="21"/>
                <w:szCs w:val="21"/>
                <w:highlight w:val="none"/>
                <w:lang w:val="en-US" w:eastAsia="zh-CN"/>
              </w:rPr>
              <w:t>库</w:t>
            </w:r>
            <w:r>
              <w:rPr>
                <w:rFonts w:hint="eastAsia" w:ascii="仿宋" w:hAnsi="仿宋" w:eastAsia="仿宋" w:cs="仿宋"/>
                <w:color w:val="auto"/>
                <w:sz w:val="21"/>
                <w:szCs w:val="21"/>
                <w:highlight w:val="none"/>
              </w:rPr>
              <w:t>ACE认证资质，每名得1分，最多3分；</w:t>
            </w:r>
          </w:p>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2、服务人员具</w:t>
            </w:r>
            <w:r>
              <w:rPr>
                <w:rFonts w:hint="eastAsia" w:ascii="仿宋" w:hAnsi="仿宋" w:eastAsia="仿宋" w:cs="仿宋"/>
                <w:color w:val="auto"/>
                <w:sz w:val="21"/>
                <w:szCs w:val="21"/>
                <w:highlight w:val="none"/>
                <w:lang w:eastAsia="zh-CN"/>
              </w:rPr>
              <w:t>有</w:t>
            </w:r>
            <w:r>
              <w:rPr>
                <w:rFonts w:hint="eastAsia" w:ascii="仿宋" w:hAnsi="仿宋" w:eastAsia="仿宋" w:cs="仿宋"/>
                <w:color w:val="auto"/>
                <w:sz w:val="21"/>
                <w:szCs w:val="21"/>
                <w:highlight w:val="none"/>
              </w:rPr>
              <w:t>OCM资质，每名得0.5分，最多</w:t>
            </w:r>
            <w:r>
              <w:rPr>
                <w:rFonts w:hint="default" w:ascii="仿宋" w:hAnsi="仿宋" w:eastAsia="仿宋" w:cs="仿宋"/>
                <w:color w:val="auto"/>
                <w:sz w:val="21"/>
                <w:szCs w:val="21"/>
                <w:highlight w:val="none"/>
              </w:rPr>
              <w:t>4</w:t>
            </w:r>
            <w:r>
              <w:rPr>
                <w:rFonts w:hint="eastAsia" w:ascii="仿宋" w:hAnsi="仿宋" w:eastAsia="仿宋" w:cs="仿宋"/>
                <w:color w:val="auto"/>
                <w:sz w:val="21"/>
                <w:szCs w:val="21"/>
                <w:highlight w:val="none"/>
              </w:rPr>
              <w:t>分；</w:t>
            </w:r>
          </w:p>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3、培训讲师具有两种或以上数据库ACE认证证书和OCM认证证书得1分；</w:t>
            </w:r>
          </w:p>
          <w:p>
            <w:pPr>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rPr>
              <w:t>4、根据投标人售后服务网点、维护经历以及维护队伍情</w:t>
            </w:r>
            <w:r>
              <w:rPr>
                <w:rFonts w:hint="eastAsia" w:ascii="仿宋" w:hAnsi="仿宋" w:eastAsia="仿宋" w:cs="仿宋"/>
                <w:color w:val="auto"/>
                <w:sz w:val="21"/>
                <w:szCs w:val="21"/>
                <w:highlight w:val="none"/>
              </w:rPr>
              <w:t>况比较打分，优得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分，良得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分，一般得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p>
          <w:p>
            <w:pPr>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sz w:val="21"/>
                <w:szCs w:val="21"/>
                <w:highlight w:val="none"/>
              </w:rPr>
              <w:t>注：</w:t>
            </w:r>
            <w:r>
              <w:rPr>
                <w:rFonts w:hint="eastAsia" w:ascii="仿宋" w:hAnsi="仿宋" w:eastAsia="仿宋" w:cs="仿宋"/>
                <w:color w:val="auto"/>
                <w:sz w:val="21"/>
                <w:szCs w:val="21"/>
                <w:highlight w:val="none"/>
                <w:lang w:eastAsia="zh-CN"/>
              </w:rPr>
              <w:t>上述人员需</w:t>
            </w:r>
            <w:r>
              <w:rPr>
                <w:rFonts w:hint="eastAsia" w:ascii="仿宋" w:hAnsi="仿宋" w:eastAsia="仿宋" w:cs="仿宋"/>
                <w:color w:val="auto"/>
                <w:sz w:val="21"/>
                <w:szCs w:val="21"/>
                <w:highlight w:val="none"/>
              </w:rPr>
              <w:t>提供社保部门出具的</w:t>
            </w:r>
            <w:r>
              <w:rPr>
                <w:rFonts w:hint="eastAsia" w:ascii="仿宋" w:hAnsi="仿宋" w:eastAsia="仿宋" w:cs="仿宋"/>
                <w:color w:val="auto"/>
                <w:sz w:val="21"/>
                <w:szCs w:val="21"/>
                <w:highlight w:val="none"/>
                <w:lang w:eastAsia="zh-CN"/>
              </w:rPr>
              <w:t>投标人</w:t>
            </w:r>
            <w:r>
              <w:rPr>
                <w:rFonts w:hint="eastAsia" w:ascii="仿宋" w:hAnsi="仿宋" w:eastAsia="仿宋" w:cs="仿宋"/>
                <w:color w:val="auto"/>
                <w:sz w:val="21"/>
                <w:szCs w:val="21"/>
                <w:highlight w:val="none"/>
              </w:rPr>
              <w:t>为上述人员缴纳社保的证明资料复印件，否则不得分</w:t>
            </w:r>
            <w:r>
              <w:rPr>
                <w:rFonts w:hint="eastAsia" w:ascii="仿宋" w:hAnsi="仿宋" w:eastAsia="仿宋" w:cs="仿宋"/>
                <w:color w:val="auto"/>
                <w:sz w:val="21"/>
                <w:szCs w:val="21"/>
                <w:highlight w:val="none"/>
                <w:lang w:eastAsia="zh-CN"/>
              </w:rPr>
              <w:t>。一人多证多岗可以重复计取。</w:t>
            </w:r>
          </w:p>
        </w:tc>
        <w:tc>
          <w:tcPr>
            <w:tcW w:w="7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754"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p>
        </w:tc>
        <w:tc>
          <w:tcPr>
            <w:tcW w:w="1125" w:type="dxa"/>
            <w:vMerge w:val="continue"/>
            <w:tcBorders>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1"/>
                <w:szCs w:val="21"/>
                <w:highlight w:val="none"/>
                <w:lang w:bidi="ar"/>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培训方案</w:t>
            </w:r>
          </w:p>
        </w:tc>
        <w:tc>
          <w:tcPr>
            <w:tcW w:w="529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根据</w:t>
            </w:r>
            <w:r>
              <w:rPr>
                <w:rFonts w:hint="eastAsia" w:ascii="仿宋" w:hAnsi="仿宋" w:eastAsia="仿宋" w:cs="仿宋"/>
                <w:color w:val="auto"/>
                <w:sz w:val="21"/>
                <w:szCs w:val="21"/>
                <w:highlight w:val="none"/>
                <w:lang w:eastAsia="zh-CN" w:bidi="ar"/>
              </w:rPr>
              <w:t>投标人</w:t>
            </w:r>
            <w:r>
              <w:rPr>
                <w:rFonts w:hint="eastAsia" w:ascii="仿宋" w:hAnsi="仿宋" w:eastAsia="仿宋" w:cs="仿宋"/>
                <w:color w:val="auto"/>
                <w:sz w:val="21"/>
                <w:szCs w:val="21"/>
                <w:highlight w:val="none"/>
                <w:lang w:bidi="ar"/>
              </w:rPr>
              <w:t>提供的售后培训方案综合打分（0-3</w:t>
            </w:r>
            <w:r>
              <w:rPr>
                <w:rFonts w:hint="eastAsia" w:ascii="仿宋" w:hAnsi="仿宋" w:eastAsia="仿宋" w:cs="仿宋"/>
                <w:color w:val="auto"/>
                <w:sz w:val="21"/>
                <w:szCs w:val="21"/>
                <w:highlight w:val="none"/>
                <w:lang w:eastAsia="zh-CN" w:bidi="ar"/>
              </w:rPr>
              <w:t>分</w:t>
            </w:r>
            <w:r>
              <w:rPr>
                <w:rFonts w:hint="eastAsia" w:ascii="仿宋" w:hAnsi="仿宋" w:eastAsia="仿宋" w:cs="仿宋"/>
                <w:color w:val="auto"/>
                <w:sz w:val="21"/>
                <w:szCs w:val="21"/>
                <w:highlight w:val="none"/>
                <w:lang w:bidi="ar"/>
              </w:rPr>
              <w:t>）</w:t>
            </w:r>
          </w:p>
        </w:tc>
        <w:tc>
          <w:tcPr>
            <w:tcW w:w="7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75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bidi="ar"/>
              </w:rPr>
              <w:t>3</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功能演示（15分）</w:t>
            </w:r>
          </w:p>
        </w:tc>
        <w:tc>
          <w:tcPr>
            <w:tcW w:w="6508"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演示其他相关要求详见招标参数中要求。</w:t>
            </w:r>
          </w:p>
          <w:p>
            <w:pP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投标人按功能表项目逐一进行</w:t>
            </w:r>
            <w:r>
              <w:rPr>
                <w:rFonts w:hint="eastAsia" w:ascii="仿宋" w:hAnsi="仿宋" w:eastAsia="仿宋" w:cs="仿宋"/>
                <w:color w:val="auto"/>
                <w:sz w:val="21"/>
                <w:szCs w:val="21"/>
                <w:highlight w:val="none"/>
                <w:lang w:eastAsia="zh-CN" w:bidi="ar"/>
              </w:rPr>
              <w:t>现场</w:t>
            </w:r>
            <w:r>
              <w:rPr>
                <w:rFonts w:hint="eastAsia" w:ascii="仿宋" w:hAnsi="仿宋" w:eastAsia="仿宋" w:cs="仿宋"/>
                <w:color w:val="auto"/>
                <w:sz w:val="21"/>
                <w:szCs w:val="21"/>
                <w:highlight w:val="none"/>
                <w:lang w:bidi="ar"/>
              </w:rPr>
              <w:t>演示或提供视频</w:t>
            </w:r>
            <w:r>
              <w:rPr>
                <w:rFonts w:hint="eastAsia" w:ascii="仿宋" w:hAnsi="仿宋" w:eastAsia="仿宋" w:cs="仿宋"/>
                <w:color w:val="auto"/>
                <w:sz w:val="21"/>
                <w:szCs w:val="21"/>
                <w:highlight w:val="none"/>
                <w:lang w:eastAsia="zh-CN" w:bidi="ar"/>
              </w:rPr>
              <w:t>演示</w:t>
            </w:r>
            <w:r>
              <w:rPr>
                <w:rFonts w:hint="eastAsia" w:ascii="仿宋" w:hAnsi="仿宋" w:eastAsia="仿宋" w:cs="仿宋"/>
                <w:color w:val="auto"/>
                <w:sz w:val="21"/>
                <w:szCs w:val="21"/>
                <w:highlight w:val="none"/>
                <w:lang w:bidi="ar"/>
              </w:rPr>
              <w:t>，评标委员会根据演示功能展示效果进行评分（完成满足每项要求的得3分，最高15分，PPT演示</w:t>
            </w:r>
            <w:r>
              <w:rPr>
                <w:rFonts w:hint="eastAsia" w:ascii="仿宋" w:hAnsi="仿宋" w:eastAsia="仿宋" w:cs="仿宋"/>
                <w:color w:val="auto"/>
                <w:sz w:val="21"/>
                <w:szCs w:val="21"/>
                <w:highlight w:val="none"/>
                <w:lang w:eastAsia="zh-CN" w:bidi="ar"/>
              </w:rPr>
              <w:t>不得</w:t>
            </w:r>
            <w:r>
              <w:rPr>
                <w:rFonts w:hint="eastAsia" w:ascii="仿宋" w:hAnsi="仿宋" w:eastAsia="仿宋" w:cs="仿宋"/>
                <w:color w:val="auto"/>
                <w:sz w:val="21"/>
                <w:szCs w:val="21"/>
                <w:highlight w:val="none"/>
                <w:lang w:bidi="ar"/>
              </w:rPr>
              <w:t>分）。</w:t>
            </w:r>
          </w:p>
          <w:p>
            <w:pPr>
              <w:pStyle w:val="62"/>
              <w:ind w:firstLine="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1、“二、功能·5.</w:t>
            </w:r>
            <w:r>
              <w:rPr>
                <w:rFonts w:hint="eastAsia" w:ascii="仿宋" w:hAnsi="仿宋" w:eastAsia="仿宋" w:cs="仿宋"/>
                <w:b/>
                <w:bCs/>
                <w:color w:val="auto"/>
                <w:sz w:val="21"/>
                <w:szCs w:val="21"/>
                <w:highlight w:val="none"/>
              </w:rPr>
              <w:t>巡检</w:t>
            </w:r>
            <w:r>
              <w:rPr>
                <w:rFonts w:hint="eastAsia" w:ascii="仿宋" w:hAnsi="仿宋" w:eastAsia="仿宋" w:cs="仿宋"/>
                <w:color w:val="auto"/>
                <w:sz w:val="21"/>
                <w:szCs w:val="21"/>
                <w:highlight w:val="none"/>
              </w:rPr>
              <w:t>中的第2小点”功能进行演示比较打分，得0-3分，不符合或不提供的不得分。</w:t>
            </w:r>
          </w:p>
          <w:p>
            <w:pPr>
              <w:pStyle w:val="62"/>
              <w:ind w:firstLine="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2、“二、功能·7.</w:t>
            </w:r>
            <w:r>
              <w:rPr>
                <w:rFonts w:hint="eastAsia" w:ascii="仿宋" w:hAnsi="仿宋" w:eastAsia="仿宋" w:cs="仿宋"/>
                <w:b/>
                <w:bCs/>
                <w:color w:val="auto"/>
                <w:sz w:val="21"/>
                <w:szCs w:val="21"/>
                <w:highlight w:val="none"/>
              </w:rPr>
              <w:t>容量</w:t>
            </w:r>
            <w:r>
              <w:rPr>
                <w:rFonts w:hint="eastAsia" w:ascii="仿宋" w:hAnsi="仿宋" w:eastAsia="仿宋" w:cs="仿宋"/>
                <w:color w:val="auto"/>
                <w:sz w:val="21"/>
                <w:szCs w:val="21"/>
                <w:highlight w:val="none"/>
              </w:rPr>
              <w:t>中的第4小点”功能进行演示比较打分，得0-3分，不符合或不提供的不得分。</w:t>
            </w:r>
          </w:p>
          <w:p>
            <w:pPr>
              <w:pStyle w:val="62"/>
              <w:ind w:firstLine="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3、“二、功能·8.</w:t>
            </w:r>
            <w:r>
              <w:rPr>
                <w:rFonts w:hint="eastAsia" w:ascii="仿宋" w:hAnsi="仿宋" w:eastAsia="仿宋" w:cs="仿宋"/>
                <w:b/>
                <w:bCs/>
                <w:color w:val="auto"/>
                <w:sz w:val="21"/>
                <w:szCs w:val="21"/>
                <w:highlight w:val="none"/>
              </w:rPr>
              <w:t>性能</w:t>
            </w:r>
            <w:r>
              <w:rPr>
                <w:rFonts w:hint="eastAsia" w:ascii="仿宋" w:hAnsi="仿宋" w:eastAsia="仿宋" w:cs="仿宋"/>
                <w:color w:val="auto"/>
                <w:sz w:val="21"/>
                <w:szCs w:val="21"/>
                <w:highlight w:val="none"/>
              </w:rPr>
              <w:t>中的第4小点”功能进行演示比较打分，得0-3分，不符合或不提供的不得分。</w:t>
            </w:r>
          </w:p>
          <w:p>
            <w:pPr>
              <w:pStyle w:val="62"/>
              <w:ind w:firstLine="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4、“二、功能·1</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w:t>
            </w:r>
            <w:r>
              <w:rPr>
                <w:rFonts w:hint="eastAsia" w:ascii="仿宋" w:hAnsi="仿宋" w:eastAsia="仿宋" w:cs="仿宋"/>
                <w:b/>
                <w:bCs/>
                <w:color w:val="auto"/>
                <w:sz w:val="21"/>
                <w:szCs w:val="21"/>
                <w:highlight w:val="none"/>
              </w:rPr>
              <w:t>运维工具</w:t>
            </w:r>
            <w:r>
              <w:rPr>
                <w:rFonts w:hint="eastAsia" w:ascii="仿宋" w:hAnsi="仿宋" w:eastAsia="仿宋" w:cs="仿宋"/>
                <w:color w:val="auto"/>
                <w:sz w:val="21"/>
                <w:szCs w:val="21"/>
                <w:highlight w:val="none"/>
              </w:rPr>
              <w:t>中第3小点”功能进行演示比较打分，得0-3分，不符合或不提供的不得分。</w:t>
            </w:r>
          </w:p>
          <w:p>
            <w:pPr>
              <w:ind w:firstLine="210" w:firstLineChars="100"/>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rPr>
              <w:t>5、“二、功能·1</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w:t>
            </w:r>
            <w:r>
              <w:rPr>
                <w:rFonts w:hint="eastAsia" w:ascii="仿宋" w:hAnsi="仿宋" w:eastAsia="仿宋" w:cs="仿宋"/>
                <w:b/>
                <w:bCs/>
                <w:color w:val="auto"/>
                <w:sz w:val="21"/>
                <w:szCs w:val="21"/>
                <w:highlight w:val="none"/>
              </w:rPr>
              <w:t>运维工具</w:t>
            </w:r>
            <w:r>
              <w:rPr>
                <w:rFonts w:hint="eastAsia" w:ascii="仿宋" w:hAnsi="仿宋" w:eastAsia="仿宋" w:cs="仿宋"/>
                <w:color w:val="auto"/>
                <w:sz w:val="21"/>
                <w:szCs w:val="21"/>
                <w:highlight w:val="none"/>
              </w:rPr>
              <w:t>中第4小点”功能进行演示比较打分，得0-3分，不符合或不提供的不得分。</w:t>
            </w:r>
          </w:p>
        </w:tc>
        <w:tc>
          <w:tcPr>
            <w:tcW w:w="7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15</w:t>
            </w:r>
          </w:p>
        </w:tc>
      </w:tr>
    </w:tbl>
    <w:p>
      <w:pPr>
        <w:rPr>
          <w:rFonts w:hint="eastAsia"/>
          <w:color w:val="auto"/>
          <w:highlight w:val="none"/>
        </w:rPr>
      </w:pPr>
    </w:p>
    <w:p>
      <w:pPr>
        <w:pStyle w:val="24"/>
        <w:rPr>
          <w:color w:val="auto"/>
          <w:highlight w:val="none"/>
        </w:rPr>
      </w:pPr>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2</w:t>
      </w:r>
      <w:r>
        <w:rPr>
          <w:rFonts w:hint="eastAsia" w:ascii="仿宋" w:hAnsi="仿宋" w:eastAsia="仿宋" w:cs="仿宋"/>
          <w:b/>
          <w:bCs/>
          <w:color w:val="auto"/>
          <w:sz w:val="24"/>
          <w:highlight w:val="none"/>
          <w:bdr w:val="single" w:color="auto" w:sz="4" w:space="0"/>
        </w:rPr>
        <w:t>标</w:t>
      </w:r>
    </w:p>
    <w:tbl>
      <w:tblPr>
        <w:tblStyle w:val="64"/>
        <w:tblW w:w="9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991"/>
        <w:gridCol w:w="7315"/>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9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评分项目</w:t>
            </w:r>
          </w:p>
        </w:tc>
        <w:tc>
          <w:tcPr>
            <w:tcW w:w="7315" w:type="dxa"/>
            <w:tcBorders>
              <w:top w:val="single" w:color="auto" w:sz="4" w:space="0"/>
              <w:left w:val="single" w:color="auto" w:sz="4" w:space="0"/>
              <w:bottom w:val="single" w:color="auto" w:sz="4" w:space="0"/>
              <w:right w:val="single" w:color="auto" w:sz="4" w:space="0"/>
            </w:tcBorders>
            <w:noWrap w:val="0"/>
            <w:vAlign w:val="center"/>
          </w:tcPr>
          <w:p>
            <w:pPr>
              <w:ind w:firstLine="2100" w:firstLineChars="10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评标要点及说明</w:t>
            </w:r>
          </w:p>
        </w:tc>
        <w:tc>
          <w:tcPr>
            <w:tcW w:w="780"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iCs/>
                <w:color w:val="auto"/>
                <w:sz w:val="21"/>
                <w:szCs w:val="21"/>
                <w:highlight w:val="none"/>
              </w:rPr>
            </w:pPr>
            <w:r>
              <w:rPr>
                <w:rFonts w:hint="eastAsia" w:ascii="仿宋" w:hAnsi="仿宋" w:eastAsia="仿宋" w:cs="仿宋"/>
                <w:bCs/>
                <w:iCs/>
                <w:color w:val="auto"/>
                <w:sz w:val="21"/>
                <w:szCs w:val="21"/>
                <w:highlight w:val="none"/>
              </w:rPr>
              <w:t>1</w:t>
            </w:r>
          </w:p>
        </w:tc>
        <w:tc>
          <w:tcPr>
            <w:tcW w:w="9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bCs/>
                <w:iCs/>
                <w:color w:val="auto"/>
                <w:sz w:val="21"/>
                <w:szCs w:val="21"/>
                <w:highlight w:val="none"/>
              </w:rPr>
              <w:t>技术参数</w:t>
            </w:r>
          </w:p>
        </w:tc>
        <w:tc>
          <w:tcPr>
            <w:tcW w:w="731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技术参数完全符合技术标招标要求得45分，标有★指标未响应或不满足的按无效标处理；要求截图证明带</w:t>
            </w:r>
            <w:r>
              <w:rPr>
                <w:rFonts w:hint="eastAsia" w:ascii="仿宋" w:hAnsi="仿宋" w:eastAsia="仿宋" w:cs="仿宋"/>
                <w:bCs/>
                <w:color w:val="auto"/>
                <w:sz w:val="21"/>
                <w:szCs w:val="21"/>
                <w:highlight w:val="none"/>
              </w:rPr>
              <w:t>▲</w:t>
            </w:r>
            <w:r>
              <w:rPr>
                <w:rFonts w:hint="eastAsia" w:ascii="仿宋" w:hAnsi="仿宋" w:eastAsia="仿宋" w:cs="仿宋"/>
                <w:color w:val="auto"/>
                <w:sz w:val="21"/>
                <w:szCs w:val="21"/>
                <w:highlight w:val="none"/>
              </w:rPr>
              <w:t>指标每负偏离一项扣5分,其他指标每负偏离一项扣3分，扣完为止。</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bCs/>
                <w:iCs/>
                <w:color w:val="auto"/>
                <w:sz w:val="21"/>
                <w:szCs w:val="21"/>
                <w:highlight w:val="none"/>
              </w:rPr>
            </w:pPr>
            <w:r>
              <w:rPr>
                <w:rFonts w:hint="eastAsia" w:ascii="仿宋" w:hAnsi="仿宋" w:eastAsia="仿宋" w:cs="仿宋"/>
                <w:bCs/>
                <w:iCs/>
                <w:color w:val="auto"/>
                <w:sz w:val="21"/>
                <w:szCs w:val="21"/>
                <w:highlight w:val="none"/>
              </w:rPr>
              <w:t>2</w:t>
            </w:r>
          </w:p>
        </w:tc>
        <w:tc>
          <w:tcPr>
            <w:tcW w:w="991"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bCs/>
                <w:iCs/>
                <w:color w:val="auto"/>
                <w:sz w:val="21"/>
                <w:szCs w:val="21"/>
                <w:highlight w:val="none"/>
              </w:rPr>
            </w:pPr>
            <w:r>
              <w:rPr>
                <w:rFonts w:hint="eastAsia" w:ascii="仿宋" w:hAnsi="仿宋" w:eastAsia="仿宋" w:cs="仿宋"/>
                <w:bCs/>
                <w:iCs/>
                <w:color w:val="auto"/>
                <w:sz w:val="21"/>
                <w:szCs w:val="21"/>
                <w:highlight w:val="none"/>
              </w:rPr>
              <w:t>技术方案</w:t>
            </w:r>
          </w:p>
        </w:tc>
        <w:tc>
          <w:tcPr>
            <w:tcW w:w="731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Cs/>
                <w:iCs/>
                <w:color w:val="auto"/>
                <w:sz w:val="21"/>
                <w:szCs w:val="21"/>
                <w:highlight w:val="none"/>
              </w:rPr>
            </w:pPr>
            <w:r>
              <w:rPr>
                <w:rFonts w:hint="eastAsia" w:ascii="仿宋" w:hAnsi="仿宋" w:eastAsia="仿宋" w:cs="仿宋"/>
                <w:bCs/>
                <w:iCs/>
                <w:color w:val="auto"/>
                <w:sz w:val="21"/>
                <w:szCs w:val="21"/>
                <w:highlight w:val="none"/>
              </w:rPr>
              <w:t>1、投标人应提供合理的技术方案，符合招标文件相关技术要求以及用户实际情况；</w:t>
            </w:r>
          </w:p>
          <w:p>
            <w:pPr>
              <w:rPr>
                <w:rFonts w:hint="eastAsia" w:ascii="仿宋" w:hAnsi="仿宋" w:eastAsia="仿宋" w:cs="仿宋"/>
                <w:bCs/>
                <w:iCs/>
                <w:color w:val="auto"/>
                <w:sz w:val="21"/>
                <w:szCs w:val="21"/>
                <w:highlight w:val="none"/>
              </w:rPr>
            </w:pPr>
            <w:r>
              <w:rPr>
                <w:rFonts w:hint="eastAsia" w:ascii="仿宋" w:hAnsi="仿宋" w:eastAsia="仿宋" w:cs="仿宋"/>
                <w:bCs/>
                <w:iCs/>
                <w:color w:val="auto"/>
                <w:sz w:val="21"/>
                <w:szCs w:val="21"/>
                <w:highlight w:val="none"/>
              </w:rPr>
              <w:t>2、技术方案完整、可行、合理、先进，方案描述清晰，对采购人业务需求的理解与分析准确，充分考虑用户需求，充分理解项目内容，对需求有深入分析；</w:t>
            </w:r>
          </w:p>
          <w:p>
            <w:pPr>
              <w:snapToGrid w:val="0"/>
              <w:spacing w:line="320" w:lineRule="exact"/>
              <w:rPr>
                <w:rFonts w:hint="eastAsia" w:ascii="仿宋" w:hAnsi="仿宋" w:eastAsia="仿宋" w:cs="仿宋"/>
                <w:bCs/>
                <w:iCs/>
                <w:color w:val="auto"/>
                <w:sz w:val="21"/>
                <w:szCs w:val="21"/>
                <w:highlight w:val="none"/>
              </w:rPr>
            </w:pPr>
            <w:r>
              <w:rPr>
                <w:rFonts w:hint="eastAsia" w:ascii="仿宋" w:hAnsi="仿宋" w:eastAsia="仿宋" w:cs="仿宋"/>
                <w:bCs/>
                <w:iCs/>
                <w:color w:val="auto"/>
                <w:sz w:val="21"/>
                <w:szCs w:val="21"/>
                <w:highlight w:val="none"/>
              </w:rPr>
              <w:t>3、方案思路清晰，具有针对性，符合项目建设和未来发展需要；</w:t>
            </w:r>
          </w:p>
          <w:p>
            <w:pPr>
              <w:rPr>
                <w:rFonts w:hint="eastAsia" w:ascii="仿宋" w:hAnsi="仿宋" w:eastAsia="仿宋" w:cs="仿宋"/>
                <w:bCs/>
                <w:iCs/>
                <w:color w:val="auto"/>
                <w:sz w:val="21"/>
                <w:szCs w:val="21"/>
                <w:highlight w:val="none"/>
              </w:rPr>
            </w:pPr>
            <w:r>
              <w:rPr>
                <w:rFonts w:hint="eastAsia" w:ascii="仿宋" w:hAnsi="仿宋" w:eastAsia="仿宋" w:cs="仿宋"/>
                <w:bCs/>
                <w:iCs/>
                <w:color w:val="auto"/>
                <w:sz w:val="21"/>
                <w:szCs w:val="21"/>
                <w:highlight w:val="none"/>
              </w:rPr>
              <w:t>根据投标供应商提供的上述内容酌情评分：</w:t>
            </w:r>
          </w:p>
          <w:p>
            <w:pPr>
              <w:ind w:firstLine="420" w:firstLineChars="200"/>
              <w:rPr>
                <w:rFonts w:hint="eastAsia" w:ascii="仿宋" w:hAnsi="仿宋" w:eastAsia="仿宋" w:cs="仿宋"/>
                <w:bCs/>
                <w:iCs/>
                <w:color w:val="auto"/>
                <w:sz w:val="21"/>
                <w:szCs w:val="21"/>
                <w:highlight w:val="none"/>
              </w:rPr>
            </w:pPr>
            <w:r>
              <w:rPr>
                <w:rFonts w:hint="eastAsia" w:ascii="仿宋" w:hAnsi="仿宋" w:eastAsia="仿宋" w:cs="仿宋"/>
                <w:bCs/>
                <w:iCs/>
                <w:color w:val="auto"/>
                <w:sz w:val="21"/>
                <w:szCs w:val="21"/>
                <w:highlight w:val="none"/>
              </w:rPr>
              <w:t>方案思路清晰、内容详实、符合项目实际，满足所有指标要求且多项关键指标高于指标要求的，得10.1-15分；方案思路较清晰、内容较详实、较符合项目实际，满足所有指标要求且部分关键指标高于指标要求的，得5.1-10分；方案思路一般、内容一般、与项目实际符合性一般，满足所有指标要求且少量关键指标高于指标要求的，得0-5分；</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iCs/>
                <w:color w:val="auto"/>
                <w:sz w:val="21"/>
                <w:szCs w:val="21"/>
                <w:highlight w:val="none"/>
              </w:rPr>
            </w:pPr>
            <w:r>
              <w:rPr>
                <w:rFonts w:hint="eastAsia" w:ascii="仿宋" w:hAnsi="仿宋" w:eastAsia="仿宋" w:cs="仿宋"/>
                <w:bCs/>
                <w:iCs/>
                <w:color w:val="auto"/>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740"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991"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bCs/>
                <w:iCs/>
                <w:color w:val="auto"/>
                <w:sz w:val="21"/>
                <w:szCs w:val="21"/>
                <w:highlight w:val="none"/>
              </w:rPr>
            </w:pPr>
            <w:r>
              <w:rPr>
                <w:rFonts w:hint="eastAsia" w:ascii="仿宋" w:hAnsi="仿宋" w:eastAsia="仿宋" w:cs="仿宋"/>
                <w:color w:val="auto"/>
                <w:sz w:val="21"/>
                <w:szCs w:val="21"/>
                <w:highlight w:val="none"/>
              </w:rPr>
              <w:t>售后服务及质量保证措施</w:t>
            </w:r>
          </w:p>
        </w:tc>
        <w:tc>
          <w:tcPr>
            <w:tcW w:w="7315" w:type="dxa"/>
            <w:tcBorders>
              <w:top w:val="single" w:color="auto" w:sz="4" w:space="0"/>
              <w:left w:val="single" w:color="auto" w:sz="4" w:space="0"/>
              <w:bottom w:val="single" w:color="auto" w:sz="4" w:space="0"/>
              <w:right w:val="single" w:color="auto" w:sz="4" w:space="0"/>
            </w:tcBorders>
            <w:noWrap w:val="0"/>
            <w:vAlign w:val="center"/>
          </w:tcPr>
          <w:p>
            <w:pPr>
              <w:numPr>
                <w:ilvl w:val="0"/>
                <w:numId w:val="22"/>
              </w:numPr>
              <w:rPr>
                <w:rFonts w:hint="eastAsia" w:ascii="仿宋" w:hAnsi="仿宋" w:eastAsia="仿宋" w:cs="仿宋"/>
                <w:bCs/>
                <w:iCs/>
                <w:color w:val="auto"/>
                <w:sz w:val="21"/>
                <w:szCs w:val="21"/>
                <w:highlight w:val="none"/>
              </w:rPr>
            </w:pPr>
            <w:r>
              <w:rPr>
                <w:rFonts w:hint="eastAsia" w:ascii="仿宋" w:hAnsi="仿宋" w:eastAsia="仿宋" w:cs="仿宋"/>
                <w:bCs/>
                <w:iCs/>
                <w:color w:val="auto"/>
                <w:sz w:val="21"/>
                <w:szCs w:val="21"/>
                <w:highlight w:val="none"/>
                <w:lang w:eastAsia="zh-CN"/>
              </w:rPr>
              <w:t>投标人</w:t>
            </w:r>
            <w:r>
              <w:rPr>
                <w:rFonts w:hint="eastAsia" w:ascii="仿宋" w:hAnsi="仿宋" w:eastAsia="仿宋" w:cs="仿宋"/>
                <w:bCs/>
                <w:iCs/>
                <w:color w:val="auto"/>
                <w:sz w:val="21"/>
                <w:szCs w:val="21"/>
                <w:highlight w:val="none"/>
              </w:rPr>
              <w:t>承诺在投标设备发生故障后,24小时内不能排除故障的，提供备用设备供客户正常使用的得</w:t>
            </w:r>
            <w:r>
              <w:rPr>
                <w:rFonts w:hint="eastAsia" w:ascii="仿宋" w:hAnsi="仿宋" w:eastAsia="仿宋" w:cs="仿宋"/>
                <w:bCs/>
                <w:iCs/>
                <w:color w:val="auto"/>
                <w:sz w:val="21"/>
                <w:szCs w:val="21"/>
                <w:highlight w:val="none"/>
                <w:lang w:val="en-US" w:eastAsia="zh-CN"/>
              </w:rPr>
              <w:t>2</w:t>
            </w:r>
            <w:r>
              <w:rPr>
                <w:rFonts w:hint="eastAsia" w:ascii="仿宋" w:hAnsi="仿宋" w:eastAsia="仿宋" w:cs="仿宋"/>
                <w:bCs/>
                <w:iCs/>
                <w:color w:val="auto"/>
                <w:sz w:val="21"/>
                <w:szCs w:val="21"/>
                <w:highlight w:val="none"/>
              </w:rPr>
              <w:t>分；能在48小时内提供备用设备的得1分；其他不得分。</w:t>
            </w:r>
          </w:p>
          <w:p>
            <w:pPr>
              <w:rPr>
                <w:rFonts w:hint="eastAsia" w:ascii="仿宋" w:hAnsi="仿宋" w:eastAsia="仿宋" w:cs="仿宋"/>
                <w:bCs/>
                <w:iCs/>
                <w:color w:val="auto"/>
                <w:sz w:val="21"/>
                <w:szCs w:val="21"/>
                <w:highlight w:val="none"/>
                <w:lang w:val="en-US" w:eastAsia="zh-CN"/>
              </w:rPr>
            </w:pPr>
            <w:r>
              <w:rPr>
                <w:rFonts w:hint="eastAsia" w:ascii="仿宋" w:hAnsi="仿宋" w:eastAsia="仿宋" w:cs="仿宋"/>
                <w:bCs/>
                <w:iCs/>
                <w:color w:val="auto"/>
                <w:sz w:val="21"/>
                <w:szCs w:val="21"/>
                <w:highlight w:val="none"/>
                <w:lang w:val="en-US" w:eastAsia="zh-CN"/>
              </w:rPr>
              <w:t>2、</w:t>
            </w:r>
            <w:r>
              <w:rPr>
                <w:rFonts w:hint="eastAsia" w:ascii="仿宋" w:hAnsi="仿宋" w:eastAsia="仿宋" w:cs="仿宋"/>
                <w:bCs/>
                <w:iCs/>
                <w:color w:val="auto"/>
                <w:sz w:val="21"/>
                <w:szCs w:val="21"/>
                <w:highlight w:val="none"/>
              </w:rPr>
              <w:t>售后时间响应：售后服务人员能在接到采购人通知后1小时内到达项目现场的得1分，投标人需提供证明文件。</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iCs/>
                <w:color w:val="auto"/>
                <w:sz w:val="21"/>
                <w:szCs w:val="21"/>
                <w:highlight w:val="none"/>
              </w:rPr>
            </w:pPr>
            <w:r>
              <w:rPr>
                <w:rFonts w:hint="eastAsia" w:ascii="仿宋" w:hAnsi="仿宋" w:eastAsia="仿宋" w:cs="仿宋"/>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9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业绩</w:t>
            </w:r>
          </w:p>
        </w:tc>
        <w:tc>
          <w:tcPr>
            <w:tcW w:w="731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投标人</w:t>
            </w:r>
            <w:r>
              <w:rPr>
                <w:rFonts w:hint="eastAsia" w:ascii="仿宋" w:hAnsi="仿宋" w:eastAsia="仿宋" w:cs="仿宋"/>
                <w:color w:val="auto"/>
                <w:sz w:val="21"/>
                <w:szCs w:val="21"/>
                <w:highlight w:val="none"/>
              </w:rPr>
              <w:t>提供</w:t>
            </w:r>
            <w:r>
              <w:rPr>
                <w:rFonts w:hint="eastAsia" w:ascii="仿宋" w:hAnsi="仿宋" w:eastAsia="仿宋" w:cs="仿宋"/>
                <w:color w:val="auto"/>
                <w:sz w:val="21"/>
                <w:szCs w:val="21"/>
                <w:highlight w:val="none"/>
                <w:lang w:val="en-US" w:eastAsia="zh-CN"/>
              </w:rPr>
              <w:t>2021年1月1日至今类似（以合同签订时间为准）</w:t>
            </w:r>
            <w:r>
              <w:rPr>
                <w:rFonts w:hint="eastAsia" w:ascii="仿宋" w:hAnsi="仿宋" w:eastAsia="仿宋" w:cs="仿宋"/>
                <w:color w:val="auto"/>
                <w:sz w:val="21"/>
                <w:szCs w:val="21"/>
                <w:highlight w:val="none"/>
              </w:rPr>
              <w:t>相关案例，每个得1分，最高得3分，提供合同复印件并加盖</w:t>
            </w:r>
            <w:r>
              <w:rPr>
                <w:rFonts w:hint="eastAsia" w:ascii="仿宋" w:hAnsi="仿宋" w:eastAsia="仿宋" w:cs="仿宋"/>
                <w:color w:val="auto"/>
                <w:sz w:val="21"/>
                <w:szCs w:val="21"/>
                <w:highlight w:val="none"/>
                <w:lang w:eastAsia="zh-CN"/>
              </w:rPr>
              <w:t>投标人呢</w:t>
            </w:r>
            <w:r>
              <w:rPr>
                <w:rFonts w:hint="eastAsia" w:ascii="仿宋" w:hAnsi="仿宋" w:eastAsia="仿宋" w:cs="仿宋"/>
                <w:color w:val="auto"/>
                <w:sz w:val="21"/>
                <w:szCs w:val="21"/>
                <w:highlight w:val="none"/>
              </w:rPr>
              <w:t>公章,不提供不得分</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9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工程师资质</w:t>
            </w:r>
          </w:p>
        </w:tc>
        <w:tc>
          <w:tcPr>
            <w:tcW w:w="7315" w:type="dxa"/>
            <w:tcBorders>
              <w:top w:val="single" w:color="auto" w:sz="4" w:space="0"/>
              <w:left w:val="single" w:color="auto" w:sz="4" w:space="0"/>
              <w:bottom w:val="single" w:color="auto" w:sz="4" w:space="0"/>
              <w:right w:val="single" w:color="auto" w:sz="4" w:space="0"/>
            </w:tcBorders>
            <w:noWrap w:val="0"/>
            <w:vAlign w:val="center"/>
          </w:tcPr>
          <w:p>
            <w:pPr>
              <w:numPr>
                <w:ilvl w:val="-1"/>
                <w:numId w:val="0"/>
              </w:num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提供1名ORACLE OCP认证工程师得1分</w:t>
            </w:r>
            <w:r>
              <w:rPr>
                <w:rFonts w:hint="eastAsia" w:ascii="仿宋" w:hAnsi="仿宋" w:eastAsia="仿宋" w:cs="仿宋"/>
                <w:color w:val="auto"/>
                <w:sz w:val="21"/>
                <w:szCs w:val="21"/>
                <w:highlight w:val="none"/>
                <w:lang w:eastAsia="zh-CN"/>
              </w:rPr>
              <w:t>；</w:t>
            </w:r>
          </w:p>
          <w:p>
            <w:pPr>
              <w:numPr>
                <w:ilvl w:val="-1"/>
                <w:numId w:val="0"/>
              </w:num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提供1名ORACLE OCM认证工程师得1分</w:t>
            </w:r>
            <w:r>
              <w:rPr>
                <w:rFonts w:hint="eastAsia" w:ascii="仿宋" w:hAnsi="仿宋" w:eastAsia="仿宋" w:cs="仿宋"/>
                <w:color w:val="auto"/>
                <w:sz w:val="21"/>
                <w:szCs w:val="21"/>
                <w:highlight w:val="none"/>
                <w:lang w:eastAsia="zh-CN"/>
              </w:rPr>
              <w:t>；</w:t>
            </w:r>
          </w:p>
          <w:p>
            <w:pPr>
              <w:numPr>
                <w:ilvl w:val="0"/>
                <w:numId w:val="23"/>
              </w:numPr>
              <w:rPr>
                <w:rFonts w:hint="eastAsia"/>
                <w:color w:val="auto"/>
                <w:highlight w:val="none"/>
              </w:rPr>
            </w:pPr>
            <w:r>
              <w:rPr>
                <w:rFonts w:hint="eastAsia" w:ascii="仿宋" w:hAnsi="仿宋" w:eastAsia="仿宋" w:cs="仿宋"/>
                <w:color w:val="auto"/>
                <w:sz w:val="21"/>
                <w:szCs w:val="21"/>
                <w:highlight w:val="none"/>
              </w:rPr>
              <w:t>提供1名PMP认证工程师得 2分</w:t>
            </w:r>
            <w:r>
              <w:rPr>
                <w:rFonts w:hint="eastAsia" w:ascii="仿宋" w:hAnsi="仿宋" w:eastAsia="仿宋" w:cs="仿宋"/>
                <w:color w:val="auto"/>
                <w:sz w:val="21"/>
                <w:szCs w:val="21"/>
                <w:highlight w:val="none"/>
                <w:lang w:eastAsia="zh-CN"/>
              </w:rPr>
              <w:t>；</w:t>
            </w:r>
          </w:p>
          <w:p>
            <w:pPr>
              <w:numPr>
                <w:ilvl w:val="-1"/>
                <w:numId w:val="0"/>
              </w:numPr>
              <w:rPr>
                <w:rFonts w:hint="eastAsia"/>
                <w:color w:val="auto"/>
                <w:highlight w:val="none"/>
              </w:rPr>
            </w:pPr>
            <w:r>
              <w:rPr>
                <w:rFonts w:hint="eastAsia" w:ascii="仿宋" w:hAnsi="仿宋" w:eastAsia="仿宋" w:cs="仿宋"/>
                <w:color w:val="auto"/>
                <w:sz w:val="21"/>
                <w:szCs w:val="21"/>
                <w:highlight w:val="none"/>
                <w:lang w:eastAsia="zh-CN"/>
              </w:rPr>
              <w:t>注：上述人员需提供相关证书复印件及投标人为其缴纳的社保证明复议件均加盖投标人公章，未提供不得分，一人多证不重复计取。</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r>
    </w:tbl>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none"/>
          <w:lang w:val="en-US" w:eastAsia="zh-CN"/>
        </w:rPr>
        <w:t>30</w:t>
      </w:r>
      <w:r>
        <w:rPr>
          <w:rFonts w:hint="eastAsia" w:ascii="仿宋" w:hAnsi="仿宋" w:eastAsia="仿宋" w:cs="仿宋"/>
          <w:bCs/>
          <w:iCs/>
          <w:color w:val="auto"/>
          <w:sz w:val="24"/>
          <w:highlight w:val="none"/>
          <w:u w:val="none"/>
        </w:rPr>
        <w:t xml:space="preserve"> </w:t>
      </w:r>
    </w:p>
    <w:p>
      <w:pPr>
        <w:spacing w:line="360" w:lineRule="auto"/>
        <w:ind w:left="720" w:firstLine="723" w:firstLineChars="200"/>
        <w:outlineLvl w:val="0"/>
        <w:rPr>
          <w:rFonts w:ascii="仿宋" w:hAnsi="仿宋" w:eastAsia="仿宋" w:cs="仿宋"/>
          <w:b/>
          <w:color w:val="auto"/>
          <w:sz w:val="36"/>
          <w:szCs w:val="20"/>
          <w:highlight w:val="none"/>
        </w:rPr>
      </w:pPr>
    </w:p>
    <w:p>
      <w:pPr>
        <w:spacing w:line="360" w:lineRule="auto"/>
        <w:ind w:left="720" w:firstLine="723" w:firstLineChars="200"/>
        <w:outlineLvl w:val="0"/>
        <w:rPr>
          <w:rFonts w:ascii="仿宋" w:hAnsi="仿宋" w:eastAsia="仿宋" w:cs="仿宋"/>
          <w:b/>
          <w:color w:val="auto"/>
          <w:sz w:val="36"/>
          <w:szCs w:val="20"/>
          <w:highlight w:val="none"/>
        </w:rPr>
      </w:pPr>
    </w:p>
    <w:bookmarkEnd w:id="41"/>
    <w:bookmarkEnd w:id="42"/>
    <w:p>
      <w:pPr>
        <w:widowControl/>
        <w:adjustRightInd/>
        <w:jc w:val="both"/>
        <w:rPr>
          <w:rFonts w:hint="eastAsia" w:ascii="仿宋" w:hAnsi="仿宋" w:eastAsia="仿宋" w:cs="仿宋"/>
          <w:b/>
          <w:color w:val="auto"/>
          <w:sz w:val="36"/>
          <w:szCs w:val="20"/>
          <w:highlight w:val="none"/>
        </w:rPr>
      </w:pPr>
    </w:p>
    <w:p>
      <w:pPr>
        <w:widowControl/>
        <w:adjustRightInd/>
        <w:jc w:val="both"/>
        <w:rPr>
          <w:rFonts w:hint="eastAsia" w:ascii="仿宋" w:hAnsi="仿宋" w:eastAsia="仿宋" w:cs="仿宋"/>
          <w:b/>
          <w:color w:val="auto"/>
          <w:sz w:val="36"/>
          <w:szCs w:val="20"/>
          <w:highlight w:val="none"/>
        </w:rPr>
      </w:pPr>
    </w:p>
    <w:p>
      <w:pPr>
        <w:pStyle w:val="2"/>
        <w:rPr>
          <w:rFonts w:hint="eastAsia"/>
        </w:rPr>
      </w:pPr>
    </w:p>
    <w:p>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jc w:val="center"/>
        <w:outlineLvl w:val="0"/>
        <w:rPr>
          <w:rFonts w:ascii="仿宋" w:hAnsi="仿宋" w:eastAsia="仿宋" w:cs="仿宋"/>
          <w:b/>
          <w:color w:val="auto"/>
          <w:kern w:val="0"/>
          <w:sz w:val="36"/>
          <w:szCs w:val="36"/>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4"/>
        <w:rPr>
          <w:rFonts w:ascii="仿宋" w:hAnsi="仿宋" w:eastAsia="仿宋" w:cs="仿宋"/>
          <w:color w:val="auto"/>
          <w:highlight w:val="none"/>
        </w:rPr>
      </w:pPr>
      <w:r>
        <w:rPr>
          <w:rFonts w:hint="eastAsia" w:ascii="仿宋" w:hAnsi="仿宋" w:eastAsia="仿宋" w:cs="仿宋"/>
          <w:color w:val="auto"/>
          <w:highlight w:val="none"/>
        </w:rPr>
        <w:t>（3）分包协议………………………………………………………………（页码）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snapToGrid w:val="0"/>
        <w:spacing w:line="360" w:lineRule="auto"/>
        <w:rPr>
          <w:rFonts w:ascii="仿宋" w:hAnsi="仿宋" w:eastAsia="仿宋" w:cs="仿宋"/>
          <w:color w:val="auto"/>
          <w:sz w:val="24"/>
          <w:highlight w:val="none"/>
        </w:rPr>
      </w:pPr>
    </w:p>
    <w:p>
      <w:pPr>
        <w:snapToGrid w:val="0"/>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ascii="仿宋" w:hAnsi="仿宋" w:eastAsia="仿宋" w:cs="仿宋"/>
          <w:b/>
          <w:color w:val="auto"/>
          <w:kern w:val="0"/>
          <w:sz w:val="32"/>
          <w:szCs w:val="32"/>
          <w:highlight w:val="none"/>
        </w:rPr>
      </w:pPr>
    </w:p>
    <w:p>
      <w:pPr>
        <w:widowControl/>
        <w:spacing w:line="360" w:lineRule="auto"/>
        <w:jc w:val="center"/>
        <w:rPr>
          <w:rFonts w:ascii="仿宋" w:hAnsi="仿宋" w:eastAsia="仿宋" w:cs="仿宋"/>
          <w:b/>
          <w:color w:val="auto"/>
          <w:kern w:val="0"/>
          <w:sz w:val="32"/>
          <w:szCs w:val="32"/>
          <w:highlight w:val="none"/>
        </w:rPr>
      </w:pPr>
    </w:p>
    <w:p>
      <w:pPr>
        <w:widowControl/>
        <w:spacing w:line="360" w:lineRule="auto"/>
        <w:jc w:val="center"/>
        <w:rPr>
          <w:rFonts w:ascii="仿宋" w:hAnsi="仿宋" w:eastAsia="仿宋" w:cs="仿宋"/>
          <w:b/>
          <w:color w:val="auto"/>
          <w:kern w:val="0"/>
          <w:sz w:val="32"/>
          <w:szCs w:val="32"/>
          <w:highlight w:val="none"/>
        </w:rPr>
      </w:pPr>
    </w:p>
    <w:p>
      <w:pPr>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2"/>
        <w:rPr>
          <w:rFonts w:hint="eastAsia" w:ascii="仿宋" w:hAnsi="仿宋" w:eastAsia="仿宋" w:cs="仿宋"/>
          <w:color w:val="auto"/>
          <w:highlight w:val="none"/>
        </w:rPr>
      </w:pP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highlight w:val="none"/>
        </w:rPr>
      </w:pPr>
    </w:p>
    <w:p>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36" w:lineRule="auto"/>
        <w:jc w:val="center"/>
        <w:rPr>
          <w:rFonts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（1）</w:t>
      </w:r>
      <w:r>
        <w:rPr>
          <w:rFonts w:hint="eastAsia" w:ascii="仿宋" w:eastAsia="仿宋" w:cs="仿宋"/>
          <w:color w:val="auto"/>
          <w:highlight w:val="none"/>
        </w:rPr>
        <w:t>投标函…………………………………………………………………………（页码）</w:t>
      </w:r>
    </w:p>
    <w:p>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（2）</w:t>
      </w:r>
      <w:r>
        <w:rPr>
          <w:rFonts w:hint="eastAsia" w:ascii="仿宋" w:eastAsia="仿宋" w:cs="仿宋"/>
          <w:color w:val="auto"/>
          <w:highlight w:val="none"/>
        </w:rPr>
        <w:t>法定代表人授权书 ………………………………………………………… （页码）</w:t>
      </w:r>
    </w:p>
    <w:p>
      <w:pPr>
        <w:pStyle w:val="906"/>
        <w:spacing w:line="360" w:lineRule="auto"/>
        <w:ind w:left="0" w:firstLine="0" w:firstLineChars="0"/>
        <w:rPr>
          <w:rFonts w:ascii="仿宋" w:eastAsia="仿宋" w:cs="仿宋"/>
          <w:color w:val="auto"/>
          <w:highlight w:val="none"/>
        </w:rPr>
      </w:pPr>
      <w:r>
        <w:rPr>
          <w:rFonts w:ascii="仿宋" w:eastAsia="仿宋" w:cs="仿宋"/>
          <w:color w:val="auto"/>
          <w:highlight w:val="none"/>
        </w:rPr>
        <w:t>（3）</w:t>
      </w:r>
      <w:r>
        <w:rPr>
          <w:rFonts w:hint="eastAsia" w:ascii="仿宋" w:hAnsi="仿宋" w:eastAsia="仿宋" w:cs="仿宋"/>
          <w:color w:val="auto"/>
          <w:highlight w:val="none"/>
        </w:rPr>
        <w:t>授权代表社保证明……………………………………………………………（页码）</w:t>
      </w:r>
    </w:p>
    <w:p>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（4）</w:t>
      </w:r>
      <w:r>
        <w:rPr>
          <w:rFonts w:hint="eastAsia" w:ascii="仿宋" w:eastAsia="仿宋" w:cs="仿宋"/>
          <w:color w:val="auto"/>
          <w:highlight w:val="none"/>
        </w:rPr>
        <w:t>法定代表人及其授权代表身份证复印件（复印件）…………………………（页码）</w:t>
      </w:r>
    </w:p>
    <w:p>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（5）</w:t>
      </w:r>
      <w:r>
        <w:rPr>
          <w:rFonts w:hint="eastAsia" w:ascii="仿宋" w:eastAsia="仿宋" w:cs="仿宋"/>
          <w:color w:val="auto"/>
          <w:highlight w:val="none"/>
        </w:rPr>
        <w:t>法定代表人身份证明书……………………………………………………… （页码）</w:t>
      </w:r>
    </w:p>
    <w:p>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（6）</w:t>
      </w:r>
      <w:r>
        <w:rPr>
          <w:rFonts w:hint="eastAsia" w:ascii="仿宋" w:eastAsia="仿宋" w:cs="仿宋"/>
          <w:color w:val="auto"/>
          <w:highlight w:val="none"/>
        </w:rPr>
        <w:t>商务技术偏离表……………………………………………………………… （页码）</w:t>
      </w:r>
    </w:p>
    <w:p>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（7）</w:t>
      </w: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ind w:firstLine="3855" w:firstLineChars="1200"/>
        <w:outlineLvl w:val="0"/>
        <w:rPr>
          <w:rFonts w:ascii="仿宋" w:hAnsi="仿宋" w:eastAsia="仿宋" w:cs="仿宋"/>
          <w:b/>
          <w:color w:val="auto"/>
          <w:kern w:val="0"/>
          <w:sz w:val="32"/>
          <w:szCs w:val="32"/>
          <w:highlight w:val="none"/>
        </w:rPr>
      </w:pPr>
    </w:p>
    <w:p>
      <w:pPr>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8"/>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4"/>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4"/>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snapToGrid w:val="0"/>
        <w:spacing w:line="336" w:lineRule="auto"/>
        <w:ind w:firstLine="480" w:firstLineChars="200"/>
        <w:jc w:val="left"/>
        <w:rPr>
          <w:rFonts w:ascii="仿宋" w:hAnsi="仿宋" w:eastAsia="仿宋" w:cs="仿宋"/>
          <w:color w:val="auto"/>
          <w:sz w:val="24"/>
          <w:highlight w:val="none"/>
        </w:rPr>
      </w:pPr>
    </w:p>
    <w:p>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snapToGrid w:val="0"/>
        <w:spacing w:line="360" w:lineRule="auto"/>
        <w:jc w:val="center"/>
        <w:rPr>
          <w:rFonts w:ascii="仿宋" w:hAnsi="仿宋" w:eastAsia="仿宋" w:cs="仿宋"/>
          <w:b/>
          <w:color w:val="auto"/>
          <w:kern w:val="0"/>
          <w:sz w:val="32"/>
          <w:szCs w:val="32"/>
          <w:highlight w:val="none"/>
        </w:rPr>
      </w:pPr>
    </w:p>
    <w:p>
      <w:pPr>
        <w:snapToGrid w:val="0"/>
        <w:spacing w:line="360" w:lineRule="auto"/>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widowControl/>
        <w:adjustRightInd/>
        <w:jc w:val="center"/>
        <w:rPr>
          <w:rFonts w:ascii="仿宋" w:hAnsi="仿宋" w:eastAsia="仿宋" w:cs="仿宋"/>
          <w:b/>
          <w:color w:val="auto"/>
          <w:sz w:val="30"/>
          <w:szCs w:val="30"/>
          <w:highlight w:val="none"/>
        </w:rPr>
      </w:pPr>
    </w:p>
    <w:p>
      <w:pPr>
        <w:widowControl/>
        <w:adjustRightInd/>
        <w:jc w:val="center"/>
        <w:rPr>
          <w:rFonts w:ascii="仿宋" w:hAnsi="仿宋" w:eastAsia="仿宋" w:cs="仿宋"/>
          <w:b/>
          <w:color w:val="auto"/>
          <w:sz w:val="30"/>
          <w:szCs w:val="30"/>
          <w:highlight w:val="none"/>
        </w:rPr>
      </w:pPr>
    </w:p>
    <w:p>
      <w:pPr>
        <w:widowControl/>
        <w:adjustRightInd/>
        <w:jc w:val="center"/>
        <w:rPr>
          <w:rFonts w:ascii="仿宋" w:hAnsi="仿宋" w:eastAsia="仿宋" w:cs="仿宋"/>
          <w:b/>
          <w:color w:val="auto"/>
          <w:sz w:val="30"/>
          <w:szCs w:val="30"/>
          <w:highlight w:val="none"/>
        </w:rPr>
      </w:pPr>
    </w:p>
    <w:p>
      <w:pPr>
        <w:widowControl/>
        <w:adjustRightInd/>
        <w:jc w:val="center"/>
        <w:rPr>
          <w:rFonts w:ascii="仿宋" w:hAnsi="仿宋" w:eastAsia="仿宋" w:cs="仿宋"/>
          <w:b/>
          <w:color w:val="auto"/>
          <w:sz w:val="30"/>
          <w:szCs w:val="30"/>
          <w:highlight w:val="none"/>
        </w:rPr>
      </w:pPr>
    </w:p>
    <w:p>
      <w:pPr>
        <w:widowControl/>
        <w:adjustRightInd/>
        <w:jc w:val="center"/>
        <w:rPr>
          <w:rFonts w:ascii="仿宋" w:hAnsi="仿宋" w:eastAsia="仿宋" w:cs="仿宋"/>
          <w:b/>
          <w:color w:val="auto"/>
          <w:sz w:val="30"/>
          <w:szCs w:val="30"/>
          <w:highlight w:val="none"/>
        </w:rPr>
      </w:pPr>
    </w:p>
    <w:p>
      <w:pPr>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ascii="仿宋" w:hAnsi="仿宋" w:eastAsia="仿宋" w:cs="仿宋"/>
          <w:color w:val="auto"/>
          <w:sz w:val="24"/>
          <w:highlight w:val="none"/>
        </w:rPr>
      </w:pPr>
    </w:p>
    <w:p>
      <w:pPr>
        <w:spacing w:line="800" w:lineRule="exact"/>
        <w:rPr>
          <w:rFonts w:ascii="仿宋" w:hAnsi="仿宋" w:eastAsia="仿宋" w:cs="仿宋"/>
          <w:b/>
          <w:color w:val="auto"/>
          <w:sz w:val="24"/>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highlight w:val="none"/>
          <w:lang w:val="zh-CN"/>
        </w:rPr>
      </w:pPr>
    </w:p>
    <w:p>
      <w:pPr>
        <w:spacing w:line="800" w:lineRule="exact"/>
        <w:rPr>
          <w:rFonts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pPr>
        <w:snapToGrid w:val="0"/>
        <w:spacing w:line="56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r>
        <w:rPr>
          <w:rFonts w:hint="eastAsia" w:ascii="仿宋" w:hAnsi="仿宋" w:eastAsia="仿宋" w:cs="仿宋"/>
          <w:color w:val="auto"/>
          <w:sz w:val="24"/>
          <w:highlight w:val="none"/>
          <w:lang w:eastAsia="zh-CN"/>
        </w:rPr>
        <w:t>，格式自拟。</w:t>
      </w:r>
    </w:p>
    <w:p>
      <w:pPr>
        <w:pStyle w:val="81"/>
        <w:rPr>
          <w:rFonts w:ascii="仿宋" w:hAnsi="仿宋" w:eastAsia="仿宋" w:cs="仿宋"/>
          <w:b/>
          <w:color w:val="auto"/>
          <w:highlight w:val="none"/>
        </w:rPr>
      </w:pPr>
    </w:p>
    <w:p>
      <w:pPr>
        <w:pStyle w:val="81"/>
        <w:rPr>
          <w:rFonts w:ascii="仿宋" w:hAnsi="仿宋" w:eastAsia="仿宋" w:cs="仿宋"/>
          <w:b/>
          <w:color w:val="auto"/>
          <w:highlight w:val="none"/>
        </w:rPr>
      </w:pPr>
    </w:p>
    <w:p>
      <w:pPr>
        <w:pStyle w:val="81"/>
        <w:rPr>
          <w:rFonts w:ascii="仿宋" w:hAnsi="仿宋" w:eastAsia="仿宋" w:cs="仿宋"/>
          <w:b/>
          <w:color w:val="auto"/>
          <w:highlight w:val="none"/>
        </w:rPr>
      </w:pPr>
    </w:p>
    <w:p>
      <w:pPr>
        <w:pStyle w:val="81"/>
        <w:rPr>
          <w:rFonts w:ascii="仿宋" w:hAnsi="仿宋" w:eastAsia="仿宋" w:cs="仿宋"/>
          <w:b/>
          <w:color w:val="auto"/>
          <w:highlight w:val="none"/>
        </w:rPr>
      </w:pPr>
    </w:p>
    <w:p>
      <w:pPr>
        <w:pStyle w:val="81"/>
        <w:rPr>
          <w:rFonts w:ascii="仿宋" w:hAnsi="仿宋" w:eastAsia="仿宋" w:cs="仿宋"/>
          <w:b/>
          <w:color w:val="auto"/>
          <w:highlight w:val="none"/>
        </w:rPr>
      </w:pPr>
    </w:p>
    <w:p>
      <w:pPr>
        <w:pStyle w:val="81"/>
        <w:rPr>
          <w:rFonts w:ascii="仿宋" w:hAnsi="仿宋" w:eastAsia="仿宋" w:cs="仿宋"/>
          <w:b/>
          <w:color w:val="auto"/>
          <w:highlight w:val="none"/>
        </w:rPr>
      </w:pPr>
    </w:p>
    <w:p>
      <w:pPr>
        <w:spacing w:line="800" w:lineRule="exact"/>
        <w:ind w:firstLine="904" w:firstLineChars="300"/>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ascii="仿宋" w:hAnsi="仿宋" w:eastAsia="仿宋" w:cs="仿宋"/>
          <w:color w:val="auto"/>
          <w:sz w:val="24"/>
          <w:highlight w:val="non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pPr>
        <w:spacing w:line="440" w:lineRule="exact"/>
        <w:ind w:right="480"/>
        <w:rPr>
          <w:rFonts w:ascii="仿宋" w:hAnsi="仿宋" w:eastAsia="仿宋" w:cs="仿宋"/>
          <w:color w:val="auto"/>
          <w:sz w:val="24"/>
          <w:highlight w:val="none"/>
        </w:rPr>
      </w:pPr>
    </w:p>
    <w:p>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bl>
    <w:p>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ascii="仿宋" w:hAnsi="仿宋" w:eastAsia="仿宋" w:cs="仿宋"/>
          <w:b/>
          <w:color w:val="auto"/>
          <w:kern w:val="0"/>
          <w:sz w:val="32"/>
          <w:szCs w:val="32"/>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ind w:firstLine="1911" w:firstLineChars="595"/>
        <w:rPr>
          <w:rFonts w:ascii="仿宋" w:hAnsi="仿宋" w:eastAsia="仿宋" w:cs="仿宋"/>
          <w:b/>
          <w:bCs/>
          <w:color w:val="auto"/>
          <w:sz w:val="32"/>
          <w:szCs w:val="32"/>
          <w:highlight w:val="none"/>
        </w:rPr>
      </w:pPr>
    </w:p>
    <w:p>
      <w:pPr>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ascii="仿宋" w:hAnsi="仿宋" w:eastAsia="仿宋" w:cs="仿宋"/>
          <w:b/>
          <w:bCs/>
          <w:color w:val="auto"/>
          <w:sz w:val="24"/>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auto"/>
          <w:sz w:val="24"/>
          <w:highlight w:val="none"/>
        </w:rPr>
      </w:pPr>
    </w:p>
    <w:p>
      <w:pPr>
        <w:autoSpaceDE w:val="0"/>
        <w:autoSpaceDN w:val="0"/>
        <w:spacing w:line="360" w:lineRule="auto"/>
        <w:rPr>
          <w:rFonts w:hint="eastAsia" w:ascii="仿宋" w:hAnsi="仿宋" w:eastAsia="仿宋" w:cs="仿宋"/>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50"/>
        <w:ind w:firstLine="0"/>
        <w:jc w:val="both"/>
        <w:rPr>
          <w:rFonts w:hint="eastAsia" w:ascii="仿宋" w:hAnsi="仿宋" w:eastAsia="仿宋" w:cs="仿宋"/>
          <w:color w:val="auto"/>
          <w:highlight w:val="none"/>
        </w:rPr>
      </w:pP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pStyle w:val="82"/>
        <w:rPr>
          <w:rFonts w:hint="eastAsia" w:ascii="仿宋" w:hAnsi="仿宋" w:eastAsia="仿宋" w:cs="仿宋"/>
          <w:color w:val="auto"/>
          <w:highlight w:val="none"/>
        </w:rPr>
      </w:pP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color w:val="auto"/>
          <w:kern w:val="0"/>
          <w:sz w:val="24"/>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pStyle w:val="82"/>
        <w:rPr>
          <w:rFonts w:hint="eastAsia" w:ascii="仿宋" w:hAnsi="仿宋" w:eastAsia="仿宋" w:cs="仿宋"/>
          <w:color w:val="auto"/>
          <w:highlight w:val="none"/>
        </w:rPr>
      </w:pP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pPr>
        <w:spacing w:line="336" w:lineRule="auto"/>
        <w:ind w:firstLine="3600" w:firstLineChars="1500"/>
        <w:rPr>
          <w:rFonts w:ascii="仿宋" w:hAnsi="仿宋" w:eastAsia="仿宋" w:cs="仿宋"/>
          <w:color w:val="auto"/>
          <w:sz w:val="24"/>
          <w:highlight w:val="none"/>
        </w:rPr>
      </w:pPr>
    </w:p>
    <w:p>
      <w:pPr>
        <w:pStyle w:val="82"/>
        <w:rPr>
          <w:rFonts w:hint="eastAsia" w:ascii="仿宋" w:hAnsi="仿宋" w:eastAsia="仿宋" w:cs="仿宋"/>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pStyle w:val="82"/>
        <w:rPr>
          <w:rFonts w:hint="eastAsia" w:ascii="仿宋" w:hAnsi="仿宋" w:eastAsia="仿宋" w:cs="仿宋"/>
          <w:color w:val="auto"/>
          <w:highlight w:val="none"/>
        </w:rPr>
      </w:pP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pStyle w:val="82"/>
        <w:rPr>
          <w:rFonts w:hint="eastAsia" w:ascii="仿宋" w:hAnsi="仿宋" w:eastAsia="仿宋" w:cs="仿宋"/>
          <w:color w:val="auto"/>
          <w:highlight w:val="none"/>
        </w:rPr>
      </w:pP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hint="eastAsia" w:ascii="仿宋" w:hAnsi="仿宋" w:eastAsia="仿宋" w:cs="仿宋"/>
          <w:b/>
          <w:bCs/>
          <w:color w:val="auto"/>
          <w:sz w:val="32"/>
          <w:szCs w:val="32"/>
          <w:highlight w:val="none"/>
        </w:rPr>
      </w:pPr>
    </w:p>
    <w:p>
      <w:pPr>
        <w:snapToGrid w:val="0"/>
        <w:spacing w:line="360" w:lineRule="auto"/>
        <w:ind w:right="960"/>
        <w:rPr>
          <w:rFonts w:hint="eastAsia" w:ascii="仿宋" w:hAnsi="仿宋" w:eastAsia="仿宋" w:cs="仿宋"/>
          <w:color w:val="auto"/>
          <w:kern w:val="0"/>
          <w:sz w:val="24"/>
          <w:highlight w:val="none"/>
          <w:lang w:val="zh-CN"/>
        </w:rPr>
      </w:pPr>
    </w:p>
    <w:p>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2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2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2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2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2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pStyle w:val="82"/>
        <w:rPr>
          <w:rFonts w:hint="eastAsia" w:ascii="仿宋" w:hAnsi="仿宋" w:eastAsia="仿宋" w:cs="仿宋"/>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3"/>
        <w:rPr>
          <w:rFonts w:hint="eastAsia" w:ascii="仿宋" w:hAnsi="仿宋" w:eastAsia="仿宋" w:cs="仿宋"/>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rPr>
          <w:rFonts w:ascii="仿宋" w:hAnsi="仿宋" w:eastAsia="仿宋" w:cs="仿宋"/>
          <w:b/>
          <w:color w:val="auto"/>
          <w:kern w:val="0"/>
          <w:sz w:val="32"/>
          <w:szCs w:val="32"/>
          <w:highlight w:val="none"/>
        </w:r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ascii="仿宋" w:hAnsi="仿宋" w:eastAsia="仿宋" w:cs="仿宋"/>
                <w:color w:val="auto"/>
                <w:sz w:val="24"/>
                <w:highlight w:val="none"/>
              </w:rPr>
            </w:pPr>
          </w:p>
        </w:tc>
        <w:tc>
          <w:tcPr>
            <w:tcW w:w="3118" w:type="dxa"/>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559" w:type="dxa"/>
            <w:vAlign w:val="center"/>
          </w:tcPr>
          <w:p>
            <w:pPr>
              <w:spacing w:line="360" w:lineRule="auto"/>
              <w:jc w:val="center"/>
              <w:rPr>
                <w:rFonts w:ascii="仿宋" w:hAnsi="仿宋" w:eastAsia="仿宋" w:cs="仿宋"/>
                <w:color w:val="auto"/>
                <w:sz w:val="24"/>
                <w:highlight w:val="none"/>
              </w:rPr>
            </w:pPr>
          </w:p>
        </w:tc>
        <w:tc>
          <w:tcPr>
            <w:tcW w:w="1984" w:type="dxa"/>
            <w:vAlign w:val="center"/>
          </w:tcPr>
          <w:p>
            <w:pPr>
              <w:spacing w:line="360" w:lineRule="auto"/>
              <w:jc w:val="center"/>
              <w:rPr>
                <w:rFonts w:ascii="仿宋" w:hAnsi="仿宋" w:eastAsia="仿宋" w:cs="仿宋"/>
                <w:color w:val="auto"/>
                <w:sz w:val="24"/>
                <w:highlight w:val="none"/>
              </w:rPr>
            </w:pPr>
          </w:p>
        </w:tc>
        <w:tc>
          <w:tcPr>
            <w:tcW w:w="3119"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ascii="仿宋" w:hAnsi="仿宋" w:eastAsia="仿宋" w:cs="仿宋"/>
                <w:color w:val="auto"/>
                <w:sz w:val="24"/>
                <w:highlight w:val="none"/>
              </w:rPr>
            </w:pPr>
          </w:p>
        </w:tc>
        <w:tc>
          <w:tcPr>
            <w:tcW w:w="3118" w:type="dxa"/>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559" w:type="dxa"/>
            <w:vAlign w:val="center"/>
          </w:tcPr>
          <w:p>
            <w:pPr>
              <w:spacing w:line="360" w:lineRule="auto"/>
              <w:jc w:val="center"/>
              <w:rPr>
                <w:rFonts w:ascii="仿宋" w:hAnsi="仿宋" w:eastAsia="仿宋" w:cs="仿宋"/>
                <w:color w:val="auto"/>
                <w:sz w:val="24"/>
                <w:highlight w:val="none"/>
              </w:rPr>
            </w:pPr>
          </w:p>
        </w:tc>
        <w:tc>
          <w:tcPr>
            <w:tcW w:w="1984" w:type="dxa"/>
            <w:vAlign w:val="center"/>
          </w:tcPr>
          <w:p>
            <w:pPr>
              <w:spacing w:line="360" w:lineRule="auto"/>
              <w:jc w:val="center"/>
              <w:rPr>
                <w:rFonts w:ascii="仿宋" w:hAnsi="仿宋" w:eastAsia="仿宋" w:cs="仿宋"/>
                <w:color w:val="auto"/>
                <w:sz w:val="24"/>
                <w:highlight w:val="none"/>
              </w:rPr>
            </w:pPr>
          </w:p>
        </w:tc>
        <w:tc>
          <w:tcPr>
            <w:tcW w:w="3119"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snapToGrid w:val="0"/>
              <w:spacing w:line="360" w:lineRule="auto"/>
              <w:jc w:val="center"/>
              <w:rPr>
                <w:rFonts w:ascii="仿宋" w:hAnsi="仿宋" w:eastAsia="仿宋" w:cs="仿宋"/>
                <w:color w:val="auto"/>
                <w:sz w:val="24"/>
                <w:highlight w:val="none"/>
              </w:rPr>
            </w:pPr>
          </w:p>
        </w:tc>
        <w:tc>
          <w:tcPr>
            <w:tcW w:w="1843" w:type="dxa"/>
            <w:vAlign w:val="center"/>
          </w:tcPr>
          <w:p>
            <w:pPr>
              <w:snapToGrid w:val="0"/>
              <w:spacing w:line="360" w:lineRule="auto"/>
              <w:jc w:val="center"/>
              <w:rPr>
                <w:rFonts w:ascii="仿宋" w:hAnsi="仿宋" w:eastAsia="仿宋" w:cs="仿宋"/>
                <w:color w:val="auto"/>
                <w:sz w:val="24"/>
                <w:highlight w:val="none"/>
              </w:rPr>
            </w:pPr>
          </w:p>
        </w:tc>
        <w:tc>
          <w:tcPr>
            <w:tcW w:w="3118" w:type="dxa"/>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559" w:type="dxa"/>
            <w:vAlign w:val="center"/>
          </w:tcPr>
          <w:p>
            <w:pPr>
              <w:spacing w:line="360" w:lineRule="auto"/>
              <w:jc w:val="center"/>
              <w:rPr>
                <w:rFonts w:ascii="仿宋" w:hAnsi="仿宋" w:eastAsia="仿宋" w:cs="仿宋"/>
                <w:color w:val="auto"/>
                <w:sz w:val="24"/>
                <w:highlight w:val="none"/>
              </w:rPr>
            </w:pPr>
          </w:p>
        </w:tc>
        <w:tc>
          <w:tcPr>
            <w:tcW w:w="1984" w:type="dxa"/>
            <w:vAlign w:val="center"/>
          </w:tcPr>
          <w:p>
            <w:pPr>
              <w:spacing w:line="360" w:lineRule="auto"/>
              <w:jc w:val="center"/>
              <w:rPr>
                <w:rFonts w:ascii="仿宋" w:hAnsi="仿宋" w:eastAsia="仿宋" w:cs="仿宋"/>
                <w:color w:val="auto"/>
                <w:sz w:val="24"/>
                <w:highlight w:val="none"/>
              </w:rPr>
            </w:pPr>
          </w:p>
        </w:tc>
        <w:tc>
          <w:tcPr>
            <w:tcW w:w="3119"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auto"/>
                <w:sz w:val="24"/>
                <w:highlight w:val="none"/>
              </w:rPr>
            </w:pPr>
          </w:p>
        </w:tc>
        <w:tc>
          <w:tcPr>
            <w:tcW w:w="1417" w:type="dxa"/>
            <w:vAlign w:val="center"/>
          </w:tcPr>
          <w:p>
            <w:pPr>
              <w:snapToGrid w:val="0"/>
              <w:spacing w:line="360" w:lineRule="auto"/>
              <w:jc w:val="center"/>
              <w:rPr>
                <w:rFonts w:ascii="仿宋" w:hAnsi="仿宋" w:eastAsia="仿宋" w:cs="仿宋"/>
                <w:color w:val="auto"/>
                <w:sz w:val="24"/>
                <w:highlight w:val="none"/>
              </w:rPr>
            </w:pPr>
          </w:p>
        </w:tc>
        <w:tc>
          <w:tcPr>
            <w:tcW w:w="1843" w:type="dxa"/>
            <w:vAlign w:val="center"/>
          </w:tcPr>
          <w:p>
            <w:pPr>
              <w:snapToGrid w:val="0"/>
              <w:spacing w:line="360" w:lineRule="auto"/>
              <w:jc w:val="center"/>
              <w:rPr>
                <w:rFonts w:ascii="仿宋" w:hAnsi="仿宋" w:eastAsia="仿宋" w:cs="仿宋"/>
                <w:color w:val="auto"/>
                <w:sz w:val="24"/>
                <w:highlight w:val="none"/>
              </w:rPr>
            </w:pPr>
          </w:p>
        </w:tc>
        <w:tc>
          <w:tcPr>
            <w:tcW w:w="3118" w:type="dxa"/>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559" w:type="dxa"/>
            <w:vAlign w:val="center"/>
          </w:tcPr>
          <w:p>
            <w:pPr>
              <w:spacing w:line="360" w:lineRule="auto"/>
              <w:jc w:val="center"/>
              <w:rPr>
                <w:rFonts w:ascii="仿宋" w:hAnsi="仿宋" w:eastAsia="仿宋" w:cs="仿宋"/>
                <w:color w:val="auto"/>
                <w:sz w:val="24"/>
                <w:highlight w:val="none"/>
              </w:rPr>
            </w:pPr>
          </w:p>
        </w:tc>
        <w:tc>
          <w:tcPr>
            <w:tcW w:w="1984" w:type="dxa"/>
            <w:vAlign w:val="center"/>
          </w:tcPr>
          <w:p>
            <w:pPr>
              <w:spacing w:line="360" w:lineRule="auto"/>
              <w:jc w:val="center"/>
              <w:rPr>
                <w:rFonts w:ascii="仿宋" w:hAnsi="仿宋" w:eastAsia="仿宋" w:cs="仿宋"/>
                <w:color w:val="auto"/>
                <w:sz w:val="24"/>
                <w:highlight w:val="none"/>
              </w:rPr>
            </w:pPr>
          </w:p>
        </w:tc>
        <w:tc>
          <w:tcPr>
            <w:tcW w:w="3119"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spacing w:line="360" w:lineRule="auto"/>
              <w:jc w:val="center"/>
              <w:rPr>
                <w:rFonts w:ascii="仿宋" w:hAnsi="仿宋" w:eastAsia="仿宋" w:cs="仿宋"/>
                <w:color w:val="auto"/>
                <w:sz w:val="24"/>
                <w:highlight w:val="none"/>
              </w:rPr>
            </w:pPr>
          </w:p>
        </w:tc>
      </w:tr>
    </w:tbl>
    <w:p>
      <w:pPr>
        <w:snapToGrid w:val="0"/>
        <w:spacing w:line="360" w:lineRule="auto"/>
        <w:ind w:left="480"/>
        <w:rPr>
          <w:rFonts w:ascii="仿宋" w:hAnsi="仿宋" w:eastAsia="仿宋" w:cs="仿宋"/>
          <w:b/>
          <w:color w:val="auto"/>
          <w:kern w:val="0"/>
          <w:sz w:val="24"/>
          <w:highlight w:val="none"/>
          <w:lang w:val="zh-CN"/>
        </w:rPr>
      </w:pPr>
    </w:p>
    <w:p>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auto"/>
          <w:kern w:val="0"/>
          <w:sz w:val="24"/>
          <w:highlight w:val="none"/>
        </w:r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694"/>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3" w:name="_Hlk101259491"/>
      <w:r>
        <w:rPr>
          <w:rFonts w:hint="eastAsia" w:ascii="仿宋" w:hAnsi="仿宋" w:eastAsia="仿宋" w:cs="仿宋"/>
          <w:color w:val="auto"/>
          <w:sz w:val="32"/>
          <w:szCs w:val="32"/>
          <w:highlight w:val="none"/>
        </w:rPr>
        <w:t>（如果有）</w:t>
      </w:r>
      <w:bookmarkEnd w:id="193"/>
    </w:p>
    <w:p>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rPr>
          <w:rFonts w:ascii="仿宋" w:hAnsi="仿宋" w:eastAsia="仿宋" w:cs="仿宋"/>
          <w:b/>
          <w:color w:val="auto"/>
          <w:highlight w:val="none"/>
        </w:rPr>
      </w:pPr>
    </w:p>
    <w:p>
      <w:pPr>
        <w:pStyle w:val="83"/>
        <w:rPr>
          <w:rFonts w:ascii="仿宋" w:hAnsi="仿宋" w:eastAsia="仿宋" w:cs="仿宋"/>
          <w:b/>
          <w:color w:val="auto"/>
          <w:sz w:val="24"/>
          <w:highlight w:val="none"/>
        </w:rPr>
      </w:pPr>
    </w:p>
    <w:p>
      <w:pPr>
        <w:rPr>
          <w:rFonts w:ascii="仿宋" w:hAnsi="仿宋" w:eastAsia="仿宋" w:cs="仿宋"/>
          <w:b/>
          <w:color w:val="auto"/>
          <w:sz w:val="24"/>
          <w:highlight w:val="none"/>
        </w:rPr>
      </w:pPr>
    </w:p>
    <w:p>
      <w:pPr>
        <w:pStyle w:val="82"/>
        <w:rPr>
          <w:rFonts w:ascii="仿宋" w:hAnsi="仿宋" w:eastAsia="仿宋" w:cs="仿宋"/>
          <w:b/>
          <w:color w:val="auto"/>
          <w:highlight w:val="none"/>
        </w:rPr>
      </w:pPr>
    </w:p>
    <w:p>
      <w:pPr>
        <w:pStyle w:val="83"/>
        <w:rPr>
          <w:rFonts w:hint="eastAsia" w:ascii="仿宋" w:hAnsi="仿宋" w:eastAsia="仿宋" w:cs="仿宋"/>
          <w:color w:val="auto"/>
          <w:highlight w:val="none"/>
        </w:rPr>
      </w:pPr>
    </w:p>
    <w:p>
      <w:pPr>
        <w:pStyle w:val="83"/>
        <w:rPr>
          <w:rFonts w:hint="eastAsia" w:ascii="仿宋" w:hAnsi="仿宋" w:eastAsia="仿宋" w:cs="仿宋"/>
          <w:color w:val="auto"/>
          <w:highlight w:val="none"/>
        </w:rPr>
      </w:pPr>
    </w:p>
    <w:p>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pPr>
        <w:pStyle w:val="82"/>
        <w:widowControl/>
        <w:spacing w:line="360" w:lineRule="auto"/>
        <w:ind w:firstLine="120" w:firstLineChars="50"/>
        <w:rPr>
          <w:rFonts w:ascii="仿宋" w:hAnsi="仿宋" w:eastAsia="仿宋" w:cs="仿宋"/>
          <w:b/>
          <w:color w:val="auto"/>
          <w:highlight w:val="none"/>
        </w:rPr>
      </w:pPr>
    </w:p>
    <w:p>
      <w:pPr>
        <w:pStyle w:val="83"/>
        <w:spacing w:line="360" w:lineRule="auto"/>
        <w:ind w:left="0" w:firstLine="120" w:firstLineChars="50"/>
        <w:jc w:val="left"/>
        <w:rPr>
          <w:rFonts w:ascii="仿宋" w:hAnsi="仿宋" w:eastAsia="仿宋" w:cs="仿宋"/>
          <w:b/>
          <w:color w:val="auto"/>
          <w:sz w:val="24"/>
          <w:highlight w:val="none"/>
        </w:rPr>
      </w:pPr>
    </w:p>
    <w:p>
      <w:pPr>
        <w:pStyle w:val="694"/>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bookmarkStart w:id="194" w:name="_Toc465665161"/>
      <w:r>
        <w:rPr>
          <w:rFonts w:hint="eastAsia" w:ascii="仿宋" w:hAnsi="仿宋" w:eastAsia="仿宋" w:cs="仿宋"/>
          <w:color w:val="auto"/>
          <w:highlight w:val="none"/>
        </w:rPr>
        <w:t>附件</w:t>
      </w:r>
      <w:bookmarkEnd w:id="194"/>
    </w:p>
    <w:p>
      <w:pPr>
        <w:spacing w:line="360" w:lineRule="auto"/>
        <w:rPr>
          <w:rFonts w:ascii="仿宋" w:hAnsi="仿宋" w:eastAsia="仿宋" w:cs="仿宋"/>
          <w:b/>
          <w:color w:val="auto"/>
          <w:sz w:val="24"/>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ascii="仿宋" w:hAnsi="仿宋" w:eastAsia="仿宋" w:cs="仿宋"/>
          <w:b/>
          <w:bCs/>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pacing w:line="360" w:lineRule="auto"/>
        <w:rPr>
          <w:rFonts w:ascii="仿宋" w:hAnsi="仿宋" w:eastAsia="仿宋" w:cs="仿宋"/>
          <w:color w:val="auto"/>
          <w:sz w:val="24"/>
          <w:highlight w:val="none"/>
          <w:u w:val="singl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2"/>
        <w:rPr>
          <w:rFonts w:hint="eastAsia" w:ascii="仿宋" w:hAnsi="仿宋" w:eastAsia="仿宋" w:cs="仿宋"/>
          <w:color w:val="auto"/>
          <w:highlight w:val="none"/>
        </w:rPr>
      </w:pP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82"/>
        <w:rPr>
          <w:rFonts w:ascii="仿宋" w:hAnsi="仿宋" w:eastAsia="仿宋" w:cs="仿宋"/>
          <w:b/>
          <w:color w:val="auto"/>
          <w:spacing w:val="6"/>
          <w:sz w:val="32"/>
          <w:szCs w:val="32"/>
          <w:highlight w:val="none"/>
        </w:rPr>
      </w:pPr>
    </w:p>
    <w:p>
      <w:pPr>
        <w:pStyle w:val="83"/>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82"/>
        <w:rPr>
          <w:rFonts w:ascii="仿宋" w:hAnsi="仿宋" w:eastAsia="仿宋" w:cs="仿宋"/>
          <w:b/>
          <w:color w:val="auto"/>
          <w:spacing w:val="6"/>
          <w:sz w:val="32"/>
          <w:szCs w:val="32"/>
          <w:highlight w:val="none"/>
        </w:rPr>
      </w:pPr>
    </w:p>
    <w:p>
      <w:pPr>
        <w:pStyle w:val="83"/>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82"/>
        <w:rPr>
          <w:rFonts w:ascii="仿宋" w:hAnsi="仿宋" w:eastAsia="仿宋" w:cs="仿宋"/>
          <w:b/>
          <w:color w:val="auto"/>
          <w:spacing w:val="6"/>
          <w:sz w:val="32"/>
          <w:szCs w:val="32"/>
          <w:highlight w:val="none"/>
        </w:rPr>
      </w:pPr>
    </w:p>
    <w:p>
      <w:pPr>
        <w:pStyle w:val="83"/>
        <w:rPr>
          <w:rFonts w:ascii="仿宋" w:hAnsi="仿宋" w:eastAsia="仿宋" w:cs="仿宋"/>
          <w:b/>
          <w:color w:val="auto"/>
          <w:spacing w:val="6"/>
          <w:sz w:val="32"/>
          <w:szCs w:val="32"/>
          <w:highlight w:val="none"/>
        </w:rPr>
      </w:pPr>
    </w:p>
    <w:p>
      <w:pPr>
        <w:rPr>
          <w:rFonts w:hint="eastAsia" w:ascii="仿宋" w:hAnsi="仿宋" w:eastAsia="仿宋" w:cs="仿宋"/>
          <w:color w:val="auto"/>
          <w:highlight w:val="none"/>
        </w:rPr>
      </w:pPr>
    </w:p>
    <w:p>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360" w:lineRule="auto"/>
        <w:ind w:firstLine="576"/>
        <w:rPr>
          <w:rFonts w:ascii="仿宋" w:hAnsi="仿宋" w:eastAsia="仿宋" w:cs="仿宋"/>
          <w:color w:val="auto"/>
          <w:kern w:val="0"/>
          <w:sz w:val="24"/>
          <w:highlight w:val="none"/>
          <w:lang w:val="zh-CN"/>
        </w:rPr>
      </w:pPr>
      <w:bookmarkStart w:id="195"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5"/>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6"/>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82"/>
        <w:rPr>
          <w:rFonts w:ascii="仿宋" w:hAnsi="仿宋" w:eastAsia="仿宋" w:cs="仿宋"/>
          <w:b/>
          <w:color w:val="auto"/>
          <w:spacing w:val="6"/>
          <w:sz w:val="32"/>
          <w:szCs w:val="32"/>
          <w:highlight w:val="none"/>
        </w:rPr>
      </w:pPr>
    </w:p>
    <w:p>
      <w:pPr>
        <w:pStyle w:val="83"/>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82"/>
        <w:rPr>
          <w:rFonts w:ascii="仿宋" w:hAnsi="仿宋" w:eastAsia="仿宋" w:cs="仿宋"/>
          <w:b/>
          <w:color w:val="auto"/>
          <w:spacing w:val="6"/>
          <w:sz w:val="32"/>
          <w:szCs w:val="32"/>
          <w:highlight w:val="none"/>
        </w:rPr>
      </w:pPr>
    </w:p>
    <w:p>
      <w:pPr>
        <w:pStyle w:val="83"/>
        <w:rPr>
          <w:rFonts w:hint="eastAsia" w:ascii="仿宋" w:hAnsi="仿宋" w:eastAsia="仿宋" w:cs="仿宋"/>
          <w:color w:val="auto"/>
          <w:highlight w:val="none"/>
        </w:rPr>
      </w:pPr>
    </w:p>
    <w:p>
      <w:pPr>
        <w:spacing w:line="360" w:lineRule="auto"/>
        <w:rPr>
          <w:rFonts w:ascii="仿宋" w:hAnsi="仿宋" w:eastAsia="仿宋" w:cs="仿宋"/>
          <w:b/>
          <w:color w:val="auto"/>
          <w:spacing w:val="6"/>
          <w:sz w:val="32"/>
          <w:szCs w:val="32"/>
          <w:highlight w:val="none"/>
        </w:rPr>
      </w:pPr>
      <w:bookmarkStart w:id="197" w:name="OLE_LINK13"/>
      <w:bookmarkStart w:id="198" w:name="OLE_LINK14"/>
    </w:p>
    <w:p>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7"/>
    <w:bookmarkEnd w:id="198"/>
    <w:p>
      <w:pPr>
        <w:spacing w:line="360" w:lineRule="auto"/>
        <w:rPr>
          <w:rFonts w:ascii="仿宋" w:hAnsi="仿宋" w:eastAsia="仿宋" w:cs="仿宋"/>
          <w:b/>
          <w:color w:val="auto"/>
          <w:spacing w:val="6"/>
          <w:sz w:val="30"/>
          <w:szCs w:val="30"/>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spacing w:line="360" w:lineRule="auto"/>
        <w:jc w:val="center"/>
        <w:rPr>
          <w:rFonts w:ascii="仿宋" w:hAnsi="仿宋" w:eastAsia="仿宋" w:cs="仿宋"/>
          <w:color w:val="auto"/>
          <w:sz w:val="24"/>
          <w:highlight w:val="none"/>
          <w:u w:val="single"/>
        </w:rPr>
      </w:pPr>
    </w:p>
    <w:p>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4"/>
        <w:rPr>
          <w:rFonts w:hint="eastAsia" w:ascii="仿宋" w:hAnsi="仿宋" w:eastAsia="仿宋" w:cs="仿宋"/>
          <w:color w:val="auto"/>
          <w:highlight w:val="none"/>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ascii="仿宋" w:hAnsi="仿宋" w:eastAsia="仿宋" w:cs="仿宋"/>
          <w:color w:val="auto"/>
          <w:kern w:val="0"/>
          <w:sz w:val="24"/>
          <w:highlight w:val="none"/>
        </w:rPr>
      </w:pP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ascii="仿宋" w:hAnsi="仿宋" w:eastAsia="仿宋" w:cs="仿宋"/>
          <w:color w:val="auto"/>
          <w:sz w:val="24"/>
          <w:highlight w:val="none"/>
        </w:rPr>
      </w:pPr>
    </w:p>
    <w:p>
      <w:pPr>
        <w:ind w:firstLine="420" w:firstLineChars="200"/>
        <w:rPr>
          <w:rFonts w:ascii="仿宋" w:hAnsi="仿宋" w:eastAsia="仿宋" w:cs="仿宋"/>
          <w:color w:val="auto"/>
          <w:highlight w:val="none"/>
        </w:rPr>
      </w:pPr>
    </w:p>
    <w:p>
      <w:pPr>
        <w:spacing w:line="360" w:lineRule="auto"/>
        <w:ind w:right="420"/>
        <w:rPr>
          <w:rFonts w:ascii="仿宋" w:hAnsi="仿宋" w:eastAsia="仿宋" w:cs="仿宋"/>
          <w:color w:val="auto"/>
          <w:highlight w:val="none"/>
        </w:rPr>
      </w:pPr>
    </w:p>
    <w:p>
      <w:pPr>
        <w:spacing w:line="360" w:lineRule="auto"/>
        <w:rPr>
          <w:rFonts w:hint="eastAsia" w:ascii="仿宋" w:hAnsi="仿宋" w:eastAsia="仿宋" w:cs="仿宋"/>
          <w:bCs/>
          <w:color w:val="auto"/>
          <w:sz w:val="24"/>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Cs/>
          <w:color w:val="auto"/>
          <w:sz w:val="24"/>
          <w:highlight w:val="none"/>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9" w:name="_Toc91899912"/>
    <w:bookmarkStart w:id="200" w:name="_Toc36110187"/>
    <w:bookmarkStart w:id="201" w:name="_Toc131845147"/>
    <w:bookmarkStart w:id="202" w:name="_Toc164085800"/>
    <w:r>
      <w:rPr>
        <w:rFonts w:hint="eastAsia" w:ascii="仿宋_GB2312" w:eastAsia="仿宋_GB2312"/>
        <w:kern w:val="0"/>
        <w:szCs w:val="21"/>
      </w:rPr>
      <w:t xml:space="preserve"> 页</w:t>
    </w:r>
    <w:bookmarkEnd w:id="199"/>
    <w:bookmarkEnd w:id="200"/>
    <w:bookmarkEnd w:id="201"/>
    <w:bookmarkEnd w:id="20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pStyle w:val="4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pStyle w:val="41"/>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rPr>
        <w:rFonts w:hint="eastAsia" w:ascii="仿宋" w:hAnsi="仿宋" w:eastAsia="仿宋" w:cs="仿宋"/>
      </w:rPr>
      <w:t xml:space="preserve"> </w:t>
    </w: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t></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both"/>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rPr>
        <w:rFonts w:hint="eastAsia"/>
      </w:rPr>
      <w:t xml:space="preserve">        </w:t>
    </w:r>
    <w:r>
      <w:t></w:t>
    </w:r>
    <w:r>
      <w:rPr>
        <w:rFonts w:hint="eastAsia"/>
        <w:lang w:eastAsia="zh-CN"/>
      </w:rPr>
      <w:t>泰宇建筑工程技术咨询有限公司</w:t>
    </w:r>
    <w:r>
      <w:rPr>
        <w:rFonts w:hint="eastAsia"/>
      </w:rPr>
      <w:t xml:space="preserve"> </w:t>
    </w:r>
    <w:r>
      <w:rPr>
        <w:rFonts w:hint="eastAsia" w:ascii="仿宋" w:hAnsi="仿宋" w:eastAsia="仿宋" w:cs="仿宋"/>
      </w:rPr>
      <w:t xml:space="preserve">                           文件编号: </w:t>
    </w:r>
    <w:r>
      <w:rPr>
        <w:rFonts w:hint="eastAsia" w:ascii="仿宋" w:hAnsi="仿宋" w:eastAsia="仿宋" w:cs="仿宋"/>
        <w:lang w:eastAsia="zh-CN"/>
      </w:rPr>
      <w:t>TYJZ2024</w:t>
    </w:r>
    <w:r>
      <w:rPr>
        <w:rFonts w:hint="eastAsia" w:ascii="仿宋" w:hAnsi="仿宋" w:eastAsia="仿宋" w:cs="仿宋"/>
      </w:rPr>
      <w:t xml:space="preserve"> </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t></w:t>
    </w:r>
  </w:p>
  <w:p>
    <w:pPr>
      <w:pStyle w:val="42"/>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t></w:t>
    </w:r>
  </w:p>
  <w:p>
    <w:pPr>
      <w:pStyle w:val="42"/>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307F5E"/>
    <w:multiLevelType w:val="multilevel"/>
    <w:tmpl w:val="AC307F5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DE1CBAA6"/>
    <w:multiLevelType w:val="singleLevel"/>
    <w:tmpl w:val="DE1CBAA6"/>
    <w:lvl w:ilvl="0" w:tentative="0">
      <w:start w:val="1"/>
      <w:numFmt w:val="decimal"/>
      <w:suff w:val="nothing"/>
      <w:lvlText w:val="%1、"/>
      <w:lvlJc w:val="left"/>
    </w:lvl>
  </w:abstractNum>
  <w:abstractNum w:abstractNumId="2">
    <w:nsid w:val="EF6A4188"/>
    <w:multiLevelType w:val="multilevel"/>
    <w:tmpl w:val="EF6A418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FFFE624E"/>
    <w:multiLevelType w:val="multilevel"/>
    <w:tmpl w:val="FFFE624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04682DA9"/>
    <w:multiLevelType w:val="multilevel"/>
    <w:tmpl w:val="04682DA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70B0FD4"/>
    <w:multiLevelType w:val="singleLevel"/>
    <w:tmpl w:val="170B0FD4"/>
    <w:lvl w:ilvl="0" w:tentative="0">
      <w:start w:val="3"/>
      <w:numFmt w:val="decimal"/>
      <w:suff w:val="nothing"/>
      <w:lvlText w:val="%1、"/>
      <w:lvlJc w:val="left"/>
    </w:lvl>
  </w:abstractNum>
  <w:abstractNum w:abstractNumId="7">
    <w:nsid w:val="171411BE"/>
    <w:multiLevelType w:val="multilevel"/>
    <w:tmpl w:val="171411B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D893AC3"/>
    <w:multiLevelType w:val="multilevel"/>
    <w:tmpl w:val="1D893AC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26240B2"/>
    <w:multiLevelType w:val="multilevel"/>
    <w:tmpl w:val="226240B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77E3718"/>
    <w:multiLevelType w:val="multilevel"/>
    <w:tmpl w:val="277E371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A38623D"/>
    <w:multiLevelType w:val="multilevel"/>
    <w:tmpl w:val="2A38623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3406EAE"/>
    <w:multiLevelType w:val="multilevel"/>
    <w:tmpl w:val="33406EA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5F41B01"/>
    <w:multiLevelType w:val="multilevel"/>
    <w:tmpl w:val="35F41B0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0B7793A"/>
    <w:multiLevelType w:val="multilevel"/>
    <w:tmpl w:val="40B7793A"/>
    <w:lvl w:ilvl="0" w:tentative="0">
      <w:start w:val="1"/>
      <w:numFmt w:val="decimal"/>
      <w:lvlText w:val="%1."/>
      <w:lvlJc w:val="left"/>
      <w:pPr>
        <w:ind w:left="360" w:hanging="360"/>
      </w:pPr>
      <w:rPr>
        <w:rFonts w:hint="default" w:ascii="宋体" w:hAnsi="宋体" w:eastAsia="宋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5307BF2"/>
    <w:multiLevelType w:val="multilevel"/>
    <w:tmpl w:val="45307BF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B46B0C6"/>
    <w:multiLevelType w:val="singleLevel"/>
    <w:tmpl w:val="4B46B0C6"/>
    <w:lvl w:ilvl="0" w:tentative="0">
      <w:start w:val="1"/>
      <w:numFmt w:val="decimal"/>
      <w:suff w:val="space"/>
      <w:lvlText w:val="%1."/>
      <w:lvlJc w:val="left"/>
    </w:lvl>
  </w:abstractNum>
  <w:abstractNum w:abstractNumId="17">
    <w:nsid w:val="573F4362"/>
    <w:multiLevelType w:val="multilevel"/>
    <w:tmpl w:val="573F436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8FD7326"/>
    <w:multiLevelType w:val="singleLevel"/>
    <w:tmpl w:val="58FD7326"/>
    <w:lvl w:ilvl="0" w:tentative="0">
      <w:start w:val="1"/>
      <w:numFmt w:val="decimal"/>
      <w:suff w:val="nothing"/>
      <w:lvlText w:val="%1."/>
      <w:lvlJc w:val="left"/>
    </w:lvl>
  </w:abstractNum>
  <w:abstractNum w:abstractNumId="19">
    <w:nsid w:val="58FD737C"/>
    <w:multiLevelType w:val="singleLevel"/>
    <w:tmpl w:val="58FD737C"/>
    <w:lvl w:ilvl="0" w:tentative="0">
      <w:start w:val="5"/>
      <w:numFmt w:val="decimal"/>
      <w:suff w:val="nothing"/>
      <w:lvlText w:val="%1."/>
      <w:lvlJc w:val="left"/>
    </w:lvl>
  </w:abstractNum>
  <w:abstractNum w:abstractNumId="20">
    <w:nsid w:val="625CD10C"/>
    <w:multiLevelType w:val="multilevel"/>
    <w:tmpl w:val="625CD10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33D4453"/>
    <w:multiLevelType w:val="multilevel"/>
    <w:tmpl w:val="733D445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3F0E91E"/>
    <w:multiLevelType w:val="multilevel"/>
    <w:tmpl w:val="73F0E91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7EFC453D"/>
    <w:multiLevelType w:val="multilevel"/>
    <w:tmpl w:val="7EFC453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4"/>
  </w:num>
  <w:num w:numId="2">
    <w:abstractNumId w:val="9"/>
  </w:num>
  <w:num w:numId="3">
    <w:abstractNumId w:val="10"/>
  </w:num>
  <w:num w:numId="4">
    <w:abstractNumId w:val="5"/>
  </w:num>
  <w:num w:numId="5">
    <w:abstractNumId w:val="15"/>
  </w:num>
  <w:num w:numId="6">
    <w:abstractNumId w:val="20"/>
  </w:num>
  <w:num w:numId="7">
    <w:abstractNumId w:val="11"/>
  </w:num>
  <w:num w:numId="8">
    <w:abstractNumId w:val="8"/>
  </w:num>
  <w:num w:numId="9">
    <w:abstractNumId w:val="12"/>
  </w:num>
  <w:num w:numId="10">
    <w:abstractNumId w:val="2"/>
  </w:num>
  <w:num w:numId="11">
    <w:abstractNumId w:val="22"/>
  </w:num>
  <w:num w:numId="12">
    <w:abstractNumId w:val="0"/>
  </w:num>
  <w:num w:numId="13">
    <w:abstractNumId w:val="17"/>
  </w:num>
  <w:num w:numId="14">
    <w:abstractNumId w:val="3"/>
  </w:num>
  <w:num w:numId="15">
    <w:abstractNumId w:val="7"/>
  </w:num>
  <w:num w:numId="16">
    <w:abstractNumId w:val="16"/>
  </w:num>
  <w:num w:numId="17">
    <w:abstractNumId w:val="23"/>
  </w:num>
  <w:num w:numId="18">
    <w:abstractNumId w:val="13"/>
  </w:num>
  <w:num w:numId="19">
    <w:abstractNumId w:val="21"/>
  </w:num>
  <w:num w:numId="20">
    <w:abstractNumId w:val="18"/>
  </w:num>
  <w:num w:numId="21">
    <w:abstractNumId w:val="19"/>
  </w:num>
  <w:num w:numId="22">
    <w:abstractNumId w:val="1"/>
  </w:num>
  <w:num w:numId="23">
    <w:abstractNumId w:val="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hideSpellingErrors/>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YyNDI4Y2IxMzIyNGZhMzZhOGE3ZmI1MGMzMjliZWEifQ=="/>
  </w:docVars>
  <w:rsids>
    <w:rsidRoot w:val="00700E12"/>
    <w:rsid w:val="000101F7"/>
    <w:rsid w:val="000476CE"/>
    <w:rsid w:val="003D5C3E"/>
    <w:rsid w:val="00700E12"/>
    <w:rsid w:val="009E46AA"/>
    <w:rsid w:val="00D91FAB"/>
    <w:rsid w:val="00FD24D9"/>
    <w:rsid w:val="01537FD5"/>
    <w:rsid w:val="02BC6B56"/>
    <w:rsid w:val="033E089E"/>
    <w:rsid w:val="059465BE"/>
    <w:rsid w:val="06D74677"/>
    <w:rsid w:val="079270C9"/>
    <w:rsid w:val="09780009"/>
    <w:rsid w:val="0983157E"/>
    <w:rsid w:val="0BA60776"/>
    <w:rsid w:val="0FA0239A"/>
    <w:rsid w:val="12032654"/>
    <w:rsid w:val="123F000C"/>
    <w:rsid w:val="124038B1"/>
    <w:rsid w:val="14127BE9"/>
    <w:rsid w:val="169E17AF"/>
    <w:rsid w:val="1C7A652F"/>
    <w:rsid w:val="1F4629DA"/>
    <w:rsid w:val="23F5007E"/>
    <w:rsid w:val="28E16F29"/>
    <w:rsid w:val="2A021EEC"/>
    <w:rsid w:val="2CDA6E57"/>
    <w:rsid w:val="330A2045"/>
    <w:rsid w:val="356330E4"/>
    <w:rsid w:val="35DF6E22"/>
    <w:rsid w:val="36874843"/>
    <w:rsid w:val="37B62B62"/>
    <w:rsid w:val="3C8C7593"/>
    <w:rsid w:val="3E245F08"/>
    <w:rsid w:val="3F326AC0"/>
    <w:rsid w:val="40AA76F6"/>
    <w:rsid w:val="44D530D8"/>
    <w:rsid w:val="465F1E0B"/>
    <w:rsid w:val="472F7A9E"/>
    <w:rsid w:val="4A0F4DB5"/>
    <w:rsid w:val="4C291900"/>
    <w:rsid w:val="4DE4148C"/>
    <w:rsid w:val="4E4C18A4"/>
    <w:rsid w:val="4FAE554B"/>
    <w:rsid w:val="50C301CB"/>
    <w:rsid w:val="513242BC"/>
    <w:rsid w:val="52246A93"/>
    <w:rsid w:val="531A7C88"/>
    <w:rsid w:val="5407197E"/>
    <w:rsid w:val="55810352"/>
    <w:rsid w:val="57DAE6E1"/>
    <w:rsid w:val="58526366"/>
    <w:rsid w:val="58AF2282"/>
    <w:rsid w:val="59FA62BF"/>
    <w:rsid w:val="5CC93D27"/>
    <w:rsid w:val="5DDC02E0"/>
    <w:rsid w:val="5E2872AF"/>
    <w:rsid w:val="5F665FB3"/>
    <w:rsid w:val="611E3F16"/>
    <w:rsid w:val="61CA7A1C"/>
    <w:rsid w:val="62CF2FAD"/>
    <w:rsid w:val="642152E2"/>
    <w:rsid w:val="642E32C4"/>
    <w:rsid w:val="65077AE2"/>
    <w:rsid w:val="6549634D"/>
    <w:rsid w:val="659E484A"/>
    <w:rsid w:val="65E939EF"/>
    <w:rsid w:val="66456B14"/>
    <w:rsid w:val="6AEF1016"/>
    <w:rsid w:val="6DAF5981"/>
    <w:rsid w:val="6E547B08"/>
    <w:rsid w:val="708E730A"/>
    <w:rsid w:val="729E74BD"/>
    <w:rsid w:val="72A7541B"/>
    <w:rsid w:val="745A0E57"/>
    <w:rsid w:val="79837159"/>
    <w:rsid w:val="7A862E00"/>
    <w:rsid w:val="7D343809"/>
    <w:rsid w:val="7DB12915"/>
    <w:rsid w:val="7EB7B118"/>
    <w:rsid w:val="7EE22EDD"/>
    <w:rsid w:val="7F4DBC21"/>
    <w:rsid w:val="7F730CAF"/>
    <w:rsid w:val="7F98785D"/>
    <w:rsid w:val="7FCB79CD"/>
    <w:rsid w:val="7FE1445D"/>
    <w:rsid w:val="DD7BA43F"/>
    <w:rsid w:val="ECDF148A"/>
    <w:rsid w:val="EFAA562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autoRedefine/>
    <w:semiHidden/>
    <w:unhideWhenUsed/>
    <w:qFormat/>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customStyle="1" w:styleId="2">
    <w:name w:val="首行缩进"/>
    <w:basedOn w:val="1"/>
    <w:autoRedefine/>
    <w:qFormat/>
    <w:uiPriority w:val="0"/>
    <w:pPr>
      <w:spacing w:line="360" w:lineRule="auto"/>
      <w:ind w:firstLine="480" w:firstLineChars="200"/>
    </w:pPr>
    <w:rPr>
      <w:rFonts w:ascii="宋体"/>
      <w:sz w:val="24"/>
      <w:szCs w:val="20"/>
    </w:rPr>
  </w:style>
  <w:style w:type="paragraph" w:styleId="6">
    <w:name w:val="Normal Indent"/>
    <w:basedOn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4"/>
    <w:autoRedefine/>
    <w:qFormat/>
    <w:uiPriority w:val="0"/>
    <w:pPr>
      <w:shd w:val="clear" w:color="auto" w:fill="000080"/>
    </w:pPr>
  </w:style>
  <w:style w:type="paragraph" w:styleId="20">
    <w:name w:val="annotation text"/>
    <w:basedOn w:val="1"/>
    <w:link w:val="345"/>
    <w:autoRedefine/>
    <w:qFormat/>
    <w:uiPriority w:val="99"/>
    <w:pPr>
      <w:jc w:val="left"/>
    </w:pPr>
  </w:style>
  <w:style w:type="paragraph" w:styleId="21">
    <w:name w:val="Salutation"/>
    <w:basedOn w:val="1"/>
    <w:next w:val="1"/>
    <w:link w:val="299"/>
    <w:autoRedefine/>
    <w:qFormat/>
    <w:uiPriority w:val="0"/>
    <w:rPr>
      <w:rFonts w:ascii="仿宋_GB2312" w:eastAsia="仿宋_GB2312"/>
      <w:sz w:val="28"/>
      <w:szCs w:val="20"/>
    </w:rPr>
  </w:style>
  <w:style w:type="paragraph" w:styleId="22">
    <w:name w:val="Body Text 3"/>
    <w:basedOn w:val="1"/>
    <w:link w:val="331"/>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next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26"/>
    <w:link w:val="266"/>
    <w:autoRedefine/>
    <w:qFormat/>
    <w:uiPriority w:val="0"/>
    <w:pPr>
      <w:spacing w:line="480" w:lineRule="exact"/>
      <w:ind w:firstLine="480" w:firstLineChars="200"/>
    </w:pPr>
    <w:rPr>
      <w:rFonts w:ascii="宋体" w:hAnsi="宋体"/>
      <w:sz w:val="24"/>
    </w:rPr>
  </w:style>
  <w:style w:type="paragraph" w:styleId="26">
    <w:name w:val="envelope return"/>
    <w:basedOn w:val="1"/>
    <w:autoRedefine/>
    <w:qFormat/>
    <w:uiPriority w:val="0"/>
    <w:pPr>
      <w:snapToGrid w:val="0"/>
    </w:pPr>
    <w:rPr>
      <w:rFonts w:ascii="Arial" w:hAnsi="Arial"/>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7"/>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3"/>
    <w:autoRedefine/>
    <w:qFormat/>
    <w:uiPriority w:val="0"/>
    <w:pPr>
      <w:ind w:left="100" w:leftChars="2500"/>
    </w:pPr>
    <w:rPr>
      <w:rFonts w:ascii="宋体"/>
      <w:sz w:val="24"/>
      <w:szCs w:val="21"/>
      <w:lang w:val="zh-CN"/>
    </w:rPr>
  </w:style>
  <w:style w:type="paragraph" w:styleId="38">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2"/>
    <w:autoRedefine/>
    <w:qFormat/>
    <w:uiPriority w:val="0"/>
    <w:rPr>
      <w:lang w:val="zh-CN"/>
    </w:rPr>
  </w:style>
  <w:style w:type="paragraph" w:styleId="40">
    <w:name w:val="Balloon Text"/>
    <w:basedOn w:val="1"/>
    <w:link w:val="190"/>
    <w:autoRedefine/>
    <w:qFormat/>
    <w:uiPriority w:val="0"/>
    <w:rPr>
      <w:sz w:val="18"/>
      <w:szCs w:val="18"/>
    </w:rPr>
  </w:style>
  <w:style w:type="paragraph" w:styleId="41">
    <w:name w:val="footer"/>
    <w:basedOn w:val="1"/>
    <w:link w:val="384"/>
    <w:autoRedefine/>
    <w:qFormat/>
    <w:uiPriority w:val="99"/>
    <w:pPr>
      <w:tabs>
        <w:tab w:val="center" w:pos="4153"/>
        <w:tab w:val="right" w:pos="8306"/>
      </w:tabs>
      <w:snapToGrid w:val="0"/>
      <w:jc w:val="left"/>
    </w:pPr>
    <w:rPr>
      <w:sz w:val="18"/>
      <w:szCs w:val="18"/>
    </w:rPr>
  </w:style>
  <w:style w:type="paragraph" w:styleId="42">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6"/>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3"/>
    <w:autoRedefine/>
    <w:qFormat/>
    <w:uiPriority w:val="0"/>
    <w:pPr>
      <w:spacing w:after="120" w:line="480" w:lineRule="auto"/>
    </w:pPr>
  </w:style>
  <w:style w:type="paragraph" w:styleId="58">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8"/>
    <w:autoRedefine/>
    <w:qFormat/>
    <w:uiPriority w:val="0"/>
    <w:rPr>
      <w:b/>
      <w:bCs/>
    </w:rPr>
  </w:style>
  <w:style w:type="paragraph" w:styleId="62">
    <w:name w:val="Body Text First Indent"/>
    <w:basedOn w:val="24"/>
    <w:link w:val="322"/>
    <w:autoRedefine/>
    <w:qFormat/>
    <w:uiPriority w:val="0"/>
    <w:pPr>
      <w:ind w:firstLine="420"/>
    </w:pPr>
    <w:rPr>
      <w:rFonts w:hAnsi="Calibri" w:cs="Times New Roman"/>
      <w:snapToGrid/>
      <w:szCs w:val="20"/>
    </w:rPr>
  </w:style>
  <w:style w:type="paragraph" w:styleId="63">
    <w:name w:val="Body Text First Indent 2"/>
    <w:basedOn w:val="25"/>
    <w:link w:val="123"/>
    <w:autoRedefine/>
    <w:qFormat/>
    <w:uiPriority w:val="0"/>
    <w:pPr>
      <w:adjustRightInd/>
      <w:spacing w:after="120" w:line="240" w:lineRule="auto"/>
      <w:ind w:left="420" w:leftChars="200" w:firstLine="210"/>
    </w:pPr>
    <w:rPr>
      <w:sz w:val="21"/>
    </w:r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rPr>
      <w:rFonts w:ascii="Arial" w:hAnsi="Arial" w:eastAsia="黑体" w:cs="Arial"/>
      <w:snapToGrid w:val="0"/>
      <w:kern w:val="0"/>
      <w:szCs w:val="21"/>
    </w:rPr>
  </w:style>
  <w:style w:type="character" w:styleId="75">
    <w:name w:val="FollowedHyperlink"/>
    <w:autoRedefine/>
    <w:qFormat/>
    <w:uiPriority w:val="99"/>
    <w:rPr>
      <w:rFonts w:ascii="Arial" w:hAnsi="Arial" w:eastAsia="黑体" w:cs="Arial"/>
      <w:snapToGrid w:val="0"/>
      <w:color w:val="000000"/>
      <w:kern w:val="0"/>
      <w:sz w:val="18"/>
      <w:szCs w:val="18"/>
      <w:u w:val="none"/>
    </w:rPr>
  </w:style>
  <w:style w:type="character" w:styleId="76">
    <w:name w:val="Emphasis"/>
    <w:autoRedefine/>
    <w:qFormat/>
    <w:uiPriority w:val="20"/>
    <w:rPr>
      <w:color w:val="CC0033"/>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字符"/>
    <w:link w:val="61"/>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文本首行缩进 2 字符"/>
    <w:link w:val="63"/>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1"/>
    <w:qFormat/>
    <w:uiPriority w:val="0"/>
    <w:rPr>
      <w:rFonts w:ascii="Arial" w:hAnsi="Arial" w:eastAsia="黑体" w:cs="Arial"/>
      <w:snapToGrid w:val="0"/>
      <w:kern w:val="0"/>
      <w:szCs w:val="21"/>
    </w:rPr>
  </w:style>
  <w:style w:type="character" w:customStyle="1" w:styleId="127">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字符"/>
    <w:link w:val="48"/>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字符"/>
    <w:link w:val="9"/>
    <w:autoRedefine/>
    <w:qFormat/>
    <w:uiPriority w:val="0"/>
    <w:rPr>
      <w:rFonts w:ascii="Arial" w:hAnsi="Arial" w:eastAsia="黑体"/>
      <w:b/>
      <w:bCs/>
      <w:kern w:val="2"/>
      <w:sz w:val="24"/>
      <w:szCs w:val="24"/>
    </w:rPr>
  </w:style>
  <w:style w:type="character" w:customStyle="1" w:styleId="150">
    <w:name w:val="纯文本 Char_0"/>
    <w:link w:val="151"/>
    <w:autoRedefine/>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4"/>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字符"/>
    <w:link w:val="37"/>
    <w:autoRedefine/>
    <w:qFormat/>
    <w:uiPriority w:val="0"/>
    <w:rPr>
      <w:rFonts w:ascii="宋体"/>
      <w:kern w:val="2"/>
      <w:sz w:val="24"/>
      <w:szCs w:val="21"/>
      <w:lang w:val="zh-CN"/>
    </w:rPr>
  </w:style>
  <w:style w:type="character" w:customStyle="1" w:styleId="184">
    <w:name w:val="标题 9 字符"/>
    <w:link w:val="12"/>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0"/>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字符1"/>
    <w:link w:val="40"/>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6"/>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字符"/>
    <w:link w:val="19"/>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1"/>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字符"/>
    <w:link w:val="31"/>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7"/>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字符"/>
    <w:link w:val="17"/>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82"/>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表段落1"/>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字符1"/>
    <w:link w:val="25"/>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字符1"/>
    <w:link w:val="3"/>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字符"/>
    <w:link w:val="60"/>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字符"/>
    <w:link w:val="8"/>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字符"/>
    <w:link w:val="21"/>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字符"/>
    <w:link w:val="58"/>
    <w:qFormat/>
    <w:uiPriority w:val="0"/>
    <w:rPr>
      <w:rFonts w:ascii="黑体" w:hAnsi="Courier New" w:eastAsia="黑体"/>
    </w:rPr>
  </w:style>
  <w:style w:type="character" w:customStyle="1" w:styleId="303">
    <w:name w:val="正文文本 2 字符1"/>
    <w:link w:val="57"/>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7"/>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字符"/>
    <w:link w:val="10"/>
    <w:qFormat/>
    <w:uiPriority w:val="0"/>
    <w:rPr>
      <w:b/>
      <w:bCs/>
      <w:kern w:val="2"/>
      <w:sz w:val="24"/>
      <w:szCs w:val="24"/>
    </w:rPr>
  </w:style>
  <w:style w:type="character" w:customStyle="1" w:styleId="309">
    <w:name w:val="正文文本缩进 2 字符"/>
    <w:link w:val="38"/>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字符"/>
    <w:link w:val="51"/>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文本首行缩进 字符"/>
    <w:link w:val="62"/>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字符1"/>
    <w:link w:val="7"/>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字符"/>
    <w:link w:val="22"/>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字符1"/>
    <w:link w:val="20"/>
    <w:autoRedefine/>
    <w:qFormat/>
    <w:uiPriority w:val="0"/>
    <w:rPr>
      <w:kern w:val="2"/>
      <w:sz w:val="21"/>
      <w:szCs w:val="24"/>
    </w:rPr>
  </w:style>
  <w:style w:type="character" w:customStyle="1" w:styleId="346">
    <w:name w:val="签名 字符"/>
    <w:link w:val="43"/>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1"/>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字符"/>
    <w:link w:val="54"/>
    <w:autoRedefine/>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字符2"/>
    <w:link w:val="41"/>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字符2"/>
    <w:link w:val="42"/>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1"/>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6"/>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4"/>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1"/>
    <w:autoRedefine/>
    <w:qFormat/>
    <w:uiPriority w:val="0"/>
    <w:rPr>
      <w:rFonts w:ascii="Arial" w:hAnsi="Arial" w:eastAsia="黑体" w:cs="Arial"/>
      <w:snapToGrid w:val="0"/>
      <w:kern w:val="0"/>
      <w:szCs w:val="21"/>
    </w:rPr>
  </w:style>
  <w:style w:type="character" w:customStyle="1" w:styleId="433">
    <w:name w:val="hui"/>
    <w:basedOn w:val="71"/>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3"/>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5"/>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8"/>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autoRedefine/>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autoRedefine/>
    <w:qFormat/>
    <w:uiPriority w:val="0"/>
    <w:rPr>
      <w:rFonts w:ascii="宋体" w:eastAsia="宋体" w:cs="Times New Roman"/>
      <w:color w:val="auto"/>
    </w:rPr>
  </w:style>
  <w:style w:type="paragraph" w:customStyle="1" w:styleId="551">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autoRedefine/>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156" w:beforeLines="50" w:line="360" w:lineRule="auto"/>
    </w:pPr>
    <w:rPr>
      <w:b/>
      <w:sz w:val="24"/>
    </w:rPr>
  </w:style>
  <w:style w:type="paragraph" w:customStyle="1" w:styleId="586">
    <w:name w:val="Char Char1101"/>
    <w:basedOn w:val="1"/>
    <w:autoRedefine/>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8"/>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autoRedefine/>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5"/>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autoRedefine/>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autoRedefine/>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autoRedefine/>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19"/>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9"/>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30"/>
    <w:autoRedefine/>
    <w:qFormat/>
    <w:uiPriority w:val="0"/>
    <w:rPr>
      <w:b w:val="0"/>
      <w:sz w:val="20"/>
    </w:rPr>
  </w:style>
  <w:style w:type="paragraph" w:customStyle="1" w:styleId="894">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autoRedefine/>
    <w:qFormat/>
    <w:uiPriority w:val="0"/>
    <w:pPr>
      <w:tabs>
        <w:tab w:val="left" w:pos="1080"/>
      </w:tabs>
      <w:ind w:left="1080" w:hanging="1080"/>
    </w:pPr>
  </w:style>
  <w:style w:type="paragraph" w:customStyle="1" w:styleId="897">
    <w:name w:val="数字标题1"/>
    <w:basedOn w:val="3"/>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autoRedefine/>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4"/>
    <w:autoRedefine/>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autoRedefine/>
    <w:qFormat/>
    <w:uiPriority w:val="0"/>
    <w:pPr>
      <w:adjustRightInd/>
      <w:spacing w:line="360" w:lineRule="auto"/>
      <w:ind w:firstLine="480"/>
    </w:pPr>
    <w:rPr>
      <w:sz w:val="24"/>
    </w:rPr>
  </w:style>
  <w:style w:type="table" w:customStyle="1" w:styleId="921">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autoRedefine/>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字符"/>
    <w:link w:val="39"/>
    <w:autoRedefine/>
    <w:qFormat/>
    <w:uiPriority w:val="0"/>
    <w:rPr>
      <w:kern w:val="2"/>
      <w:sz w:val="21"/>
      <w:szCs w:val="24"/>
      <w:lang w:val="zh-CN"/>
    </w:rPr>
  </w:style>
  <w:style w:type="character" w:customStyle="1" w:styleId="933">
    <w:name w:val="无间隔 Char"/>
    <w:link w:val="484"/>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9"/>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1"/>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 w:type="paragraph" w:styleId="965">
    <w:name w:val="List Paragraph"/>
    <w:basedOn w:val="1"/>
    <w:autoRedefine/>
    <w:qFormat/>
    <w:uiPriority w:val="34"/>
    <w:pPr>
      <w:ind w:firstLine="420" w:firstLineChars="200"/>
    </w:pPr>
  </w:style>
  <w:style w:type="paragraph" w:customStyle="1" w:styleId="966">
    <w:name w:val="列出段落11"/>
    <w:basedOn w:val="1"/>
    <w:autoRedefine/>
    <w:qFormat/>
    <w:uiPriority w:val="34"/>
    <w:pPr>
      <w:ind w:firstLine="420" w:firstLineChars="200"/>
    </w:pPr>
    <w:rPr>
      <w:rFonts w:ascii="宋体" w:hAnsi="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102</Pages>
  <Words>47537</Words>
  <Characters>51036</Characters>
  <Lines>434</Lines>
  <Paragraphs>122</Paragraphs>
  <TotalTime>18</TotalTime>
  <ScaleCrop>false</ScaleCrop>
  <LinksUpToDate>false</LinksUpToDate>
  <CharactersWithSpaces>58185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2023-08-04T09:41:00Z</dcterms:created>
  <dc:creator>玥</dc:creator>
  <cp:lastModifiedBy>kk</cp:lastModifiedBy>
  <cp:lastPrinted>2023-08-10T16:13:00Z</cp:lastPrinted>
  <dcterms:modified xsi:type="dcterms:W3CDTF">2024-05-21T03:28:01Z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D4410F9913C943188B0731F3C533AD9C_13</vt:lpwstr>
  </property>
</Properties>
</file>