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both"/>
        <w:rPr>
          <w:rFonts w:hint="eastAsia" w:ascii="仿宋" w:hAnsi="仿宋" w:eastAsia="仿宋" w:cs="仿宋"/>
          <w:b/>
          <w:color w:val="auto"/>
          <w:sz w:val="48"/>
          <w:szCs w:val="48"/>
          <w:highlight w:val="none"/>
        </w:rPr>
      </w:pPr>
      <w:bookmarkStart w:id="173" w:name="_GoBack"/>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绍兴市中医院纸质病历数字化及三级等保项目</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TYJZ2024</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715030197"/>
              </w:rPr>
              <w:t>采购代理机构</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eastAsia="zh-CN"/>
              </w:rPr>
              <w:t>四</w:t>
            </w:r>
            <w:r>
              <w:rPr>
                <w:rFonts w:hint="eastAsia" w:ascii="仿宋" w:hAnsi="仿宋" w:eastAsia="仿宋" w:cs="仿宋"/>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绍兴市中医院纸质病历数字化及三级等保项目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w:t>
      </w:r>
      <w:r>
        <w:rPr>
          <w:rStyle w:val="76"/>
          <w:rFonts w:hint="eastAsia" w:ascii="仿宋" w:hAnsi="仿宋" w:eastAsia="仿宋" w:cs="仿宋"/>
          <w:snapToGrid/>
          <w:color w:val="auto"/>
          <w:kern w:val="2"/>
          <w:sz w:val="24"/>
          <w:szCs w:val="24"/>
          <w:highlight w:val="none"/>
          <w:lang w:val="en-US" w:eastAsia="zh-CN"/>
        </w:rPr>
        <w:t>4</w:t>
      </w:r>
      <w:r>
        <w:rPr>
          <w:rStyle w:val="76"/>
          <w:rFonts w:hint="eastAsia" w:ascii="仿宋" w:hAnsi="仿宋" w:eastAsia="仿宋" w:cs="仿宋"/>
          <w:snapToGrid/>
          <w:color w:val="auto"/>
          <w:kern w:val="2"/>
          <w:sz w:val="24"/>
          <w:szCs w:val="24"/>
          <w:highlight w:val="none"/>
        </w:rPr>
        <w:t xml:space="preserve">年月日 </w:t>
      </w:r>
      <w:r>
        <w:rPr>
          <w:rStyle w:val="76"/>
          <w:rFonts w:hint="eastAsia" w:ascii="仿宋" w:hAnsi="仿宋" w:eastAsia="仿宋" w:cs="仿宋"/>
          <w:snapToGrid/>
          <w:color w:val="auto"/>
          <w:kern w:val="2"/>
          <w:sz w:val="24"/>
          <w:szCs w:val="24"/>
          <w:highlight w:val="none"/>
          <w:lang w:val="en-US" w:eastAsia="zh-CN"/>
        </w:rPr>
        <w:t>09</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00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项目编号：</w:t>
      </w:r>
      <w:r>
        <w:rPr>
          <w:rFonts w:hint="eastAsia" w:ascii="仿宋" w:hAnsi="仿宋" w:eastAsia="仿宋" w:cs="仿宋"/>
          <w:b w:val="0"/>
          <w:bCs/>
          <w:color w:val="auto"/>
          <w:sz w:val="24"/>
          <w:highlight w:val="none"/>
          <w:lang w:eastAsia="zh-CN"/>
        </w:rPr>
        <w:t>TYJZ2024</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val="0"/>
          <w:bCs/>
          <w:color w:val="auto"/>
          <w:sz w:val="24"/>
          <w:highlight w:val="none"/>
        </w:rPr>
        <w:t>项目名称：</w:t>
      </w:r>
      <w:r>
        <w:rPr>
          <w:rFonts w:hint="eastAsia" w:ascii="仿宋" w:hAnsi="仿宋" w:eastAsia="仿宋" w:cs="仿宋"/>
          <w:b w:val="0"/>
          <w:bCs/>
          <w:color w:val="auto"/>
          <w:sz w:val="24"/>
          <w:highlight w:val="none"/>
          <w:lang w:val="en-US" w:eastAsia="zh-CN"/>
        </w:rPr>
        <w:t xml:space="preserve"> 绍兴市中医院纸质病历数字化及三级等保项目</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预算金额（元）：</w:t>
      </w:r>
      <w:r>
        <w:rPr>
          <w:rFonts w:hint="eastAsia" w:ascii="仿宋" w:hAnsi="仿宋" w:eastAsia="仿宋" w:cs="仿宋"/>
          <w:b w:val="0"/>
          <w:bCs/>
          <w:color w:val="auto"/>
          <w:sz w:val="24"/>
          <w:highlight w:val="none"/>
          <w:lang w:val="en-US" w:eastAsia="zh-CN"/>
        </w:rPr>
        <w:t>490000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最高限价（元）：</w:t>
      </w:r>
      <w:r>
        <w:rPr>
          <w:rFonts w:hint="eastAsia" w:ascii="仿宋" w:hAnsi="仿宋" w:eastAsia="仿宋" w:cs="仿宋"/>
          <w:b w:val="0"/>
          <w:bCs/>
          <w:color w:val="auto"/>
          <w:sz w:val="24"/>
          <w:highlight w:val="none"/>
          <w:lang w:val="en-US" w:eastAsia="zh-CN"/>
        </w:rPr>
        <w:t>280000,210000</w:t>
      </w:r>
      <w:r>
        <w:rPr>
          <w:rFonts w:hint="eastAsia" w:ascii="仿宋" w:hAnsi="仿宋" w:eastAsia="仿宋" w:cs="仿宋"/>
          <w:b w:val="0"/>
          <w:bCs/>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采购需求：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标项一：</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标项名称：纸质病历数字化</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预算金额（元）：280000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标项名称：三级等保</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数量：1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预算金额（元）：210000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主要内容：详见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u w:val="single"/>
        </w:rPr>
      </w:pPr>
      <w:r>
        <w:rPr>
          <w:rFonts w:hint="eastAsia" w:ascii="仿宋" w:hAnsi="仿宋" w:eastAsia="仿宋" w:cs="仿宋"/>
          <w:b w:val="0"/>
          <w:bCs/>
          <w:color w:val="auto"/>
          <w:sz w:val="24"/>
          <w:highlight w:val="none"/>
        </w:rPr>
        <w:t>合同履行期限：详见</w:t>
      </w:r>
      <w:r>
        <w:rPr>
          <w:rFonts w:hint="eastAsia" w:ascii="仿宋" w:hAnsi="仿宋" w:eastAsia="仿宋" w:cs="仿宋"/>
          <w:b w:val="0"/>
          <w:bCs/>
          <w:color w:val="auto"/>
          <w:sz w:val="24"/>
          <w:highlight w:val="none"/>
          <w:lang w:eastAsia="zh-CN"/>
        </w:rPr>
        <w:t>招标</w:t>
      </w:r>
      <w:r>
        <w:rPr>
          <w:rFonts w:hint="eastAsia" w:ascii="仿宋" w:hAnsi="仿宋" w:eastAsia="仿宋" w:cs="仿宋"/>
          <w:b w:val="0"/>
          <w:bCs/>
          <w:color w:val="auto"/>
          <w:sz w:val="24"/>
          <w:highlight w:val="none"/>
        </w:rPr>
        <w:t>文件。</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highlight w:val="none"/>
        </w:rPr>
      </w:pPr>
      <w:r>
        <w:rPr>
          <w:rFonts w:hint="eastAsia" w:ascii="仿宋" w:hAnsi="仿宋" w:eastAsia="仿宋" w:cs="仿宋"/>
          <w:b w:val="0"/>
          <w:bCs/>
          <w:color w:val="auto"/>
          <w:sz w:val="24"/>
          <w:highlight w:val="none"/>
        </w:rPr>
        <w:t>本项目接受联合体投标：</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FE"/>
          </w:r>
        </w:sdtContent>
      </w:sdt>
      <w:r>
        <w:rPr>
          <w:rFonts w:hint="eastAsia" w:ascii="仿宋" w:hAnsi="仿宋" w:eastAsia="仿宋" w:cs="仿宋"/>
          <w:b w:val="0"/>
          <w:bCs/>
          <w:color w:val="auto"/>
          <w:sz w:val="24"/>
          <w:highlight w:val="none"/>
        </w:rPr>
        <w:t>是，</w:t>
      </w:r>
      <w:sdt>
        <w:sdtPr>
          <w:rPr>
            <w:rFonts w:hint="eastAsia" w:ascii="仿宋" w:hAnsi="仿宋" w:eastAsia="仿宋" w:cs="仿宋"/>
            <w:b w:val="0"/>
            <w:bCs/>
            <w:color w:val="auto"/>
            <w:sz w:val="21"/>
            <w:szCs w:val="21"/>
            <w:highlight w:val="none"/>
          </w:rPr>
          <w:id w:val="725337177"/>
        </w:sdtPr>
        <w:sdtEndPr>
          <w:rPr>
            <w:rFonts w:hint="eastAsia" w:ascii="仿宋" w:hAnsi="仿宋" w:eastAsia="仿宋" w:cs="仿宋"/>
            <w:b w:val="0"/>
            <w:bCs/>
            <w:color w:val="auto"/>
            <w:sz w:val="21"/>
            <w:szCs w:val="21"/>
            <w:highlight w:val="none"/>
          </w:rPr>
        </w:sdtEndPr>
        <w:sdtContent>
          <w:r>
            <w:rPr>
              <w:rFonts w:hint="eastAsia" w:ascii="仿宋" w:hAnsi="仿宋" w:eastAsia="仿宋" w:cs="仿宋"/>
              <w:b w:val="0"/>
              <w:bCs/>
              <w:color w:val="auto"/>
              <w:highlight w:val="none"/>
            </w:rPr>
            <w:sym w:font="Wingdings" w:char="00A8"/>
          </w:r>
        </w:sdtContent>
      </w:sdt>
      <w:r>
        <w:rPr>
          <w:rFonts w:hint="eastAsia" w:ascii="仿宋" w:hAnsi="仿宋" w:eastAsia="仿宋" w:cs="仿宋"/>
          <w:b w:val="0"/>
          <w:bCs/>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pageBreakBefore w:val="0"/>
        <w:widowControl w:val="0"/>
        <w:kinsoku/>
        <w:wordWrap/>
        <w:overflowPunct/>
        <w:topLinePunct w:val="0"/>
        <w:autoSpaceDE/>
        <w:autoSpaceDN/>
        <w:bidi w:val="0"/>
        <w:spacing w:line="360" w:lineRule="auto"/>
        <w:ind w:left="0" w:firstLine="42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keepNext w:val="0"/>
        <w:keepLines w:val="0"/>
        <w:pageBreakBefore w:val="0"/>
        <w:widowControl w:val="0"/>
        <w:kinsoku/>
        <w:wordWrap/>
        <w:overflowPunct/>
        <w:topLinePunct w:val="0"/>
        <w:autoSpaceDE/>
        <w:autoSpaceDN/>
        <w:bidi w:val="0"/>
        <w:adjustRightInd w:val="0"/>
        <w:snapToGrid/>
        <w:spacing w:line="360" w:lineRule="auto"/>
        <w:ind w:left="0" w:firstLine="840" w:firstLineChars="400"/>
        <w:textAlignment w:val="auto"/>
        <w:rPr>
          <w:rFonts w:hint="eastAsia" w:ascii="仿宋" w:hAnsi="仿宋" w:eastAsia="仿宋" w:cs="仿宋"/>
          <w:color w:val="auto"/>
          <w:sz w:val="24"/>
          <w:highlight w:val="none"/>
        </w:rPr>
      </w:pPr>
      <w:sdt>
        <w:sdtPr>
          <w:rPr>
            <w:rFonts w:hint="eastAsia" w:ascii="仿宋" w:hAnsi="仿宋" w:eastAsia="仿宋" w:cs="仿宋"/>
            <w:color w:val="auto"/>
            <w:sz w:val="21"/>
            <w:szCs w:val="21"/>
            <w:highlight w:val="none"/>
          </w:rPr>
          <w:id w:val="725337177"/>
        </w:sdtPr>
        <w:sdtEndPr>
          <w:rPr>
            <w:rFonts w:hint="eastAsia" w:ascii="仿宋" w:hAnsi="仿宋" w:eastAsia="仿宋" w:cs="仿宋"/>
            <w:color w:val="auto"/>
            <w:sz w:val="21"/>
            <w:szCs w:val="21"/>
            <w:highlight w:val="none"/>
          </w:rPr>
        </w:sdtEndPr>
        <w:sdtContent>
          <w:r>
            <w:rPr>
              <w:rFonts w:hint="eastAsia" w:ascii="仿宋" w:hAnsi="仿宋" w:eastAsia="仿宋" w:cs="仿宋"/>
              <w:color w:val="auto"/>
              <w:highlight w:val="none"/>
            </w:rPr>
            <w:sym w:font="Wingdings" w:char="00FE"/>
          </w:r>
        </w:sdtContent>
      </w:sdt>
      <w:r>
        <w:rPr>
          <w:rFonts w:hint="eastAsia" w:ascii="仿宋" w:hAnsi="仿宋" w:eastAsia="仿宋" w:cs="仿宋"/>
          <w:color w:val="auto"/>
          <w:sz w:val="24"/>
          <w:highlight w:val="none"/>
        </w:rPr>
        <w:t>服务全部由符合政策要求的中小企业承接，提供中小企业声明函；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仿宋" w:hAnsi="仿宋"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b/>
          <w:bCs/>
          <w:color w:val="auto"/>
          <w:sz w:val="24"/>
          <w:highlight w:val="none"/>
          <w:lang w:val="en-US" w:eastAsia="zh-CN"/>
        </w:rPr>
        <w:t>无</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rPr>
        <w:t>，每天上午00:00至12:00</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年月日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绍兴市越城区</w:t>
      </w:r>
      <w:r>
        <w:rPr>
          <w:rFonts w:hint="eastAsia" w:ascii="仿宋" w:hAnsi="仿宋" w:eastAsia="仿宋" w:cs="仿宋"/>
          <w:color w:val="auto"/>
          <w:sz w:val="24"/>
          <w:highlight w:val="none"/>
          <w:lang w:eastAsia="zh-CN"/>
        </w:rPr>
        <w:t>迎凤路87号鑫海大厦1601</w:t>
      </w:r>
      <w:r>
        <w:rPr>
          <w:rFonts w:hint="eastAsia" w:ascii="仿宋" w:hAnsi="仿宋" w:eastAsia="仿宋" w:cs="仿宋"/>
          <w:color w:val="auto"/>
          <w:sz w:val="24"/>
          <w:highlight w:val="none"/>
        </w:rPr>
        <w:t>泰宇咨询会议室，在政府采购云平台（www.zcygov.cn）上开启响应文件。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96"/>
      <w:bookmarkStart w:id="6" w:name="_Toc35393806"/>
      <w:bookmarkStart w:id="7" w:name="_Toc28359019"/>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地址：绍兴市越城区人民中路6</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1号</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传真：</w:t>
      </w:r>
      <w:r>
        <w:rPr>
          <w:rFonts w:hint="eastAsia" w:ascii="仿宋" w:hAnsi="仿宋" w:eastAsia="仿宋" w:cs="仿宋"/>
          <w:color w:val="auto"/>
          <w:sz w:val="24"/>
          <w:highlight w:val="none"/>
          <w:lang w:val="en-US"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王</w:t>
      </w:r>
      <w:r>
        <w:rPr>
          <w:rFonts w:hint="eastAsia" w:ascii="仿宋" w:hAnsi="仿宋" w:eastAsia="仿宋" w:cs="仿宋"/>
          <w:color w:val="auto"/>
          <w:sz w:val="24"/>
          <w:highlight w:val="none"/>
          <w:lang w:val="en-US" w:eastAsia="zh-CN"/>
        </w:rPr>
        <w:t>宁</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项目联系方式（询问）：0575-89102270</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 沈勇</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质疑联系方式：0575-89107189</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35393807"/>
      <w:bookmarkStart w:id="10" w:name="_Toc28359097"/>
      <w:bookmarkStart w:id="11" w:name="_Toc35393638"/>
      <w:bookmarkStart w:id="12" w:name="_Toc28359020"/>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名称：泰宇建筑工程技术咨询有限公司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地址：绍兴市越城区</w:t>
      </w:r>
      <w:r>
        <w:rPr>
          <w:rFonts w:hint="eastAsia" w:ascii="仿宋" w:hAnsi="仿宋" w:eastAsia="仿宋" w:cs="仿宋"/>
          <w:color w:val="auto"/>
          <w:sz w:val="24"/>
          <w:highlight w:val="none"/>
          <w:lang w:eastAsia="zh-CN"/>
        </w:rPr>
        <w:t>迎凤路87号鑫海大厦1601</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项目联系人（询问）：金锦英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项目联系方式（询问）：0575-88226969/13656752180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质疑联系人：胡泽宇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质疑联系方式：0575-85080066</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名称：绍兴市财政局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传真：0575-85209806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沈灿</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监督投诉电话：0575-85209806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2" w:char="0052"/>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left"/>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01标、02标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软件和信息技术服务业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sym w:font="Wingdings 2" w:char="0052"/>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中标人须向采购代理机构按如下标准和规定交纳代理服务费，并在投标报价中自行考虑：</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（1）以中标通知中确定的中标总金额作为代理服务费的计算基数，具体比例参照《国家计委关于印发&lt;招标代理服务收费管理暂行办法&gt;的通知》（计价格[2002]1980号）规定的标准</w:t>
            </w:r>
            <w:r>
              <w:rPr>
                <w:rFonts w:hint="eastAsia" w:ascii="仿宋" w:hAnsi="仿宋" w:eastAsia="仿宋" w:cs="仿宋"/>
                <w:snapToGrid w:val="0"/>
                <w:color w:val="auto"/>
                <w:kern w:val="28"/>
                <w:sz w:val="24"/>
                <w:highlight w:val="none"/>
                <w:lang w:val="en-US" w:eastAsia="zh-CN"/>
              </w:rPr>
              <w:t>*62</w:t>
            </w:r>
            <w:r>
              <w:rPr>
                <w:rFonts w:hint="eastAsia" w:ascii="仿宋" w:hAnsi="仿宋" w:eastAsia="仿宋" w:cs="仿宋"/>
                <w:snapToGrid w:val="0"/>
                <w:color w:val="auto"/>
                <w:kern w:val="28"/>
                <w:sz w:val="24"/>
                <w:highlight w:val="none"/>
              </w:rPr>
              <w:t>%进行收费。服务费不到2000元按照2000元收取。</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（2）代理服务费的交纳方式：</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用银行支票、汇票、电汇、现金等付款方式直接交纳代理服务费。</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公司名称：泰宇建筑工程技术咨询有限公司绍兴分公司</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账号: 85010078801000000518</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snapToGrid w:val="0"/>
                <w:color w:val="auto"/>
                <w:kern w:val="28"/>
                <w:sz w:val="24"/>
                <w:highlight w:val="none"/>
              </w:rPr>
              <w:t>开户银行:上海浦东发展银行绍兴分行</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snapToGrid w:val="0"/>
                <w:color w:val="auto"/>
                <w:kern w:val="28"/>
                <w:sz w:val="24"/>
                <w:highlight w:val="none"/>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pPr>
        <w:spacing w:line="440" w:lineRule="exact"/>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336"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5"/>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3"/>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336" w:lineRule="auto"/>
        <w:ind w:firstLine="720" w:firstLineChars="300"/>
        <w:rPr>
          <w:rFonts w:hint="eastAsia" w:ascii="仿宋" w:hAnsi="仿宋" w:eastAsia="仿宋" w:cs="仿宋"/>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3.1供应商应按招标文件中《开标一览表》等附表要求填写。</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3.3招标文件未列明，而供应商认为必需的费用也需列入报价。</w:t>
      </w:r>
    </w:p>
    <w:p>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hint="eastAsia" w:ascii="仿宋" w:hAnsi="仿宋" w:eastAsia="仿宋" w:cs="仿宋"/>
          <w:b/>
          <w:color w:val="auto"/>
          <w:szCs w:val="24"/>
          <w:highlight w:val="none"/>
        </w:rPr>
      </w:pPr>
      <w:r>
        <w:rPr>
          <w:rFonts w:hint="eastAsia" w:ascii="仿宋" w:hAnsi="仿宋" w:eastAsia="仿宋" w:cs="仿宋"/>
          <w:b/>
          <w:bCs/>
          <w:color w:val="auto"/>
          <w:sz w:val="24"/>
          <w:highlight w:val="none"/>
          <w:lang w:val="en-US" w:eastAsia="zh-CN"/>
        </w:rPr>
        <w:t>3.4投标报价只允许有一个报价，有选择的报价将不予接受（除指定外）</w:t>
      </w:r>
      <w:r>
        <w:rPr>
          <w:rFonts w:hint="eastAsia" w:ascii="仿宋" w:hAnsi="仿宋" w:eastAsia="仿宋" w:cs="仿宋"/>
          <w:b/>
          <w:bCs/>
          <w:color w:val="auto"/>
          <w:sz w:val="24"/>
          <w:highlight w:val="none"/>
          <w:lang w:val="en-US"/>
        </w:rPr>
        <w:t>。</w:t>
      </w:r>
      <w:r>
        <w:rPr>
          <w:rFonts w:hint="eastAsia"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hint="eastAsia" w:ascii="仿宋" w:hAnsi="仿宋" w:eastAsia="仿宋" w:cs="仿宋"/>
          <w:b/>
          <w:color w:val="auto"/>
          <w:szCs w:val="24"/>
          <w:highlight w:val="none"/>
        </w:rPr>
        <w:t>. 投标文件的提交、补充、修改、撤回</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6.投标有效期</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6.2投标文件合格投递后，自投标截止日期起，在投标有效期内有效。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8.25其他违反法律、法规的情形。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75236101"/>
      <w:bookmarkEnd w:id="20"/>
      <w:bookmarkStart w:id="21" w:name="_Hlt74714665"/>
      <w:bookmarkEnd w:id="21"/>
      <w:bookmarkStart w:id="22" w:name="_Hlt68072990"/>
      <w:bookmarkEnd w:id="22"/>
      <w:bookmarkStart w:id="23" w:name="_Hlt74730295"/>
      <w:bookmarkEnd w:id="23"/>
      <w:bookmarkStart w:id="24" w:name="_Hlt74729768"/>
      <w:bookmarkEnd w:id="24"/>
      <w:bookmarkStart w:id="25" w:name="_Hlt68072998"/>
      <w:bookmarkEnd w:id="25"/>
      <w:bookmarkStart w:id="26" w:name="_Hlt74707468"/>
      <w:bookmarkEnd w:id="26"/>
      <w:bookmarkStart w:id="27" w:name="_Hlt75236290"/>
      <w:bookmarkEnd w:id="27"/>
      <w:bookmarkStart w:id="28" w:name="_Hlt68073093"/>
      <w:bookmarkEnd w:id="28"/>
      <w:bookmarkStart w:id="29" w:name="_Hlt75236011"/>
      <w:bookmarkEnd w:id="29"/>
      <w:bookmarkStart w:id="30" w:name="_Hlt68057669"/>
      <w:bookmarkEnd w:id="30"/>
      <w:bookmarkStart w:id="31" w:name="_Hlt6840382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0"/>
          <w:sz w:val="24"/>
          <w:szCs w:val="20"/>
          <w:highlight w:val="none"/>
          <w:vertAlign w:val="baseline"/>
          <w:lang w:val="zh-CN" w:eastAsia="zh-CN" w:bidi="ar-SA"/>
        </w:rPr>
        <w:t>3</w:t>
      </w:r>
      <w:r>
        <w:rPr>
          <w:rFonts w:hint="eastAsia"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0"/>
          <w:sz w:val="24"/>
          <w:szCs w:val="20"/>
          <w:highlight w:val="none"/>
          <w:vertAlign w:val="baseline"/>
          <w:lang w:val="zh-CN" w:eastAsia="zh-CN" w:bidi="ar-SA"/>
        </w:rPr>
        <w:t>3.</w:t>
      </w:r>
      <w:r>
        <w:rPr>
          <w:rFonts w:hint="eastAsia" w:ascii="仿宋" w:hAnsi="仿宋" w:eastAsia="仿宋" w:cs="仿宋"/>
          <w:b/>
          <w:bCs/>
          <w:i w:val="0"/>
          <w:iCs w:val="0"/>
          <w:color w:val="auto"/>
          <w:kern w:val="0"/>
          <w:sz w:val="24"/>
          <w:szCs w:val="20"/>
          <w:highlight w:val="none"/>
          <w:vertAlign w:val="baseline"/>
          <w:lang w:val="en-US" w:eastAsia="zh-CN" w:bidi="ar-SA"/>
        </w:rPr>
        <w:t>2</w:t>
      </w:r>
      <w:r>
        <w:rPr>
          <w:rFonts w:hint="eastAsia"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eastAsia"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bookmarkEnd w:id="35"/>
      <w:bookmarkStart w:id="36" w:name="第五部分"/>
      <w:bookmarkStart w:id="37" w:name="_Toc86217003"/>
    </w:p>
    <w:p>
      <w:pPr>
        <w:ind w:firstLine="482" w:firstLineChars="200"/>
        <w:jc w:val="left"/>
        <w:outlineLvl w:val="0"/>
        <w:rPr>
          <w:rFonts w:hint="eastAsia" w:ascii="仿宋" w:hAnsi="仿宋" w:eastAsia="仿宋" w:cs="仿宋"/>
          <w:sz w:val="24"/>
          <w:szCs w:val="24"/>
          <w:highlight w:val="none"/>
          <w:lang w:eastAsia="zh-CN"/>
        </w:rPr>
      </w:pPr>
      <w:r>
        <w:rPr>
          <w:rFonts w:hint="eastAsia" w:ascii="仿宋" w:hAnsi="仿宋" w:eastAsia="仿宋" w:cs="仿宋"/>
          <w:b/>
          <w:color w:val="auto"/>
          <w:sz w:val="24"/>
          <w:szCs w:val="24"/>
          <w:highlight w:val="none"/>
          <w:bdr w:val="single" w:color="auto" w:sz="4" w:space="0"/>
        </w:rPr>
        <w:t>01标</w:t>
      </w:r>
      <w:r>
        <w:rPr>
          <w:rFonts w:hint="eastAsia" w:ascii="仿宋_GB2312" w:hAnsi="宋体" w:eastAsia="仿宋_GB2312"/>
          <w:b/>
          <w:color w:val="auto"/>
          <w:sz w:val="24"/>
          <w:szCs w:val="24"/>
          <w:highlight w:val="none"/>
          <w:lang w:val="en-US" w:eastAsia="zh-CN"/>
        </w:rPr>
        <w:t>纸质病历数字化</w:t>
      </w:r>
      <w:r>
        <w:rPr>
          <w:rFonts w:hint="eastAsia" w:ascii="仿宋_GB2312" w:hAnsi="宋体" w:eastAsia="仿宋_GB2312"/>
          <w:b/>
          <w:color w:val="auto"/>
          <w:sz w:val="24"/>
          <w:szCs w:val="24"/>
          <w:highlight w:val="none"/>
          <w:lang w:eastAsia="zh-CN"/>
        </w:rPr>
        <w:t>，本项目上限价：</w:t>
      </w:r>
      <w:r>
        <w:rPr>
          <w:rFonts w:hint="eastAsia" w:ascii="仿宋_GB2312" w:hAnsi="宋体" w:eastAsia="仿宋_GB2312"/>
          <w:b/>
          <w:color w:val="auto"/>
          <w:sz w:val="24"/>
          <w:szCs w:val="24"/>
          <w:highlight w:val="none"/>
          <w:lang w:val="en-US" w:eastAsia="zh-CN"/>
        </w:rPr>
        <w:t>28</w:t>
      </w:r>
      <w:r>
        <w:rPr>
          <w:rFonts w:hint="eastAsia" w:ascii="仿宋_GB2312" w:hAnsi="宋体" w:eastAsia="仿宋_GB2312"/>
          <w:b/>
          <w:color w:val="auto"/>
          <w:sz w:val="24"/>
          <w:szCs w:val="24"/>
          <w:highlight w:val="none"/>
          <w:lang w:eastAsia="zh-CN"/>
        </w:rPr>
        <w:t>万元</w:t>
      </w:r>
      <w:bookmarkStart w:id="38" w:name="_Toc20727508"/>
      <w:bookmarkStart w:id="39" w:name="_Toc519934413"/>
      <w:bookmarkStart w:id="40" w:name="_Toc50348104"/>
      <w:bookmarkStart w:id="41" w:name="_Toc523038542"/>
      <w:r>
        <w:rPr>
          <w:rFonts w:hint="eastAsia" w:ascii="仿宋_GB2312" w:hAnsi="宋体" w:eastAsia="仿宋_GB2312"/>
          <w:b/>
          <w:color w:val="auto"/>
          <w:sz w:val="24"/>
          <w:szCs w:val="24"/>
          <w:highlight w:val="none"/>
          <w:lang w:eastAsia="zh-CN"/>
        </w:rPr>
        <w:t>，每页上限单价</w:t>
      </w:r>
      <w:r>
        <w:rPr>
          <w:rFonts w:hint="eastAsia" w:ascii="仿宋_GB2312" w:hAnsi="宋体" w:eastAsia="仿宋_GB2312"/>
          <w:b/>
          <w:color w:val="auto"/>
          <w:sz w:val="24"/>
          <w:szCs w:val="24"/>
          <w:highlight w:val="none"/>
          <w:lang w:val="en-US" w:eastAsia="zh-CN"/>
        </w:rPr>
        <w:t>0.078元/页</w:t>
      </w:r>
      <w:r>
        <w:rPr>
          <w:rFonts w:hint="eastAsia" w:ascii="仿宋_GB2312" w:hAnsi="宋体" w:eastAsia="仿宋_GB2312"/>
          <w:b/>
          <w:color w:val="auto"/>
          <w:sz w:val="24"/>
          <w:szCs w:val="24"/>
          <w:highlight w:val="none"/>
          <w:lang w:eastAsia="zh-CN"/>
        </w:rPr>
        <w:t>。</w:t>
      </w:r>
      <w:bookmarkEnd w:id="38"/>
      <w:bookmarkEnd w:id="39"/>
      <w:bookmarkEnd w:id="40"/>
      <w:bookmarkEnd w:id="41"/>
      <w:bookmarkStart w:id="42" w:name="_Toc137008688"/>
      <w:bookmarkEnd w:id="42"/>
      <w:r>
        <w:rPr>
          <w:rFonts w:hint="eastAsia" w:ascii="仿宋_GB2312" w:hAnsi="宋体" w:eastAsia="仿宋_GB2312"/>
          <w:b/>
          <w:color w:val="auto"/>
          <w:sz w:val="24"/>
          <w:szCs w:val="24"/>
          <w:highlight w:val="none"/>
          <w:lang w:eastAsia="zh-CN"/>
        </w:rPr>
        <w:t>合同期限：自合同签订之日起三年。</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9"/>
        <w:gridCol w:w="1570"/>
        <w:gridCol w:w="2122"/>
        <w:gridCol w:w="1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项目</w:t>
            </w:r>
          </w:p>
        </w:tc>
        <w:tc>
          <w:tcPr>
            <w:tcW w:w="924"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参考用量</w:t>
            </w:r>
          </w:p>
        </w:tc>
        <w:tc>
          <w:tcPr>
            <w:tcW w:w="1249"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单位</w:t>
            </w:r>
          </w:p>
        </w:tc>
        <w:tc>
          <w:tcPr>
            <w:tcW w:w="1007"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预算</w:t>
            </w:r>
            <w:r>
              <w:rPr>
                <w:rFonts w:hint="eastAsia" w:ascii="仿宋" w:hAnsi="仿宋" w:eastAsia="仿宋" w:cs="仿宋"/>
                <w:color w:val="000000"/>
                <w:kern w:val="0"/>
                <w:sz w:val="24"/>
                <w:szCs w:val="24"/>
                <w:highlight w:val="none"/>
                <w:lang w:bidi="ar"/>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8"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rPr>
            </w:pPr>
            <w:r>
              <w:rPr>
                <w:rFonts w:hint="eastAsia" w:ascii="仿宋" w:hAnsi="仿宋" w:eastAsia="仿宋" w:cs="仿宋"/>
                <w:bCs/>
                <w:sz w:val="24"/>
                <w:szCs w:val="24"/>
                <w:highlight w:val="none"/>
                <w:shd w:val="clear" w:color="auto" w:fill="FBFDFE"/>
                <w:vertAlign w:val="baseline"/>
                <w:lang w:val="en-US" w:eastAsia="zh-CN"/>
              </w:rPr>
              <w:t>纸质病历数字化项目</w:t>
            </w:r>
          </w:p>
        </w:tc>
        <w:tc>
          <w:tcPr>
            <w:tcW w:w="924"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3</w:t>
            </w:r>
          </w:p>
        </w:tc>
        <w:tc>
          <w:tcPr>
            <w:tcW w:w="1249"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年</w:t>
            </w:r>
          </w:p>
        </w:tc>
        <w:tc>
          <w:tcPr>
            <w:tcW w:w="1007" w:type="pct"/>
            <w:noWrap w:val="0"/>
            <w:vAlign w:val="bottom"/>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28万元</w:t>
            </w:r>
          </w:p>
        </w:tc>
      </w:tr>
    </w:tbl>
    <w:p>
      <w:pPr>
        <w:adjustRightIn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一、项目概述</w:t>
      </w:r>
    </w:p>
    <w:p>
      <w:pPr>
        <w:pStyle w:val="94"/>
        <w:spacing w:before="64" w:after="64"/>
        <w:ind w:firstLine="480"/>
        <w:rPr>
          <w:rFonts w:hint="eastAsia" w:ascii="仿宋" w:hAnsi="仿宋" w:eastAsia="仿宋" w:cs="仿宋"/>
          <w:color w:val="auto"/>
          <w:sz w:val="24"/>
          <w:szCs w:val="24"/>
          <w:highlight w:val="none"/>
        </w:rPr>
      </w:pPr>
      <w:bookmarkStart w:id="43" w:name="_Toc106043226"/>
      <w:r>
        <w:rPr>
          <w:rFonts w:hint="eastAsia" w:ascii="仿宋" w:hAnsi="仿宋" w:eastAsia="仿宋" w:cs="仿宋"/>
          <w:color w:val="auto"/>
          <w:sz w:val="24"/>
          <w:szCs w:val="24"/>
          <w:highlight w:val="none"/>
        </w:rPr>
        <w:t>医院现有病案记录为纸质材料，查询利用很不方便，而且占据了大量的存放空间，还存在病案损坏泄露的安全风险。目前医院已经建设了电子病历，为临床医疗提供了良好的支持，体现了信息化建设的成果。为了更方便医生调阅原来的纸制历史病历，因此有必要将医院纸质病历数字化。</w:t>
      </w:r>
    </w:p>
    <w:p>
      <w:pPr>
        <w:pStyle w:val="94"/>
        <w:spacing w:before="64" w:after="64"/>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对现有纸质病历的数字化过程中，为了切实保证病人的隐私保护，必须对其进行规范化管理，因此在诸如数字化病案加工、出入库管理、检索利用等环节都应该符合要求，同时对相关人员做好严格的保密制度，签订保密协议，避免在加工过程中产生任何泄密问题，这将是本项目成功的一个重要因素。</w:t>
      </w:r>
    </w:p>
    <w:p>
      <w:pPr>
        <w:adjustRightInd w:val="0"/>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二、项目要求</w:t>
      </w:r>
    </w:p>
    <w:bookmarkEnd w:id="43"/>
    <w:p>
      <w:pPr>
        <w:spacing w:line="360" w:lineRule="auto"/>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（一）技术要求</w:t>
      </w:r>
    </w:p>
    <w:p>
      <w:pPr>
        <w:pStyle w:val="964"/>
        <w:numPr>
          <w:ilvl w:val="0"/>
          <w:numId w:val="1"/>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w:t>
      </w:r>
      <w:r>
        <w:rPr>
          <w:rFonts w:hint="eastAsia" w:ascii="仿宋" w:hAnsi="仿宋" w:eastAsia="仿宋" w:cs="仿宋"/>
          <w:color w:val="auto"/>
          <w:sz w:val="24"/>
          <w:szCs w:val="24"/>
          <w:highlight w:val="none"/>
        </w:rPr>
        <w:t>签订后</w:t>
      </w:r>
      <w:r>
        <w:rPr>
          <w:rFonts w:hint="eastAsia" w:ascii="仿宋" w:hAnsi="仿宋" w:eastAsia="仿宋" w:cs="仿宋"/>
          <w:color w:val="auto"/>
          <w:sz w:val="24"/>
          <w:szCs w:val="24"/>
          <w:highlight w:val="none"/>
          <w:lang w:val="en-US" w:eastAsia="zh-CN"/>
        </w:rPr>
        <w:t>3年</w:t>
      </w:r>
      <w:r>
        <w:rPr>
          <w:rFonts w:hint="eastAsia" w:ascii="仿宋" w:hAnsi="仿宋" w:eastAsia="仿宋" w:cs="仿宋"/>
          <w:color w:val="auto"/>
          <w:sz w:val="24"/>
          <w:szCs w:val="24"/>
          <w:highlight w:val="none"/>
        </w:rPr>
        <w:t>内</w:t>
      </w:r>
      <w:r>
        <w:rPr>
          <w:rFonts w:hint="eastAsia" w:ascii="仿宋" w:hAnsi="仿宋" w:eastAsia="仿宋" w:cs="仿宋"/>
          <w:color w:val="auto"/>
          <w:sz w:val="24"/>
          <w:szCs w:val="24"/>
          <w:highlight w:val="none"/>
        </w:rPr>
        <w:t>完成院方要求</w:t>
      </w:r>
      <w:r>
        <w:rPr>
          <w:rFonts w:hint="eastAsia" w:ascii="仿宋" w:hAnsi="仿宋" w:eastAsia="仿宋" w:cs="仿宋"/>
          <w:color w:val="auto"/>
          <w:sz w:val="24"/>
          <w:szCs w:val="24"/>
          <w:highlight w:val="none"/>
          <w:lang w:eastAsia="zh-CN"/>
        </w:rPr>
        <w:t>约</w:t>
      </w:r>
      <w:r>
        <w:rPr>
          <w:rFonts w:hint="eastAsia" w:ascii="仿宋" w:hAnsi="仿宋" w:eastAsia="仿宋" w:cs="仿宋"/>
          <w:color w:val="auto"/>
          <w:sz w:val="24"/>
          <w:szCs w:val="24"/>
          <w:highlight w:val="none"/>
          <w:lang w:val="en-US" w:eastAsia="zh-CN"/>
        </w:rPr>
        <w:t>360</w:t>
      </w:r>
      <w:r>
        <w:rPr>
          <w:rFonts w:hint="eastAsia" w:ascii="仿宋" w:hAnsi="仿宋" w:eastAsia="仿宋" w:cs="仿宋"/>
          <w:color w:val="auto"/>
          <w:sz w:val="24"/>
          <w:szCs w:val="24"/>
          <w:highlight w:val="none"/>
        </w:rPr>
        <w:t>万页出院</w:t>
      </w:r>
      <w:r>
        <w:rPr>
          <w:rFonts w:hint="eastAsia" w:ascii="仿宋" w:hAnsi="仿宋" w:eastAsia="仿宋" w:cs="仿宋"/>
          <w:color w:val="auto"/>
          <w:sz w:val="24"/>
          <w:szCs w:val="24"/>
          <w:highlight w:val="none"/>
        </w:rPr>
        <w:t>纸质数字化病案工作，</w:t>
      </w:r>
      <w:r>
        <w:rPr>
          <w:rFonts w:hint="eastAsia" w:ascii="仿宋" w:hAnsi="仿宋" w:eastAsia="仿宋" w:cs="仿宋"/>
          <w:color w:val="auto"/>
          <w:sz w:val="24"/>
          <w:szCs w:val="24"/>
          <w:highlight w:val="none"/>
        </w:rPr>
        <w:t>项目结算</w:t>
      </w:r>
      <w:r>
        <w:rPr>
          <w:rFonts w:hint="eastAsia" w:ascii="仿宋" w:hAnsi="仿宋" w:eastAsia="仿宋" w:cs="仿宋"/>
          <w:color w:val="auto"/>
          <w:sz w:val="24"/>
          <w:szCs w:val="24"/>
          <w:highlight w:val="none"/>
        </w:rPr>
        <w:t>金额</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实际翻拍加工数量×每页单价结算项目款项，最高结算金额不超过</w:t>
      </w:r>
      <w:r>
        <w:rPr>
          <w:rFonts w:hint="eastAsia" w:ascii="仿宋" w:hAnsi="仿宋" w:eastAsia="仿宋" w:cs="仿宋"/>
          <w:color w:val="auto"/>
          <w:sz w:val="24"/>
          <w:szCs w:val="24"/>
          <w:highlight w:val="none"/>
          <w:lang w:val="en-US" w:eastAsia="zh-CN"/>
        </w:rPr>
        <w:t>28万</w:t>
      </w:r>
      <w:r>
        <w:rPr>
          <w:rFonts w:hint="eastAsia" w:ascii="仿宋" w:hAnsi="仿宋" w:eastAsia="仿宋" w:cs="仿宋"/>
          <w:color w:val="auto"/>
          <w:sz w:val="24"/>
          <w:szCs w:val="24"/>
          <w:highlight w:val="none"/>
        </w:rPr>
        <w:t>元。</w:t>
      </w:r>
    </w:p>
    <w:p>
      <w:pPr>
        <w:pStyle w:val="964"/>
        <w:numPr>
          <w:ilvl w:val="0"/>
          <w:numId w:val="1"/>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▲兼容性：数字化病案图像浏览等软件兼容好，能方便医院后期的信息整合和调用等。必需充分了解我院现有病案数字化项目现状，整合为统一应用，统一成一个界面调用所有数字化相关数据，</w:t>
      </w:r>
      <w:r>
        <w:rPr>
          <w:rFonts w:hint="eastAsia" w:ascii="仿宋" w:hAnsi="仿宋" w:eastAsia="仿宋" w:cs="仿宋"/>
          <w:color w:val="auto"/>
          <w:sz w:val="24"/>
          <w:szCs w:val="24"/>
          <w:highlight w:val="none"/>
        </w:rPr>
        <w:t>并</w:t>
      </w:r>
      <w:r>
        <w:rPr>
          <w:rFonts w:hint="eastAsia" w:ascii="仿宋" w:hAnsi="仿宋" w:eastAsia="仿宋" w:cs="仿宋"/>
          <w:color w:val="auto"/>
          <w:sz w:val="24"/>
          <w:szCs w:val="24"/>
          <w:highlight w:val="none"/>
          <w:lang w:eastAsia="zh-CN"/>
        </w:rPr>
        <w:t>中标后</w:t>
      </w:r>
      <w:r>
        <w:rPr>
          <w:rFonts w:hint="eastAsia" w:ascii="仿宋" w:hAnsi="仿宋" w:eastAsia="仿宋" w:cs="仿宋"/>
          <w:color w:val="auto"/>
          <w:sz w:val="24"/>
          <w:szCs w:val="24"/>
          <w:highlight w:val="none"/>
        </w:rPr>
        <w:t>提供厂商承诺函</w:t>
      </w:r>
      <w:r>
        <w:rPr>
          <w:rFonts w:hint="eastAsia" w:ascii="仿宋" w:hAnsi="仿宋" w:eastAsia="仿宋" w:cs="仿宋"/>
          <w:color w:val="auto"/>
          <w:sz w:val="24"/>
          <w:szCs w:val="24"/>
          <w:highlight w:val="none"/>
        </w:rPr>
        <w:t>，如查实未能达到院方要求的承诺被视为虚假应标，院方将追究其责任，并终止合作。</w:t>
      </w:r>
    </w:p>
    <w:p>
      <w:pPr>
        <w:pStyle w:val="964"/>
        <w:numPr>
          <w:ilvl w:val="0"/>
          <w:numId w:val="1"/>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对原始纸质病案应用数码技术分页数字化加工制作，形成数码图像。</w:t>
      </w:r>
    </w:p>
    <w:p>
      <w:pPr>
        <w:pStyle w:val="964"/>
        <w:numPr>
          <w:ilvl w:val="0"/>
          <w:numId w:val="1"/>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▲图像高清，数字化病案的图像尺寸为2048×1536（310万像素）及以上，必须同时提供彩色图像和黑白图像二份图片。</w:t>
      </w:r>
    </w:p>
    <w:p>
      <w:pPr>
        <w:pStyle w:val="964"/>
        <w:numPr>
          <w:ilvl w:val="0"/>
          <w:numId w:val="1"/>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系统能够支持详细信息，可录入病案号，姓名，性别，年龄，出院日期，入院日期以及出院科室信息。</w:t>
      </w:r>
    </w:p>
    <w:p>
      <w:pPr>
        <w:pStyle w:val="964"/>
        <w:numPr>
          <w:ilvl w:val="0"/>
          <w:numId w:val="1"/>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原始纸质病案可以使用条形码技术装箱保存，定位管理，便于对原始纸质病案的快速查找。</w:t>
      </w:r>
    </w:p>
    <w:p>
      <w:pPr>
        <w:pStyle w:val="964"/>
        <w:numPr>
          <w:ilvl w:val="0"/>
          <w:numId w:val="1"/>
        </w:numPr>
        <w:spacing w:before="32" w:after="32" w:line="360" w:lineRule="auto"/>
        <w:ind w:left="420" w:leftChars="0" w:hanging="42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数字化病案系统是医院信息化建设的一部</w:t>
      </w:r>
      <w:r>
        <w:rPr>
          <w:rFonts w:hint="eastAsia" w:ascii="仿宋" w:hAnsi="仿宋" w:eastAsia="仿宋" w:cs="仿宋"/>
          <w:color w:val="auto"/>
          <w:sz w:val="24"/>
          <w:szCs w:val="24"/>
          <w:highlight w:val="none"/>
          <w:lang w:eastAsia="zh-CN"/>
        </w:rPr>
        <w:t>分</w:t>
      </w:r>
      <w:r>
        <w:rPr>
          <w:rFonts w:hint="eastAsia" w:ascii="仿宋" w:hAnsi="仿宋" w:eastAsia="仿宋" w:cs="仿宋"/>
          <w:color w:val="auto"/>
          <w:sz w:val="24"/>
          <w:szCs w:val="24"/>
          <w:highlight w:val="none"/>
        </w:rPr>
        <w:t>，需要整合到电子病历系统以及医院信息化平台中，以实现医院各系统的互联互通</w:t>
      </w:r>
      <w:r>
        <w:rPr>
          <w:rFonts w:hint="eastAsia" w:ascii="仿宋" w:hAnsi="仿宋" w:eastAsia="仿宋" w:cs="仿宋"/>
          <w:color w:val="auto"/>
          <w:sz w:val="24"/>
          <w:szCs w:val="24"/>
          <w:highlight w:val="none"/>
          <w:lang w:eastAsia="zh-CN"/>
        </w:rPr>
        <w:t>。</w:t>
      </w:r>
    </w:p>
    <w:p>
      <w:pPr>
        <w:pStyle w:val="964"/>
        <w:numPr>
          <w:ilvl w:val="0"/>
          <w:numId w:val="1"/>
        </w:numPr>
        <w:spacing w:before="32" w:after="32" w:line="360" w:lineRule="auto"/>
        <w:ind w:left="420" w:leftChars="0" w:hanging="42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服务地点由采购人提供。</w:t>
      </w:r>
    </w:p>
    <w:p>
      <w:pPr>
        <w:pStyle w:val="964"/>
        <w:numPr>
          <w:ilvl w:val="0"/>
          <w:numId w:val="1"/>
        </w:numPr>
        <w:spacing w:before="32" w:after="32" w:line="360" w:lineRule="auto"/>
        <w:ind w:left="420" w:leftChars="0" w:hanging="42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相关设备由中标人提供。</w:t>
      </w:r>
    </w:p>
    <w:p>
      <w:pPr>
        <w:spacing w:line="360" w:lineRule="auto"/>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（二）软件功能</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系统符合国家、卫生部等各种标准和规范，符合医院实际需求。</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系统采用开放性设计，能根据医院实际需求进行应用系统的功能重组。</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系统病案检索有单一和组合模式，按使用者需求检索所需病案。</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阅读显示病案图像具有水印，能防范数码相机偷拍。屏蔽非法拷贝病案，具有彩色和黑白阅读打印功能。</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有使用权限数字化病案功能；设有网络申请和审批使用数字化病案功能；设有授权的时段内（永久、年、月、日、小时）功能（超出时间范围自动屏蔽）；医保、商业保险公司以及公检法等外部用户可以按系统临时授予的权限查看病案。</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病案访问权限分为阅读、打印和导出三类，每一级权限向下兼容，访问控制包括用户组权限、科室权限、有效期限制、医学分类限制、IP地址限制、显示字段限制和特殊病案锁定。</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系统自动记录用户在系统内所有操作的详细日志，并可形成报表，便于回溯追踪。</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系统可实现对病案数据的磁盘备份，提供定时定期的数据备份以及还原功能。</w:t>
      </w:r>
    </w:p>
    <w:p>
      <w:pPr>
        <w:pStyle w:val="964"/>
        <w:numPr>
          <w:ilvl w:val="0"/>
          <w:numId w:val="2"/>
        </w:numPr>
        <w:spacing w:before="32" w:after="32"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数字化病案的图像清晰、无歪斜、打印清晰，每幅图像均有属性标注，病历索引数据与病历图像对应完全正确。</w:t>
      </w:r>
    </w:p>
    <w:p>
      <w:pPr>
        <w:pStyle w:val="964"/>
        <w:spacing w:before="32" w:after="32"/>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（三）数字化病案验收</w:t>
      </w:r>
    </w:p>
    <w:p>
      <w:pPr>
        <w:pStyle w:val="964"/>
        <w:numPr>
          <w:ilvl w:val="0"/>
          <w:numId w:val="3"/>
        </w:numPr>
        <w:spacing w:before="32" w:after="32"/>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验收方法：中标</w:t>
      </w:r>
      <w:r>
        <w:rPr>
          <w:rFonts w:hint="eastAsia" w:ascii="仿宋" w:hAnsi="仿宋" w:eastAsia="仿宋" w:cs="仿宋"/>
          <w:bCs/>
          <w:color w:val="auto"/>
          <w:sz w:val="24"/>
          <w:szCs w:val="24"/>
          <w:highlight w:val="none"/>
          <w:lang w:eastAsia="zh-CN"/>
        </w:rPr>
        <w:t>人</w:t>
      </w:r>
      <w:r>
        <w:rPr>
          <w:rFonts w:hint="eastAsia" w:ascii="仿宋" w:hAnsi="仿宋" w:eastAsia="仿宋" w:cs="仿宋"/>
          <w:bCs/>
          <w:color w:val="auto"/>
          <w:sz w:val="24"/>
          <w:szCs w:val="24"/>
          <w:highlight w:val="none"/>
        </w:rPr>
        <w:t>协助采购人随机抽查一定数量的病案图像和纸质病案，比例为</w:t>
      </w:r>
      <w:r>
        <w:rPr>
          <w:rFonts w:hint="eastAsia" w:ascii="仿宋" w:hAnsi="仿宋" w:eastAsia="仿宋" w:cs="仿宋"/>
          <w:color w:val="auto"/>
          <w:sz w:val="24"/>
          <w:szCs w:val="24"/>
          <w:highlight w:val="none"/>
        </w:rPr>
        <w:t>数字化病案</w:t>
      </w:r>
      <w:r>
        <w:rPr>
          <w:rFonts w:hint="eastAsia" w:ascii="仿宋" w:hAnsi="仿宋" w:eastAsia="仿宋" w:cs="仿宋"/>
          <w:bCs/>
          <w:color w:val="auto"/>
          <w:sz w:val="24"/>
          <w:szCs w:val="24"/>
          <w:highlight w:val="none"/>
        </w:rPr>
        <w:t>图像总数的3%，前、中、后随机抽查，并与纸质病案对照核对数量及质量。</w:t>
      </w:r>
    </w:p>
    <w:p>
      <w:pPr>
        <w:pStyle w:val="964"/>
        <w:spacing w:before="32" w:after="32"/>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rPr>
        <w:tab/>
      </w:r>
      <w:r>
        <w:rPr>
          <w:rFonts w:hint="eastAsia" w:ascii="仿宋" w:hAnsi="仿宋" w:eastAsia="仿宋" w:cs="仿宋"/>
          <w:bCs/>
          <w:color w:val="auto"/>
          <w:sz w:val="24"/>
          <w:szCs w:val="24"/>
          <w:highlight w:val="none"/>
        </w:rPr>
        <w:t>验收标准：</w:t>
      </w:r>
    </w:p>
    <w:p>
      <w:pPr>
        <w:pStyle w:val="964"/>
        <w:spacing w:before="32" w:after="32"/>
        <w:ind w:left="420" w:left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①</w:t>
      </w:r>
      <w:r>
        <w:rPr>
          <w:rFonts w:hint="eastAsia" w:ascii="仿宋" w:hAnsi="仿宋" w:eastAsia="仿宋" w:cs="仿宋"/>
          <w:bCs/>
          <w:color w:val="auto"/>
          <w:sz w:val="24"/>
          <w:szCs w:val="24"/>
          <w:highlight w:val="none"/>
        </w:rPr>
        <w:tab/>
      </w:r>
      <w:r>
        <w:rPr>
          <w:rFonts w:hint="eastAsia" w:ascii="仿宋" w:hAnsi="仿宋" w:eastAsia="仿宋" w:cs="仿宋"/>
          <w:color w:val="auto"/>
          <w:sz w:val="24"/>
          <w:szCs w:val="24"/>
          <w:highlight w:val="none"/>
        </w:rPr>
        <w:t>数字化病案</w:t>
      </w:r>
      <w:r>
        <w:rPr>
          <w:rFonts w:hint="eastAsia" w:ascii="仿宋" w:hAnsi="仿宋" w:eastAsia="仿宋" w:cs="仿宋"/>
          <w:bCs/>
          <w:color w:val="auto"/>
          <w:sz w:val="24"/>
          <w:szCs w:val="24"/>
          <w:highlight w:val="none"/>
        </w:rPr>
        <w:t>图像是否与纸质病案完全一致</w:t>
      </w:r>
      <w:r>
        <w:rPr>
          <w:rFonts w:hint="eastAsia" w:ascii="仿宋" w:hAnsi="仿宋" w:eastAsia="仿宋" w:cs="仿宋"/>
          <w:bCs/>
          <w:color w:val="auto"/>
          <w:sz w:val="24"/>
          <w:szCs w:val="24"/>
          <w:highlight w:val="none"/>
          <w:lang w:eastAsia="zh-CN"/>
        </w:rPr>
        <w:t>；</w:t>
      </w:r>
    </w:p>
    <w:p>
      <w:pPr>
        <w:pStyle w:val="964"/>
        <w:spacing w:before="32" w:after="32"/>
        <w:ind w:left="420" w:left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②</w:t>
      </w:r>
      <w:r>
        <w:rPr>
          <w:rFonts w:hint="eastAsia" w:ascii="仿宋" w:hAnsi="仿宋" w:eastAsia="仿宋" w:cs="仿宋"/>
          <w:bCs/>
          <w:color w:val="auto"/>
          <w:sz w:val="24"/>
          <w:szCs w:val="24"/>
          <w:highlight w:val="none"/>
        </w:rPr>
        <w:tab/>
      </w:r>
      <w:r>
        <w:rPr>
          <w:rFonts w:hint="eastAsia" w:ascii="仿宋" w:hAnsi="仿宋" w:eastAsia="仿宋" w:cs="仿宋"/>
          <w:color w:val="auto"/>
          <w:sz w:val="24"/>
          <w:szCs w:val="24"/>
          <w:highlight w:val="none"/>
        </w:rPr>
        <w:t>数字化病案</w:t>
      </w:r>
      <w:r>
        <w:rPr>
          <w:rFonts w:hint="eastAsia" w:ascii="仿宋" w:hAnsi="仿宋" w:eastAsia="仿宋" w:cs="仿宋"/>
          <w:bCs/>
          <w:color w:val="auto"/>
          <w:sz w:val="24"/>
          <w:szCs w:val="24"/>
          <w:highlight w:val="none"/>
        </w:rPr>
        <w:t>图像格式和清晰度是否符合要求；</w:t>
      </w:r>
    </w:p>
    <w:p>
      <w:pPr>
        <w:pStyle w:val="964"/>
        <w:spacing w:before="32" w:after="32"/>
        <w:ind w:left="420" w:left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③</w:t>
      </w:r>
      <w:r>
        <w:rPr>
          <w:rFonts w:hint="eastAsia" w:ascii="仿宋" w:hAnsi="仿宋" w:eastAsia="仿宋" w:cs="仿宋"/>
          <w:bCs/>
          <w:color w:val="auto"/>
          <w:sz w:val="24"/>
          <w:szCs w:val="24"/>
          <w:highlight w:val="none"/>
        </w:rPr>
        <w:tab/>
      </w:r>
      <w:r>
        <w:rPr>
          <w:rFonts w:hint="eastAsia" w:ascii="仿宋" w:hAnsi="仿宋" w:eastAsia="仿宋" w:cs="仿宋"/>
          <w:color w:val="auto"/>
          <w:sz w:val="24"/>
          <w:szCs w:val="24"/>
          <w:highlight w:val="none"/>
        </w:rPr>
        <w:t>数字化病案</w:t>
      </w:r>
      <w:r>
        <w:rPr>
          <w:rFonts w:hint="eastAsia" w:ascii="仿宋" w:hAnsi="仿宋" w:eastAsia="仿宋" w:cs="仿宋"/>
          <w:bCs/>
          <w:color w:val="auto"/>
          <w:sz w:val="24"/>
          <w:szCs w:val="24"/>
          <w:highlight w:val="none"/>
        </w:rPr>
        <w:t>的文件夹命名是否合乎标准，是否已分段；</w:t>
      </w:r>
    </w:p>
    <w:p>
      <w:pPr>
        <w:pStyle w:val="964"/>
        <w:spacing w:before="32" w:after="32"/>
        <w:ind w:left="420" w:left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rPr>
        <w:t>④</w:t>
      </w:r>
      <w:r>
        <w:rPr>
          <w:rFonts w:hint="eastAsia" w:ascii="仿宋" w:hAnsi="仿宋" w:eastAsia="仿宋" w:cs="仿宋"/>
          <w:bCs/>
          <w:color w:val="auto"/>
          <w:sz w:val="24"/>
          <w:szCs w:val="24"/>
          <w:highlight w:val="none"/>
        </w:rPr>
        <w:tab/>
      </w:r>
      <w:r>
        <w:rPr>
          <w:rFonts w:hint="eastAsia" w:ascii="仿宋" w:hAnsi="仿宋" w:eastAsia="仿宋" w:cs="仿宋"/>
          <w:bCs/>
          <w:color w:val="auto"/>
          <w:sz w:val="24"/>
          <w:szCs w:val="24"/>
          <w:highlight w:val="none"/>
        </w:rPr>
        <w:t>差错率：依据“纸质档案数字化技术标准（中华人民共和国档案行业标准 DA/T31-2005）”11.2.2之规定，数字化转换质量抽检的合格率应≧95%</w:t>
      </w:r>
      <w:r>
        <w:rPr>
          <w:rFonts w:hint="eastAsia" w:ascii="仿宋" w:hAnsi="仿宋" w:eastAsia="仿宋" w:cs="仿宋"/>
          <w:bCs/>
          <w:color w:val="auto"/>
          <w:sz w:val="24"/>
          <w:szCs w:val="24"/>
          <w:highlight w:val="none"/>
          <w:lang w:eastAsia="zh-CN"/>
        </w:rPr>
        <w:t>；</w:t>
      </w:r>
    </w:p>
    <w:p>
      <w:pPr>
        <w:pStyle w:val="964"/>
        <w:spacing w:before="32" w:after="32"/>
        <w:ind w:left="420" w:left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⑤</w:t>
      </w:r>
      <w:r>
        <w:rPr>
          <w:rFonts w:hint="eastAsia" w:ascii="仿宋" w:hAnsi="仿宋" w:eastAsia="仿宋" w:cs="仿宋"/>
          <w:bCs/>
          <w:color w:val="auto"/>
          <w:sz w:val="24"/>
          <w:szCs w:val="24"/>
          <w:highlight w:val="none"/>
        </w:rPr>
        <w:tab/>
      </w:r>
      <w:r>
        <w:rPr>
          <w:rFonts w:hint="eastAsia" w:ascii="仿宋" w:hAnsi="仿宋" w:eastAsia="仿宋" w:cs="仿宋"/>
          <w:bCs/>
          <w:color w:val="auto"/>
          <w:sz w:val="24"/>
          <w:szCs w:val="24"/>
          <w:highlight w:val="none"/>
        </w:rPr>
        <w:t>首页信息的主要数据项（姓名、病案号、出院日期、主要诊断、手术）的差错率不得超过3‰。</w:t>
      </w:r>
    </w:p>
    <w:p>
      <w:pPr>
        <w:pStyle w:val="964"/>
        <w:spacing w:before="32" w:after="32"/>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r>
        <w:rPr>
          <w:rFonts w:hint="eastAsia" w:ascii="仿宋" w:hAnsi="仿宋" w:eastAsia="仿宋" w:cs="仿宋"/>
          <w:bCs/>
          <w:color w:val="auto"/>
          <w:sz w:val="24"/>
          <w:szCs w:val="24"/>
          <w:highlight w:val="none"/>
        </w:rPr>
        <w:tab/>
      </w:r>
      <w:r>
        <w:rPr>
          <w:rFonts w:hint="eastAsia" w:ascii="仿宋" w:hAnsi="仿宋" w:eastAsia="仿宋" w:cs="仿宋"/>
          <w:bCs/>
          <w:color w:val="auto"/>
          <w:sz w:val="24"/>
          <w:szCs w:val="24"/>
          <w:highlight w:val="none"/>
        </w:rPr>
        <w:t>验收流程：</w:t>
      </w:r>
    </w:p>
    <w:p>
      <w:pPr>
        <w:pStyle w:val="94"/>
        <w:spacing w:before="64" w:after="64"/>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lang w:eastAsia="zh-CN"/>
        </w:rPr>
        <w:t>完成数字化扫描</w:t>
      </w:r>
      <w:r>
        <w:rPr>
          <w:rFonts w:hint="eastAsia" w:ascii="仿宋" w:hAnsi="仿宋" w:eastAsia="仿宋" w:cs="仿宋"/>
          <w:color w:val="auto"/>
          <w:sz w:val="24"/>
          <w:szCs w:val="24"/>
          <w:highlight w:val="none"/>
        </w:rPr>
        <w:t>后，向采购人申请验收，采购人应当在一周内完成验收。若采购人验收不合格，供应商应在10个工作日的纠正期内完成纠正工作，并由采购人再次验收直至验收合格。</w:t>
      </w:r>
      <w:r>
        <w:rPr>
          <w:rFonts w:hint="eastAsia" w:ascii="仿宋" w:hAnsi="仿宋" w:eastAsia="仿宋" w:cs="仿宋"/>
          <w:bCs/>
          <w:color w:val="auto"/>
          <w:sz w:val="24"/>
          <w:szCs w:val="24"/>
          <w:highlight w:val="none"/>
        </w:rPr>
        <w:t xml:space="preserve">连续3次更改不合格，供应商应按不合格病历10元/份处罚。  </w:t>
      </w:r>
    </w:p>
    <w:p>
      <w:pPr>
        <w:pStyle w:val="964"/>
        <w:spacing w:before="32" w:after="32"/>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（四）软件模块要求</w:t>
      </w:r>
    </w:p>
    <w:p>
      <w:pPr>
        <w:pStyle w:val="964"/>
        <w:numPr>
          <w:ilvl w:val="0"/>
          <w:numId w:val="4"/>
        </w:numPr>
        <w:spacing w:before="32" w:after="3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数字化病案应用系统</w:t>
      </w:r>
    </w:p>
    <w:p>
      <w:pPr>
        <w:numPr>
          <w:ilvl w:val="0"/>
          <w:numId w:val="5"/>
        </w:numPr>
        <w:spacing w:line="360" w:lineRule="auto"/>
        <w:ind w:left="315" w:leftChars="15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权限管理模块</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用户管理：管理内部及外部用户的信息，可以对系统登录用户的信息进行查询/添加/修改/删除。</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用户组管理：查询/添加/修改/删除用户组，并可设置人员所属的用户组。</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用户组权限：设置用户组所拥有的系统功能的权限。</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科室管理：查询/添加/修改/删除科室信息，并可维护科室下包含的人员。</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权限配置：配置病案浏览的权限（按用户及按用户组），可以按照用户的方式一个个地进行病案权限的配置，也可以按照用户组的方式进行整体分配（如直接将某个科室的病案分配给用户组），同时也可以设置病案图片医学分类的权限，可以分别设置病案的阅读，打印及导出的权限。</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医学分类模板：设置病案图片的医学分类权限模板，在为病案分配权限时可以直接引用该模板，无需重复设置。</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访问权限控制：可以设置禁止访问的机器的IP，被禁止访问的IP对应的机器就无法使用本系统。</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显示字段控制：可以设置在浏览器中浏览病案时列表中所显示的字段。可以在用户级别和用户组级别上进行显示权限的控制。</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水印设置：可以制作在打印时叠加上去的水印，并且在打印病案的时候可以将其叠加到病案图片上。</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病案锁定：可以将一些特殊的病案进行锁定，被锁定的病案将无法在浏览器中被查询到。</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病案申请审批：对浏览器中提交过来的病案阅读申请进行审批，可以为申请的病案设定阅读的时限等。</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监控中心：查看各个系统的用户的使用的情况，包括：用户是否在线，用户有申请需要审批，用户的浏览病案的历史情况，用户权限等。</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病案错误报告：处理病案浏览器上用户反馈上来的病案错误（如：图片缺页/分类错误等）。</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病案定位：查询病案在库房中的位置，可按病人姓名，病案号，出院日期，条码号，打包号，库房号或库位名查询，并生成统计报表。</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病案导出：可以将选择好病案进行打包压缩导出，配合相应的浏览工具可在离线的环境下浏览。</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病案浏览统计：可查询用户、科室在某一时间段内数字化病案使用情况，并生成统计报表。</w:t>
      </w:r>
    </w:p>
    <w:p>
      <w:pPr>
        <w:numPr>
          <w:ilvl w:val="0"/>
          <w:numId w:val="5"/>
        </w:numPr>
        <w:spacing w:line="360" w:lineRule="auto"/>
        <w:ind w:left="315" w:leftChars="15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检索模块</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关键词搜索：一个简洁的搜索方式，类似google的搜索方式。可以选择搜索分类（病案号/疾病/手术/科室/病人姓名/医生），多关键词搜索（可以填写多个搜索关键词及指定关键词之间的关系），精确与模糊的搜索方式。</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高级搜索：可以按照列出的各种查询条件对病案进行查询，这种检索方式常用于检索条件比较多的情况下。</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自定义搜索：可以自定义组织查询条件的组合进行搜索。这种检索方式常用于需检索的条件比较复杂的情况下。</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经典搜索：传统的检索方式，左边是检索条件右边是检索结果。在检索时还可设定病案图片的医学分类，以便在查看病案图片时过滤掉无需查看的图片。</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病案搜索结果：拥有两种显示结果的模式：列表方式与自由布局方式。列表方式为最常见的一行一行的显示，自由布局方式为卡片时效果，一份病案即一张卡片，显示效果清晰。</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图片浏览：对病案图片的浏览进行了严格的权限控制（阅读/打印/导出）。可以设置需要过滤的图片分类（例如只显示病案首页或病程录等），查看病案图片的同时可利用提供的‘浏览工具箱’对图片进行一系列的处理（如放大/缩小/全屏/黑白彩色切换/裁剪/打印等等）。浏览期间可对感兴趣的病案收藏到收藏夹并且可以填写笔记。显示病案图片时可以设置阅读水印，用于病案的保护。</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病案收藏夹：用于显示及搜索在浏览病案时收藏的病案并且可以显示当时记录的病案笔记，类似IE浏览器的网页收藏夹。</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申请查看：可以浏览并查询用户曾经申请过的需要查阅的病案的记录，及时了解审批情况。</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浏览历史：查询用户曾经浏览过的病案记录，类似IE浏览器的历史记录，可以方便用户查看以往浏览过的病案，而无须再一次搜索。</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个性化设置：可以按照用户个人的喜好设置一些系统设置，如：首页显示（进入系统后显示的第一个界面），浏览结果的显示方式（检索结果每页显示的条数/检索结果排列的方式等），医学分类的设置（用于在浏览图片时预先过滤无需查看的病案），病案图片打印的设置（纸张/水印等）等。</w:t>
      </w:r>
    </w:p>
    <w:p>
      <w:pPr>
        <w:numPr>
          <w:ilvl w:val="0"/>
          <w:numId w:val="5"/>
        </w:numPr>
        <w:spacing w:line="360" w:lineRule="auto"/>
        <w:ind w:left="315" w:leftChars="15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打印模块</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打印申请：维护申请打印人员的信息及申请分类（打印或复印），可拍摄证件并归档保存，查询并选择需打印的病案，同时统计所需费用，并可自己调整实际收费。</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快速打印：仅登记简单的打印申请信息，选择病案直接打印。</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集中打印：未打印过的病案可以统一处理，按照申请人的记录完成打印任务。</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集中复印：对未复印的病案进行集中统一处理。</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申请查询：查询申请过打印或复印的申请人信息，并可查看申请人相应的申请信息，证件照，打印的病案记录，费用等。</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打印参数：设置默认的打印参数（纸张大小/图片色彩/打印份数/打印分类及顺序/收费模式）</w:t>
      </w:r>
      <w:r>
        <w:rPr>
          <w:rFonts w:hint="eastAsia" w:ascii="仿宋" w:hAnsi="仿宋" w:eastAsia="仿宋" w:cs="仿宋"/>
          <w:color w:val="auto"/>
          <w:sz w:val="24"/>
          <w:szCs w:val="24"/>
          <w:highlight w:val="none"/>
          <w:lang w:eastAsia="zh-CN"/>
        </w:rPr>
        <w:t>。</w:t>
      </w:r>
    </w:p>
    <w:p>
      <w:pPr>
        <w:numPr>
          <w:ilvl w:val="0"/>
          <w:numId w:val="6"/>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打印明细：按时间段及申请人统计申请人打印的病案的明细记录。</w:t>
      </w:r>
    </w:p>
    <w:p>
      <w:pPr>
        <w:numPr>
          <w:ilvl w:val="0"/>
          <w:numId w:val="6"/>
        </w:num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复印明细：按时间段及申请人统计申请人复印的病案的明细记录。</w:t>
      </w:r>
    </w:p>
    <w:p>
      <w:pPr>
        <w:numPr>
          <w:ilvl w:val="0"/>
          <w:numId w:val="6"/>
        </w:numPr>
        <w:spacing w:line="360" w:lineRule="auto"/>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邮寄明细：按时间段、申请人及邮寄状态统计病案邮寄的明细记录。</w:t>
      </w:r>
    </w:p>
    <w:p>
      <w:pPr>
        <w:pStyle w:val="964"/>
        <w:spacing w:before="32" w:after="32"/>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（五）系统接口要求</w:t>
      </w:r>
    </w:p>
    <w:p>
      <w:pPr>
        <w:pStyle w:val="885"/>
        <w:numPr>
          <w:ilvl w:val="0"/>
          <w:numId w:val="0"/>
        </w:numPr>
        <w:tabs>
          <w:tab w:val="left" w:pos="420"/>
          <w:tab w:val="clear" w:pos="785"/>
        </w:tabs>
        <w:spacing w:before="32" w:after="32"/>
        <w:ind w:left="425" w:leftChars="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病案首页系统接口：可导入已有的病案首页信息；</w:t>
      </w:r>
      <w:r>
        <w:rPr>
          <w:rFonts w:hint="eastAsia" w:ascii="仿宋" w:hAnsi="仿宋" w:eastAsia="仿宋" w:cs="仿宋"/>
          <w:color w:val="auto"/>
          <w:sz w:val="24"/>
          <w:szCs w:val="24"/>
          <w:highlight w:val="none"/>
          <w:lang w:eastAsia="zh-CN"/>
        </w:rPr>
        <w:t>能满足使用人查询是否漏拍。</w:t>
      </w:r>
    </w:p>
    <w:p>
      <w:pPr>
        <w:pStyle w:val="964"/>
        <w:spacing w:before="32" w:after="32"/>
        <w:ind w:firstLine="241" w:firstLineChars="1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（六）售后服务</w:t>
      </w:r>
    </w:p>
    <w:p>
      <w:pPr>
        <w:pStyle w:val="964"/>
        <w:keepNext w:val="0"/>
        <w:keepLines w:val="0"/>
        <w:pageBreakBefore w:val="0"/>
        <w:widowControl w:val="0"/>
        <w:kinsoku/>
        <w:wordWrap/>
        <w:overflowPunct/>
        <w:topLinePunct w:val="0"/>
        <w:bidi w:val="0"/>
        <w:snapToGrid/>
        <w:spacing w:before="0" w:beforeLines="0" w:after="0" w:afterLines="0" w:line="360" w:lineRule="auto"/>
        <w:ind w:left="420" w:leftChars="200" w:firstLine="120" w:firstLineChars="50"/>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▲软件</w:t>
      </w:r>
      <w:r>
        <w:rPr>
          <w:rFonts w:hint="eastAsia" w:ascii="仿宋" w:hAnsi="仿宋" w:eastAsia="仿宋" w:cs="仿宋"/>
          <w:color w:val="auto"/>
          <w:sz w:val="24"/>
          <w:szCs w:val="24"/>
          <w:highlight w:val="none"/>
          <w:lang w:eastAsia="zh-CN"/>
        </w:rPr>
        <w:t>永久</w:t>
      </w:r>
      <w:r>
        <w:rPr>
          <w:rFonts w:hint="eastAsia" w:ascii="仿宋" w:hAnsi="仿宋" w:eastAsia="仿宋" w:cs="仿宋"/>
          <w:color w:val="auto"/>
          <w:sz w:val="24"/>
          <w:szCs w:val="24"/>
          <w:highlight w:val="none"/>
        </w:rPr>
        <w:t>免费</w:t>
      </w:r>
      <w:r>
        <w:rPr>
          <w:rFonts w:hint="eastAsia" w:ascii="仿宋" w:hAnsi="仿宋" w:eastAsia="仿宋" w:cs="仿宋"/>
          <w:color w:val="auto"/>
          <w:sz w:val="24"/>
          <w:szCs w:val="24"/>
          <w:highlight w:val="none"/>
          <w:lang w:eastAsia="zh-CN"/>
        </w:rPr>
        <w:t>使用。服务期内</w:t>
      </w:r>
      <w:r>
        <w:rPr>
          <w:rFonts w:hint="eastAsia" w:ascii="仿宋" w:hAnsi="仿宋" w:eastAsia="仿宋" w:cs="仿宋"/>
          <w:color w:val="auto"/>
          <w:sz w:val="24"/>
          <w:szCs w:val="24"/>
          <w:highlight w:val="none"/>
        </w:rPr>
        <w:t>故障报修的响应时间：</w:t>
      </w:r>
      <w:r>
        <w:rPr>
          <w:rFonts w:hint="eastAsia" w:ascii="仿宋" w:hAnsi="仿宋" w:eastAsia="仿宋" w:cs="仿宋"/>
          <w:color w:val="auto"/>
          <w:sz w:val="24"/>
          <w:szCs w:val="24"/>
          <w:highlight w:val="none"/>
          <w:lang w:eastAsia="zh-CN"/>
        </w:rPr>
        <w:t>工作日（</w:t>
      </w:r>
      <w:r>
        <w:rPr>
          <w:rFonts w:hint="eastAsia" w:ascii="仿宋" w:hAnsi="仿宋" w:eastAsia="仿宋" w:cs="仿宋"/>
          <w:color w:val="auto"/>
          <w:sz w:val="24"/>
          <w:szCs w:val="24"/>
          <w:highlight w:val="none"/>
        </w:rPr>
        <w:t>周一至周五9:00～17:00</w:t>
      </w:r>
      <w:r>
        <w:rPr>
          <w:rFonts w:hint="eastAsia" w:ascii="仿宋" w:hAnsi="仿宋" w:eastAsia="仿宋" w:cs="仿宋"/>
          <w:color w:val="auto"/>
          <w:sz w:val="24"/>
          <w:szCs w:val="24"/>
          <w:highlight w:val="none"/>
          <w:lang w:eastAsia="zh-CN"/>
        </w:rPr>
        <w:t>）响应时间</w:t>
      </w:r>
      <w:r>
        <w:rPr>
          <w:rFonts w:hint="eastAsia" w:ascii="仿宋" w:hAnsi="仿宋" w:eastAsia="仿宋" w:cs="仿宋"/>
          <w:color w:val="auto"/>
          <w:sz w:val="24"/>
          <w:szCs w:val="24"/>
          <w:highlight w:val="none"/>
          <w:lang w:val="en-US" w:eastAsia="zh-CN"/>
        </w:rPr>
        <w:t>2小时</w:t>
      </w:r>
      <w:r>
        <w:rPr>
          <w:rFonts w:hint="eastAsia" w:ascii="仿宋" w:hAnsi="仿宋" w:eastAsia="仿宋" w:cs="仿宋"/>
          <w:color w:val="auto"/>
          <w:sz w:val="24"/>
          <w:szCs w:val="24"/>
          <w:highlight w:val="none"/>
        </w:rPr>
        <w:t>。若电话中无法解决，</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rPr>
        <w:t>8小时内到达现场进行维护。</w:t>
      </w:r>
    </w:p>
    <w:p>
      <w:pPr>
        <w:pStyle w:val="80"/>
        <w:keepNext w:val="0"/>
        <w:keepLines w:val="0"/>
        <w:pageBreakBefore w:val="0"/>
        <w:widowControl w:val="0"/>
        <w:numPr>
          <w:ilvl w:val="0"/>
          <w:numId w:val="7"/>
        </w:numPr>
        <w:kinsoku/>
        <w:wordWrap/>
        <w:overflowPunct/>
        <w:topLinePunct w:val="0"/>
        <w:bidi w:val="0"/>
        <w:snapToGrid/>
        <w:spacing w:line="360" w:lineRule="auto"/>
        <w:ind w:left="345"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b/>
          <w:bCs/>
          <w:sz w:val="24"/>
          <w:szCs w:val="24"/>
          <w:highlight w:val="none"/>
          <w:lang w:val="en-US" w:eastAsia="zh-CN"/>
        </w:rPr>
        <w:t>其他知识产权要求</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1、中标人应保证所提供的系统或其任何一部分均不会侵犯任何第三方的知识产权。</w:t>
      </w:r>
    </w:p>
    <w:p>
      <w:pPr>
        <w:pStyle w:val="80"/>
        <w:keepNext w:val="0"/>
        <w:keepLines w:val="0"/>
        <w:pageBreakBefore w:val="0"/>
        <w:widowControl w:val="0"/>
        <w:numPr>
          <w:ilvl w:val="0"/>
          <w:numId w:val="0"/>
        </w:numPr>
        <w:kinsoku/>
        <w:wordWrap/>
        <w:overflowPunct/>
        <w:topLinePunct w:val="0"/>
        <w:bidi w:val="0"/>
        <w:snapToGrid/>
        <w:spacing w:line="360" w:lineRule="auto"/>
        <w:ind w:left="345" w:leftChars="0"/>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2、本项目所有成果知识产权归采购人所有，采购人有权在其他项目上运用该项目成果。未经采购人书面同意，成果不得擅自扩散或提供给第三方使用。</w:t>
      </w:r>
      <w:r>
        <w:rPr>
          <w:rFonts w:hint="eastAsia" w:ascii="仿宋" w:hAnsi="仿宋" w:eastAsia="仿宋" w:cs="仿宋"/>
          <w:color w:val="auto"/>
          <w:kern w:val="2"/>
          <w:sz w:val="24"/>
          <w:szCs w:val="24"/>
          <w:highlight w:val="none"/>
          <w:lang w:val="en-US" w:eastAsia="zh-CN" w:bidi="ar-SA"/>
        </w:rPr>
        <w:br w:type="textWrapping"/>
      </w:r>
      <w:r>
        <w:rPr>
          <w:rFonts w:hint="eastAsia" w:ascii="仿宋" w:hAnsi="仿宋" w:eastAsia="仿宋" w:cs="仿宋"/>
          <w:color w:val="auto"/>
          <w:kern w:val="2"/>
          <w:sz w:val="24"/>
          <w:szCs w:val="24"/>
          <w:highlight w:val="none"/>
          <w:lang w:val="en-US" w:eastAsia="zh-CN" w:bidi="ar-SA"/>
        </w:rPr>
        <w:t>3、中标人应保证采购人在软件使用过程中，免受第三方提出的侵权起诉。如发生此类纠纷，由中标人承担一切责任并负责解决。</w:t>
      </w:r>
    </w:p>
    <w:p>
      <w:pPr>
        <w:pStyle w:val="80"/>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（八）付款方式</w:t>
      </w:r>
    </w:p>
    <w:p>
      <w:pPr>
        <w:pStyle w:val="80"/>
        <w:keepNext w:val="0"/>
        <w:keepLines w:val="0"/>
        <w:pageBreakBefore w:val="0"/>
        <w:widowControl w:val="0"/>
        <w:kinsoku/>
        <w:wordWrap/>
        <w:overflowPunct/>
        <w:topLinePunct w:val="0"/>
        <w:bidi w:val="0"/>
        <w:snapToGrid/>
        <w:spacing w:line="360" w:lineRule="auto"/>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bidi="ar-SA"/>
        </w:rPr>
        <w:t xml:space="preserve"> 按《浙江省财政厅关于进一步发挥政府采购政策 功能全力推动经济稳进提质的通知》（浙财采监〔2022〕3号）文件要求执行，具体付款方式由双方协商后在合同中明确。</w:t>
      </w:r>
    </w:p>
    <w:p>
      <w:pPr>
        <w:ind w:firstLine="482" w:firstLineChars="200"/>
        <w:jc w:val="left"/>
        <w:outlineLvl w:val="0"/>
        <w:rPr>
          <w:rFonts w:hint="eastAsia" w:ascii="仿宋" w:hAnsi="仿宋" w:eastAsia="仿宋" w:cs="仿宋"/>
          <w:b/>
          <w:color w:val="auto"/>
          <w:sz w:val="24"/>
          <w:szCs w:val="24"/>
          <w:highlight w:val="none"/>
          <w:bdr w:val="single" w:color="auto" w:sz="4" w:space="0"/>
        </w:rPr>
      </w:pPr>
    </w:p>
    <w:p>
      <w:pPr>
        <w:ind w:firstLine="482" w:firstLineChars="200"/>
        <w:jc w:val="left"/>
        <w:outlineLvl w:val="0"/>
        <w:rPr>
          <w:rFonts w:hint="eastAsia" w:ascii="仿宋_GB2312" w:hAnsi="宋体" w:eastAsia="仿宋_GB2312"/>
          <w:b/>
          <w:color w:val="auto"/>
          <w:sz w:val="24"/>
          <w:szCs w:val="24"/>
          <w:highlight w:val="none"/>
          <w:lang w:eastAsia="zh-CN"/>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2</w:t>
      </w:r>
      <w:r>
        <w:rPr>
          <w:rFonts w:hint="eastAsia" w:ascii="仿宋" w:hAnsi="仿宋" w:eastAsia="仿宋" w:cs="仿宋"/>
          <w:b/>
          <w:color w:val="auto"/>
          <w:sz w:val="24"/>
          <w:szCs w:val="24"/>
          <w:highlight w:val="none"/>
          <w:bdr w:val="single" w:color="auto" w:sz="4" w:space="0"/>
        </w:rPr>
        <w:t>标</w:t>
      </w:r>
      <w:r>
        <w:rPr>
          <w:rFonts w:hint="eastAsia" w:ascii="仿宋_GB2312" w:hAnsi="宋体" w:eastAsia="仿宋_GB2312"/>
          <w:b/>
          <w:color w:val="auto"/>
          <w:sz w:val="24"/>
          <w:szCs w:val="24"/>
          <w:highlight w:val="none"/>
          <w:lang w:val="en-US" w:eastAsia="zh-CN"/>
        </w:rPr>
        <w:t>三级等保</w:t>
      </w:r>
      <w:r>
        <w:rPr>
          <w:rFonts w:hint="eastAsia" w:ascii="仿宋_GB2312" w:hAnsi="宋体" w:eastAsia="仿宋_GB2312"/>
          <w:b/>
          <w:color w:val="auto"/>
          <w:sz w:val="24"/>
          <w:szCs w:val="24"/>
          <w:highlight w:val="none"/>
          <w:lang w:eastAsia="zh-CN"/>
        </w:rPr>
        <w:t>，本项目上限价：</w:t>
      </w:r>
      <w:r>
        <w:rPr>
          <w:rFonts w:hint="eastAsia" w:ascii="仿宋_GB2312" w:hAnsi="宋体" w:eastAsia="仿宋_GB2312"/>
          <w:b/>
          <w:color w:val="auto"/>
          <w:sz w:val="24"/>
          <w:szCs w:val="24"/>
          <w:highlight w:val="none"/>
          <w:lang w:val="en-US" w:eastAsia="zh-CN"/>
        </w:rPr>
        <w:t>21</w:t>
      </w:r>
      <w:r>
        <w:rPr>
          <w:rFonts w:hint="eastAsia" w:ascii="仿宋_GB2312" w:hAnsi="宋体" w:eastAsia="仿宋_GB2312"/>
          <w:b/>
          <w:color w:val="auto"/>
          <w:sz w:val="24"/>
          <w:szCs w:val="24"/>
          <w:highlight w:val="none"/>
          <w:lang w:eastAsia="zh-CN"/>
        </w:rPr>
        <w:t>万元。合同期限：自合同签订之日起一年。</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2"/>
        <w:gridCol w:w="5623"/>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项目</w:t>
            </w:r>
          </w:p>
        </w:tc>
        <w:tc>
          <w:tcPr>
            <w:tcW w:w="3310"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明细内容</w:t>
            </w:r>
          </w:p>
        </w:tc>
        <w:tc>
          <w:tcPr>
            <w:tcW w:w="681"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r>
              <w:rPr>
                <w:rFonts w:hint="eastAsia" w:ascii="仿宋" w:hAnsi="仿宋" w:eastAsia="仿宋" w:cs="仿宋"/>
                <w:color w:val="000000"/>
                <w:kern w:val="0"/>
                <w:sz w:val="24"/>
                <w:szCs w:val="24"/>
                <w:highlight w:val="none"/>
                <w:lang w:eastAsia="zh-CN" w:bidi="ar"/>
              </w:rPr>
              <w:t>预算</w:t>
            </w:r>
            <w:r>
              <w:rPr>
                <w:rFonts w:hint="eastAsia" w:ascii="仿宋" w:hAnsi="仿宋" w:eastAsia="仿宋" w:cs="仿宋"/>
                <w:color w:val="000000"/>
                <w:kern w:val="0"/>
                <w:sz w:val="24"/>
                <w:szCs w:val="24"/>
                <w:highlight w:val="none"/>
                <w:lang w:bidi="ar"/>
              </w:rPr>
              <w:t>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pct"/>
            <w:vMerge w:val="restar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rPr>
            </w:pPr>
            <w:r>
              <w:rPr>
                <w:rFonts w:hint="eastAsia" w:ascii="仿宋" w:hAnsi="仿宋" w:eastAsia="仿宋" w:cs="仿宋"/>
                <w:bCs/>
                <w:sz w:val="24"/>
                <w:szCs w:val="24"/>
                <w:highlight w:val="none"/>
                <w:shd w:val="clear" w:color="auto" w:fill="FBFDFE"/>
                <w:vertAlign w:val="baseline"/>
                <w:lang w:val="en-US" w:eastAsia="zh-CN"/>
              </w:rPr>
              <w:t>三级等保项目</w:t>
            </w:r>
          </w:p>
        </w:tc>
        <w:tc>
          <w:tcPr>
            <w:tcW w:w="3310"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color w:val="auto"/>
                <w:kern w:val="0"/>
                <w:sz w:val="24"/>
                <w:szCs w:val="24"/>
                <w:highlight w:val="none"/>
              </w:rPr>
              <w:t>信息安全等级保护（三级）测评项目（</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个三级等保测评）</w:t>
            </w:r>
          </w:p>
        </w:tc>
        <w:tc>
          <w:tcPr>
            <w:tcW w:w="681" w:type="pct"/>
            <w:vMerge w:val="restar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bCs/>
                <w:sz w:val="24"/>
                <w:szCs w:val="24"/>
                <w:highlight w:val="none"/>
                <w:shd w:val="clear" w:color="auto" w:fill="FBFDFE"/>
                <w:vertAlign w:val="baseline"/>
                <w:lang w:val="en-US" w:eastAsia="zh-CN"/>
              </w:rPr>
              <w:t>21万元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pct"/>
            <w:vMerge w:val="continue"/>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p>
        </w:tc>
        <w:tc>
          <w:tcPr>
            <w:tcW w:w="3310"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color w:val="auto"/>
                <w:kern w:val="0"/>
                <w:sz w:val="24"/>
                <w:szCs w:val="24"/>
                <w:highlight w:val="none"/>
              </w:rPr>
              <w:t>信息安全等级保护（二级）测评项目（1个</w:t>
            </w:r>
            <w:r>
              <w:rPr>
                <w:rFonts w:hint="eastAsia" w:ascii="仿宋" w:hAnsi="仿宋" w:eastAsia="仿宋" w:cs="仿宋"/>
                <w:color w:val="auto"/>
                <w:kern w:val="0"/>
                <w:sz w:val="24"/>
                <w:szCs w:val="24"/>
                <w:highlight w:val="none"/>
                <w:lang w:val="en-US" w:eastAsia="zh-CN"/>
              </w:rPr>
              <w:t>OA办公</w:t>
            </w:r>
            <w:r>
              <w:rPr>
                <w:rFonts w:hint="eastAsia" w:ascii="仿宋" w:hAnsi="仿宋" w:eastAsia="仿宋" w:cs="仿宋"/>
                <w:color w:val="auto"/>
                <w:kern w:val="0"/>
                <w:sz w:val="24"/>
                <w:szCs w:val="24"/>
                <w:highlight w:val="none"/>
              </w:rPr>
              <w:t>系统二级）</w:t>
            </w:r>
          </w:p>
        </w:tc>
        <w:tc>
          <w:tcPr>
            <w:tcW w:w="681" w:type="pct"/>
            <w:vMerge w:val="continue"/>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color w:val="000000"/>
                <w:kern w:val="0"/>
                <w:sz w:val="24"/>
                <w:szCs w:val="24"/>
                <w:highlight w:val="none"/>
                <w:lang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8" w:type="pct"/>
            <w:vMerge w:val="continue"/>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rPr>
            </w:pPr>
          </w:p>
        </w:tc>
        <w:tc>
          <w:tcPr>
            <w:tcW w:w="3310" w:type="pct"/>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r>
              <w:rPr>
                <w:rFonts w:hint="eastAsia" w:ascii="仿宋" w:hAnsi="仿宋" w:eastAsia="仿宋" w:cs="仿宋"/>
                <w:color w:val="auto"/>
                <w:kern w:val="0"/>
                <w:sz w:val="24"/>
                <w:szCs w:val="24"/>
                <w:highlight w:val="none"/>
                <w:lang w:val="en-US" w:eastAsia="zh-CN"/>
              </w:rPr>
              <w:t>商用密码应用安全性评估（三级）一个</w:t>
            </w:r>
          </w:p>
        </w:tc>
        <w:tc>
          <w:tcPr>
            <w:tcW w:w="681" w:type="pct"/>
            <w:vMerge w:val="continue"/>
            <w:noWrap w:val="0"/>
            <w:vAlign w:val="center"/>
          </w:tcPr>
          <w:p>
            <w:pPr>
              <w:keepNext w:val="0"/>
              <w:keepLines w:val="0"/>
              <w:pageBreakBefore w:val="0"/>
              <w:kinsoku/>
              <w:wordWrap/>
              <w:overflowPunct/>
              <w:topLinePunct w:val="0"/>
              <w:bidi w:val="0"/>
              <w:adjustRightInd/>
              <w:spacing w:line="360" w:lineRule="auto"/>
              <w:jc w:val="center"/>
              <w:rPr>
                <w:rFonts w:hint="eastAsia" w:ascii="仿宋" w:hAnsi="仿宋" w:eastAsia="仿宋" w:cs="仿宋"/>
                <w:bCs/>
                <w:sz w:val="24"/>
                <w:szCs w:val="24"/>
                <w:highlight w:val="none"/>
                <w:shd w:val="clear" w:color="auto" w:fill="FBFDFE"/>
                <w:vertAlign w:val="baseline"/>
                <w:lang w:val="en-US" w:eastAsia="zh-CN"/>
              </w:rPr>
            </w:pPr>
          </w:p>
        </w:tc>
      </w:tr>
    </w:tbl>
    <w:p>
      <w:pPr>
        <w:keepNext w:val="0"/>
        <w:keepLines w:val="0"/>
        <w:pageBreakBefore w:val="0"/>
        <w:kinsoku/>
        <w:wordWrap/>
        <w:overflowPunct/>
        <w:topLinePunct w:val="0"/>
        <w:autoSpaceDE/>
        <w:autoSpaceDN/>
        <w:bidi w:val="0"/>
        <w:snapToGrid w:val="0"/>
        <w:spacing w:before="120" w:after="120" w:line="360" w:lineRule="auto"/>
        <w:ind w:firstLine="480"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b/>
          <w:bCs/>
          <w:color w:val="auto"/>
          <w:sz w:val="24"/>
          <w:szCs w:val="24"/>
          <w:highlight w:val="none"/>
        </w:rPr>
        <w:t>采购内容及技术要求: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计算机信息系统安全保护条例》（国务院147号令）、《国家信息化领导小组关于加强信息安全保障工作的意见》（中办发〔2003〕27号）、《关于信息安全等级保护工作的实施意见》（公通字〔2004〕66号）和《信息安全等级保护管理办法》（公通字〔2007〕43号）等相关文件及标准要求，对系统进行测评。其中包含以下信息系统：</w:t>
      </w:r>
    </w:p>
    <w:tbl>
      <w:tblPr>
        <w:tblStyle w:val="6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37"/>
        <w:gridCol w:w="2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系统名称</w:t>
            </w:r>
          </w:p>
        </w:tc>
        <w:tc>
          <w:tcPr>
            <w:tcW w:w="1622"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面向患者服务系统</w:t>
            </w:r>
            <w:r>
              <w:rPr>
                <w:rFonts w:hint="eastAsia" w:ascii="仿宋" w:hAnsi="仿宋" w:eastAsia="仿宋" w:cs="仿宋"/>
                <w:color w:val="auto"/>
                <w:sz w:val="24"/>
                <w:szCs w:val="24"/>
                <w:highlight w:val="none"/>
                <w:lang w:val="en-US" w:eastAsia="zh-CN"/>
              </w:rPr>
              <w:t>(包括互联网医院、医院集成平台）</w:t>
            </w:r>
          </w:p>
        </w:tc>
        <w:tc>
          <w:tcPr>
            <w:tcW w:w="1622"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基础支撑系统</w:t>
            </w:r>
          </w:p>
        </w:tc>
        <w:tc>
          <w:tcPr>
            <w:tcW w:w="1622"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OA办公系统</w:t>
            </w:r>
          </w:p>
        </w:tc>
        <w:tc>
          <w:tcPr>
            <w:tcW w:w="1622"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77"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val="en-US" w:eastAsia="zh-CN"/>
              </w:rPr>
              <w:t>商用密码应用安全性评估</w:t>
            </w:r>
          </w:p>
        </w:tc>
        <w:tc>
          <w:tcPr>
            <w:tcW w:w="1622" w:type="pct"/>
            <w:noWrap w:val="0"/>
            <w:vAlign w:val="top"/>
          </w:tcPr>
          <w:p>
            <w:pPr>
              <w:keepNext w:val="0"/>
              <w:keepLines w:val="0"/>
              <w:pageBreakBefore w:val="0"/>
              <w:kinsoku/>
              <w:wordWrap/>
              <w:overflowPunct/>
              <w:topLinePunct w:val="0"/>
              <w:autoSpaceDE/>
              <w:autoSpaceDN/>
              <w:bidi w:val="0"/>
              <w:spacing w:line="36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r>
    </w:tbl>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1、依据标准</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1.1等级保护测评</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应依据国家等级保护相关标准开展工作，依据标准（包括但不限于）如下国家标准</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GB/T 22239-2019 信息安全技术 网络安全等级保护基本要求 </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GB/T 28448-2019 信息安全技术</w:t>
      </w:r>
      <w:r>
        <w:rPr>
          <w:rFonts w:hint="eastAsia" w:ascii="仿宋" w:hAnsi="仿宋" w:eastAsia="仿宋" w:cs="仿宋"/>
          <w:color w:val="auto"/>
          <w:sz w:val="24"/>
          <w:szCs w:val="24"/>
          <w:highlight w:val="none"/>
          <w:cs/>
        </w:rPr>
        <w:t xml:space="preserve"> </w:t>
      </w:r>
      <w:r>
        <w:rPr>
          <w:rFonts w:hint="eastAsia" w:ascii="仿宋" w:hAnsi="仿宋" w:eastAsia="仿宋" w:cs="仿宋"/>
          <w:color w:val="auto"/>
          <w:sz w:val="24"/>
          <w:szCs w:val="24"/>
          <w:highlight w:val="none"/>
        </w:rPr>
        <w:t>网络安全等级保护测评要求</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1.2商用密码应用安全性评估</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投标人应依据国家或行业相关标准开展工作，依据标准（包括但不限于）如下：</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《信息系统密码应用基本要求》</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《信息系统密码测评要求》</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《信息系统密码应用测评过程指南》</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《信息系统密码应用高风险判定指引》</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《商用密码应用安全性评估量化评估规则》</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2、测评内容</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2.1等级保护测评</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根据国家等级保护相关标准，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对信息系统完成测评。信息系统安全等级保护测评的内容（包括但不限于）以下内容：</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根据用户单位信息系统的保护等级，并依据GB/T 22239-2019 信息安全技术网络安全等级保护基本要求的条款要求，全面分析应用系统的安全保护措施与等级保护相应级别之间的差距，进行合规性分析，为系统等级保护加固整改提供客观依据，配合委托方督促集成商根据安全改进建议进行适度加固整改，测评的内容包括但不限于以下内容：</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安全通用要求（安全物理环境、安全通信网络、安全区域边界、安全计算环境、安全管理中心、安全管理制度、安全管理机构、安全管理人员、安全建设管理、安全运维管理）及扩展项要求。</w:t>
      </w:r>
    </w:p>
    <w:p>
      <w:pPr>
        <w:pStyle w:val="2"/>
        <w:keepNext w:val="0"/>
        <w:keepLines w:val="0"/>
        <w:pageBreakBefore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2.2</w:t>
      </w:r>
      <w:r>
        <w:rPr>
          <w:rFonts w:hint="eastAsia" w:ascii="仿宋" w:hAnsi="仿宋" w:eastAsia="仿宋" w:cs="仿宋"/>
          <w:color w:val="auto"/>
          <w:kern w:val="2"/>
          <w:sz w:val="24"/>
          <w:szCs w:val="24"/>
          <w:highlight w:val="none"/>
          <w:lang w:val="en-US" w:eastAsia="zh-CN" w:bidi="ar-SA"/>
        </w:rPr>
        <w:t>商用密码应用安全性评估</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480" w:firstLineChars="200"/>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根据国家或行业相关标准，投标人对信息系统完成商用密码应用安全性评估。信息系统商用密码应用安全性评估的内容（包括但不限于）：根据用户单位信息系统的保护等级，并依据《信息系统密码应用基本要求》中条款要求，全面分析应用系统的安全保护措施与等级保护相应级别之间的差距，进行合规性分析，为系统等级保护加固整改提供客观依据，配合委托方督促集成商根据安全改进建议进行适度加固整改，具体测评内容如下：</w:t>
      </w:r>
    </w:p>
    <w:p>
      <w:pPr>
        <w:pStyle w:val="790"/>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■安全通用要求（密码算法、密码产品、密码技术、密码服务）；</w:t>
      </w:r>
    </w:p>
    <w:p>
      <w:pPr>
        <w:pStyle w:val="790"/>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■安全技术要求（物理和环境安全、网络和通信安全、设备和计算安全、应用和数据安全）；</w:t>
      </w:r>
    </w:p>
    <w:p>
      <w:pPr>
        <w:pStyle w:val="790"/>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■密钥管理要求；</w:t>
      </w:r>
    </w:p>
    <w:p>
      <w:pPr>
        <w:pStyle w:val="790"/>
        <w:keepNext w:val="0"/>
        <w:keepLines w:val="0"/>
        <w:pageBreakBefore w:val="0"/>
        <w:widowControl w:val="0"/>
        <w:kinsoku/>
        <w:wordWrap/>
        <w:overflowPunct/>
        <w:topLinePunct w:val="0"/>
        <w:autoSpaceDE/>
        <w:autoSpaceDN/>
        <w:bidi w:val="0"/>
        <w:adjustRightInd/>
        <w:spacing w:line="36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color w:val="auto"/>
          <w:kern w:val="2"/>
          <w:sz w:val="24"/>
          <w:szCs w:val="24"/>
          <w:highlight w:val="none"/>
          <w:lang w:val="en-US" w:eastAsia="zh-CN" w:bidi="ar-SA"/>
        </w:rPr>
        <w:t>■安全管理要求（制度、人员、实施、运行和应急）；</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3、技术服务</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（1）测评应满足的原则</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w:t>
      </w:r>
      <w:r>
        <w:rPr>
          <w:rFonts w:hint="eastAsia" w:ascii="仿宋" w:hAnsi="仿宋" w:eastAsia="仿宋" w:cs="仿宋"/>
          <w:color w:val="auto"/>
          <w:sz w:val="24"/>
          <w:szCs w:val="24"/>
          <w:highlight w:val="none"/>
        </w:rPr>
        <w:t>安全等级</w:t>
      </w:r>
      <w:r>
        <w:rPr>
          <w:rFonts w:hint="eastAsia" w:ascii="仿宋" w:hAnsi="仿宋" w:eastAsia="仿宋" w:cs="仿宋"/>
          <w:color w:val="auto"/>
          <w:sz w:val="24"/>
          <w:szCs w:val="24"/>
          <w:highlight w:val="none"/>
        </w:rPr>
        <w:t>保护测评实施方案设计与具体实施应满足以下原则：</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a、保密原则：对测评的过程数据和结果数据严格保密，未经授权不得泄露给任何单位和个人，不得利用此数据进行任何侵害采购人的行为，否则采购人有权追究</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的责任。</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b、标准性原则：测评方案的设计与实施应依据国家等级保护的相关标准进行。</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c、规范性原则：</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的工作中的过程和文档，具有很好的规范性，可以便于项目的跟踪和控制。</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d、可控性原则：测评服务的进度要跟上进度表的安排，保证采购人对于测评工作的可控性。</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e、整体性原则：测评的范围和内容应当整体全面，包括国家等级保护相关要求涉及的各个层面。</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f、最小影响原则：测评工作应尽可能小的影响系统和网络，并在可控范围内；测评工作不能对现有信息系统的正常运行、业务的正常开展产生任何影响。</w:t>
      </w:r>
    </w:p>
    <w:p>
      <w:pPr>
        <w:keepNext w:val="0"/>
        <w:keepLines w:val="0"/>
        <w:pageBreakBefore w:val="0"/>
        <w:kinsoku/>
        <w:wordWrap/>
        <w:overflowPunct/>
        <w:topLinePunct w:val="0"/>
        <w:autoSpaceDE/>
        <w:autoSpaceDN/>
        <w:bidi w:val="0"/>
        <w:spacing w:line="360" w:lineRule="auto"/>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（2）安全测评报告</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应对采购人的信息系统进行等级保护测评，形成相应的报告。</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b、</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在测评后出具符合公安局要求的系统安全保护等级测评报告</w:t>
      </w:r>
      <w:r>
        <w:rPr>
          <w:rFonts w:hint="eastAsia" w:ascii="仿宋" w:hAnsi="仿宋" w:eastAsia="仿宋" w:cs="仿宋"/>
          <w:color w:val="auto"/>
          <w:sz w:val="24"/>
          <w:szCs w:val="24"/>
          <w:highlight w:val="none"/>
          <w:lang w:eastAsia="zh-CN"/>
        </w:rPr>
        <w:t>。</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c、对上述系统不符合信息安全等级保护有关管理规范和技术标准的，</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出具可行整改方案并协助采购人整改服务。</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协助采购人办理信息系统安全保护等级测评备案手续。</w:t>
      </w:r>
    </w:p>
    <w:p>
      <w:pPr>
        <w:keepNext w:val="0"/>
        <w:keepLines w:val="0"/>
        <w:pageBreakBefore w:val="0"/>
        <w:kinsoku/>
        <w:wordWrap/>
        <w:overflowPunct/>
        <w:topLinePunct w:val="0"/>
        <w:autoSpaceDE/>
        <w:autoSpaceDN/>
        <w:bidi w:val="0"/>
        <w:spacing w:line="360" w:lineRule="auto"/>
        <w:textAlignment w:val="auto"/>
        <w:outlineLvl w:val="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（3）本次等级保护测评的整体要求</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sz w:val="24"/>
          <w:szCs w:val="24"/>
          <w:highlight w:val="none"/>
        </w:rPr>
      </w:pPr>
      <w:r>
        <w:rPr>
          <w:rFonts w:hint="eastAsia" w:ascii="仿宋" w:hAnsi="仿宋" w:eastAsia="仿宋" w:cs="仿宋"/>
          <w:color w:val="auto"/>
          <w:sz w:val="24"/>
          <w:szCs w:val="24"/>
          <w:highlight w:val="none"/>
        </w:rPr>
        <w:t>A、</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应详细描述本次等级保护测评的整体实施方案，包括项目概述、等保测评方案、项目实施方案、测试过程中需使用测试设备清单、时间安排、阶段性文档提交和验收标准等。</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应详细描述测评人员的组成、资质及各自职责的划分。</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 xml:space="preserve">应配置有经验的测评人员进行本次等级保护测评工作。 </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C、本次等级保护测评实施过程中所使用到的各种工具软件由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推荐，经采购人确认后由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提供并在测评中使用。在报价文件中应详细描述所使用的安全测评工具（软硬件型号、功能和性能描述）、使用的方式和时间、对环境和平台的要求以及使用可能对系统造成的风险等。</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D、安全测评工具软件运行可能需要的硬件平台（如笔记本电脑、PC、工作站等）和操作系统软件等由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推荐，经采购人确认后由</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提供并在测评中使用。</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E、安全测评需要的运行环境（如场地、网络环境等）由采购人提供，</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应详细描述需要的运行环境的具体要求。</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4、项目验收</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（1）本项目的目标是输出等级保护测评报告，并配合办理信息系统安全保护</w:t>
      </w:r>
      <w:r>
        <w:rPr>
          <w:rFonts w:hint="eastAsia" w:ascii="仿宋" w:hAnsi="仿宋" w:eastAsia="仿宋" w:cs="仿宋"/>
          <w:color w:val="auto"/>
          <w:sz w:val="24"/>
          <w:szCs w:val="24"/>
          <w:highlight w:val="none"/>
        </w:rPr>
        <w:t>测评备案手续</w:t>
      </w:r>
      <w:r>
        <w:rPr>
          <w:rFonts w:hint="eastAsia" w:ascii="仿宋" w:hAnsi="仿宋" w:eastAsia="仿宋" w:cs="仿宋"/>
          <w:color w:val="auto"/>
          <w:sz w:val="24"/>
          <w:szCs w:val="24"/>
          <w:highlight w:val="none"/>
        </w:rPr>
        <w:t>，该项目将产生一定数量的文档。</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应对所有正式交付件的综合质量审查负责，指定各交付件的相关责任人，明确相关职责。</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应提交验收方案，供采购人参考。</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（4）采购人将依据本项目的要求，组织相关部门或单位的技术专家对</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提交的项目成果进行验收。</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5、项目承诺</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应满足采购人提出的标准性、规范性、可控性、整体性、最小影响性及保密性原则，做到守时、保质。</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（2）保密性要求：</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必须和采购人签订保密协议和非侵害性协议，</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必须要与参加此次测评项目的所有项目组成员签订保密协议和非侵害性协议，在合同签定时一并提供给采购人。</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具体测评工作和等级保护测评报告的编写，必须在采购人的指定地点进行。对于测评中的重要资料和结果，在测评期间和测评结束后，</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不得带离该地点。</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对本规范书中的内容及在应标过程中接触的设备信息、数据资料等负有保密责任，不得泄露给任何第三方。无论</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中标与否，其对上述内容的保密责任将长期存在。</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（5）等级保护测评的品质保证：</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应承诺指派工作经验丰富、技术实力雄厚的安全顾问，结合技术领先、结论可靠的测评工具为客户作全面等级保护测评。承诺测评过程按照国家标准进行，并保证对客户的资料严格保密。</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6、其它要求</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在测评方案书中，对能提供的信息系统安全等级保护测评进行详细说明，可根据具体情况在项目方案中提出建议，并附详细资料和说明。</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应对提供测评服务时所使用的设备及软件保证拥有设备软硬件的知识产权和所有权，并对所涉及的专利、知识产权等法律条款承担义务，采购人以上问题不承担任何法律责任。</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（3）若</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的设备和系统包含自己的专用标准，应在建议书中具体说明，并附上相应的详细技术资料。</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7、项目成果</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提交包括且不仅仅包括以下成果：</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《信息系统安全整改规划》</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《信息系统等级保护测评报告》</w:t>
      </w:r>
    </w:p>
    <w:p>
      <w:pPr>
        <w:pStyle w:val="790"/>
        <w:keepNext w:val="0"/>
        <w:keepLines w:val="0"/>
        <w:pageBreakBefore w:val="0"/>
        <w:widowControl w:val="0"/>
        <w:kinsoku/>
        <w:wordWrap/>
        <w:overflowPunct/>
        <w:topLinePunct w:val="0"/>
        <w:autoSpaceDE/>
        <w:autoSpaceDN/>
        <w:bidi w:val="0"/>
        <w:adjustRightInd/>
        <w:spacing w:line="360" w:lineRule="auto"/>
        <w:ind w:left="0" w:leftChars="0" w:firstLine="0" w:firstLineChars="0"/>
        <w:textAlignment w:val="auto"/>
        <w:rPr>
          <w:rFonts w:hint="eastAsia" w:ascii="仿宋" w:hAnsi="仿宋" w:eastAsia="仿宋" w:cs="仿宋"/>
          <w:sz w:val="24"/>
          <w:szCs w:val="24"/>
          <w:highlight w:val="none"/>
          <w:lang w:eastAsia="zh-CN"/>
        </w:rPr>
      </w:pPr>
      <w:r>
        <w:rPr>
          <w:rFonts w:hint="eastAsia" w:ascii="仿宋" w:hAnsi="仿宋" w:eastAsia="仿宋" w:cs="仿宋"/>
          <w:color w:val="auto"/>
          <w:kern w:val="2"/>
          <w:sz w:val="24"/>
          <w:szCs w:val="24"/>
          <w:highlight w:val="none"/>
          <w:lang w:val="en-US" w:eastAsia="zh-CN" w:bidi="ar-SA"/>
        </w:rPr>
        <w:t>《商用密码应用安全性评估报告》</w:t>
      </w:r>
    </w:p>
    <w:p>
      <w:pPr>
        <w:pStyle w:val="79"/>
        <w:keepNext w:val="0"/>
        <w:keepLines w:val="0"/>
        <w:pageBreakBefore w:val="0"/>
        <w:kinsoku/>
        <w:wordWrap/>
        <w:overflowPunct/>
        <w:topLinePunct w:val="0"/>
        <w:autoSpaceDE/>
        <w:autoSpaceDN/>
        <w:bidi w:val="0"/>
        <w:spacing w:line="360" w:lineRule="auto"/>
        <w:ind w:firstLine="472" w:firstLineChars="196"/>
        <w:textAlignment w:val="auto"/>
        <w:rPr>
          <w:rFonts w:hint="eastAsia"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rPr>
        <w:t>二、售后服务要求</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本次安全保护等级保护测评实施方案设计与具体实施应满足以下原则：</w:t>
      </w:r>
    </w:p>
    <w:p>
      <w:pPr>
        <w:keepNext w:val="0"/>
        <w:keepLines w:val="0"/>
        <w:pageBreakBefore w:val="0"/>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对测评的过程数据和结果数据严格保密，未经授权不得泄露给任何单位和个人，不得利用此数据进行任何侵害采购人的行为，否则采购人有权追究</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的责任。测评方案的设计与实施应依据国家等级保护的相关标准进行。</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工作中的过程和文档，具有很好的规范性，可以便于项目的跟踪和控制。测评服务的进度要跟上进度表的安排，保证采购人对于测评工作的可控性。测评的范围和内容应当整体全面，包括国家等级保护相关要求涉及的各个层面。测评工作应尽可能小的影响系统和网络，并在可控范围内；测评工作不能对现有信息系统的正常运行、业务的正常开展产生任何影响。提交包括且不仅仅包括以下成果：《信息系统安全整改规划》、《信息系统等级保护测评报告》。</w:t>
      </w:r>
    </w:p>
    <w:p>
      <w:pPr>
        <w:pStyle w:val="79"/>
        <w:keepNext w:val="0"/>
        <w:keepLines w:val="0"/>
        <w:pageBreakBefore w:val="0"/>
        <w:kinsoku/>
        <w:wordWrap/>
        <w:overflowPunct/>
        <w:topLinePunct w:val="0"/>
        <w:autoSpaceDE/>
        <w:autoSpaceDN/>
        <w:bidi w:val="0"/>
        <w:spacing w:line="360" w:lineRule="auto"/>
        <w:ind w:firstLine="472" w:firstLineChars="196"/>
        <w:textAlignment w:val="auto"/>
        <w:rPr>
          <w:rFonts w:hint="eastAsia"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rPr>
        <w:t>三、付款方式</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按《浙江省财政厅关于进一步发挥政府采购政策功能全力推动经济稳进提质的通知》（浙财采监〔2022〕3号）文件要求执行，具体付款方式由双方协商后在合同中明确。</w:t>
      </w:r>
    </w:p>
    <w:p>
      <w:pPr>
        <w:pStyle w:val="79"/>
        <w:keepNext w:val="0"/>
        <w:keepLines w:val="0"/>
        <w:pageBreakBefore w:val="0"/>
        <w:kinsoku/>
        <w:wordWrap/>
        <w:overflowPunct/>
        <w:topLinePunct w:val="0"/>
        <w:autoSpaceDE/>
        <w:autoSpaceDN/>
        <w:bidi w:val="0"/>
        <w:spacing w:line="360" w:lineRule="auto"/>
        <w:ind w:firstLine="470" w:firstLineChars="195"/>
        <w:textAlignment w:val="auto"/>
        <w:rPr>
          <w:rFonts w:hint="eastAsia"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rPr>
        <w:t>四、其他要求</w:t>
      </w:r>
    </w:p>
    <w:p>
      <w:pPr>
        <w:keepNext w:val="0"/>
        <w:keepLines w:val="0"/>
        <w:pageBreakBefore w:val="0"/>
        <w:widowControl/>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（1）投标</w:t>
      </w:r>
      <w:r>
        <w:rPr>
          <w:rFonts w:hint="eastAsia" w:ascii="仿宋" w:hAnsi="仿宋" w:eastAsia="仿宋" w:cs="仿宋"/>
          <w:color w:val="auto"/>
          <w:sz w:val="24"/>
          <w:szCs w:val="24"/>
          <w:highlight w:val="none"/>
          <w:lang w:eastAsia="zh-CN"/>
        </w:rPr>
        <w:t>人</w:t>
      </w:r>
      <w:r>
        <w:rPr>
          <w:rFonts w:hint="eastAsia" w:ascii="仿宋" w:hAnsi="仿宋" w:eastAsia="仿宋" w:cs="仿宋"/>
          <w:color w:val="auto"/>
          <w:sz w:val="24"/>
          <w:szCs w:val="24"/>
          <w:highlight w:val="none"/>
        </w:rPr>
        <w:t>在测评方案书中，对能提供的信息系统安全等级保护测评进行详细说明，可根据具体情况在项目方案中提出建议，并附详细资料和说明。</w:t>
      </w:r>
    </w:p>
    <w:p>
      <w:pPr>
        <w:keepNext w:val="0"/>
        <w:keepLines w:val="0"/>
        <w:pageBreakBefore w:val="0"/>
        <w:widowControl/>
        <w:kinsoku/>
        <w:wordWrap/>
        <w:overflowPunct/>
        <w:topLinePunct w:val="0"/>
        <w:autoSpaceDE/>
        <w:autoSpaceDN/>
        <w:bidi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应对提供测评服务时所使用的设备及软件保证拥有设备软硬件的知识产权和所有权，并对所涉及的专利、知识产权等法律条款承担义务，采购人以上问题不承担任何法律责任。</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（3）若</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的设备和系统包含自己的专用标准，应在建议书中具体说明，并附上相应的详细技术资料。</w:t>
      </w:r>
    </w:p>
    <w:p>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color w:val="auto"/>
          <w:sz w:val="36"/>
          <w:szCs w:val="36"/>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2"/>
        <w:rPr>
          <w:rFonts w:hint="eastAsia"/>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1"/>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hint="eastAsia" w:ascii="仿宋" w:hAnsi="仿宋" w:eastAsia="仿宋" w:cs="仿宋"/>
          <w:color w:val="auto"/>
          <w:sz w:val="24"/>
          <w:highlight w:val="none"/>
        </w:rPr>
      </w:pPr>
    </w:p>
    <w:p>
      <w:pPr>
        <w:pStyle w:val="4"/>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hint="eastAsia" w:ascii="仿宋" w:hAnsi="仿宋" w:eastAsia="仿宋" w:cs="仿宋"/>
          <w:b/>
          <w:color w:val="auto"/>
          <w:sz w:val="24"/>
          <w:highlight w:val="none"/>
        </w:rPr>
      </w:pP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4" w:name="_Toc20421"/>
      <w:bookmarkStart w:id="45" w:name="_Toc19273"/>
      <w:bookmarkStart w:id="46" w:name="_Toc28855"/>
      <w:bookmarkStart w:id="47" w:name="_Toc22967"/>
      <w:bookmarkStart w:id="48" w:name="_Toc15367"/>
      <w:r>
        <w:rPr>
          <w:rFonts w:hint="eastAsia" w:ascii="仿宋" w:hAnsi="仿宋" w:eastAsia="仿宋" w:cs="仿宋"/>
          <w:b/>
          <w:color w:val="auto"/>
          <w:sz w:val="24"/>
          <w:highlight w:val="none"/>
        </w:rPr>
        <w:t>1.1 合同组成部分</w:t>
      </w:r>
      <w:bookmarkEnd w:id="44"/>
      <w:bookmarkEnd w:id="45"/>
      <w:bookmarkEnd w:id="46"/>
      <w:bookmarkEnd w:id="47"/>
      <w:bookmarkEnd w:id="4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9" w:name="_Toc22185"/>
      <w:bookmarkStart w:id="50" w:name="_Toc2918"/>
      <w:bookmarkStart w:id="51" w:name="_Toc6773"/>
      <w:bookmarkStart w:id="52" w:name="_Toc18585"/>
      <w:bookmarkStart w:id="53" w:name="_Toc6311"/>
      <w:r>
        <w:rPr>
          <w:rFonts w:hint="eastAsia" w:ascii="仿宋" w:hAnsi="仿宋" w:eastAsia="仿宋" w:cs="仿宋"/>
          <w:b/>
          <w:color w:val="auto"/>
          <w:sz w:val="24"/>
          <w:highlight w:val="none"/>
        </w:rPr>
        <w:t>1.2 标的</w:t>
      </w:r>
      <w:bookmarkEnd w:id="49"/>
      <w:bookmarkEnd w:id="50"/>
      <w:bookmarkEnd w:id="51"/>
      <w:bookmarkEnd w:id="52"/>
      <w:bookmarkEnd w:id="53"/>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4" w:name="_Toc4929"/>
      <w:bookmarkStart w:id="55" w:name="_Toc1386"/>
      <w:bookmarkStart w:id="56" w:name="_Toc21124"/>
      <w:bookmarkStart w:id="57" w:name="_Toc13918"/>
      <w:bookmarkStart w:id="58" w:name="_Toc5635"/>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4"/>
      <w:bookmarkEnd w:id="55"/>
      <w:bookmarkEnd w:id="56"/>
      <w:bookmarkEnd w:id="57"/>
      <w:bookmarkEnd w:id="58"/>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9"/>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9" w:name="_Toc14993"/>
      <w:bookmarkStart w:id="60" w:name="_Toc3654"/>
      <w:bookmarkStart w:id="61" w:name="_Toc26916"/>
      <w:bookmarkStart w:id="62" w:name="_Toc30158"/>
      <w:bookmarkStart w:id="63" w:name="_Toc3050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pPr>
        <w:pStyle w:val="4"/>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9"/>
    <w:bookmarkEnd w:id="60"/>
    <w:bookmarkEnd w:id="61"/>
    <w:bookmarkEnd w:id="62"/>
    <w:bookmarkEnd w:id="63"/>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4" w:name="_Toc22618"/>
      <w:bookmarkStart w:id="65" w:name="_Toc1814"/>
      <w:bookmarkStart w:id="66" w:name="_Toc10340"/>
      <w:bookmarkStart w:id="67" w:name="_Toc8772"/>
      <w:bookmarkStart w:id="68" w:name="_Toc4760"/>
      <w:bookmarkStart w:id="69" w:name="_Toc31421"/>
      <w:bookmarkStart w:id="70" w:name="_Toc11108"/>
      <w:bookmarkStart w:id="71" w:name="_Toc3625"/>
      <w:r>
        <w:rPr>
          <w:rFonts w:hint="eastAsia" w:ascii="仿宋" w:hAnsi="仿宋" w:eastAsia="仿宋" w:cs="仿宋"/>
          <w:b/>
          <w:color w:val="auto"/>
          <w:highlight w:val="none"/>
        </w:rPr>
        <w:t>1.4履约保证金</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4"/>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4"/>
      <w:bookmarkEnd w:id="65"/>
      <w:bookmarkEnd w:id="66"/>
      <w:r>
        <w:rPr>
          <w:rFonts w:hint="eastAsia" w:ascii="仿宋" w:hAnsi="仿宋" w:eastAsia="仿宋" w:cs="仿宋"/>
          <w:b/>
          <w:color w:val="auto"/>
          <w:sz w:val="24"/>
          <w:highlight w:val="none"/>
        </w:rPr>
        <w:t>预付款</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7"/>
      <w:bookmarkEnd w:id="68"/>
      <w:bookmarkEnd w:id="69"/>
      <w:bookmarkEnd w:id="70"/>
      <w:bookmarkEnd w:id="71"/>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2" w:name="_Toc8586"/>
      <w:bookmarkStart w:id="73" w:name="_Toc2375"/>
      <w:bookmarkStart w:id="74" w:name="_Toc3079"/>
      <w:bookmarkStart w:id="75" w:name="_Toc24662"/>
      <w:bookmarkStart w:id="76" w:name="_Toc5698"/>
      <w:r>
        <w:rPr>
          <w:rFonts w:hint="eastAsia" w:ascii="仿宋" w:hAnsi="仿宋" w:eastAsia="仿宋" w:cs="仿宋"/>
          <w:bCs/>
          <w:color w:val="auto"/>
          <w:sz w:val="24"/>
          <w:highlight w:val="none"/>
        </w:rPr>
        <w:t>1.7.4若服务涉及货物的，则货物的：</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2"/>
      <w:bookmarkEnd w:id="73"/>
      <w:bookmarkEnd w:id="74"/>
      <w:bookmarkEnd w:id="75"/>
      <w:bookmarkEnd w:id="76"/>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pPr>
        <w:pStyle w:val="4"/>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7" w:name="_Toc9497"/>
      <w:bookmarkStart w:id="78" w:name="_Toc26807"/>
      <w:bookmarkStart w:id="79" w:name="_Toc30329"/>
      <w:bookmarkStart w:id="80" w:name="_Toc18683"/>
      <w:bookmarkStart w:id="81"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7"/>
    <w:bookmarkEnd w:id="78"/>
    <w:bookmarkEnd w:id="79"/>
    <w:bookmarkEnd w:id="80"/>
    <w:bookmarkEnd w:id="81"/>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2" w:name="_Toc28375"/>
      <w:bookmarkStart w:id="83" w:name="_Toc16021"/>
      <w:bookmarkStart w:id="84" w:name="_Toc15583"/>
      <w:r>
        <w:rPr>
          <w:rFonts w:hint="eastAsia" w:ascii="仿宋" w:hAnsi="仿宋" w:eastAsia="仿宋" w:cs="仿宋"/>
          <w:b/>
          <w:color w:val="auto"/>
          <w:sz w:val="24"/>
          <w:highlight w:val="none"/>
        </w:rPr>
        <w:t>1.9合同争议的解决</w:t>
      </w:r>
      <w:bookmarkEnd w:id="82"/>
      <w:bookmarkEnd w:id="83"/>
      <w:bookmarkEnd w:id="84"/>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5" w:name="_Toc15322"/>
      <w:bookmarkStart w:id="86" w:name="_Toc7245"/>
      <w:bookmarkStart w:id="87" w:name="_Toc11173"/>
      <w:r>
        <w:rPr>
          <w:rFonts w:hint="eastAsia" w:ascii="仿宋" w:hAnsi="仿宋" w:eastAsia="仿宋" w:cs="仿宋"/>
          <w:b/>
          <w:color w:val="auto"/>
          <w:sz w:val="24"/>
          <w:highlight w:val="none"/>
        </w:rPr>
        <w:t>2.0 合同生效</w:t>
      </w:r>
      <w:bookmarkEnd w:id="85"/>
      <w:bookmarkEnd w:id="86"/>
      <w:bookmarkEnd w:id="87"/>
    </w:p>
    <w:p>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1"/>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hint="eastAsia" w:ascii="仿宋" w:hAnsi="仿宋" w:eastAsia="仿宋" w:cs="仿宋"/>
          <w:b/>
          <w:color w:val="auto"/>
          <w:sz w:val="24"/>
          <w:highlight w:val="none"/>
        </w:rPr>
      </w:pPr>
      <w:bookmarkStart w:id="88" w:name="_Toc14021"/>
      <w:bookmarkStart w:id="89" w:name="_Toc31297"/>
      <w:bookmarkStart w:id="90" w:name="_Toc19680"/>
      <w:bookmarkStart w:id="91" w:name="_Toc25079"/>
      <w:bookmarkStart w:id="92" w:name="_Toc5228"/>
      <w:r>
        <w:rPr>
          <w:rFonts w:hint="eastAsia" w:ascii="仿宋" w:hAnsi="仿宋" w:eastAsia="仿宋" w:cs="仿宋"/>
          <w:b/>
          <w:color w:val="auto"/>
          <w:sz w:val="24"/>
          <w:highlight w:val="none"/>
        </w:rPr>
        <w:t>2.1 定义</w:t>
      </w:r>
      <w:bookmarkEnd w:id="88"/>
      <w:bookmarkEnd w:id="89"/>
      <w:bookmarkEnd w:id="90"/>
      <w:bookmarkEnd w:id="91"/>
      <w:bookmarkEnd w:id="9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hint="eastAsia" w:ascii="仿宋" w:hAnsi="仿宋" w:eastAsia="仿宋" w:cs="仿宋"/>
          <w:b/>
          <w:color w:val="auto"/>
          <w:sz w:val="24"/>
          <w:highlight w:val="none"/>
        </w:rPr>
      </w:pPr>
      <w:bookmarkStart w:id="93" w:name="_Toc31402"/>
      <w:bookmarkStart w:id="94" w:name="_Toc19539"/>
      <w:bookmarkStart w:id="95" w:name="_Toc3769"/>
      <w:bookmarkStart w:id="96" w:name="_Toc16752"/>
      <w:bookmarkStart w:id="97" w:name="_Toc23289"/>
      <w:r>
        <w:rPr>
          <w:rFonts w:hint="eastAsia" w:ascii="仿宋" w:hAnsi="仿宋" w:eastAsia="仿宋" w:cs="仿宋"/>
          <w:b/>
          <w:color w:val="auto"/>
          <w:sz w:val="24"/>
          <w:highlight w:val="none"/>
        </w:rPr>
        <w:t>2.2 技术规范</w:t>
      </w:r>
      <w:bookmarkEnd w:id="93"/>
      <w:bookmarkEnd w:id="94"/>
      <w:bookmarkEnd w:id="95"/>
      <w:bookmarkEnd w:id="96"/>
      <w:bookmarkEnd w:id="9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hint="eastAsia" w:ascii="仿宋" w:hAnsi="仿宋" w:eastAsia="仿宋" w:cs="仿宋"/>
          <w:b/>
          <w:color w:val="auto"/>
          <w:sz w:val="24"/>
          <w:highlight w:val="none"/>
        </w:rPr>
      </w:pPr>
      <w:bookmarkStart w:id="98" w:name="_Toc4133"/>
      <w:bookmarkStart w:id="99" w:name="_Toc27945"/>
      <w:bookmarkStart w:id="100" w:name="_Toc12412"/>
      <w:bookmarkStart w:id="101" w:name="_Toc13673"/>
      <w:bookmarkStart w:id="102" w:name="_Toc9161"/>
      <w:r>
        <w:rPr>
          <w:rFonts w:hint="eastAsia" w:ascii="仿宋" w:hAnsi="仿宋" w:eastAsia="仿宋" w:cs="仿宋"/>
          <w:b/>
          <w:color w:val="auto"/>
          <w:sz w:val="24"/>
          <w:highlight w:val="none"/>
        </w:rPr>
        <w:t>2.3 知识产权</w:t>
      </w:r>
      <w:bookmarkEnd w:id="98"/>
      <w:bookmarkEnd w:id="99"/>
      <w:bookmarkEnd w:id="100"/>
      <w:bookmarkEnd w:id="101"/>
      <w:bookmarkEnd w:id="10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hint="eastAsia" w:ascii="仿宋" w:hAnsi="仿宋" w:eastAsia="仿宋" w:cs="仿宋"/>
          <w:b/>
          <w:color w:val="auto"/>
          <w:sz w:val="24"/>
          <w:highlight w:val="none"/>
        </w:rPr>
      </w:pPr>
      <w:bookmarkStart w:id="103" w:name="_Toc32670"/>
      <w:bookmarkStart w:id="104" w:name="_Toc31233"/>
      <w:bookmarkStart w:id="105" w:name="_Toc26555"/>
      <w:bookmarkStart w:id="106" w:name="_Toc22011"/>
      <w:bookmarkStart w:id="107" w:name="_Toc15447"/>
      <w:r>
        <w:rPr>
          <w:rFonts w:hint="eastAsia" w:ascii="仿宋" w:hAnsi="仿宋" w:eastAsia="仿宋" w:cs="仿宋"/>
          <w:b/>
          <w:color w:val="auto"/>
          <w:sz w:val="24"/>
          <w:highlight w:val="none"/>
        </w:rPr>
        <w:t>2.5 结算方式和付款条件</w:t>
      </w:r>
      <w:bookmarkEnd w:id="103"/>
      <w:bookmarkEnd w:id="104"/>
      <w:bookmarkEnd w:id="105"/>
      <w:bookmarkEnd w:id="106"/>
      <w:bookmarkEnd w:id="107"/>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08" w:name="_Toc30507"/>
      <w:bookmarkStart w:id="109" w:name="_Toc16163"/>
      <w:bookmarkStart w:id="110" w:name="_Toc13154"/>
      <w:bookmarkStart w:id="111" w:name="_Toc13467"/>
      <w:bookmarkStart w:id="112" w:name="_Toc18990"/>
      <w:r>
        <w:rPr>
          <w:rFonts w:hint="eastAsia" w:ascii="仿宋" w:hAnsi="仿宋" w:eastAsia="仿宋" w:cs="仿宋"/>
          <w:b/>
          <w:color w:val="auto"/>
          <w:sz w:val="24"/>
          <w:highlight w:val="none"/>
        </w:rPr>
        <w:t>2.6 技术资料和保密义务</w:t>
      </w:r>
      <w:bookmarkEnd w:id="108"/>
      <w:bookmarkEnd w:id="109"/>
      <w:bookmarkEnd w:id="110"/>
      <w:bookmarkEnd w:id="111"/>
      <w:bookmarkEnd w:id="11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hint="eastAsia" w:ascii="仿宋" w:hAnsi="仿宋" w:eastAsia="仿宋" w:cs="仿宋"/>
          <w:b/>
          <w:color w:val="auto"/>
          <w:sz w:val="24"/>
          <w:highlight w:val="none"/>
        </w:rPr>
      </w:pPr>
      <w:bookmarkStart w:id="113" w:name="_Toc19069"/>
      <w:r>
        <w:rPr>
          <w:rFonts w:hint="eastAsia" w:ascii="仿宋" w:hAnsi="仿宋" w:eastAsia="仿宋" w:cs="仿宋"/>
          <w:b/>
          <w:color w:val="auto"/>
          <w:sz w:val="24"/>
          <w:highlight w:val="none"/>
        </w:rPr>
        <w:t>2.7 质量保证</w:t>
      </w:r>
      <w:bookmarkEnd w:id="11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hint="eastAsia" w:ascii="仿宋" w:hAnsi="仿宋" w:eastAsia="仿宋" w:cs="仿宋"/>
          <w:b/>
          <w:color w:val="auto"/>
          <w:sz w:val="24"/>
          <w:highlight w:val="none"/>
        </w:rPr>
      </w:pPr>
      <w:bookmarkStart w:id="114" w:name="_Toc22267"/>
      <w:r>
        <w:rPr>
          <w:rFonts w:hint="eastAsia" w:ascii="仿宋" w:hAnsi="仿宋" w:eastAsia="仿宋" w:cs="仿宋"/>
          <w:b/>
          <w:color w:val="auto"/>
          <w:sz w:val="24"/>
          <w:highlight w:val="none"/>
        </w:rPr>
        <w:t>2.8 延迟履行</w:t>
      </w:r>
      <w:bookmarkEnd w:id="114"/>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hint="eastAsia" w:ascii="仿宋" w:hAnsi="仿宋" w:eastAsia="仿宋" w:cs="仿宋"/>
          <w:b/>
          <w:color w:val="auto"/>
          <w:sz w:val="24"/>
          <w:highlight w:val="none"/>
        </w:rPr>
      </w:pPr>
      <w:bookmarkStart w:id="115" w:name="_Toc10611"/>
      <w:r>
        <w:rPr>
          <w:rFonts w:hint="eastAsia" w:ascii="仿宋" w:hAnsi="仿宋" w:eastAsia="仿宋" w:cs="仿宋"/>
          <w:b/>
          <w:color w:val="auto"/>
          <w:sz w:val="24"/>
          <w:highlight w:val="none"/>
        </w:rPr>
        <w:t>2.9 合同变更</w:t>
      </w:r>
      <w:bookmarkEnd w:id="11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16" w:name="_Toc10663"/>
      <w:bookmarkStart w:id="117" w:name="_Toc26689"/>
      <w:bookmarkStart w:id="118" w:name="_Toc23368"/>
      <w:bookmarkStart w:id="119" w:name="_Toc21830"/>
      <w:bookmarkStart w:id="120" w:name="_Toc42"/>
      <w:r>
        <w:rPr>
          <w:rFonts w:hint="eastAsia" w:ascii="仿宋" w:hAnsi="仿宋" w:eastAsia="仿宋" w:cs="仿宋"/>
          <w:b/>
          <w:color w:val="auto"/>
          <w:sz w:val="24"/>
          <w:highlight w:val="none"/>
        </w:rPr>
        <w:t>2.10 合同转让和分包</w:t>
      </w:r>
      <w:bookmarkEnd w:id="116"/>
      <w:bookmarkEnd w:id="117"/>
      <w:bookmarkEnd w:id="118"/>
      <w:bookmarkEnd w:id="119"/>
      <w:bookmarkEnd w:id="12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hint="eastAsia" w:ascii="仿宋" w:hAnsi="仿宋" w:eastAsia="仿宋" w:cs="仿宋"/>
          <w:b/>
          <w:color w:val="auto"/>
          <w:sz w:val="24"/>
          <w:highlight w:val="none"/>
        </w:rPr>
      </w:pPr>
      <w:bookmarkStart w:id="121" w:name="_Toc14371"/>
      <w:bookmarkStart w:id="122" w:name="_Toc25571"/>
      <w:bookmarkStart w:id="123" w:name="_Toc4720"/>
      <w:bookmarkStart w:id="124" w:name="_Toc26633"/>
      <w:bookmarkStart w:id="125" w:name="_Toc32494"/>
      <w:r>
        <w:rPr>
          <w:rFonts w:hint="eastAsia" w:ascii="仿宋" w:hAnsi="仿宋" w:eastAsia="仿宋" w:cs="仿宋"/>
          <w:b/>
          <w:color w:val="auto"/>
          <w:sz w:val="24"/>
          <w:highlight w:val="none"/>
        </w:rPr>
        <w:t>2.11 不可抗力</w:t>
      </w:r>
      <w:bookmarkEnd w:id="121"/>
      <w:bookmarkEnd w:id="122"/>
      <w:bookmarkEnd w:id="123"/>
      <w:bookmarkEnd w:id="124"/>
      <w:bookmarkEnd w:id="12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hint="eastAsia" w:ascii="仿宋" w:hAnsi="仿宋" w:eastAsia="仿宋" w:cs="仿宋"/>
          <w:b/>
          <w:color w:val="auto"/>
          <w:sz w:val="24"/>
          <w:highlight w:val="none"/>
        </w:rPr>
      </w:pPr>
      <w:bookmarkStart w:id="126" w:name="_Toc14115"/>
      <w:bookmarkStart w:id="127" w:name="_Toc24465"/>
      <w:bookmarkStart w:id="128" w:name="_Toc23854"/>
      <w:bookmarkStart w:id="129" w:name="_Toc3638"/>
      <w:bookmarkStart w:id="130" w:name="_Toc25783"/>
      <w:r>
        <w:rPr>
          <w:rFonts w:hint="eastAsia" w:ascii="仿宋" w:hAnsi="仿宋" w:eastAsia="仿宋" w:cs="仿宋"/>
          <w:b/>
          <w:color w:val="auto"/>
          <w:sz w:val="24"/>
          <w:highlight w:val="none"/>
        </w:rPr>
        <w:t>2.12 税费</w:t>
      </w:r>
      <w:bookmarkEnd w:id="126"/>
      <w:bookmarkEnd w:id="127"/>
      <w:bookmarkEnd w:id="128"/>
      <w:bookmarkEnd w:id="129"/>
      <w:bookmarkEnd w:id="130"/>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hint="eastAsia" w:ascii="仿宋" w:hAnsi="仿宋" w:eastAsia="仿宋" w:cs="仿宋"/>
          <w:b/>
          <w:color w:val="auto"/>
          <w:sz w:val="24"/>
          <w:highlight w:val="none"/>
        </w:rPr>
      </w:pPr>
      <w:bookmarkStart w:id="131" w:name="_Toc30105"/>
      <w:bookmarkStart w:id="132" w:name="_Toc7315"/>
      <w:bookmarkStart w:id="133" w:name="_Toc25525"/>
      <w:bookmarkStart w:id="134" w:name="_Toc14814"/>
      <w:bookmarkStart w:id="135" w:name="_Toc26883"/>
      <w:r>
        <w:rPr>
          <w:rFonts w:hint="eastAsia" w:ascii="仿宋" w:hAnsi="仿宋" w:eastAsia="仿宋" w:cs="仿宋"/>
          <w:b/>
          <w:color w:val="auto"/>
          <w:sz w:val="24"/>
          <w:highlight w:val="none"/>
        </w:rPr>
        <w:t>2.13 乙方破产</w:t>
      </w:r>
      <w:bookmarkEnd w:id="131"/>
      <w:bookmarkEnd w:id="132"/>
      <w:bookmarkEnd w:id="133"/>
      <w:bookmarkEnd w:id="134"/>
      <w:bookmarkEnd w:id="135"/>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hint="eastAsia" w:ascii="仿宋" w:hAnsi="仿宋" w:eastAsia="仿宋" w:cs="仿宋"/>
          <w:b/>
          <w:color w:val="auto"/>
          <w:sz w:val="24"/>
          <w:highlight w:val="none"/>
        </w:rPr>
      </w:pPr>
      <w:bookmarkStart w:id="136" w:name="_Toc2016"/>
      <w:bookmarkStart w:id="137" w:name="_Toc23323"/>
      <w:bookmarkStart w:id="138" w:name="_Toc1123"/>
      <w:r>
        <w:rPr>
          <w:rFonts w:hint="eastAsia" w:ascii="仿宋" w:hAnsi="仿宋" w:eastAsia="仿宋" w:cs="仿宋"/>
          <w:b/>
          <w:color w:val="auto"/>
          <w:sz w:val="24"/>
          <w:highlight w:val="none"/>
        </w:rPr>
        <w:t>2.14 合同中止、终止</w:t>
      </w:r>
      <w:bookmarkEnd w:id="136"/>
      <w:bookmarkEnd w:id="137"/>
      <w:bookmarkEnd w:id="138"/>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hint="eastAsia" w:ascii="仿宋" w:hAnsi="仿宋" w:eastAsia="仿宋" w:cs="仿宋"/>
          <w:b/>
          <w:color w:val="auto"/>
          <w:sz w:val="24"/>
          <w:highlight w:val="none"/>
        </w:rPr>
      </w:pPr>
      <w:bookmarkStart w:id="139" w:name="_Toc1969"/>
      <w:bookmarkStart w:id="140" w:name="_Toc14525"/>
      <w:bookmarkStart w:id="141" w:name="_Toc17363"/>
      <w:r>
        <w:rPr>
          <w:rFonts w:hint="eastAsia" w:ascii="仿宋" w:hAnsi="仿宋" w:eastAsia="仿宋" w:cs="仿宋"/>
          <w:b/>
          <w:color w:val="auto"/>
          <w:sz w:val="24"/>
          <w:highlight w:val="none"/>
        </w:rPr>
        <w:t>2.15 检验和验收</w:t>
      </w:r>
      <w:bookmarkEnd w:id="139"/>
      <w:bookmarkEnd w:id="140"/>
      <w:bookmarkEnd w:id="141"/>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hint="eastAsia" w:ascii="仿宋" w:hAnsi="仿宋" w:eastAsia="仿宋" w:cs="仿宋"/>
          <w:b/>
          <w:color w:val="auto"/>
          <w:sz w:val="24"/>
          <w:highlight w:val="none"/>
        </w:rPr>
      </w:pPr>
      <w:bookmarkStart w:id="142" w:name="_Toc12666"/>
      <w:bookmarkStart w:id="143" w:name="_Toc2308"/>
      <w:bookmarkStart w:id="144" w:name="_Toc9808"/>
      <w:bookmarkStart w:id="145" w:name="_Toc31892"/>
      <w:bookmarkStart w:id="146" w:name="_Toc25198"/>
      <w:r>
        <w:rPr>
          <w:rFonts w:hint="eastAsia" w:ascii="仿宋" w:hAnsi="仿宋" w:eastAsia="仿宋" w:cs="仿宋"/>
          <w:b/>
          <w:color w:val="auto"/>
          <w:sz w:val="24"/>
          <w:highlight w:val="none"/>
        </w:rPr>
        <w:t>2.16 通知和送达</w:t>
      </w:r>
      <w:bookmarkEnd w:id="142"/>
      <w:bookmarkEnd w:id="143"/>
      <w:bookmarkEnd w:id="144"/>
      <w:bookmarkEnd w:id="145"/>
      <w:bookmarkEnd w:id="146"/>
    </w:p>
    <w:p>
      <w:pPr>
        <w:spacing w:line="560" w:lineRule="exact"/>
        <w:ind w:firstLine="480" w:firstLineChars="200"/>
        <w:rPr>
          <w:rFonts w:hint="eastAsia" w:ascii="仿宋" w:hAnsi="仿宋" w:eastAsia="仿宋" w:cs="仿宋"/>
          <w:color w:val="auto"/>
          <w:sz w:val="24"/>
          <w:highlight w:val="none"/>
        </w:rPr>
      </w:pPr>
      <w:bookmarkStart w:id="147" w:name="_Toc18401"/>
      <w:bookmarkStart w:id="148"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pPr>
        <w:spacing w:line="560" w:lineRule="exact"/>
        <w:ind w:firstLine="482" w:firstLineChars="200"/>
        <w:outlineLvl w:val="0"/>
        <w:rPr>
          <w:rFonts w:hint="eastAsia" w:ascii="仿宋" w:hAnsi="仿宋" w:eastAsia="仿宋" w:cs="仿宋"/>
          <w:b/>
          <w:color w:val="auto"/>
          <w:sz w:val="24"/>
          <w:highlight w:val="none"/>
        </w:rPr>
      </w:pPr>
      <w:bookmarkStart w:id="149" w:name="_Toc27644"/>
      <w:bookmarkStart w:id="150" w:name="_Toc12254"/>
      <w:bookmarkStart w:id="151" w:name="_Toc5063"/>
      <w:bookmarkStart w:id="152" w:name="_Toc28906"/>
      <w:bookmarkStart w:id="153" w:name="_Toc20808"/>
      <w:r>
        <w:rPr>
          <w:rFonts w:hint="eastAsia" w:ascii="仿宋" w:hAnsi="仿宋" w:eastAsia="仿宋" w:cs="仿宋"/>
          <w:b/>
          <w:color w:val="auto"/>
          <w:sz w:val="24"/>
          <w:highlight w:val="none"/>
        </w:rPr>
        <w:t>2.17 合同使用的文字和适用的法律</w:t>
      </w:r>
      <w:bookmarkEnd w:id="149"/>
      <w:bookmarkEnd w:id="150"/>
      <w:bookmarkEnd w:id="151"/>
      <w:bookmarkEnd w:id="152"/>
      <w:bookmarkEnd w:id="153"/>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hint="eastAsia" w:ascii="仿宋" w:hAnsi="仿宋" w:eastAsia="仿宋" w:cs="仿宋"/>
          <w:b/>
          <w:color w:val="auto"/>
          <w:sz w:val="24"/>
          <w:highlight w:val="none"/>
        </w:rPr>
      </w:pPr>
      <w:bookmarkStart w:id="154" w:name="_Toc18540"/>
      <w:bookmarkStart w:id="155" w:name="_Toc4355"/>
      <w:bookmarkStart w:id="156" w:name="_Toc30599"/>
      <w:r>
        <w:rPr>
          <w:rFonts w:hint="eastAsia" w:ascii="仿宋" w:hAnsi="仿宋" w:eastAsia="仿宋" w:cs="仿宋"/>
          <w:b/>
          <w:color w:val="auto"/>
          <w:sz w:val="24"/>
          <w:highlight w:val="none"/>
        </w:rPr>
        <w:t>2.18 计量单位</w:t>
      </w:r>
      <w:bookmarkEnd w:id="154"/>
      <w:bookmarkEnd w:id="155"/>
      <w:bookmarkEnd w:id="156"/>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color w:val="auto"/>
          <w:sz w:val="24"/>
          <w:highlight w:val="none"/>
        </w:rPr>
      </w:pPr>
      <w:bookmarkStart w:id="157" w:name="_Toc279701263"/>
      <w:bookmarkStart w:id="158" w:name="_Toc18567"/>
      <w:bookmarkStart w:id="159" w:name="_Toc487900373"/>
      <w:bookmarkStart w:id="160" w:name="_Toc12773"/>
      <w:bookmarkStart w:id="161" w:name="_Toc10330"/>
      <w:bookmarkStart w:id="162" w:name="_Toc259093692"/>
      <w:r>
        <w:rPr>
          <w:rFonts w:hint="eastAsia" w:ascii="仿宋" w:hAnsi="仿宋" w:eastAsia="仿宋" w:cs="仿宋"/>
          <w:b/>
          <w:color w:val="auto"/>
          <w:sz w:val="24"/>
          <w:highlight w:val="none"/>
        </w:rPr>
        <w:t>2.19 合同使用的文字和适用的法律</w:t>
      </w:r>
      <w:bookmarkEnd w:id="157"/>
      <w:bookmarkEnd w:id="158"/>
      <w:bookmarkEnd w:id="159"/>
      <w:bookmarkEnd w:id="160"/>
      <w:bookmarkEnd w:id="161"/>
      <w:bookmarkEnd w:id="162"/>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3" w:name="_Toc331685784"/>
      <w:r>
        <w:rPr>
          <w:rFonts w:hint="eastAsia" w:ascii="仿宋" w:hAnsi="仿宋" w:eastAsia="仿宋" w:cs="仿宋"/>
          <w:b/>
          <w:color w:val="auto"/>
          <w:sz w:val="24"/>
          <w:highlight w:val="none"/>
        </w:rPr>
        <w:t xml:space="preserve"> </w:t>
      </w:r>
      <w:bookmarkEnd w:id="163"/>
      <w:r>
        <w:rPr>
          <w:rFonts w:hint="eastAsia" w:ascii="仿宋" w:hAnsi="仿宋" w:eastAsia="仿宋" w:cs="仿宋"/>
          <w:b/>
          <w:color w:val="auto"/>
          <w:kern w:val="2"/>
          <w:sz w:val="24"/>
          <w:szCs w:val="24"/>
          <w:highlight w:val="none"/>
          <w:lang w:val="en-US" w:eastAsia="zh-CN" w:bidi="ar-SA"/>
        </w:rPr>
        <w:t>第三部分  合同专用条款</w:t>
      </w:r>
    </w:p>
    <w:p>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hint="eastAsia"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hint="eastAsia" w:ascii="仿宋" w:hAnsi="仿宋" w:eastAsia="仿宋" w:cs="仿宋"/>
                <w:color w:val="auto"/>
                <w:sz w:val="24"/>
                <w:highlight w:val="none"/>
              </w:rPr>
            </w:pPr>
          </w:p>
        </w:tc>
      </w:tr>
    </w:tbl>
    <w:p>
      <w:pPr>
        <w:spacing w:line="360" w:lineRule="auto"/>
        <w:ind w:left="-420" w:leftChars="-200" w:right="-420" w:rightChars="-200" w:firstLine="480" w:firstLineChars="200"/>
        <w:rPr>
          <w:rFonts w:hint="eastAsia"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p>
      <w:pPr>
        <w:pStyle w:val="2"/>
        <w:rPr>
          <w:rFonts w:hint="eastAsia"/>
          <w:highlight w:val="none"/>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1</w:t>
      </w:r>
      <w:r>
        <w:rPr>
          <w:rFonts w:hint="eastAsia" w:ascii="仿宋" w:hAnsi="仿宋" w:eastAsia="仿宋" w:cs="仿宋"/>
          <w:b/>
          <w:color w:val="auto"/>
          <w:sz w:val="24"/>
          <w:szCs w:val="24"/>
          <w:highlight w:val="none"/>
          <w:bdr w:val="single" w:color="auto" w:sz="4" w:space="0"/>
        </w:rPr>
        <w:t>标</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216"/>
        <w:gridCol w:w="709"/>
        <w:gridCol w:w="6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
                <w:color w:val="auto"/>
                <w:sz w:val="24"/>
                <w:szCs w:val="24"/>
                <w:highlight w:val="none"/>
                <w:lang w:eastAsia="zh-CN"/>
              </w:rPr>
            </w:pPr>
            <w:r>
              <w:rPr>
                <w:rFonts w:hint="eastAsia" w:ascii="仿宋" w:hAnsi="仿宋" w:eastAsia="仿宋" w:cs="仿宋"/>
                <w:b/>
                <w:color w:val="auto"/>
                <w:sz w:val="24"/>
                <w:szCs w:val="24"/>
                <w:highlight w:val="none"/>
                <w:lang w:eastAsia="zh-CN"/>
              </w:rPr>
              <w:t>序号</w:t>
            </w:r>
          </w:p>
        </w:tc>
        <w:tc>
          <w:tcPr>
            <w:tcW w:w="12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评分项目</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分值</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产品性能、技术指标（</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20</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完全满足招标文件要求</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其中</w:t>
            </w:r>
            <w:r>
              <w:rPr>
                <w:rFonts w:hint="eastAsia" w:ascii="仿宋" w:hAnsi="仿宋" w:eastAsia="仿宋" w:cs="仿宋"/>
                <w:color w:val="auto"/>
                <w:sz w:val="24"/>
                <w:szCs w:val="24"/>
                <w:highlight w:val="none"/>
              </w:rPr>
              <w:t>标▲的为必须响应项，</w:t>
            </w:r>
            <w:r>
              <w:rPr>
                <w:rFonts w:hint="eastAsia" w:ascii="仿宋" w:hAnsi="仿宋" w:eastAsia="仿宋" w:cs="仿宋"/>
                <w:color w:val="auto"/>
                <w:sz w:val="24"/>
                <w:szCs w:val="24"/>
                <w:highlight w:val="none"/>
              </w:rPr>
              <w:t>打▲指标出现负偏离每项</w:t>
            </w:r>
            <w:r>
              <w:rPr>
                <w:rFonts w:hint="eastAsia" w:ascii="仿宋" w:hAnsi="仿宋" w:eastAsia="仿宋" w:cs="仿宋"/>
                <w:color w:val="auto"/>
                <w:sz w:val="24"/>
                <w:szCs w:val="24"/>
                <w:highlight w:val="none"/>
              </w:rPr>
              <w:t>扣</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rPr>
              <w:t>其他一般性指标负偏离</w:t>
            </w:r>
            <w:r>
              <w:rPr>
                <w:rFonts w:hint="eastAsia" w:ascii="仿宋" w:hAnsi="仿宋" w:eastAsia="仿宋" w:cs="仿宋"/>
                <w:color w:val="auto"/>
                <w:sz w:val="24"/>
                <w:szCs w:val="24"/>
                <w:highlight w:val="none"/>
              </w:rPr>
              <w:t>扣1分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扣完为止；投标方案中须附投标人提供的信息系统截图、方案、合同、证书等相关证明材料扫描件。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66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投标方案的科学性和完整性</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8</w:t>
            </w:r>
            <w:r>
              <w:rPr>
                <w:rFonts w:hint="eastAsia" w:ascii="仿宋" w:hAnsi="仿宋" w:eastAsia="仿宋" w:cs="仿宋"/>
                <w:color w:val="auto"/>
                <w:kern w:val="0"/>
                <w:sz w:val="24"/>
                <w:szCs w:val="24"/>
                <w:highlight w:val="none"/>
              </w:rPr>
              <w:t>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投标方案总体设计、软件开发方案和产品选型等，详细阐述系统的体系架构、实现思路和关键技术，以及对功能设计和实施计划的建议</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p>
        </w:tc>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left"/>
              <w:textAlignment w:val="auto"/>
              <w:rPr>
                <w:rFonts w:hint="eastAsia" w:ascii="仿宋" w:hAnsi="仿宋" w:eastAsia="仿宋" w:cs="仿宋"/>
                <w:color w:val="auto"/>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投标方案对项目建设思路、功能模块，原则、特点的理解情况，方案在确保阶段性任务实现的同时，是否统筹考虑了总体目标的实现；功能点是否合理，是否充分考虑采购人实际使用需求，是否符合本项目对当前和未来发展的要求</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ind w:firstLine="120" w:firstLineChars="5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16"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项目整体</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5</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项目组织实施方案，包括软件功能、软件模块、系统集成</w:t>
            </w:r>
            <w:r>
              <w:rPr>
                <w:rFonts w:hint="eastAsia" w:ascii="仿宋" w:hAnsi="仿宋" w:eastAsia="仿宋" w:cs="仿宋"/>
                <w:color w:val="auto"/>
                <w:sz w:val="24"/>
                <w:szCs w:val="24"/>
                <w:highlight w:val="none"/>
              </w:rPr>
              <w:t>、测试、验收、售后等内容，以及组织机构、实施场所、工作时间进度表、工作程序和步骤、管理和协调方法等</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p>
        </w:tc>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left"/>
              <w:textAlignment w:val="auto"/>
              <w:rPr>
                <w:rFonts w:hint="eastAsia" w:ascii="仿宋" w:hAnsi="仿宋" w:eastAsia="仿宋" w:cs="仿宋"/>
                <w:color w:val="auto"/>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投标人拟派项目团队负责人</w:t>
            </w:r>
            <w:r>
              <w:rPr>
                <w:rFonts w:hint="eastAsia" w:ascii="仿宋" w:hAnsi="仿宋" w:eastAsia="仿宋" w:cs="仿宋"/>
                <w:color w:val="auto"/>
                <w:sz w:val="24"/>
                <w:szCs w:val="24"/>
                <w:highlight w:val="none"/>
                <w:lang w:eastAsia="zh-CN"/>
              </w:rPr>
              <w:t>具有</w:t>
            </w:r>
            <w:r>
              <w:rPr>
                <w:rFonts w:hint="eastAsia" w:ascii="仿宋" w:hAnsi="仿宋" w:eastAsia="仿宋" w:cs="仿宋"/>
                <w:color w:val="auto"/>
                <w:sz w:val="24"/>
                <w:szCs w:val="24"/>
                <w:highlight w:val="none"/>
              </w:rPr>
              <w:t>PMP证书</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有10年或以上工作经验(从学历证明日期起视为参加工作)</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3分，需提供相关证书复印件</w:t>
            </w:r>
            <w:r>
              <w:rPr>
                <w:rFonts w:hint="eastAsia" w:ascii="仿宋" w:hAnsi="仿宋" w:eastAsia="仿宋" w:cs="仿宋"/>
                <w:color w:val="auto"/>
                <w:sz w:val="24"/>
                <w:szCs w:val="24"/>
                <w:highlight w:val="none"/>
                <w:lang w:val="en-US" w:eastAsia="zh-CN"/>
              </w:rPr>
              <w:t>及</w:t>
            </w:r>
            <w:r>
              <w:rPr>
                <w:rFonts w:hint="eastAsia" w:ascii="仿宋" w:hAnsi="仿宋" w:eastAsia="仿宋" w:cs="仿宋"/>
                <w:color w:val="auto"/>
                <w:sz w:val="24"/>
                <w:szCs w:val="24"/>
                <w:highlight w:val="none"/>
              </w:rPr>
              <w:t>社保</w:t>
            </w:r>
            <w:r>
              <w:rPr>
                <w:rFonts w:hint="eastAsia" w:ascii="仿宋" w:hAnsi="仿宋" w:eastAsia="仿宋" w:cs="仿宋"/>
                <w:color w:val="auto"/>
                <w:sz w:val="24"/>
                <w:szCs w:val="24"/>
                <w:highlight w:val="none"/>
                <w:lang w:eastAsia="zh-CN"/>
              </w:rPr>
              <w:t>缴纳</w:t>
            </w:r>
            <w:r>
              <w:rPr>
                <w:rFonts w:hint="eastAsia" w:ascii="仿宋" w:hAnsi="仿宋" w:eastAsia="仿宋" w:cs="仿宋"/>
                <w:color w:val="auto"/>
                <w:sz w:val="24"/>
                <w:szCs w:val="24"/>
                <w:highlight w:val="none"/>
              </w:rPr>
              <w:t>证明</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加盖投标人公章，未提供不得分</w:t>
            </w:r>
            <w:r>
              <w:rPr>
                <w:rFonts w:hint="eastAsia" w:ascii="仿宋" w:hAnsi="仿宋" w:eastAsia="仿宋" w:cs="仿宋"/>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p>
        </w:tc>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left"/>
              <w:textAlignment w:val="auto"/>
              <w:rPr>
                <w:rFonts w:hint="eastAsia" w:ascii="仿宋" w:hAnsi="仿宋" w:eastAsia="仿宋" w:cs="仿宋"/>
                <w:color w:val="auto"/>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pStyle w:val="80"/>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1、投标人具有CMMI证书的得1分；</w:t>
            </w:r>
          </w:p>
          <w:p>
            <w:pPr>
              <w:pStyle w:val="80"/>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2、投标人具有ISO9001质量管理体系认证的得1分；</w:t>
            </w:r>
          </w:p>
          <w:p>
            <w:pPr>
              <w:pStyle w:val="80"/>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3、投标人具有高新企业证书的得1分；</w:t>
            </w:r>
          </w:p>
          <w:p>
            <w:pPr>
              <w:pStyle w:val="80"/>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4、投标人ISO/IEC27001信息安全管理体系认证的得1分；</w:t>
            </w:r>
          </w:p>
          <w:p>
            <w:pPr>
              <w:pStyle w:val="80"/>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5、投标人具有病案数字化软件产品登记证书的得1分。</w:t>
            </w:r>
          </w:p>
          <w:p>
            <w:pPr>
              <w:pStyle w:val="80"/>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kern w:val="2"/>
                <w:sz w:val="24"/>
                <w:szCs w:val="24"/>
                <w:highlight w:val="none"/>
                <w:lang w:eastAsia="zh-CN"/>
              </w:rPr>
              <w:t>注：需提供相关证书复印件加盖投标人公章，未提供不得分。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p>
        </w:tc>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left"/>
              <w:textAlignment w:val="auto"/>
              <w:rPr>
                <w:rFonts w:hint="eastAsia" w:ascii="仿宋" w:hAnsi="仿宋" w:eastAsia="仿宋" w:cs="仿宋"/>
                <w:color w:val="auto"/>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4</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lang w:eastAsia="zh-CN"/>
              </w:rPr>
              <w:t>根据投标人提供的</w:t>
            </w:r>
            <w:r>
              <w:rPr>
                <w:rFonts w:hint="eastAsia" w:ascii="仿宋" w:hAnsi="仿宋" w:eastAsia="仿宋" w:cs="仿宋"/>
                <w:color w:val="auto"/>
                <w:kern w:val="0"/>
                <w:sz w:val="24"/>
                <w:szCs w:val="24"/>
                <w:highlight w:val="none"/>
              </w:rPr>
              <w:t>培训计划：包括培训内容、时间、地点、人次，费用计入总报价；系统计算机管理人员培训，重点培训为软件的安装、维护、调试、配置及使用技能；业务人员培训，重点对相应应用的操作、使用</w:t>
            </w:r>
            <w:r>
              <w:rPr>
                <w:rFonts w:hint="eastAsia" w:ascii="仿宋" w:hAnsi="仿宋" w:eastAsia="仿宋" w:cs="仿宋"/>
                <w:color w:val="auto"/>
                <w:kern w:val="0"/>
                <w:sz w:val="24"/>
                <w:szCs w:val="24"/>
                <w:highlight w:val="none"/>
                <w:lang w:eastAsia="zh-CN"/>
              </w:rPr>
              <w:t>等方面进行综合评审，</w:t>
            </w:r>
            <w:r>
              <w:rPr>
                <w:rFonts w:hint="eastAsia" w:ascii="仿宋" w:hAnsi="仿宋" w:eastAsia="仿宋" w:cs="仿宋"/>
                <w:color w:val="auto"/>
                <w:kern w:val="0"/>
                <w:sz w:val="24"/>
                <w:szCs w:val="24"/>
                <w:highlight w:val="none"/>
                <w:lang w:val="en-US" w:eastAsia="zh-CN"/>
              </w:rPr>
              <w:t>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67"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p>
        </w:tc>
        <w:tc>
          <w:tcPr>
            <w:tcW w:w="1216"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left"/>
              <w:textAlignment w:val="auto"/>
              <w:rPr>
                <w:rFonts w:hint="eastAsia" w:ascii="仿宋" w:hAnsi="仿宋" w:eastAsia="仿宋" w:cs="仿宋"/>
                <w:color w:val="auto"/>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kern w:val="0"/>
                <w:sz w:val="24"/>
                <w:szCs w:val="24"/>
                <w:highlight w:val="none"/>
                <w:lang w:val="en-US"/>
              </w:rPr>
            </w:pPr>
            <w:r>
              <w:rPr>
                <w:rFonts w:hint="eastAsia" w:ascii="仿宋" w:hAnsi="仿宋" w:eastAsia="仿宋" w:cs="仿宋"/>
                <w:color w:val="auto"/>
                <w:spacing w:val="-4"/>
                <w:sz w:val="24"/>
                <w:szCs w:val="24"/>
                <w:highlight w:val="none"/>
                <w:lang w:eastAsia="zh-CN"/>
              </w:rPr>
              <w:t>根据</w:t>
            </w:r>
            <w:r>
              <w:rPr>
                <w:rFonts w:hint="eastAsia" w:ascii="仿宋" w:hAnsi="仿宋" w:eastAsia="仿宋" w:cs="仿宋"/>
                <w:color w:val="auto"/>
                <w:spacing w:val="-4"/>
                <w:sz w:val="24"/>
                <w:szCs w:val="24"/>
                <w:highlight w:val="none"/>
              </w:rPr>
              <w:t>投标人提</w:t>
            </w:r>
            <w:r>
              <w:rPr>
                <w:rFonts w:hint="eastAsia" w:ascii="仿宋" w:hAnsi="仿宋" w:eastAsia="仿宋" w:cs="仿宋"/>
                <w:color w:val="auto"/>
                <w:spacing w:val="-4"/>
                <w:sz w:val="24"/>
                <w:szCs w:val="24"/>
                <w:highlight w:val="none"/>
                <w:lang w:eastAsia="zh-CN"/>
              </w:rPr>
              <w:t>供</w:t>
            </w:r>
            <w:r>
              <w:rPr>
                <w:rFonts w:hint="eastAsia" w:ascii="仿宋" w:hAnsi="仿宋" w:eastAsia="仿宋" w:cs="仿宋"/>
                <w:color w:val="auto"/>
                <w:spacing w:val="-4"/>
                <w:sz w:val="24"/>
                <w:szCs w:val="24"/>
                <w:highlight w:val="none"/>
              </w:rPr>
              <w:t>的验收方案的合理性、交付成果等</w:t>
            </w:r>
            <w:r>
              <w:rPr>
                <w:rFonts w:hint="eastAsia" w:ascii="仿宋" w:hAnsi="仿宋" w:eastAsia="仿宋" w:cs="仿宋"/>
                <w:color w:val="auto"/>
                <w:spacing w:val="-4"/>
                <w:sz w:val="24"/>
                <w:szCs w:val="24"/>
                <w:highlight w:val="none"/>
                <w:lang w:eastAsia="zh-CN"/>
              </w:rPr>
              <w:t>进行综合评审，</w:t>
            </w:r>
            <w:r>
              <w:rPr>
                <w:rFonts w:hint="eastAsia" w:ascii="仿宋" w:hAnsi="仿宋" w:eastAsia="仿宋" w:cs="仿宋"/>
                <w:color w:val="auto"/>
                <w:spacing w:val="-4"/>
                <w:sz w:val="24"/>
                <w:szCs w:val="24"/>
                <w:highlight w:val="none"/>
                <w:lang w:val="en-US" w:eastAsia="zh-CN"/>
              </w:rPr>
              <w:t>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ind w:firstLine="240" w:firstLineChars="10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1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数据集成能力（10分）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曾</w:t>
            </w:r>
            <w:r>
              <w:rPr>
                <w:rFonts w:hint="eastAsia" w:ascii="仿宋" w:hAnsi="仿宋" w:eastAsia="仿宋" w:cs="仿宋"/>
                <w:color w:val="auto"/>
                <w:sz w:val="24"/>
                <w:szCs w:val="24"/>
                <w:highlight w:val="none"/>
              </w:rPr>
              <w:t>承建的项目参与国家互联互通成熟度评测，且达到四级甲等及以上水平，得5分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需提供国家</w:t>
            </w:r>
            <w:r>
              <w:rPr>
                <w:rFonts w:hint="eastAsia" w:ascii="仿宋" w:hAnsi="仿宋" w:eastAsia="仿宋" w:cs="仿宋"/>
                <w:color w:val="auto"/>
                <w:sz w:val="24"/>
                <w:szCs w:val="24"/>
                <w:highlight w:val="none"/>
              </w:rPr>
              <w:t>卫</w:t>
            </w:r>
            <w:r>
              <w:rPr>
                <w:rFonts w:hint="eastAsia" w:ascii="仿宋" w:hAnsi="仿宋" w:eastAsia="仿宋" w:cs="仿宋"/>
                <w:color w:val="auto"/>
                <w:sz w:val="24"/>
                <w:szCs w:val="24"/>
                <w:highlight w:val="none"/>
                <w:lang w:eastAsia="zh-CN"/>
              </w:rPr>
              <w:t>健</w:t>
            </w:r>
            <w:r>
              <w:rPr>
                <w:rFonts w:hint="eastAsia" w:ascii="仿宋" w:hAnsi="仿宋" w:eastAsia="仿宋" w:cs="仿宋"/>
                <w:color w:val="auto"/>
                <w:sz w:val="24"/>
                <w:szCs w:val="24"/>
                <w:highlight w:val="none"/>
              </w:rPr>
              <w:t>委</w:t>
            </w:r>
            <w:r>
              <w:rPr>
                <w:rFonts w:hint="eastAsia" w:ascii="仿宋" w:hAnsi="仿宋" w:eastAsia="仿宋" w:cs="仿宋"/>
                <w:color w:val="auto"/>
                <w:sz w:val="24"/>
                <w:szCs w:val="24"/>
                <w:highlight w:val="none"/>
              </w:rPr>
              <w:t>针对该医院的授牌及投标人与该医院的项目合同</w:t>
            </w:r>
            <w:r>
              <w:rPr>
                <w:rFonts w:hint="eastAsia" w:ascii="仿宋" w:hAnsi="仿宋" w:eastAsia="仿宋" w:cs="仿宋"/>
                <w:color w:val="auto"/>
                <w:sz w:val="24"/>
                <w:szCs w:val="24"/>
                <w:highlight w:val="none"/>
                <w:lang w:eastAsia="zh-CN"/>
              </w:rPr>
              <w:t>，未提供</w:t>
            </w:r>
            <w:r>
              <w:rPr>
                <w:rFonts w:hint="eastAsia" w:ascii="仿宋" w:hAnsi="仿宋" w:eastAsia="仿宋" w:cs="仿宋"/>
                <w:color w:val="auto"/>
                <w:sz w:val="24"/>
                <w:szCs w:val="24"/>
                <w:highlight w:val="none"/>
              </w:rPr>
              <w:t>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p>
        </w:tc>
        <w:tc>
          <w:tcPr>
            <w:tcW w:w="1216" w:type="dxa"/>
            <w:vMerge w:val="continue"/>
            <w:tcBorders>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5</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投标人数据集成产品通过中国软件评测中心关于医院信息互联互通标准化成熟度测评产品测试认证得5分，</w:t>
            </w:r>
            <w:r>
              <w:rPr>
                <w:rFonts w:hint="eastAsia" w:ascii="仿宋" w:hAnsi="仿宋" w:eastAsia="仿宋" w:cs="仿宋"/>
                <w:color w:val="auto"/>
                <w:sz w:val="24"/>
                <w:szCs w:val="24"/>
                <w:highlight w:val="none"/>
                <w:lang w:eastAsia="zh-CN"/>
              </w:rPr>
              <w:t>未提供</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分）</w:t>
            </w:r>
          </w:p>
        </w:tc>
        <w:tc>
          <w:tcPr>
            <w:tcW w:w="70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6</w:t>
            </w:r>
          </w:p>
        </w:tc>
        <w:tc>
          <w:tcPr>
            <w:tcW w:w="6703"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val="en-US"/>
              </w:rPr>
            </w:pPr>
            <w:r>
              <w:rPr>
                <w:rFonts w:hint="eastAsia" w:ascii="仿宋" w:hAnsi="仿宋" w:eastAsia="仿宋" w:cs="仿宋"/>
                <w:color w:val="auto"/>
                <w:kern w:val="0"/>
                <w:sz w:val="24"/>
                <w:szCs w:val="24"/>
                <w:highlight w:val="none"/>
                <w:lang w:eastAsia="zh-CN"/>
              </w:rPr>
              <w:t>根据</w:t>
            </w:r>
            <w:r>
              <w:rPr>
                <w:rFonts w:hint="eastAsia" w:ascii="仿宋" w:hAnsi="仿宋" w:eastAsia="仿宋" w:cs="仿宋"/>
                <w:color w:val="auto"/>
                <w:kern w:val="0"/>
                <w:sz w:val="24"/>
                <w:szCs w:val="24"/>
                <w:highlight w:val="none"/>
              </w:rPr>
              <w:t>投标人提供的售后服务方案、售后服务承诺、保障措施可行、完整，维护期内外的后续技术支持和维护能力</w:t>
            </w:r>
            <w:r>
              <w:rPr>
                <w:rFonts w:hint="eastAsia" w:ascii="仿宋" w:hAnsi="仿宋" w:eastAsia="仿宋" w:cs="仿宋"/>
                <w:color w:val="auto"/>
                <w:kern w:val="0"/>
                <w:sz w:val="24"/>
                <w:szCs w:val="24"/>
                <w:highlight w:val="none"/>
                <w:lang w:eastAsia="zh-CN"/>
              </w:rPr>
              <w:t>等方面进行综合评审，</w:t>
            </w:r>
            <w:r>
              <w:rPr>
                <w:rFonts w:hint="eastAsia" w:ascii="仿宋" w:hAnsi="仿宋" w:eastAsia="仿宋" w:cs="仿宋"/>
                <w:color w:val="auto"/>
                <w:kern w:val="0"/>
                <w:sz w:val="24"/>
                <w:szCs w:val="24"/>
                <w:highlight w:val="none"/>
                <w:lang w:val="en-US" w:eastAsia="zh-CN"/>
              </w:rPr>
              <w:t>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同类业绩（</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3</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投标人</w:t>
            </w:r>
            <w:r>
              <w:rPr>
                <w:rFonts w:hint="eastAsia" w:ascii="仿宋" w:hAnsi="仿宋" w:eastAsia="仿宋" w:cs="仿宋"/>
                <w:color w:val="auto"/>
                <w:sz w:val="24"/>
                <w:szCs w:val="24"/>
                <w:highlight w:val="none"/>
                <w:lang w:eastAsia="zh-CN"/>
              </w:rPr>
              <w:t>需提供</w:t>
            </w:r>
            <w:r>
              <w:rPr>
                <w:rFonts w:hint="eastAsia" w:ascii="仿宋" w:hAnsi="仿宋" w:eastAsia="仿宋" w:cs="仿宋"/>
                <w:color w:val="auto"/>
                <w:sz w:val="24"/>
                <w:szCs w:val="24"/>
                <w:highlight w:val="none"/>
                <w:lang w:val="en-US" w:eastAsia="zh-CN"/>
              </w:rPr>
              <w:t>2021年3月1日至今</w:t>
            </w:r>
            <w:r>
              <w:rPr>
                <w:rFonts w:hint="eastAsia" w:ascii="仿宋" w:hAnsi="仿宋" w:eastAsia="仿宋" w:cs="仿宋"/>
                <w:color w:val="auto"/>
                <w:sz w:val="24"/>
                <w:szCs w:val="24"/>
                <w:highlight w:val="none"/>
                <w:lang w:eastAsia="zh-CN"/>
              </w:rPr>
              <w:t>类似</w:t>
            </w:r>
            <w:r>
              <w:rPr>
                <w:rFonts w:hint="eastAsia" w:ascii="仿宋" w:hAnsi="仿宋" w:eastAsia="仿宋" w:cs="仿宋"/>
                <w:color w:val="auto"/>
                <w:sz w:val="24"/>
                <w:szCs w:val="24"/>
                <w:highlight w:val="none"/>
              </w:rPr>
              <w:t>项目</w:t>
            </w:r>
            <w:r>
              <w:rPr>
                <w:rFonts w:hint="eastAsia" w:ascii="仿宋" w:hAnsi="仿宋" w:eastAsia="仿宋" w:cs="仿宋"/>
                <w:color w:val="auto"/>
                <w:sz w:val="24"/>
                <w:szCs w:val="24"/>
                <w:highlight w:val="none"/>
                <w:lang w:eastAsia="zh-CN"/>
              </w:rPr>
              <w:t>业绩（以合同签订时间为准）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rPr>
              <w:t>每</w:t>
            </w:r>
            <w:r>
              <w:rPr>
                <w:rFonts w:hint="eastAsia" w:ascii="仿宋" w:hAnsi="仿宋" w:eastAsia="仿宋" w:cs="仿宋"/>
                <w:color w:val="auto"/>
                <w:sz w:val="24"/>
                <w:szCs w:val="24"/>
                <w:highlight w:val="none"/>
                <w:lang w:eastAsia="zh-CN"/>
              </w:rPr>
              <w:t>提供一份</w:t>
            </w:r>
            <w:r>
              <w:rPr>
                <w:rFonts w:hint="eastAsia" w:ascii="仿宋" w:hAnsi="仿宋" w:eastAsia="仿宋" w:cs="仿宋"/>
                <w:color w:val="auto"/>
                <w:sz w:val="24"/>
                <w:szCs w:val="24"/>
                <w:highlight w:val="none"/>
              </w:rPr>
              <w:t>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分，最高</w:t>
            </w:r>
            <w:r>
              <w:rPr>
                <w:rFonts w:hint="eastAsia" w:ascii="仿宋" w:hAnsi="仿宋" w:eastAsia="仿宋" w:cs="仿宋"/>
                <w:color w:val="auto"/>
                <w:sz w:val="24"/>
                <w:szCs w:val="24"/>
                <w:highlight w:val="none"/>
                <w:lang w:eastAsia="zh-CN"/>
              </w:rPr>
              <w:t>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需提供合同复印件加盖投标人公章</w:t>
            </w:r>
            <w:r>
              <w:rPr>
                <w:rFonts w:hint="eastAsia" w:ascii="仿宋" w:hAnsi="仿宋" w:eastAsia="仿宋" w:cs="仿宋"/>
                <w:color w:val="auto"/>
                <w:sz w:val="24"/>
                <w:szCs w:val="24"/>
                <w:highlight w:val="none"/>
              </w:rPr>
              <w:t>（合同为病案数字化合同，合同正文</w:t>
            </w:r>
            <w:r>
              <w:rPr>
                <w:rFonts w:hint="eastAsia" w:ascii="仿宋" w:hAnsi="仿宋" w:eastAsia="仿宋" w:cs="仿宋"/>
                <w:color w:val="auto"/>
                <w:sz w:val="24"/>
                <w:szCs w:val="24"/>
                <w:highlight w:val="none"/>
                <w:lang w:eastAsia="zh-CN"/>
              </w:rPr>
              <w:t>需</w:t>
            </w:r>
            <w:r>
              <w:rPr>
                <w:rFonts w:hint="eastAsia" w:ascii="仿宋" w:hAnsi="仿宋" w:eastAsia="仿宋" w:cs="仿宋"/>
                <w:color w:val="auto"/>
                <w:sz w:val="24"/>
                <w:szCs w:val="24"/>
                <w:highlight w:val="none"/>
              </w:rPr>
              <w:t>体现纸质病案数字化内容）</w:t>
            </w:r>
            <w:r>
              <w:rPr>
                <w:rFonts w:hint="eastAsia" w:ascii="仿宋" w:hAnsi="仿宋" w:eastAsia="仿宋" w:cs="仿宋"/>
                <w:color w:val="auto"/>
                <w:sz w:val="24"/>
                <w:szCs w:val="24"/>
                <w:highlight w:val="none"/>
                <w:lang w:eastAsia="zh-CN"/>
              </w:rPr>
              <w:t>，未提供不得分。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1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服务工期承诺（3分）</w:t>
            </w:r>
          </w:p>
        </w:tc>
        <w:tc>
          <w:tcPr>
            <w:tcW w:w="70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w:t>
            </w:r>
          </w:p>
        </w:tc>
        <w:tc>
          <w:tcPr>
            <w:tcW w:w="670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投标人按合同期</w:t>
            </w:r>
            <w:r>
              <w:rPr>
                <w:rFonts w:hint="eastAsia" w:ascii="仿宋" w:hAnsi="仿宋" w:eastAsia="仿宋" w:cs="仿宋"/>
                <w:color w:val="auto"/>
                <w:sz w:val="24"/>
                <w:szCs w:val="24"/>
                <w:highlight w:val="none"/>
                <w:lang w:eastAsia="zh-CN"/>
              </w:rPr>
              <w:t>内</w:t>
            </w:r>
            <w:r>
              <w:rPr>
                <w:rFonts w:hint="eastAsia" w:ascii="仿宋" w:hAnsi="仿宋" w:eastAsia="仿宋" w:cs="仿宋"/>
                <w:color w:val="auto"/>
                <w:sz w:val="24"/>
                <w:szCs w:val="24"/>
                <w:highlight w:val="none"/>
              </w:rPr>
              <w:t>完成不得分，投标人承诺提前</w:t>
            </w:r>
            <w:r>
              <w:rPr>
                <w:rFonts w:hint="eastAsia" w:ascii="仿宋" w:hAnsi="仿宋" w:eastAsia="仿宋" w:cs="仿宋"/>
                <w:color w:val="auto"/>
                <w:sz w:val="24"/>
                <w:szCs w:val="24"/>
                <w:highlight w:val="none"/>
                <w:lang w:eastAsia="zh-CN"/>
              </w:rPr>
              <w:t>半</w:t>
            </w:r>
            <w:r>
              <w:rPr>
                <w:rFonts w:hint="eastAsia" w:ascii="仿宋" w:hAnsi="仿宋" w:eastAsia="仿宋" w:cs="仿宋"/>
                <w:color w:val="auto"/>
                <w:sz w:val="24"/>
                <w:szCs w:val="24"/>
                <w:highlight w:val="none"/>
              </w:rPr>
              <w:t>月完成得1分，投标人承诺提前</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月完成的3分，最高3分，需提供</w:t>
            </w: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承诺函并加盖公章，承诺具体项目完成时间。</w:t>
            </w:r>
          </w:p>
        </w:tc>
      </w:tr>
    </w:tbl>
    <w:p>
      <w:pPr>
        <w:keepNext w:val="0"/>
        <w:keepLines w:val="0"/>
        <w:pageBreakBefore w:val="0"/>
        <w:widowControl w:val="0"/>
        <w:kinsoku/>
        <w:wordWrap/>
        <w:overflowPunct/>
        <w:topLinePunct w:val="0"/>
        <w:bidi w:val="0"/>
        <w:adjustRightInd w:val="0"/>
        <w:snapToGrid w:val="0"/>
        <w:spacing w:line="320" w:lineRule="exact"/>
        <w:textAlignment w:val="auto"/>
        <w:rPr>
          <w:rFonts w:hint="default" w:ascii="仿宋" w:hAnsi="仿宋" w:eastAsia="仿宋" w:cs="仿宋"/>
          <w:color w:val="auto"/>
          <w:sz w:val="24"/>
          <w:szCs w:val="24"/>
          <w:highlight w:val="none"/>
          <w:shd w:val="clear" w:color="auto" w:fill="FFFFFF"/>
          <w:lang w:val="en-US" w:eastAsia="zh-CN"/>
        </w:rPr>
      </w:pPr>
      <w:r>
        <w:rPr>
          <w:rFonts w:hint="eastAsia" w:ascii="仿宋" w:hAnsi="仿宋" w:eastAsia="仿宋" w:cs="仿宋"/>
          <w:b/>
          <w:color w:val="auto"/>
          <w:sz w:val="24"/>
          <w:szCs w:val="24"/>
          <w:highlight w:val="none"/>
          <w:bdr w:val="single" w:color="auto" w:sz="4" w:space="0"/>
        </w:rPr>
        <w:t>0</w:t>
      </w:r>
      <w:r>
        <w:rPr>
          <w:rFonts w:hint="eastAsia" w:ascii="仿宋" w:hAnsi="仿宋" w:eastAsia="仿宋" w:cs="仿宋"/>
          <w:b/>
          <w:color w:val="auto"/>
          <w:sz w:val="24"/>
          <w:szCs w:val="24"/>
          <w:highlight w:val="none"/>
          <w:bdr w:val="single" w:color="auto" w:sz="4" w:space="0"/>
          <w:lang w:val="en-US" w:eastAsia="zh-CN"/>
        </w:rPr>
        <w:t>2</w:t>
      </w:r>
      <w:r>
        <w:rPr>
          <w:rFonts w:hint="eastAsia" w:ascii="仿宋" w:hAnsi="仿宋" w:eastAsia="仿宋" w:cs="仿宋"/>
          <w:b/>
          <w:color w:val="auto"/>
          <w:sz w:val="24"/>
          <w:szCs w:val="24"/>
          <w:highlight w:val="none"/>
          <w:bdr w:val="single" w:color="auto" w:sz="4" w:space="0"/>
        </w:rPr>
        <w:t>标</w:t>
      </w:r>
    </w:p>
    <w:tbl>
      <w:tblPr>
        <w:tblStyle w:val="62"/>
        <w:tblW w:w="5103"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27"/>
        <w:gridCol w:w="1589"/>
        <w:gridCol w:w="751"/>
        <w:gridCol w:w="6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331"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838"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评分项</w:t>
            </w:r>
          </w:p>
        </w:tc>
        <w:tc>
          <w:tcPr>
            <w:tcW w:w="396"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分值</w:t>
            </w:r>
          </w:p>
        </w:tc>
        <w:tc>
          <w:tcPr>
            <w:tcW w:w="3434"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评审要求及打分说明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331"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838"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文件响应及技术方案</w:t>
            </w:r>
          </w:p>
        </w:tc>
        <w:tc>
          <w:tcPr>
            <w:tcW w:w="396"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18分</w:t>
            </w:r>
          </w:p>
        </w:tc>
        <w:tc>
          <w:tcPr>
            <w:tcW w:w="3434" w:type="pct"/>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根据</w:t>
            </w:r>
            <w:r>
              <w:rPr>
                <w:rFonts w:hint="eastAsia" w:ascii="仿宋" w:hAnsi="仿宋" w:eastAsia="仿宋" w:cs="仿宋"/>
                <w:color w:val="auto"/>
                <w:sz w:val="24"/>
                <w:szCs w:val="24"/>
                <w:highlight w:val="none"/>
              </w:rPr>
              <w:t>投标人提供的案总体设计、实施方案等，详细阐述实施方案的体系架构、功能模块、实现思路和关键技术，以及对功能设计和实施计划的建议进行评审，</w:t>
            </w:r>
            <w:r>
              <w:rPr>
                <w:rFonts w:hint="eastAsia" w:ascii="仿宋" w:hAnsi="仿宋" w:eastAsia="仿宋" w:cs="仿宋"/>
                <w:color w:val="auto"/>
                <w:sz w:val="24"/>
                <w:szCs w:val="24"/>
                <w:highlight w:val="none"/>
                <w:lang w:val="en-US" w:eastAsia="zh-CN"/>
              </w:rPr>
              <w:t>0-18分。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8" w:hRule="atLeast"/>
        </w:trPr>
        <w:tc>
          <w:tcPr>
            <w:tcW w:w="331"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838"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资信</w:t>
            </w:r>
          </w:p>
        </w:tc>
        <w:tc>
          <w:tcPr>
            <w:tcW w:w="396"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20分</w:t>
            </w:r>
          </w:p>
        </w:tc>
        <w:tc>
          <w:tcPr>
            <w:tcW w:w="3434" w:type="pct"/>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1）具有信息安全应急处理服务资质证书得1分； </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2）具有信息安全服务风险评估资质得1分；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具有源代码备份漏洞利用工具软件著作权证书、源代码安全审计检测系统软件著作权证书、移动安全检测系统著作权证书、验证码安全加固认证系统著作权证书、网站安全扫描工具软件著作权证书每类证书1分，</w:t>
            </w:r>
            <w:r>
              <w:rPr>
                <w:rFonts w:hint="eastAsia" w:ascii="仿宋" w:hAnsi="仿宋" w:eastAsia="仿宋" w:cs="仿宋"/>
                <w:color w:val="auto"/>
                <w:sz w:val="24"/>
                <w:szCs w:val="24"/>
                <w:highlight w:val="none"/>
                <w:lang w:eastAsia="zh-CN"/>
              </w:rPr>
              <w:t>最高得</w:t>
            </w:r>
            <w:r>
              <w:rPr>
                <w:rFonts w:hint="eastAsia" w:ascii="仿宋" w:hAnsi="仿宋" w:eastAsia="仿宋" w:cs="仿宋"/>
                <w:color w:val="auto"/>
                <w:sz w:val="24"/>
                <w:szCs w:val="24"/>
                <w:highlight w:val="none"/>
              </w:rPr>
              <w:t>5分；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4）具有国家信息安全漏洞共享平台漏洞证明证书每</w:t>
            </w:r>
            <w:r>
              <w:rPr>
                <w:rFonts w:hint="eastAsia" w:ascii="仿宋" w:hAnsi="仿宋" w:eastAsia="仿宋" w:cs="仿宋"/>
                <w:color w:val="auto"/>
                <w:sz w:val="24"/>
                <w:szCs w:val="24"/>
                <w:highlight w:val="none"/>
                <w:lang w:eastAsia="zh-CN"/>
              </w:rPr>
              <w:t>提供一</w:t>
            </w:r>
            <w:r>
              <w:rPr>
                <w:rFonts w:hint="eastAsia" w:ascii="仿宋" w:hAnsi="仿宋" w:eastAsia="仿宋" w:cs="仿宋"/>
                <w:color w:val="auto"/>
                <w:sz w:val="24"/>
                <w:szCs w:val="24"/>
                <w:highlight w:val="none"/>
              </w:rPr>
              <w:t>份得1分，最多得3分；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5）连续三年荣获国家信息安全等级保护工作协调小组办公室授予的先进单位且获得全国网络安全等级保护测评机构网络安全攻防大赛获奖证书的得2分；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6）具有ISO27001证书得1分；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7）具有ISO9001质量体系认证得1分；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8)参与网络安全等级保护测评高风险判定指引（T/ISEAA001-2020）编制的得3分；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9)参与信息安全技术网络安全等级保护大数据基本要求（T/ISEAA002-2021）编制的得3分；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上述证书均需提供复印件加盖投标人公章，未提供不得分。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3" w:hRule="atLeast"/>
        </w:trPr>
        <w:tc>
          <w:tcPr>
            <w:tcW w:w="331"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838"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项目经验</w:t>
            </w:r>
          </w:p>
        </w:tc>
        <w:tc>
          <w:tcPr>
            <w:tcW w:w="396"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3分</w:t>
            </w:r>
          </w:p>
        </w:tc>
        <w:tc>
          <w:tcPr>
            <w:tcW w:w="3434" w:type="pct"/>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提供20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月至今具有信息系统等级保护测评案例合同（以合同签订时间为准），每</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一份得1分，最高3分，需提供合同复印件加盖投标人公章，未提供不得分。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4" w:hRule="atLeast"/>
        </w:trPr>
        <w:tc>
          <w:tcPr>
            <w:tcW w:w="331"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838"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项目人员实力</w:t>
            </w:r>
          </w:p>
        </w:tc>
        <w:tc>
          <w:tcPr>
            <w:tcW w:w="396"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23分</w:t>
            </w:r>
          </w:p>
        </w:tc>
        <w:tc>
          <w:tcPr>
            <w:tcW w:w="3434" w:type="pct"/>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 投标</w:t>
            </w:r>
            <w:r>
              <w:rPr>
                <w:rFonts w:hint="eastAsia" w:ascii="仿宋" w:hAnsi="仿宋" w:eastAsia="仿宋" w:cs="仿宋"/>
                <w:color w:val="auto"/>
                <w:sz w:val="24"/>
                <w:szCs w:val="24"/>
                <w:highlight w:val="none"/>
                <w:lang w:eastAsia="zh-CN"/>
              </w:rPr>
              <w:t>人拟派本项目</w:t>
            </w:r>
            <w:r>
              <w:rPr>
                <w:rFonts w:hint="eastAsia" w:ascii="仿宋" w:hAnsi="仿宋" w:eastAsia="仿宋" w:cs="仿宋"/>
                <w:color w:val="auto"/>
                <w:sz w:val="24"/>
                <w:szCs w:val="24"/>
                <w:highlight w:val="none"/>
              </w:rPr>
              <w:t>人员具有高级测评师且同时具有公安部科学技术奖证书（信息系统安全等级保护测评相关）（每人次得3分，最高得3分）</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 投标</w:t>
            </w:r>
            <w:r>
              <w:rPr>
                <w:rFonts w:hint="eastAsia" w:ascii="仿宋" w:hAnsi="仿宋" w:eastAsia="仿宋" w:cs="仿宋"/>
                <w:color w:val="auto"/>
                <w:sz w:val="24"/>
                <w:szCs w:val="24"/>
                <w:highlight w:val="none"/>
                <w:lang w:eastAsia="zh-CN"/>
              </w:rPr>
              <w:t>人拟派本项目</w:t>
            </w:r>
            <w:r>
              <w:rPr>
                <w:rFonts w:hint="eastAsia" w:ascii="仿宋" w:hAnsi="仿宋" w:eastAsia="仿宋" w:cs="仿宋"/>
                <w:color w:val="auto"/>
                <w:sz w:val="24"/>
                <w:szCs w:val="24"/>
                <w:highlight w:val="none"/>
              </w:rPr>
              <w:t>人员具有高级测评师且同时具有全国信息安全标准化技术委员会颁发的信息安全标准优秀应用案例奖证书（信息系统安全等级保护测评相关）（每人次得3分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最高得3分）</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 投标</w:t>
            </w:r>
            <w:r>
              <w:rPr>
                <w:rFonts w:hint="eastAsia" w:ascii="仿宋" w:hAnsi="仿宋" w:eastAsia="仿宋" w:cs="仿宋"/>
                <w:color w:val="auto"/>
                <w:sz w:val="24"/>
                <w:szCs w:val="24"/>
                <w:highlight w:val="none"/>
                <w:lang w:eastAsia="zh-CN"/>
              </w:rPr>
              <w:t>人拟派本项目</w:t>
            </w:r>
            <w:r>
              <w:rPr>
                <w:rFonts w:hint="eastAsia" w:ascii="仿宋" w:hAnsi="仿宋" w:eastAsia="仿宋" w:cs="仿宋"/>
                <w:color w:val="auto"/>
                <w:sz w:val="24"/>
                <w:szCs w:val="24"/>
                <w:highlight w:val="none"/>
              </w:rPr>
              <w:t>人员具有中级测评师证书（每人次得1分，最高得4分）。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4）投标</w:t>
            </w:r>
            <w:r>
              <w:rPr>
                <w:rFonts w:hint="eastAsia" w:ascii="仿宋" w:hAnsi="仿宋" w:eastAsia="仿宋" w:cs="仿宋"/>
                <w:color w:val="auto"/>
                <w:sz w:val="24"/>
                <w:szCs w:val="24"/>
                <w:highlight w:val="none"/>
                <w:lang w:eastAsia="zh-CN"/>
              </w:rPr>
              <w:t>人拟派本项目</w:t>
            </w:r>
            <w:r>
              <w:rPr>
                <w:rFonts w:hint="eastAsia" w:ascii="仿宋" w:hAnsi="仿宋" w:eastAsia="仿宋" w:cs="仿宋"/>
                <w:color w:val="auto"/>
                <w:sz w:val="24"/>
                <w:szCs w:val="24"/>
                <w:highlight w:val="none"/>
              </w:rPr>
              <w:t>人员具有初级测评师证书（每人次得1分，最高得4分）。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投标</w:t>
            </w:r>
            <w:r>
              <w:rPr>
                <w:rFonts w:hint="eastAsia" w:ascii="仿宋" w:hAnsi="仿宋" w:eastAsia="仿宋" w:cs="仿宋"/>
                <w:color w:val="auto"/>
                <w:sz w:val="24"/>
                <w:szCs w:val="24"/>
                <w:highlight w:val="none"/>
                <w:lang w:eastAsia="zh-CN"/>
              </w:rPr>
              <w:t>人拟派本项目</w:t>
            </w:r>
            <w:r>
              <w:rPr>
                <w:rFonts w:hint="eastAsia" w:ascii="仿宋" w:hAnsi="仿宋" w:eastAsia="仿宋" w:cs="仿宋"/>
                <w:color w:val="auto"/>
                <w:sz w:val="24"/>
                <w:szCs w:val="24"/>
                <w:highlight w:val="none"/>
              </w:rPr>
              <w:t>人员具有Oracle OCP数据库认证专家（每人次得3分，最高得3分）。</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 xml:space="preserve">6) </w:t>
            </w:r>
            <w:r>
              <w:rPr>
                <w:rFonts w:hint="eastAsia" w:ascii="仿宋" w:hAnsi="仿宋" w:eastAsia="仿宋" w:cs="仿宋"/>
                <w:color w:val="auto"/>
                <w:sz w:val="24"/>
                <w:szCs w:val="24"/>
                <w:highlight w:val="none"/>
                <w:lang w:eastAsia="zh-CN"/>
              </w:rPr>
              <w:t>投标人拟派</w:t>
            </w:r>
            <w:r>
              <w:rPr>
                <w:rFonts w:hint="eastAsia" w:ascii="仿宋" w:hAnsi="仿宋" w:eastAsia="仿宋" w:cs="仿宋"/>
                <w:color w:val="auto"/>
                <w:sz w:val="24"/>
                <w:szCs w:val="24"/>
                <w:highlight w:val="none"/>
              </w:rPr>
              <w:t>项目负责人具有：高级测评师证书、国家重要信息系统保护人员培训证书（CIIPT）、信息安全管理系统审计认证（DNV）、信息安全保障人员认证证书(CISAW)、渗透测试认证证书（NSCP)、国家级优秀科技成果完成者证书、商用密码应用安全性评估人员测评能力证书的同时具备</w:t>
            </w:r>
            <w:r>
              <w:rPr>
                <w:rFonts w:hint="eastAsia" w:ascii="仿宋" w:hAnsi="仿宋" w:eastAsia="仿宋" w:cs="仿宋"/>
                <w:color w:val="auto"/>
                <w:sz w:val="24"/>
                <w:szCs w:val="24"/>
                <w:highlight w:val="none"/>
                <w:lang w:val="en-US" w:eastAsia="zh-CN"/>
              </w:rPr>
              <w:t>7份证书</w:t>
            </w:r>
            <w:r>
              <w:rPr>
                <w:rFonts w:hint="eastAsia" w:ascii="仿宋" w:hAnsi="仿宋" w:eastAsia="仿宋" w:cs="仿宋"/>
                <w:color w:val="auto"/>
                <w:sz w:val="24"/>
                <w:szCs w:val="24"/>
                <w:highlight w:val="none"/>
              </w:rPr>
              <w:t>得6分，同时具备4-6份证书的得3分，同时具备1-3份证书的得1分，其余不得分</w:t>
            </w:r>
            <w:r>
              <w:rPr>
                <w:rFonts w:hint="eastAsia" w:ascii="仿宋" w:hAnsi="仿宋" w:eastAsia="仿宋" w:cs="仿宋"/>
                <w:color w:val="auto"/>
                <w:sz w:val="24"/>
                <w:szCs w:val="24"/>
                <w:highlight w:val="none"/>
                <w:lang w:eastAsia="zh-CN"/>
              </w:rPr>
              <w:t>。</w:t>
            </w:r>
          </w:p>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eastAsia="zh-CN"/>
              </w:rPr>
              <w:t>注：上述</w:t>
            </w:r>
            <w:r>
              <w:rPr>
                <w:rFonts w:hint="eastAsia" w:ascii="仿宋" w:hAnsi="仿宋" w:eastAsia="仿宋" w:cs="仿宋"/>
                <w:b/>
                <w:bCs/>
                <w:color w:val="auto"/>
                <w:sz w:val="24"/>
                <w:szCs w:val="24"/>
                <w:highlight w:val="none"/>
              </w:rPr>
              <w:t>需提供</w:t>
            </w:r>
            <w:r>
              <w:rPr>
                <w:rFonts w:hint="eastAsia" w:ascii="仿宋" w:hAnsi="仿宋" w:eastAsia="仿宋" w:cs="仿宋"/>
                <w:b/>
                <w:bCs/>
                <w:color w:val="auto"/>
                <w:sz w:val="24"/>
                <w:szCs w:val="24"/>
                <w:highlight w:val="none"/>
                <w:lang w:eastAsia="zh-CN"/>
              </w:rPr>
              <w:t>人员</w:t>
            </w:r>
            <w:r>
              <w:rPr>
                <w:rFonts w:hint="eastAsia" w:ascii="仿宋" w:hAnsi="仿宋" w:eastAsia="仿宋" w:cs="仿宋"/>
                <w:b/>
                <w:bCs/>
                <w:color w:val="auto"/>
                <w:sz w:val="24"/>
                <w:szCs w:val="24"/>
                <w:highlight w:val="none"/>
              </w:rPr>
              <w:t>证书复印件</w:t>
            </w:r>
            <w:r>
              <w:rPr>
                <w:rFonts w:hint="eastAsia" w:ascii="仿宋" w:hAnsi="仿宋" w:eastAsia="仿宋" w:cs="仿宋"/>
                <w:b/>
                <w:bCs/>
                <w:color w:val="auto"/>
                <w:sz w:val="24"/>
                <w:szCs w:val="24"/>
                <w:highlight w:val="none"/>
                <w:lang w:eastAsia="zh-CN"/>
              </w:rPr>
              <w:t>及</w:t>
            </w:r>
            <w:r>
              <w:rPr>
                <w:rFonts w:hint="eastAsia" w:ascii="仿宋" w:hAnsi="仿宋" w:eastAsia="仿宋" w:cs="仿宋"/>
                <w:b/>
                <w:bCs/>
                <w:color w:val="auto"/>
                <w:sz w:val="24"/>
                <w:szCs w:val="24"/>
                <w:highlight w:val="none"/>
                <w:lang w:eastAsia="zh-CN"/>
              </w:rPr>
              <w:t>社保缴费证明</w:t>
            </w:r>
            <w:r>
              <w:rPr>
                <w:rFonts w:hint="eastAsia" w:ascii="仿宋" w:hAnsi="仿宋" w:eastAsia="仿宋" w:cs="仿宋"/>
                <w:b/>
                <w:bCs/>
                <w:color w:val="auto"/>
                <w:sz w:val="24"/>
                <w:szCs w:val="24"/>
                <w:highlight w:val="none"/>
              </w:rPr>
              <w:t>加盖投标人公章</w:t>
            </w:r>
            <w:r>
              <w:rPr>
                <w:rFonts w:hint="eastAsia" w:ascii="仿宋" w:hAnsi="仿宋" w:eastAsia="仿宋" w:cs="仿宋"/>
                <w:b/>
                <w:bCs/>
                <w:color w:val="auto"/>
                <w:sz w:val="24"/>
                <w:szCs w:val="24"/>
                <w:highlight w:val="none"/>
                <w:lang w:eastAsia="zh-CN"/>
              </w:rPr>
              <w:t>，未提供不得分</w:t>
            </w:r>
            <w:r>
              <w:rPr>
                <w:rFonts w:hint="eastAsia" w:ascii="仿宋" w:hAnsi="仿宋" w:eastAsia="仿宋" w:cs="仿宋"/>
                <w:b/>
                <w:bCs/>
                <w:color w:val="auto"/>
                <w:sz w:val="24"/>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1" w:hRule="atLeast"/>
        </w:trPr>
        <w:tc>
          <w:tcPr>
            <w:tcW w:w="331"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838"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售后服务和响应能力</w:t>
            </w:r>
          </w:p>
        </w:tc>
        <w:tc>
          <w:tcPr>
            <w:tcW w:w="396" w:type="pct"/>
            <w:noWrap w:val="0"/>
            <w:vAlign w:val="center"/>
          </w:tcPr>
          <w:p>
            <w:pPr>
              <w:keepNext w:val="0"/>
              <w:keepLines w:val="0"/>
              <w:pageBreakBefore w:val="0"/>
              <w:widowControl w:val="0"/>
              <w:kinsoku/>
              <w:wordWrap/>
              <w:overflowPunct/>
              <w:topLinePunct w:val="0"/>
              <w:bidi w:val="0"/>
              <w:adjustRightInd w:val="0"/>
              <w:spacing w:line="320" w:lineRule="exact"/>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6分</w:t>
            </w:r>
          </w:p>
        </w:tc>
        <w:tc>
          <w:tcPr>
            <w:tcW w:w="3434" w:type="pct"/>
            <w:noWrap w:val="0"/>
            <w:vAlign w:val="center"/>
          </w:tcPr>
          <w:p>
            <w:pPr>
              <w:keepNext w:val="0"/>
              <w:keepLines w:val="0"/>
              <w:pageBreakBefore w:val="0"/>
              <w:widowControl w:val="0"/>
              <w:kinsoku/>
              <w:wordWrap/>
              <w:overflowPunct/>
              <w:topLinePunct w:val="0"/>
              <w:bidi w:val="0"/>
              <w:adjustRightInd w:val="0"/>
              <w:spacing w:line="320" w:lineRule="exac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根据投标人提到的及时响应能力和售后服务内容的可行性等进行评审，</w:t>
            </w:r>
            <w:r>
              <w:rPr>
                <w:rFonts w:hint="eastAsia" w:ascii="仿宋" w:hAnsi="仿宋" w:eastAsia="仿宋" w:cs="仿宋"/>
                <w:color w:val="auto"/>
                <w:sz w:val="24"/>
                <w:szCs w:val="24"/>
                <w:highlight w:val="none"/>
                <w:lang w:val="en-US" w:eastAsia="zh-CN"/>
              </w:rPr>
              <w:t>0-6分</w:t>
            </w:r>
            <w:r>
              <w:rPr>
                <w:rFonts w:hint="eastAsia" w:ascii="仿宋" w:hAnsi="仿宋" w:eastAsia="仿宋" w:cs="仿宋"/>
                <w:color w:val="auto"/>
                <w:sz w:val="24"/>
                <w:szCs w:val="24"/>
                <w:highlight w:val="none"/>
              </w:rPr>
              <w:t>。</w:t>
            </w:r>
          </w:p>
        </w:tc>
      </w:tr>
    </w:tbl>
    <w:p>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lang w:val="en-US" w:eastAsia="zh-CN"/>
        </w:rPr>
        <w:t>30</w:t>
      </w:r>
    </w:p>
    <w:p>
      <w:pPr>
        <w:pStyle w:val="25"/>
        <w:snapToGrid w:val="0"/>
        <w:spacing w:line="360" w:lineRule="auto"/>
        <w:ind w:firstLine="0" w:firstLineChars="0"/>
        <w:rPr>
          <w:rFonts w:hint="eastAsia" w:ascii="仿宋" w:hAnsi="仿宋" w:eastAsia="仿宋" w:cs="仿宋"/>
          <w:color w:val="auto"/>
          <w:highlight w:val="none"/>
        </w:rPr>
      </w:pPr>
    </w:p>
    <w:p>
      <w:pPr>
        <w:pStyle w:val="25"/>
        <w:snapToGrid w:val="0"/>
        <w:spacing w:line="360" w:lineRule="auto"/>
        <w:ind w:firstLine="0" w:firstLineChars="0"/>
        <w:rPr>
          <w:rFonts w:hint="eastAsia" w:ascii="仿宋" w:hAnsi="仿宋" w:eastAsia="仿宋" w:cs="仿宋"/>
          <w:color w:val="auto"/>
          <w:highlight w:val="none"/>
        </w:rPr>
      </w:pPr>
    </w:p>
    <w:p>
      <w:pPr>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hint="eastAsia" w:ascii="仿宋" w:hAnsi="仿宋" w:eastAsia="仿宋" w:cs="仿宋"/>
          <w:b/>
          <w:color w:val="auto"/>
          <w:kern w:val="0"/>
          <w:sz w:val="24"/>
          <w:highlight w:val="none"/>
        </w:rPr>
      </w:pPr>
    </w:p>
    <w:p>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8"/>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pPr>
        <w:pStyle w:val="904"/>
        <w:numPr>
          <w:ilvl w:val="0"/>
          <w:numId w:val="8"/>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法定代表人授权书 ………………………………………………………… （页码）</w:t>
      </w:r>
    </w:p>
    <w:p>
      <w:pPr>
        <w:pStyle w:val="904"/>
        <w:numPr>
          <w:ilvl w:val="0"/>
          <w:numId w:val="8"/>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法定代表人及其授权代表身份证复印件（复印件）…………………………（页码）</w:t>
      </w:r>
    </w:p>
    <w:p>
      <w:pPr>
        <w:pStyle w:val="904"/>
        <w:numPr>
          <w:ilvl w:val="0"/>
          <w:numId w:val="8"/>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 （页码）</w:t>
      </w:r>
    </w:p>
    <w:p>
      <w:pPr>
        <w:pStyle w:val="904"/>
        <w:numPr>
          <w:ilvl w:val="0"/>
          <w:numId w:val="8"/>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 （页码）</w:t>
      </w:r>
    </w:p>
    <w:p>
      <w:pPr>
        <w:pStyle w:val="904"/>
        <w:numPr>
          <w:ilvl w:val="0"/>
          <w:numId w:val="8"/>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 （页码）</w:t>
      </w:r>
    </w:p>
    <w:p>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供应商售后服务证明材料……………………………………………………（页码）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12</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四</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hint="eastAsia" w:ascii="仿宋" w:hAnsi="仿宋" w:eastAsia="仿宋" w:cs="仿宋"/>
                <w:b/>
                <w:color w:val="auto"/>
                <w:kern w:val="0"/>
                <w:sz w:val="32"/>
                <w:szCs w:val="32"/>
                <w:highlight w:val="none"/>
              </w:rPr>
            </w:pPr>
          </w:p>
        </w:tc>
        <w:tc>
          <w:tcPr>
            <w:tcW w:w="3546" w:type="dxa"/>
          </w:tcPr>
          <w:p>
            <w:pPr>
              <w:jc w:val="center"/>
              <w:rPr>
                <w:rFonts w:hint="eastAsia" w:ascii="仿宋" w:hAnsi="仿宋" w:eastAsia="仿宋" w:cs="仿宋"/>
                <w:b/>
                <w:color w:val="auto"/>
                <w:kern w:val="0"/>
                <w:sz w:val="32"/>
                <w:szCs w:val="32"/>
                <w:highlight w:val="none"/>
              </w:rPr>
            </w:pPr>
          </w:p>
        </w:tc>
        <w:tc>
          <w:tcPr>
            <w:tcW w:w="1276" w:type="dxa"/>
          </w:tcPr>
          <w:p>
            <w:pPr>
              <w:jc w:val="center"/>
              <w:rPr>
                <w:rFonts w:hint="eastAsia" w:ascii="仿宋" w:hAnsi="仿宋" w:eastAsia="仿宋" w:cs="仿宋"/>
                <w:b/>
                <w:color w:val="auto"/>
                <w:kern w:val="0"/>
                <w:sz w:val="32"/>
                <w:szCs w:val="32"/>
                <w:highlight w:val="none"/>
              </w:rPr>
            </w:pPr>
          </w:p>
        </w:tc>
      </w:tr>
    </w:tbl>
    <w:p>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hint="eastAsia" w:ascii="仿宋" w:hAnsi="仿宋" w:eastAsia="仿宋" w:cs="仿宋"/>
          <w:b/>
          <w:color w:val="auto"/>
          <w:kern w:val="0"/>
          <w:sz w:val="32"/>
          <w:szCs w:val="32"/>
          <w:highlight w:val="none"/>
        </w:rPr>
      </w:pPr>
    </w:p>
    <w:p>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eastAsia="zh-CN"/>
        </w:rPr>
        <w:t>六</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79"/>
        <w:rPr>
          <w:rFonts w:hint="eastAsia" w:ascii="仿宋" w:hAnsi="仿宋" w:eastAsia="仿宋" w:cs="仿宋"/>
          <w:b/>
          <w:bCs/>
          <w:color w:val="auto"/>
          <w:sz w:val="24"/>
          <w:highlight w:val="none"/>
        </w:rPr>
      </w:pPr>
    </w:p>
    <w:p>
      <w:pPr>
        <w:pStyle w:val="80"/>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lang w:eastAsia="zh-CN"/>
        </w:rPr>
        <w:t>七</w:t>
      </w:r>
      <w:r>
        <w:rPr>
          <w:rFonts w:hint="eastAsia" w:ascii="仿宋" w:hAnsi="仿宋" w:eastAsia="仿宋" w:cs="仿宋"/>
          <w:b/>
          <w:color w:val="auto"/>
          <w:sz w:val="32"/>
          <w:szCs w:val="32"/>
          <w:highlight w:val="none"/>
        </w:rPr>
        <w:t>、</w:t>
      </w:r>
      <w:r>
        <w:rPr>
          <w:rFonts w:hint="eastAsia" w:ascii="仿宋" w:hAnsi="仿宋" w:eastAsia="仿宋" w:cs="仿宋"/>
          <w:b/>
          <w:color w:val="auto"/>
          <w:kern w:val="0"/>
          <w:sz w:val="32"/>
          <w:szCs w:val="32"/>
          <w:highlight w:val="none"/>
          <w:lang w:val="zh-CN"/>
        </w:rPr>
        <w:t>主要业绩证明</w:t>
      </w:r>
    </w:p>
    <w:p>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hint="eastAsia" w:ascii="仿宋" w:hAnsi="仿宋" w:eastAsia="仿宋" w:cs="仿宋"/>
          <w:b/>
          <w:color w:val="auto"/>
          <w:sz w:val="24"/>
          <w:highlight w:val="none"/>
        </w:rPr>
      </w:pPr>
    </w:p>
    <w:p>
      <w:pPr>
        <w:autoSpaceDE w:val="0"/>
        <w:autoSpaceDN w:val="0"/>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八</w:t>
      </w:r>
      <w:r>
        <w:rPr>
          <w:rFonts w:hint="eastAsia" w:ascii="仿宋" w:hAnsi="仿宋" w:eastAsia="仿宋" w:cs="仿宋"/>
          <w:b/>
          <w:bCs/>
          <w:color w:val="auto"/>
          <w:sz w:val="32"/>
          <w:szCs w:val="32"/>
          <w:highlight w:val="none"/>
        </w:rPr>
        <w:t>、技术解决方案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spacing w:line="360" w:lineRule="auto"/>
        <w:jc w:val="center"/>
        <w:rPr>
          <w:rFonts w:hint="eastAsia" w:ascii="仿宋" w:hAnsi="仿宋" w:eastAsia="仿宋" w:cs="仿宋"/>
          <w:color w:val="auto"/>
          <w:sz w:val="24"/>
          <w:highlight w:val="none"/>
        </w:rPr>
      </w:pPr>
    </w:p>
    <w:p>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pPr>
              <w:snapToGrid w:val="0"/>
              <w:spacing w:line="360" w:lineRule="auto"/>
              <w:jc w:val="center"/>
              <w:rPr>
                <w:rFonts w:hint="eastAsia" w:ascii="仿宋" w:hAnsi="仿宋" w:eastAsia="仿宋" w:cs="仿宋"/>
                <w:color w:val="auto"/>
                <w:sz w:val="24"/>
                <w:highlight w:val="none"/>
              </w:rPr>
            </w:pPr>
          </w:p>
        </w:tc>
        <w:tc>
          <w:tcPr>
            <w:tcW w:w="2160" w:type="dxa"/>
            <w:vAlign w:val="center"/>
          </w:tcPr>
          <w:p>
            <w:pPr>
              <w:snapToGrid w:val="0"/>
              <w:spacing w:line="360" w:lineRule="auto"/>
              <w:jc w:val="center"/>
              <w:rPr>
                <w:rFonts w:hint="eastAsia" w:ascii="仿宋" w:hAnsi="仿宋" w:eastAsia="仿宋" w:cs="仿宋"/>
                <w:color w:val="auto"/>
                <w:sz w:val="24"/>
                <w:highlight w:val="none"/>
              </w:rPr>
            </w:pPr>
          </w:p>
        </w:tc>
        <w:tc>
          <w:tcPr>
            <w:tcW w:w="2340" w:type="dxa"/>
            <w:vAlign w:val="center"/>
          </w:tcPr>
          <w:p>
            <w:pPr>
              <w:spacing w:line="360" w:lineRule="auto"/>
              <w:jc w:val="center"/>
              <w:rPr>
                <w:rFonts w:hint="eastAsia" w:ascii="仿宋" w:hAnsi="仿宋" w:eastAsia="仿宋" w:cs="仿宋"/>
                <w:color w:val="auto"/>
                <w:sz w:val="24"/>
                <w:highlight w:val="none"/>
              </w:rPr>
            </w:pPr>
          </w:p>
        </w:tc>
        <w:tc>
          <w:tcPr>
            <w:tcW w:w="1080" w:type="dxa"/>
            <w:vAlign w:val="center"/>
          </w:tcPr>
          <w:p>
            <w:pPr>
              <w:spacing w:line="360" w:lineRule="auto"/>
              <w:jc w:val="center"/>
              <w:rPr>
                <w:rFonts w:hint="eastAsia" w:ascii="仿宋" w:hAnsi="仿宋" w:eastAsia="仿宋" w:cs="仿宋"/>
                <w:color w:val="auto"/>
                <w:sz w:val="24"/>
                <w:highlight w:val="none"/>
              </w:rPr>
            </w:pPr>
          </w:p>
        </w:tc>
        <w:tc>
          <w:tcPr>
            <w:tcW w:w="1332" w:type="dxa"/>
            <w:vAlign w:val="center"/>
          </w:tcPr>
          <w:p>
            <w:pPr>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hint="eastAsia" w:ascii="仿宋" w:hAnsi="仿宋" w:eastAsia="仿宋" w:cs="仿宋"/>
          <w:color w:val="auto"/>
          <w:kern w:val="0"/>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九、组织实施方案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2"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c>
          <w:tcPr>
            <w:tcW w:w="553" w:type="dxa"/>
          </w:tcPr>
          <w:p>
            <w:pPr>
              <w:spacing w:line="360" w:lineRule="auto"/>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w:t>
      </w:r>
      <w:r>
        <w:rPr>
          <w:rFonts w:hint="eastAsia" w:ascii="仿宋" w:hAnsi="仿宋" w:eastAsia="仿宋" w:cs="仿宋"/>
          <w:b/>
          <w:bCs/>
          <w:color w:val="auto"/>
          <w:sz w:val="32"/>
          <w:szCs w:val="32"/>
          <w:highlight w:val="none"/>
        </w:rPr>
        <w:t>、售后服务方案</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hint="eastAsia" w:ascii="仿宋" w:hAnsi="仿宋" w:eastAsia="仿宋" w:cs="仿宋"/>
                <w:color w:val="auto"/>
                <w:sz w:val="24"/>
                <w:highlight w:val="none"/>
              </w:rPr>
            </w:pPr>
          </w:p>
        </w:tc>
        <w:tc>
          <w:tcPr>
            <w:tcW w:w="2160" w:type="dxa"/>
          </w:tcPr>
          <w:p>
            <w:pPr>
              <w:autoSpaceDE w:val="0"/>
              <w:autoSpaceDN w:val="0"/>
              <w:spacing w:line="360" w:lineRule="auto"/>
              <w:jc w:val="center"/>
              <w:rPr>
                <w:rFonts w:hint="eastAsia" w:ascii="仿宋" w:hAnsi="仿宋" w:eastAsia="仿宋" w:cs="仿宋"/>
                <w:color w:val="auto"/>
                <w:sz w:val="24"/>
                <w:highlight w:val="none"/>
              </w:rPr>
            </w:pPr>
          </w:p>
        </w:tc>
        <w:tc>
          <w:tcPr>
            <w:tcW w:w="1620" w:type="dxa"/>
          </w:tcPr>
          <w:p>
            <w:pPr>
              <w:autoSpaceDE w:val="0"/>
              <w:autoSpaceDN w:val="0"/>
              <w:spacing w:line="360" w:lineRule="auto"/>
              <w:jc w:val="center"/>
              <w:rPr>
                <w:rFonts w:hint="eastAsia" w:ascii="仿宋" w:hAnsi="仿宋" w:eastAsia="仿宋" w:cs="仿宋"/>
                <w:color w:val="auto"/>
                <w:sz w:val="24"/>
                <w:highlight w:val="none"/>
              </w:rPr>
            </w:pPr>
          </w:p>
        </w:tc>
        <w:tc>
          <w:tcPr>
            <w:tcW w:w="1245" w:type="dxa"/>
          </w:tcPr>
          <w:p>
            <w:pPr>
              <w:autoSpaceDE w:val="0"/>
              <w:autoSpaceDN w:val="0"/>
              <w:spacing w:line="360" w:lineRule="auto"/>
              <w:jc w:val="center"/>
              <w:rPr>
                <w:rFonts w:hint="eastAsia" w:ascii="仿宋" w:hAnsi="仿宋" w:eastAsia="仿宋" w:cs="仿宋"/>
                <w:color w:val="auto"/>
                <w:sz w:val="24"/>
                <w:highlight w:val="none"/>
              </w:rPr>
            </w:pPr>
          </w:p>
        </w:tc>
        <w:tc>
          <w:tcPr>
            <w:tcW w:w="2175" w:type="dxa"/>
          </w:tcPr>
          <w:p>
            <w:pPr>
              <w:autoSpaceDE w:val="0"/>
              <w:autoSpaceDN w:val="0"/>
              <w:spacing w:line="360" w:lineRule="auto"/>
              <w:jc w:val="center"/>
              <w:rPr>
                <w:rFonts w:hint="eastAsia" w:ascii="仿宋" w:hAnsi="仿宋" w:eastAsia="仿宋" w:cs="仿宋"/>
                <w:color w:val="auto"/>
                <w:sz w:val="24"/>
                <w:highlight w:val="none"/>
              </w:rPr>
            </w:pPr>
          </w:p>
        </w:tc>
        <w:tc>
          <w:tcPr>
            <w:tcW w:w="1260" w:type="dxa"/>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hint="eastAsia" w:ascii="仿宋" w:hAnsi="仿宋" w:eastAsia="仿宋" w:cs="仿宋"/>
                <w:color w:val="auto"/>
                <w:sz w:val="24"/>
                <w:highlight w:val="none"/>
              </w:rPr>
            </w:pPr>
          </w:p>
        </w:tc>
      </w:tr>
    </w:tbl>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color w:val="auto"/>
          <w:sz w:val="30"/>
          <w:szCs w:val="30"/>
          <w:highlight w:val="none"/>
          <w:lang w:eastAsia="zh-CN"/>
        </w:rPr>
      </w:pPr>
    </w:p>
    <w:p>
      <w:pPr>
        <w:spacing w:line="360" w:lineRule="auto"/>
        <w:jc w:val="center"/>
        <w:rPr>
          <w:rFonts w:hint="eastAsia" w:ascii="仿宋" w:hAnsi="仿宋" w:eastAsia="仿宋" w:cs="仿宋"/>
          <w:b/>
          <w:color w:val="auto"/>
          <w:sz w:val="30"/>
          <w:szCs w:val="30"/>
          <w:highlight w:val="none"/>
          <w:lang w:eastAsia="zh-CN"/>
        </w:rPr>
      </w:pPr>
    </w:p>
    <w:p>
      <w:pPr>
        <w:pStyle w:val="80"/>
        <w:rPr>
          <w:rFonts w:hint="eastAsia" w:ascii="仿宋" w:hAnsi="仿宋" w:eastAsia="仿宋" w:cs="仿宋"/>
          <w:color w:val="auto"/>
          <w:highlight w:val="none"/>
          <w:lang w:eastAsia="zh-CN"/>
        </w:rPr>
      </w:pPr>
    </w:p>
    <w:p>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十一</w:t>
      </w:r>
      <w:r>
        <w:rPr>
          <w:rFonts w:hint="eastAsia" w:ascii="仿宋" w:hAnsi="仿宋" w:eastAsia="仿宋" w:cs="仿宋"/>
          <w:b/>
          <w:color w:val="auto"/>
          <w:sz w:val="30"/>
          <w:szCs w:val="30"/>
          <w:highlight w:val="none"/>
        </w:rPr>
        <w:t>、</w:t>
      </w:r>
      <w:r>
        <w:rPr>
          <w:rFonts w:hint="eastAsia" w:ascii="仿宋" w:hAnsi="仿宋" w:eastAsia="仿宋" w:cs="仿宋"/>
          <w:b/>
          <w:color w:val="auto"/>
          <w:sz w:val="30"/>
          <w:szCs w:val="30"/>
          <w:highlight w:val="none"/>
          <w:lang w:eastAsia="zh-CN"/>
        </w:rPr>
        <w:t>投标人</w:t>
      </w:r>
      <w:r>
        <w:rPr>
          <w:rFonts w:hint="eastAsia" w:ascii="仿宋" w:hAnsi="仿宋" w:eastAsia="仿宋" w:cs="仿宋"/>
          <w:b/>
          <w:color w:val="auto"/>
          <w:sz w:val="30"/>
          <w:szCs w:val="30"/>
          <w:highlight w:val="none"/>
        </w:rPr>
        <w:t>售后服务能力证明材料</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根据采购需求及磋商文件要求编制）</w:t>
      </w:r>
    </w:p>
    <w:p>
      <w:pPr>
        <w:spacing w:line="336" w:lineRule="auto"/>
        <w:ind w:firstLine="3600" w:firstLineChars="1500"/>
        <w:rPr>
          <w:rFonts w:hint="eastAsia" w:ascii="仿宋" w:hAnsi="仿宋" w:eastAsia="仿宋" w:cs="仿宋"/>
          <w:color w:val="auto"/>
          <w:sz w:val="24"/>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rFonts w:hint="eastAsia" w:ascii="仿宋" w:hAnsi="仿宋" w:eastAsia="仿宋" w:cs="仿宋"/>
          <w:color w:val="auto"/>
          <w:highlight w:val="none"/>
        </w:rPr>
      </w:pP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十二</w:t>
      </w:r>
      <w:r>
        <w:rPr>
          <w:rFonts w:hint="eastAsia" w:ascii="仿宋" w:hAnsi="仿宋" w:eastAsia="仿宋" w:cs="仿宋"/>
          <w:b/>
          <w:bCs/>
          <w:color w:val="auto"/>
          <w:sz w:val="32"/>
          <w:szCs w:val="32"/>
          <w:highlight w:val="none"/>
        </w:rPr>
        <w:t>、项目小组人员名单</w:t>
      </w:r>
    </w:p>
    <w:p>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p>
        </w:tc>
      </w:tr>
    </w:tbl>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hint="eastAsia" w:ascii="仿宋" w:hAnsi="仿宋" w:eastAsia="仿宋" w:cs="仿宋"/>
                <w:color w:val="auto"/>
                <w:sz w:val="24"/>
                <w:highlight w:val="none"/>
              </w:rPr>
            </w:pPr>
          </w:p>
        </w:tc>
      </w:tr>
    </w:tbl>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hint="eastAsia" w:ascii="仿宋" w:hAnsi="仿宋" w:eastAsia="仿宋" w:cs="仿宋"/>
          <w:b/>
          <w:bCs/>
          <w:color w:val="auto"/>
          <w:sz w:val="32"/>
          <w:szCs w:val="32"/>
          <w:highlight w:val="none"/>
        </w:rPr>
      </w:pPr>
    </w:p>
    <w:p>
      <w:pPr>
        <w:snapToGrid w:val="0"/>
        <w:spacing w:line="360" w:lineRule="auto"/>
        <w:ind w:right="960"/>
        <w:jc w:val="both"/>
        <w:rPr>
          <w:rFonts w:hint="eastAsia" w:ascii="仿宋" w:hAnsi="仿宋" w:eastAsia="仿宋" w:cs="仿宋"/>
          <w:color w:val="auto"/>
          <w:kern w:val="0"/>
          <w:sz w:val="24"/>
          <w:highlight w:val="none"/>
          <w:lang w:val="zh-CN"/>
        </w:rPr>
      </w:pPr>
    </w:p>
    <w:p>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十三</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优惠条件及特殊承诺</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18"/>
          <w:szCs w:val="18"/>
          <w:highlight w:val="none"/>
        </w:rPr>
      </w:pPr>
    </w:p>
    <w:p>
      <w:pPr>
        <w:pStyle w:val="80"/>
        <w:rPr>
          <w:rFonts w:hint="eastAsia" w:ascii="仿宋" w:hAnsi="仿宋" w:eastAsia="仿宋" w:cs="仿宋"/>
          <w:color w:val="auto"/>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18"/>
          <w:szCs w:val="18"/>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十四</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备品备件及供选择的配套零部件清单</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napToGrid w:val="0"/>
        <w:spacing w:line="360" w:lineRule="auto"/>
        <w:ind w:right="960"/>
        <w:jc w:val="right"/>
        <w:rPr>
          <w:rFonts w:hint="eastAsia" w:ascii="仿宋" w:hAnsi="仿宋" w:eastAsia="仿宋" w:cs="仿宋"/>
          <w:color w:val="auto"/>
          <w:kern w:val="0"/>
          <w:sz w:val="24"/>
          <w:highlight w:val="none"/>
          <w:lang w:val="zh-CN"/>
        </w:rPr>
      </w:pPr>
    </w:p>
    <w:p>
      <w:pPr>
        <w:snapToGrid w:val="0"/>
        <w:spacing w:line="360" w:lineRule="auto"/>
        <w:ind w:right="960"/>
        <w:jc w:val="right"/>
        <w:rPr>
          <w:rFonts w:hint="eastAsia" w:ascii="仿宋" w:hAnsi="仿宋" w:eastAsia="仿宋" w:cs="仿宋"/>
          <w:color w:val="auto"/>
          <w:kern w:val="0"/>
          <w:sz w:val="24"/>
          <w:highlight w:val="none"/>
          <w:lang w:val="zh-CN"/>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hint="eastAsia" w:ascii="仿宋" w:hAnsi="仿宋" w:eastAsia="仿宋" w:cs="仿宋"/>
          <w:b/>
          <w:bCs/>
          <w:color w:val="auto"/>
          <w:sz w:val="32"/>
          <w:szCs w:val="32"/>
          <w:highlight w:val="none"/>
        </w:rPr>
      </w:pPr>
    </w:p>
    <w:p>
      <w:pPr>
        <w:spacing w:line="360" w:lineRule="auto"/>
        <w:rPr>
          <w:rFonts w:hint="eastAsia" w:ascii="仿宋" w:hAnsi="仿宋" w:eastAsia="仿宋" w:cs="仿宋"/>
          <w:b/>
          <w:bCs/>
          <w:color w:val="auto"/>
          <w:sz w:val="32"/>
          <w:szCs w:val="32"/>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十五</w:t>
      </w:r>
      <w:r>
        <w:rPr>
          <w:rFonts w:hint="eastAsia" w:ascii="仿宋" w:hAnsi="仿宋" w:eastAsia="仿宋" w:cs="仿宋"/>
          <w:b/>
          <w:bCs/>
          <w:color w:val="auto"/>
          <w:sz w:val="32"/>
          <w:szCs w:val="32"/>
          <w:highlight w:val="none"/>
        </w:rPr>
        <w:t>、</w:t>
      </w:r>
      <w:r>
        <w:rPr>
          <w:rFonts w:hint="eastAsia" w:ascii="仿宋" w:hAnsi="仿宋" w:eastAsia="仿宋" w:cs="仿宋"/>
          <w:b/>
          <w:color w:val="auto"/>
          <w:kern w:val="0"/>
          <w:sz w:val="32"/>
          <w:szCs w:val="32"/>
          <w:highlight w:val="none"/>
          <w:lang w:val="zh-CN"/>
        </w:rPr>
        <w:t>培训计划</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hint="eastAsia" w:ascii="仿宋" w:hAnsi="仿宋" w:eastAsia="仿宋" w:cs="仿宋"/>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pPr>
        <w:spacing w:line="360" w:lineRule="auto"/>
        <w:ind w:firstLine="480" w:firstLineChars="200"/>
        <w:rPr>
          <w:rFonts w:hint="eastAsia" w:ascii="仿宋" w:hAnsi="仿宋" w:eastAsia="仿宋" w:cs="仿宋"/>
          <w:color w:val="auto"/>
          <w:sz w:val="24"/>
          <w:szCs w:val="20"/>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eastAsia="zh-CN"/>
        </w:rPr>
        <w:t>十六</w:t>
      </w:r>
      <w:r>
        <w:rPr>
          <w:rFonts w:hint="eastAsia" w:ascii="仿宋" w:hAnsi="仿宋" w:eastAsia="仿宋" w:cs="仿宋"/>
          <w:b/>
          <w:bCs/>
          <w:color w:val="auto"/>
          <w:sz w:val="32"/>
          <w:szCs w:val="32"/>
          <w:highlight w:val="none"/>
        </w:rPr>
        <w:t>、验收方案</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jc w:val="center"/>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30"/>
          <w:szCs w:val="30"/>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bCs/>
          <w:color w:val="auto"/>
          <w:sz w:val="24"/>
          <w:highlight w:val="none"/>
        </w:rPr>
      </w:pPr>
    </w:p>
    <w:p>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lang w:eastAsia="zh-CN"/>
        </w:rPr>
        <w:t>十七</w:t>
      </w:r>
      <w:r>
        <w:rPr>
          <w:rFonts w:hint="eastAsia" w:ascii="仿宋" w:hAnsi="仿宋" w:eastAsia="仿宋" w:cs="仿宋"/>
          <w:b/>
          <w:bCs/>
          <w:color w:val="auto"/>
          <w:sz w:val="32"/>
          <w:szCs w:val="32"/>
          <w:highlight w:val="none"/>
        </w:rPr>
        <w:t>、认为需要的</w:t>
      </w:r>
      <w:r>
        <w:rPr>
          <w:rFonts w:hint="eastAsia" w:ascii="仿宋" w:hAnsi="仿宋" w:eastAsia="仿宋" w:cs="仿宋"/>
          <w:b/>
          <w:color w:val="auto"/>
          <w:kern w:val="0"/>
          <w:sz w:val="32"/>
          <w:szCs w:val="32"/>
          <w:highlight w:val="none"/>
          <w:lang w:val="zh-CN"/>
        </w:rPr>
        <w:t>其他商务技术（资信）文件或说明</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根据采购需求自行编制）</w:t>
      </w:r>
    </w:p>
    <w:p>
      <w:pPr>
        <w:spacing w:line="360" w:lineRule="auto"/>
        <w:rPr>
          <w:rFonts w:hint="eastAsia" w:ascii="仿宋" w:hAnsi="仿宋" w:eastAsia="仿宋" w:cs="仿宋"/>
          <w:color w:val="auto"/>
          <w:sz w:val="24"/>
          <w:highlight w:val="none"/>
        </w:rPr>
      </w:pPr>
    </w:p>
    <w:p>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ascii="仿宋" w:hAnsi="仿宋" w:eastAsia="仿宋" w:cs="仿宋"/>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numPr>
          <w:ilvl w:val="0"/>
          <w:numId w:val="0"/>
        </w:numPr>
        <w:snapToGrid w:val="0"/>
        <w:spacing w:line="360" w:lineRule="auto"/>
        <w:rPr>
          <w:rFonts w:hint="eastAsia" w:ascii="仿宋" w:hAnsi="仿宋" w:eastAsia="仿宋" w:cs="仿宋"/>
          <w:color w:val="auto"/>
          <w:sz w:val="24"/>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w:t>
      </w:r>
      <w:r>
        <w:rPr>
          <w:rFonts w:hint="eastAsia" w:ascii="仿宋" w:hAnsi="仿宋" w:eastAsia="仿宋" w:cs="仿宋"/>
          <w:color w:val="auto"/>
          <w:kern w:val="2"/>
          <w:sz w:val="32"/>
          <w:szCs w:val="32"/>
          <w:highlight w:val="none"/>
          <w:lang w:val="en-US" w:eastAsia="zh-CN"/>
        </w:rPr>
        <w:t>--01标</w:t>
      </w:r>
      <w:r>
        <w:rPr>
          <w:rFonts w:hint="eastAsia" w:ascii="仿宋" w:hAnsi="仿宋" w:eastAsia="仿宋" w:cs="仿宋"/>
          <w:color w:val="auto"/>
          <w:kern w:val="2"/>
          <w:sz w:val="32"/>
          <w:szCs w:val="32"/>
          <w:highlight w:val="none"/>
        </w:rPr>
        <w:t>（报价表）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3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048"/>
        <w:gridCol w:w="3935"/>
        <w:gridCol w:w="1440"/>
        <w:gridCol w:w="1571"/>
        <w:gridCol w:w="1384"/>
        <w:gridCol w:w="1200"/>
        <w:gridCol w:w="1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78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04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3935"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服务范围</w:t>
            </w:r>
            <w:r>
              <w:rPr>
                <w:rFonts w:hint="eastAsia" w:ascii="仿宋" w:hAnsi="仿宋" w:eastAsia="仿宋" w:cs="仿宋"/>
                <w:b/>
                <w:color w:val="auto"/>
                <w:sz w:val="24"/>
                <w:highlight w:val="none"/>
                <w:lang w:eastAsia="zh-CN"/>
              </w:rPr>
              <w:t>及要求</w:t>
            </w:r>
          </w:p>
        </w:tc>
        <w:tc>
          <w:tcPr>
            <w:tcW w:w="1440" w:type="dxa"/>
            <w:vAlign w:val="center"/>
          </w:tcPr>
          <w:p>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上限单价（</w:t>
            </w:r>
            <w:r>
              <w:rPr>
                <w:rFonts w:hint="eastAsia" w:ascii="仿宋" w:hAnsi="仿宋" w:eastAsia="仿宋" w:cs="仿宋"/>
                <w:b/>
                <w:color w:val="auto"/>
                <w:sz w:val="24"/>
                <w:highlight w:val="none"/>
                <w:lang w:val="en-US" w:eastAsia="zh-CN"/>
              </w:rPr>
              <w:t>元/页</w:t>
            </w:r>
            <w:r>
              <w:rPr>
                <w:rFonts w:hint="eastAsia" w:ascii="仿宋" w:hAnsi="仿宋" w:eastAsia="仿宋" w:cs="仿宋"/>
                <w:b/>
                <w:color w:val="auto"/>
                <w:sz w:val="24"/>
                <w:highlight w:val="none"/>
                <w:lang w:eastAsia="zh-CN"/>
              </w:rPr>
              <w:t>）</w:t>
            </w:r>
          </w:p>
        </w:tc>
        <w:tc>
          <w:tcPr>
            <w:tcW w:w="1571" w:type="dxa"/>
            <w:vAlign w:val="center"/>
          </w:tcPr>
          <w:p>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数量</w:t>
            </w:r>
          </w:p>
        </w:tc>
        <w:tc>
          <w:tcPr>
            <w:tcW w:w="1384" w:type="dxa"/>
            <w:vAlign w:val="top"/>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eastAsia="zh-CN"/>
              </w:rPr>
              <w:t>投标单位</w:t>
            </w:r>
            <w:r>
              <w:rPr>
                <w:rFonts w:hint="eastAsia" w:ascii="仿宋" w:hAnsi="仿宋" w:eastAsia="仿宋" w:cs="仿宋"/>
                <w:b/>
                <w:color w:val="auto"/>
                <w:sz w:val="24"/>
                <w:highlight w:val="none"/>
                <w:lang w:val="en-US" w:eastAsia="zh-CN"/>
              </w:rPr>
              <w:t>（元/页）</w:t>
            </w:r>
          </w:p>
        </w:tc>
        <w:tc>
          <w:tcPr>
            <w:tcW w:w="1200" w:type="dxa"/>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金额</w:t>
            </w:r>
          </w:p>
        </w:tc>
        <w:tc>
          <w:tcPr>
            <w:tcW w:w="1442" w:type="dxa"/>
            <w:vAlign w:val="center"/>
          </w:tcPr>
          <w:p>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备注（如果有）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80"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2048" w:type="dxa"/>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纸质病历数字化</w:t>
            </w:r>
          </w:p>
        </w:tc>
        <w:tc>
          <w:tcPr>
            <w:tcW w:w="3935" w:type="dxa"/>
            <w:vAlign w:val="center"/>
          </w:tcPr>
          <w:p>
            <w:pPr>
              <w:spacing w:line="360" w:lineRule="auto"/>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合同签订后3年内完成院方要求约360万页出院纸质数字化病案工作</w:t>
            </w:r>
          </w:p>
        </w:tc>
        <w:tc>
          <w:tcPr>
            <w:tcW w:w="1440" w:type="dxa"/>
            <w:vAlign w:val="center"/>
          </w:tcPr>
          <w:p>
            <w:pPr>
              <w:snapToGrid w:val="0"/>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0.078</w:t>
            </w:r>
          </w:p>
        </w:tc>
        <w:tc>
          <w:tcPr>
            <w:tcW w:w="1571" w:type="dxa"/>
            <w:vAlign w:val="center"/>
          </w:tcPr>
          <w:p>
            <w:pPr>
              <w:spacing w:line="360"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3600000页</w:t>
            </w:r>
          </w:p>
        </w:tc>
        <w:tc>
          <w:tcPr>
            <w:tcW w:w="1384" w:type="dxa"/>
            <w:vAlign w:val="top"/>
          </w:tcPr>
          <w:p>
            <w:pPr>
              <w:spacing w:line="360" w:lineRule="auto"/>
              <w:jc w:val="center"/>
              <w:rPr>
                <w:rFonts w:hint="default" w:ascii="仿宋" w:hAnsi="仿宋" w:eastAsia="仿宋" w:cs="仿宋"/>
                <w:color w:val="auto"/>
                <w:kern w:val="2"/>
                <w:sz w:val="24"/>
                <w:szCs w:val="24"/>
                <w:highlight w:val="none"/>
                <w:lang w:val="en-US" w:eastAsia="zh-CN" w:bidi="ar-SA"/>
              </w:rPr>
            </w:pPr>
          </w:p>
        </w:tc>
        <w:tc>
          <w:tcPr>
            <w:tcW w:w="1200" w:type="dxa"/>
            <w:vAlign w:val="center"/>
          </w:tcPr>
          <w:p>
            <w:pPr>
              <w:spacing w:line="360" w:lineRule="auto"/>
              <w:jc w:val="center"/>
              <w:rPr>
                <w:rFonts w:hint="eastAsia" w:ascii="仿宋" w:hAnsi="仿宋" w:eastAsia="仿宋" w:cs="仿宋"/>
                <w:color w:val="auto"/>
                <w:sz w:val="24"/>
                <w:highlight w:val="none"/>
              </w:rPr>
            </w:pPr>
          </w:p>
        </w:tc>
        <w:tc>
          <w:tcPr>
            <w:tcW w:w="1442"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8203"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559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8203"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559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w:t>
      </w:r>
      <w:r>
        <w:rPr>
          <w:rFonts w:hint="eastAsia" w:ascii="仿宋" w:hAnsi="仿宋" w:eastAsia="仿宋" w:cs="仿宋"/>
          <w:color w:val="auto"/>
          <w:kern w:val="2"/>
          <w:sz w:val="32"/>
          <w:szCs w:val="32"/>
          <w:highlight w:val="none"/>
          <w:lang w:val="en-US" w:eastAsia="zh-CN"/>
        </w:rPr>
        <w:t>--02标</w:t>
      </w:r>
      <w:r>
        <w:rPr>
          <w:rFonts w:hint="eastAsia" w:ascii="仿宋" w:hAnsi="仿宋" w:eastAsia="仿宋" w:cs="仿宋"/>
          <w:color w:val="auto"/>
          <w:kern w:val="2"/>
          <w:sz w:val="32"/>
          <w:szCs w:val="32"/>
          <w:highlight w:val="none"/>
        </w:rPr>
        <w:t>（报价表）</w:t>
      </w: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pPr>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jc w:val="center"/>
              <w:rPr>
                <w:rFonts w:hint="eastAsia" w:ascii="仿宋" w:hAnsi="仿宋" w:eastAsia="仿宋" w:cs="仿宋"/>
                <w:color w:val="auto"/>
                <w:sz w:val="24"/>
                <w:highlight w:val="none"/>
              </w:rPr>
            </w:pPr>
          </w:p>
        </w:tc>
        <w:tc>
          <w:tcPr>
            <w:tcW w:w="992"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410" w:type="dxa"/>
            <w:vAlign w:val="center"/>
          </w:tcPr>
          <w:p>
            <w:pPr>
              <w:snapToGrid w:val="0"/>
              <w:spacing w:line="360" w:lineRule="auto"/>
              <w:jc w:val="center"/>
              <w:rPr>
                <w:rFonts w:hint="eastAsia" w:ascii="仿宋" w:hAnsi="仿宋" w:eastAsia="仿宋" w:cs="仿宋"/>
                <w:color w:val="auto"/>
                <w:sz w:val="24"/>
                <w:highlight w:val="none"/>
              </w:rPr>
            </w:pPr>
          </w:p>
        </w:tc>
        <w:tc>
          <w:tcPr>
            <w:tcW w:w="2268" w:type="dxa"/>
            <w:vAlign w:val="center"/>
          </w:tcPr>
          <w:p>
            <w:pPr>
              <w:snapToGrid w:val="0"/>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c>
          <w:tcPr>
            <w:tcW w:w="2127" w:type="dxa"/>
          </w:tcPr>
          <w:p>
            <w:pPr>
              <w:spacing w:line="360" w:lineRule="auto"/>
              <w:jc w:val="center"/>
              <w:rPr>
                <w:rFonts w:hint="eastAsia" w:ascii="仿宋" w:hAnsi="仿宋" w:eastAsia="仿宋" w:cs="仿宋"/>
                <w:color w:val="auto"/>
                <w:sz w:val="24"/>
                <w:highlight w:val="none"/>
              </w:rPr>
            </w:pPr>
          </w:p>
        </w:tc>
        <w:tc>
          <w:tcPr>
            <w:tcW w:w="2126" w:type="dxa"/>
            <w:vAlign w:val="center"/>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pPr>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pPr>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80"/>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hint="eastAsia" w:ascii="仿宋" w:hAnsi="仿宋" w:eastAsia="仿宋" w:cs="仿宋"/>
          <w:b/>
          <w:bCs/>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spacing w:line="360" w:lineRule="auto"/>
        <w:jc w:val="both"/>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4" w:name="_Hlk101131882"/>
      <w:r>
        <w:rPr>
          <w:rFonts w:hint="eastAsia" w:ascii="仿宋" w:hAnsi="仿宋" w:eastAsia="仿宋" w:cs="仿宋"/>
          <w:color w:val="auto"/>
          <w:kern w:val="0"/>
          <w:sz w:val="24"/>
          <w:highlight w:val="none"/>
          <w:u w:val="single"/>
        </w:rPr>
        <w:t>联合体成员X,……</w:t>
      </w:r>
      <w:bookmarkEnd w:id="164"/>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5"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5"/>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6"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6"/>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80"/>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autoSpaceDE w:val="0"/>
        <w:autoSpaceDN w:val="0"/>
        <w:jc w:val="both"/>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7" w:name="OLE_LINK14"/>
      <w:bookmarkStart w:id="168" w:name="OLE_LINK13"/>
      <w:r>
        <w:rPr>
          <w:rFonts w:hint="eastAsia" w:ascii="仿宋" w:hAnsi="仿宋" w:eastAsia="仿宋" w:cs="仿宋"/>
          <w:b/>
          <w:color w:val="auto"/>
          <w:spacing w:val="6"/>
          <w:sz w:val="32"/>
          <w:szCs w:val="32"/>
          <w:highlight w:val="none"/>
        </w:rPr>
        <w:t>残疾人福利性单位声明函</w:t>
      </w:r>
    </w:p>
    <w:bookmarkEnd w:id="167"/>
    <w:bookmarkEnd w:id="168"/>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3"/>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rFonts w:hint="eastAsia" w:ascii="仿宋" w:hAnsi="仿宋" w:eastAsia="仿宋" w:cs="仿宋"/>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hint="eastAsia" w:ascii="仿宋" w:hAnsi="仿宋" w:eastAsia="仿宋" w:cs="仿宋"/>
          <w:bCs/>
          <w:color w:val="auto"/>
          <w:sz w:val="24"/>
          <w:highlight w:val="none"/>
        </w:rPr>
      </w:pPr>
    </w:p>
    <w:bookmarkEnd w:id="173"/>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69" w:name="_Toc131845147"/>
    <w:bookmarkStart w:id="170" w:name="_Toc36110187"/>
    <w:bookmarkStart w:id="171" w:name="_Toc91899912"/>
    <w:bookmarkStart w:id="172" w:name="_Toc164085800"/>
    <w:r>
      <w:rPr>
        <w:rFonts w:hint="eastAsia" w:ascii="仿宋_GB2312" w:eastAsia="仿宋_GB2312"/>
        <w:kern w:val="0"/>
        <w:szCs w:val="21"/>
      </w:rPr>
      <w:t xml:space="preserve"> 页</w:t>
    </w:r>
    <w:bookmarkEnd w:id="169"/>
    <w:bookmarkEnd w:id="170"/>
    <w:bookmarkEnd w:id="171"/>
    <w:bookmarkEnd w:id="172"/>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t></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C0F83D"/>
    <w:multiLevelType w:val="singleLevel"/>
    <w:tmpl w:val="8CC0F83D"/>
    <w:lvl w:ilvl="0" w:tentative="0">
      <w:start w:val="7"/>
      <w:numFmt w:val="chineseCounting"/>
      <w:suff w:val="nothing"/>
      <w:lvlText w:val="（%1）"/>
      <w:lvlJc w:val="left"/>
      <w:pPr>
        <w:ind w:left="345" w:firstLine="0"/>
      </w:pPr>
      <w:rPr>
        <w:rFonts w:hint="eastAsia"/>
      </w:rPr>
    </w:lvl>
  </w:abstractNum>
  <w:abstractNum w:abstractNumId="1">
    <w:nsid w:val="00000000"/>
    <w:multiLevelType w:val="singleLevel"/>
    <w:tmpl w:val="00000000"/>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15325701"/>
    <w:multiLevelType w:val="multilevel"/>
    <w:tmpl w:val="15325701"/>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2C060B0"/>
    <w:multiLevelType w:val="multilevel"/>
    <w:tmpl w:val="22C060B0"/>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9EF44E8"/>
    <w:multiLevelType w:val="multilevel"/>
    <w:tmpl w:val="39EF44E8"/>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0100289"/>
    <w:multiLevelType w:val="multilevel"/>
    <w:tmpl w:val="60100289"/>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6753296A"/>
    <w:multiLevelType w:val="multilevel"/>
    <w:tmpl w:val="6753296A"/>
    <w:lvl w:ilvl="0" w:tentative="0">
      <w:start w:val="1"/>
      <w:numFmt w:val="lowerLetter"/>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8BA41A9"/>
    <w:multiLevelType w:val="multilevel"/>
    <w:tmpl w:val="78BA41A9"/>
    <w:lvl w:ilvl="0" w:tentative="0">
      <w:start w:val="1"/>
      <w:numFmt w:val="bullet"/>
      <w:lvlText w:val=""/>
      <w:lvlJc w:val="left"/>
      <w:pPr>
        <w:ind w:left="425" w:firstLine="0"/>
      </w:pPr>
      <w:rPr>
        <w:rFonts w:hint="default" w:ascii="Wingdings" w:hAnsi="Wingdings"/>
      </w:rPr>
    </w:lvl>
    <w:lvl w:ilvl="1" w:tentative="0">
      <w:start w:val="0"/>
      <w:numFmt w:val="bullet"/>
      <w:lvlText w:val="★"/>
      <w:lvlJc w:val="left"/>
      <w:pPr>
        <w:ind w:left="780" w:hanging="360"/>
      </w:pPr>
      <w:rPr>
        <w:rFonts w:hint="eastAsia" w:ascii="仿宋_GB2312" w:hAnsi="Times New Roman" w:eastAsia="仿宋_GB2312" w:cs="Times New Roman"/>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3"/>
  </w:num>
  <w:num w:numId="2">
    <w:abstractNumId w:val="5"/>
  </w:num>
  <w:num w:numId="3">
    <w:abstractNumId w:val="4"/>
  </w:num>
  <w:num w:numId="4">
    <w:abstractNumId w:val="6"/>
  </w:num>
  <w:num w:numId="5">
    <w:abstractNumId w:val="7"/>
  </w:num>
  <w:num w:numId="6">
    <w:abstractNumId w:val="8"/>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NDI4Y2IxMzIyNGZhMzZhOGE3ZmI1MGMzMjliZWEifQ=="/>
  </w:docVars>
  <w:rsids>
    <w:rsidRoot w:val="00172A27"/>
    <w:rsid w:val="02A429BD"/>
    <w:rsid w:val="066D3426"/>
    <w:rsid w:val="075D3E9A"/>
    <w:rsid w:val="0EC75C6E"/>
    <w:rsid w:val="0F096B8F"/>
    <w:rsid w:val="0F63063F"/>
    <w:rsid w:val="17E6386F"/>
    <w:rsid w:val="18E60774"/>
    <w:rsid w:val="1D2F1C3B"/>
    <w:rsid w:val="26D112CD"/>
    <w:rsid w:val="2CE61358"/>
    <w:rsid w:val="30CD01D9"/>
    <w:rsid w:val="38872063"/>
    <w:rsid w:val="427E60E8"/>
    <w:rsid w:val="44FB62CC"/>
    <w:rsid w:val="490735E2"/>
    <w:rsid w:val="4CB0248B"/>
    <w:rsid w:val="4F4B3D85"/>
    <w:rsid w:val="505F7017"/>
    <w:rsid w:val="5ACB40C5"/>
    <w:rsid w:val="5F561B6F"/>
    <w:rsid w:val="5F57E5CA"/>
    <w:rsid w:val="620B296D"/>
    <w:rsid w:val="669C35D3"/>
    <w:rsid w:val="6BD4147B"/>
    <w:rsid w:val="6FC37AD4"/>
    <w:rsid w:val="73661CB5"/>
    <w:rsid w:val="742817A6"/>
    <w:rsid w:val="74E06233"/>
    <w:rsid w:val="78AD1F79"/>
    <w:rsid w:val="79393030"/>
    <w:rsid w:val="7BFA0509"/>
    <w:rsid w:val="7DFF3A1B"/>
    <w:rsid w:val="7FCE9F2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autoRedefine/>
    <w:qFormat/>
    <w:uiPriority w:val="99"/>
    <w:tblPr>
      <w:tblCellMar>
        <w:top w:w="0" w:type="dxa"/>
        <w:left w:w="108" w:type="dxa"/>
        <w:bottom w:w="0" w:type="dxa"/>
        <w:right w:w="108" w:type="dxa"/>
      </w:tblCellMar>
    </w:tblPr>
  </w:style>
  <w:style w:type="paragraph" w:styleId="2">
    <w:name w:val="Normal Indent"/>
    <w:basedOn w:val="1"/>
    <w:next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9"/>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2"/>
    <w:autoRedefine/>
    <w:qFormat/>
    <w:uiPriority w:val="0"/>
    <w:pPr>
      <w:shd w:val="clear" w:color="auto" w:fill="000080"/>
    </w:pPr>
  </w:style>
  <w:style w:type="paragraph" w:styleId="19">
    <w:name w:val="annotation text"/>
    <w:basedOn w:val="1"/>
    <w:link w:val="343"/>
    <w:autoRedefine/>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24"/>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20"/>
    <w:qFormat/>
    <w:uiPriority w:val="0"/>
    <w:pPr>
      <w:ind w:firstLine="420"/>
    </w:pPr>
    <w:rPr>
      <w:rFonts w:hAnsi="Calibri" w:cs="Times New Roman"/>
      <w:snapToGrid/>
      <w:szCs w:val="20"/>
    </w:rPr>
  </w:style>
  <w:style w:type="paragraph" w:styleId="25">
    <w:name w:val="Body Text Indent"/>
    <w:basedOn w:val="1"/>
    <w:link w:val="264"/>
    <w:autoRedefine/>
    <w:qFormat/>
    <w:uiPriority w:val="0"/>
    <w:pPr>
      <w:spacing w:line="480" w:lineRule="exact"/>
      <w:ind w:firstLine="480" w:firstLineChars="200"/>
    </w:pPr>
    <w:rPr>
      <w:rFonts w:ascii="宋体" w:hAnsi="宋体"/>
      <w:sz w:val="24"/>
    </w:rPr>
  </w:style>
  <w:style w:type="paragraph" w:styleId="26">
    <w:name w:val="List Number 3"/>
    <w:basedOn w:val="1"/>
    <w:autoRedefine/>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Balloon Text"/>
    <w:basedOn w:val="1"/>
    <w:link w:val="188"/>
    <w:autoRedefine/>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2"/>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autoRedefine/>
    <w:qFormat/>
    <w:uiPriority w:val="0"/>
    <w:pPr>
      <w:spacing w:after="120" w:line="480" w:lineRule="auto"/>
    </w:pPr>
  </w:style>
  <w:style w:type="paragraph" w:styleId="57">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首行缩进"/>
    <w:basedOn w:val="1"/>
    <w:qFormat/>
    <w:uiPriority w:val="0"/>
    <w:pPr>
      <w:spacing w:line="360" w:lineRule="auto"/>
      <w:ind w:firstLine="480" w:firstLineChars="200"/>
    </w:pPr>
    <w:rPr>
      <w:rFonts w:ascii="宋体"/>
      <w:sz w:val="24"/>
      <w:szCs w:val="20"/>
    </w:rPr>
  </w:style>
  <w:style w:type="paragraph" w:customStyle="1" w:styleId="80">
    <w:name w:val="Default"/>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60"/>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_29dca83e-cfa0-4d29-9006-28a1b752e563"/>
    <w:autoRedefine/>
    <w:qFormat/>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2"/>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99"/>
    <w:rPr>
      <w:kern w:val="2"/>
      <w:sz w:val="21"/>
      <w:szCs w:val="24"/>
    </w:rPr>
  </w:style>
  <w:style w:type="character" w:customStyle="1" w:styleId="344">
    <w:name w:val="签名 Char"/>
    <w:link w:val="42"/>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2"/>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312"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spacing w:before="0" w:after="0"/>
      <w:outlineLvl w:val="5"/>
    </w:pPr>
  </w:style>
  <w:style w:type="paragraph" w:customStyle="1" w:styleId="473">
    <w:name w:val="5级标题"/>
    <w:basedOn w:val="474"/>
    <w:autoRedefine/>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2"/>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autoRedefine/>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2"/>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2"/>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next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3"/>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7"/>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8"/>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2"/>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2"/>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paragraph" w:customStyle="1" w:styleId="964">
    <w:name w:val="U_正文2"/>
    <w:basedOn w:val="1"/>
    <w:autoRedefine/>
    <w:qFormat/>
    <w:uiPriority w:val="0"/>
    <w:pPr>
      <w:spacing w:beforeLines="10" w:afterLines="10" w:line="300" w:lineRule="auto"/>
    </w:pPr>
    <w:rPr>
      <w:rFonts w:ascii="Calibri" w:hAnsi="Calibri"/>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93</Pages>
  <Words>42037</Words>
  <Characters>44935</Characters>
  <Paragraphs>1943</Paragraphs>
  <TotalTime>46</TotalTime>
  <ScaleCrop>false</ScaleCrop>
  <LinksUpToDate>false</LinksUpToDate>
  <CharactersWithSpaces>52310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kk</cp:lastModifiedBy>
  <cp:lastPrinted>2021-12-28T19:06:00Z</cp:lastPrinted>
  <dcterms:modified xsi:type="dcterms:W3CDTF">2024-04-25T02:58:43Z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