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p>
    <w:p>
      <w:pPr>
        <w:adjustRightInd/>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bCs/>
          <w:color w:val="auto"/>
          <w:sz w:val="48"/>
          <w:szCs w:val="48"/>
          <w:highlight w:val="none"/>
          <w:lang w:eastAsia="zh-CN"/>
        </w:rPr>
        <w:t>绍兴市中医院护送陪检服务项目</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绍兴市中医院护送陪检服务项目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绍兴市中医院护送陪检服务项目</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2520000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 xml:space="preserve">2520000 </w:t>
      </w:r>
      <w:bookmarkStart w:id="167" w:name="_GoBack"/>
      <w:bookmarkEnd w:id="167"/>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标项名称：护送陪检服务项目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color w:val="auto"/>
          <w:sz w:val="24"/>
          <w:highlight w:val="none"/>
          <w:lang w:val="en-US" w:eastAsia="zh-CN"/>
        </w:rPr>
        <w:t xml:space="preserve">2520000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陈雄</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项目联系方式（询问）：0575-89107222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其他未列明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75236290"/>
      <w:bookmarkEnd w:id="21"/>
      <w:bookmarkStart w:id="22" w:name="_Hlt75236011"/>
      <w:bookmarkEnd w:id="22"/>
      <w:bookmarkStart w:id="23" w:name="_Hlt68057669"/>
      <w:bookmarkEnd w:id="23"/>
      <w:bookmarkStart w:id="24" w:name="_Hlt74730295"/>
      <w:bookmarkEnd w:id="24"/>
      <w:bookmarkStart w:id="25" w:name="_Hlt74729768"/>
      <w:bookmarkEnd w:id="25"/>
      <w:bookmarkStart w:id="26" w:name="_Hlt75236101"/>
      <w:bookmarkEnd w:id="26"/>
      <w:bookmarkStart w:id="27" w:name="_Hlt68073093"/>
      <w:bookmarkEnd w:id="27"/>
      <w:bookmarkStart w:id="28" w:name="_Hlt68072990"/>
      <w:bookmarkEnd w:id="28"/>
      <w:bookmarkStart w:id="29" w:name="_Hlt74714665"/>
      <w:bookmarkEnd w:id="29"/>
      <w:bookmarkStart w:id="30" w:name="_Hlt68072998"/>
      <w:bookmarkEnd w:id="30"/>
      <w:bookmarkStart w:id="31" w:name="_Hlt74707468"/>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highlight w:val="none"/>
          <w:lang w:eastAsia="zh-CN"/>
        </w:rPr>
        <w:t>护送陪检服务项目</w:t>
      </w:r>
      <w:r>
        <w:rPr>
          <w:rFonts w:hint="eastAsia" w:ascii="仿宋" w:hAnsi="仿宋" w:eastAsia="仿宋" w:cs="仿宋"/>
          <w:b/>
          <w:color w:val="auto"/>
          <w:sz w:val="24"/>
          <w:szCs w:val="24"/>
          <w:highlight w:val="none"/>
        </w:rPr>
        <w:t xml:space="preserve"> 预算</w:t>
      </w:r>
      <w:r>
        <w:rPr>
          <w:rFonts w:hint="eastAsia" w:ascii="仿宋" w:hAnsi="仿宋" w:eastAsia="仿宋" w:cs="仿宋"/>
          <w:b/>
          <w:color w:val="auto"/>
          <w:sz w:val="24"/>
          <w:szCs w:val="24"/>
          <w:highlight w:val="none"/>
          <w:lang w:val="en-US" w:eastAsia="zh-CN"/>
        </w:rPr>
        <w:t>252</w:t>
      </w:r>
      <w:r>
        <w:rPr>
          <w:rFonts w:hint="eastAsia" w:ascii="仿宋" w:hAnsi="仿宋" w:eastAsia="仿宋" w:cs="仿宋"/>
          <w:b/>
          <w:color w:val="auto"/>
          <w:sz w:val="24"/>
          <w:szCs w:val="24"/>
          <w:highlight w:val="none"/>
        </w:rPr>
        <w:t>万元</w:t>
      </w:r>
      <w:r>
        <w:rPr>
          <w:rFonts w:hint="eastAsia" w:ascii="仿宋" w:hAnsi="仿宋" w:eastAsia="仿宋" w:cs="仿宋"/>
          <w:b/>
          <w:color w:val="auto"/>
          <w:sz w:val="24"/>
          <w:szCs w:val="24"/>
          <w:highlight w:val="none"/>
          <w:lang w:val="en-US" w:eastAsia="zh-CN"/>
        </w:rPr>
        <w:t>/2年</w:t>
      </w:r>
    </w:p>
    <w:p>
      <w:pPr>
        <w:numPr>
          <w:ilvl w:val="0"/>
          <w:numId w:val="0"/>
        </w:num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rPr>
        <w:t>项目概况及要求</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 xml:space="preserve"> </w:t>
      </w:r>
    </w:p>
    <w:p>
      <w:pPr>
        <w:outlineLvl w:val="0"/>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1、招标项目概况：</w:t>
      </w:r>
    </w:p>
    <w:p>
      <w:pPr>
        <w:spacing w:line="480" w:lineRule="exact"/>
        <w:ind w:firstLine="354" w:firstLineChars="147"/>
        <w:rPr>
          <w:rFonts w:hint="eastAsia" w:ascii="仿宋" w:hAnsi="仿宋" w:eastAsia="仿宋" w:cs="仿宋"/>
          <w:color w:val="auto"/>
          <w:sz w:val="24"/>
          <w:highlight w:val="none"/>
        </w:rPr>
      </w:pPr>
      <w:r>
        <w:rPr>
          <w:rFonts w:hint="eastAsia" w:ascii="仿宋" w:hAnsi="仿宋" w:eastAsia="仿宋" w:cs="仿宋"/>
          <w:b/>
          <w:color w:val="auto"/>
          <w:sz w:val="24"/>
          <w:highlight w:val="none"/>
        </w:rPr>
        <w:t>1.1</w:t>
      </w:r>
      <w:r>
        <w:rPr>
          <w:rFonts w:hint="eastAsia" w:ascii="仿宋" w:hAnsi="仿宋" w:eastAsia="仿宋" w:cs="仿宋"/>
          <w:color w:val="auto"/>
          <w:sz w:val="24"/>
          <w:highlight w:val="none"/>
        </w:rPr>
        <w:t>绍兴市中医院是一所融中西医医疗、急救、教学、科研、预防、保健、康复为一体的综合性三级甲等中医医院，是浙江中医药大学附属医院、浙江省首批中医名院建设单位、绍兴市惠民医院。医院占地面积4</w:t>
      </w:r>
      <w:r>
        <w:rPr>
          <w:rFonts w:hint="eastAsia" w:ascii="仿宋" w:hAnsi="仿宋" w:eastAsia="仿宋" w:cs="仿宋"/>
          <w:color w:val="auto"/>
          <w:sz w:val="24"/>
          <w:highlight w:val="none"/>
        </w:rPr>
        <w:t>3044</w:t>
      </w:r>
      <w:r>
        <w:rPr>
          <w:rFonts w:hint="eastAsia" w:ascii="仿宋" w:hAnsi="仿宋" w:eastAsia="仿宋" w:cs="仿宋"/>
          <w:color w:val="auto"/>
          <w:sz w:val="24"/>
          <w:highlight w:val="none"/>
        </w:rPr>
        <w:t>平方米，建筑面积</w:t>
      </w:r>
      <w:r>
        <w:rPr>
          <w:rFonts w:hint="eastAsia" w:ascii="仿宋" w:hAnsi="仿宋" w:eastAsia="仿宋" w:cs="仿宋"/>
          <w:color w:val="auto"/>
          <w:sz w:val="24"/>
          <w:highlight w:val="none"/>
          <w:lang w:val="en-US" w:eastAsia="zh-CN"/>
        </w:rPr>
        <w:t>104880</w:t>
      </w:r>
      <w:r>
        <w:rPr>
          <w:rFonts w:hint="eastAsia" w:ascii="仿宋" w:hAnsi="仿宋" w:eastAsia="仿宋" w:cs="仿宋"/>
          <w:color w:val="auto"/>
          <w:sz w:val="24"/>
          <w:highlight w:val="none"/>
        </w:rPr>
        <w:t>平方米。</w:t>
      </w:r>
      <w:r>
        <w:rPr>
          <w:rFonts w:hint="eastAsia" w:ascii="仿宋" w:hAnsi="仿宋" w:eastAsia="仿宋" w:cs="仿宋"/>
          <w:color w:val="auto"/>
          <w:sz w:val="24"/>
          <w:highlight w:val="none"/>
        </w:rPr>
        <w:t>现有职工</w:t>
      </w:r>
      <w:r>
        <w:rPr>
          <w:rFonts w:hint="eastAsia" w:ascii="仿宋" w:hAnsi="仿宋" w:eastAsia="仿宋" w:cs="仿宋"/>
          <w:color w:val="auto"/>
          <w:sz w:val="24"/>
          <w:highlight w:val="none"/>
          <w:lang w:val="en-US" w:eastAsia="zh-CN"/>
        </w:rPr>
        <w:t>1000</w:t>
      </w:r>
      <w:r>
        <w:rPr>
          <w:rFonts w:hint="eastAsia" w:ascii="仿宋" w:hAnsi="仿宋" w:eastAsia="仿宋" w:cs="仿宋"/>
          <w:color w:val="auto"/>
          <w:sz w:val="24"/>
          <w:highlight w:val="none"/>
        </w:rPr>
        <w:t>余人，核定床位</w:t>
      </w:r>
      <w:r>
        <w:rPr>
          <w:rFonts w:hint="eastAsia" w:ascii="仿宋" w:hAnsi="仿宋" w:eastAsia="仿宋" w:cs="仿宋"/>
          <w:color w:val="auto"/>
          <w:sz w:val="24"/>
          <w:highlight w:val="none"/>
          <w:lang w:val="en-US" w:eastAsia="zh-CN"/>
        </w:rPr>
        <w:t>1000</w:t>
      </w:r>
      <w:r>
        <w:rPr>
          <w:rFonts w:hint="eastAsia" w:ascii="仿宋" w:hAnsi="仿宋" w:eastAsia="仿宋" w:cs="仿宋"/>
          <w:color w:val="auto"/>
          <w:sz w:val="24"/>
          <w:highlight w:val="none"/>
        </w:rPr>
        <w:t>张，</w:t>
      </w:r>
      <w:r>
        <w:rPr>
          <w:rFonts w:hint="eastAsia" w:ascii="仿宋" w:hAnsi="仿宋" w:eastAsia="仿宋" w:cs="仿宋"/>
          <w:color w:val="auto"/>
          <w:sz w:val="24"/>
          <w:highlight w:val="none"/>
          <w:lang w:eastAsia="zh-CN"/>
        </w:rPr>
        <w:t>现</w:t>
      </w:r>
      <w:r>
        <w:rPr>
          <w:rFonts w:hint="eastAsia" w:ascii="仿宋" w:hAnsi="仿宋" w:eastAsia="仿宋" w:cs="仿宋"/>
          <w:color w:val="auto"/>
          <w:sz w:val="24"/>
          <w:highlight w:val="none"/>
        </w:rPr>
        <w:t>实际开放床位472</w:t>
      </w:r>
      <w:r>
        <w:rPr>
          <w:rFonts w:hint="eastAsia" w:ascii="仿宋" w:hAnsi="仿宋" w:eastAsia="仿宋" w:cs="仿宋"/>
          <w:color w:val="auto"/>
          <w:sz w:val="24"/>
          <w:highlight w:val="none"/>
          <w:lang w:eastAsia="zh-CN"/>
        </w:rPr>
        <w:t>张</w:t>
      </w:r>
      <w:r>
        <w:rPr>
          <w:rFonts w:hint="eastAsia" w:ascii="仿宋" w:hAnsi="仿宋" w:eastAsia="仿宋" w:cs="仿宋"/>
          <w:color w:val="auto"/>
          <w:sz w:val="24"/>
          <w:highlight w:val="none"/>
        </w:rPr>
        <w:t>。</w:t>
      </w:r>
    </w:p>
    <w:p>
      <w:pPr>
        <w:spacing w:line="480" w:lineRule="exact"/>
        <w:ind w:firstLine="241" w:firstLineChars="100"/>
        <w:rPr>
          <w:rFonts w:hint="eastAsia" w:ascii="仿宋" w:hAnsi="仿宋" w:eastAsia="仿宋" w:cs="仿宋"/>
          <w:color w:val="auto"/>
          <w:sz w:val="24"/>
          <w:highlight w:val="none"/>
        </w:rPr>
      </w:pPr>
      <w:r>
        <w:rPr>
          <w:rFonts w:hint="eastAsia" w:ascii="仿宋" w:hAnsi="仿宋" w:eastAsia="仿宋" w:cs="仿宋"/>
          <w:b/>
          <w:color w:val="auto"/>
          <w:sz w:val="24"/>
          <w:highlight w:val="none"/>
        </w:rPr>
        <w:t>1.2</w:t>
      </w:r>
      <w:r>
        <w:rPr>
          <w:rFonts w:hint="eastAsia" w:ascii="仿宋" w:hAnsi="仿宋" w:eastAsia="仿宋" w:cs="仿宋"/>
          <w:color w:val="auto"/>
          <w:sz w:val="24"/>
          <w:highlight w:val="none"/>
        </w:rPr>
        <w:t>投标人应根据招标人的要求，以合理的服务流程、足够的服务人数、优良的服务质量、稳定的服务队伍、合理的价格制定详细的服务方案前来投标，充分显示自身的竞争实力。</w:t>
      </w:r>
    </w:p>
    <w:p>
      <w:pPr>
        <w:spacing w:line="480" w:lineRule="exact"/>
        <w:ind w:firstLine="241" w:firstLineChars="100"/>
        <w:rPr>
          <w:rFonts w:hint="eastAsia" w:ascii="仿宋" w:hAnsi="仿宋" w:eastAsia="仿宋" w:cs="仿宋"/>
          <w:color w:val="auto"/>
          <w:sz w:val="24"/>
          <w:highlight w:val="none"/>
        </w:rPr>
      </w:pPr>
      <w:r>
        <w:rPr>
          <w:rFonts w:hint="eastAsia" w:ascii="仿宋" w:hAnsi="仿宋" w:eastAsia="仿宋" w:cs="仿宋"/>
          <w:b/>
          <w:color w:val="auto"/>
          <w:sz w:val="24"/>
          <w:highlight w:val="none"/>
        </w:rPr>
        <w:t>1.3</w:t>
      </w:r>
      <w:r>
        <w:rPr>
          <w:rFonts w:hint="eastAsia" w:ascii="仿宋" w:hAnsi="仿宋" w:eastAsia="仿宋" w:cs="仿宋"/>
          <w:color w:val="auto"/>
          <w:sz w:val="24"/>
          <w:highlight w:val="none"/>
        </w:rPr>
        <w:t>本次招标只设一个标段，投标人必须对全部招标内容进行投标，不允许只对其中部分内容进行投标。</w:t>
      </w:r>
    </w:p>
    <w:p>
      <w:pPr>
        <w:spacing w:line="480" w:lineRule="exact"/>
        <w:ind w:firstLine="241" w:firstLineChars="100"/>
        <w:rPr>
          <w:rFonts w:hint="eastAsia" w:ascii="仿宋" w:hAnsi="仿宋" w:eastAsia="仿宋" w:cs="仿宋"/>
          <w:color w:val="auto"/>
          <w:sz w:val="24"/>
          <w:highlight w:val="none"/>
        </w:rPr>
      </w:pPr>
      <w:r>
        <w:rPr>
          <w:rFonts w:hint="eastAsia" w:ascii="仿宋" w:hAnsi="仿宋" w:eastAsia="仿宋" w:cs="仿宋"/>
          <w:b/>
          <w:color w:val="auto"/>
          <w:sz w:val="24"/>
          <w:highlight w:val="none"/>
        </w:rPr>
        <w:t>1.4</w:t>
      </w:r>
      <w:r>
        <w:rPr>
          <w:rFonts w:hint="eastAsia" w:ascii="仿宋" w:hAnsi="仿宋" w:eastAsia="仿宋" w:cs="仿宋"/>
          <w:color w:val="auto"/>
          <w:sz w:val="24"/>
          <w:highlight w:val="none"/>
        </w:rPr>
        <w:t>服务场所：绍兴市中医院所辖</w:t>
      </w:r>
      <w:r>
        <w:rPr>
          <w:rFonts w:hint="eastAsia" w:ascii="仿宋" w:hAnsi="仿宋" w:eastAsia="仿宋" w:cs="仿宋"/>
          <w:color w:val="auto"/>
          <w:sz w:val="24"/>
          <w:highlight w:val="none"/>
          <w:lang w:eastAsia="zh-CN"/>
        </w:rPr>
        <w:t>十五</w:t>
      </w:r>
      <w:r>
        <w:rPr>
          <w:rFonts w:hint="eastAsia" w:ascii="仿宋" w:hAnsi="仿宋" w:eastAsia="仿宋" w:cs="仿宋"/>
          <w:color w:val="auto"/>
          <w:sz w:val="24"/>
          <w:highlight w:val="none"/>
        </w:rPr>
        <w:t>个病区（二、三、四、五、六、七、八、十一、十二、十三、十四</w:t>
      </w:r>
      <w:r>
        <w:rPr>
          <w:rFonts w:hint="eastAsia" w:ascii="仿宋" w:hAnsi="仿宋" w:eastAsia="仿宋" w:cs="仿宋"/>
          <w:color w:val="auto"/>
          <w:sz w:val="24"/>
          <w:highlight w:val="none"/>
          <w:lang w:eastAsia="zh-CN"/>
        </w:rPr>
        <w:t>及预留等</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血透中心、</w:t>
      </w:r>
      <w:r>
        <w:rPr>
          <w:rFonts w:hint="eastAsia" w:ascii="仿宋" w:hAnsi="仿宋" w:eastAsia="仿宋" w:cs="仿宋"/>
          <w:color w:val="auto"/>
          <w:sz w:val="24"/>
          <w:highlight w:val="none"/>
        </w:rPr>
        <w:t>重症医学科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急诊、</w:t>
      </w:r>
      <w:r>
        <w:rPr>
          <w:rFonts w:hint="eastAsia" w:ascii="仿宋" w:hAnsi="仿宋" w:eastAsia="仿宋" w:cs="仿宋"/>
          <w:color w:val="auto"/>
          <w:sz w:val="24"/>
          <w:highlight w:val="none"/>
        </w:rPr>
        <w:t>120</w:t>
      </w:r>
      <w:r>
        <w:rPr>
          <w:rFonts w:hint="eastAsia" w:ascii="仿宋" w:hAnsi="仿宋" w:eastAsia="仿宋" w:cs="仿宋"/>
          <w:color w:val="auto"/>
          <w:sz w:val="24"/>
          <w:highlight w:val="none"/>
        </w:rPr>
        <w:t>、住院接待处、门诊及需要提供相应服务的医疗场所。</w:t>
      </w:r>
    </w:p>
    <w:p>
      <w:pPr>
        <w:spacing w:line="48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2、服务要求</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2.1收（送）住院病人检查单并预约反馈；接（送）住院病人做各种检查；接（送）急诊病人做各种检查；接（送）特殊需要的门诊病人做检查。</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2.2重症医学科病人的陪护工作。</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2.3承担</w:t>
      </w:r>
      <w:r>
        <w:rPr>
          <w:rFonts w:hint="eastAsia" w:ascii="仿宋" w:hAnsi="仿宋" w:eastAsia="仿宋" w:cs="仿宋"/>
          <w:color w:val="auto"/>
          <w:sz w:val="24"/>
          <w:highlight w:val="none"/>
        </w:rPr>
        <w:t>120</w:t>
      </w:r>
      <w:r>
        <w:rPr>
          <w:rFonts w:hint="eastAsia" w:ascii="仿宋" w:hAnsi="仿宋" w:eastAsia="仿宋" w:cs="仿宋"/>
          <w:color w:val="auto"/>
          <w:sz w:val="24"/>
          <w:highlight w:val="none"/>
        </w:rPr>
        <w:t>出车担架员工作。</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2.4护送门诊和急诊病人到病房，送特检科</w:t>
      </w:r>
      <w:r>
        <w:rPr>
          <w:rFonts w:hint="eastAsia" w:ascii="仿宋" w:hAnsi="仿宋" w:eastAsia="仿宋" w:cs="仿宋"/>
          <w:color w:val="auto"/>
          <w:sz w:val="24"/>
          <w:highlight w:val="none"/>
        </w:rPr>
        <w:t>及</w:t>
      </w:r>
      <w:r>
        <w:rPr>
          <w:rFonts w:hint="eastAsia" w:ascii="仿宋" w:hAnsi="仿宋" w:eastAsia="仿宋" w:cs="仿宋"/>
          <w:color w:val="auto"/>
          <w:sz w:val="24"/>
          <w:highlight w:val="none"/>
        </w:rPr>
        <w:t>放射科</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rPr>
        <w:t>报告单到各病区。</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2.5协助做好接（送）病人转科及其他医疗辅助性工作。</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2.6护送病区血透病人到血透室。</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2.7早上把各病区的出院病历拿到病案室。</w:t>
      </w:r>
    </w:p>
    <w:p>
      <w:pPr>
        <w:spacing w:line="480" w:lineRule="exact"/>
        <w:ind w:left="1"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2.8其他应急性工作</w:t>
      </w:r>
    </w:p>
    <w:p>
      <w:pPr>
        <w:spacing w:line="480" w:lineRule="exact"/>
        <w:ind w:firstLine="236" w:firstLineChars="98"/>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3、人员配置基本要求</w:t>
      </w:r>
    </w:p>
    <w:p>
      <w:pPr>
        <w:pStyle w:val="396"/>
        <w:widowControl w:val="0"/>
        <w:spacing w:afterLines="0" w:line="440" w:lineRule="exact"/>
        <w:ind w:firstLine="480"/>
        <w:rPr>
          <w:rFonts w:hint="eastAsia" w:ascii="仿宋" w:hAnsi="仿宋" w:eastAsia="仿宋" w:cs="仿宋"/>
          <w:b/>
          <w:color w:val="auto"/>
          <w:szCs w:val="24"/>
          <w:highlight w:val="none"/>
          <w:u w:val="single"/>
        </w:rPr>
      </w:pPr>
      <w:r>
        <w:rPr>
          <w:rFonts w:hint="eastAsia" w:ascii="仿宋" w:hAnsi="仿宋" w:eastAsia="仿宋" w:cs="仿宋"/>
          <w:color w:val="auto"/>
          <w:highlight w:val="none"/>
        </w:rPr>
        <w:t>3.1人员配置：重症医学科陪护人员6人，急诊科护送工人3人，120担架员</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人（要求在60周岁以下），病区及其他服务区域护送工人1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人，夜班2人，顶班人员</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人，机动人员</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人，合计</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rPr>
        <w:t>人。</w:t>
      </w:r>
      <w:r>
        <w:rPr>
          <w:rFonts w:hint="eastAsia" w:ascii="仿宋" w:hAnsi="仿宋" w:eastAsia="仿宋" w:cs="仿宋"/>
          <w:b/>
          <w:color w:val="auto"/>
          <w:szCs w:val="24"/>
          <w:highlight w:val="none"/>
          <w:u w:val="single"/>
        </w:rPr>
        <w:t>招标人保留在签约时调整部分方案及定购数量和服务的权力，投标人应对系统方案中数量和服务明细报价，按投标单价不变的前提下进行调整，双方不得拒绝。</w:t>
      </w:r>
    </w:p>
    <w:p>
      <w:pPr>
        <w:spacing w:line="480" w:lineRule="exact"/>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3.2人员要求：人员要求固定，人员到岗情况及调换应及时告知临床支持中心。对不负责任，工作表现差的人员，总务科（临床支持中心）</w:t>
      </w:r>
      <w:r>
        <w:rPr>
          <w:rFonts w:hint="eastAsia" w:ascii="仿宋" w:hAnsi="仿宋" w:eastAsia="仿宋" w:cs="仿宋"/>
          <w:color w:val="auto"/>
          <w:sz w:val="24"/>
          <w:highlight w:val="none"/>
        </w:rPr>
        <w:t>有权提出</w:t>
      </w:r>
      <w:r>
        <w:rPr>
          <w:rFonts w:hint="eastAsia" w:ascii="仿宋" w:hAnsi="仿宋" w:eastAsia="仿宋" w:cs="仿宋"/>
          <w:color w:val="auto"/>
          <w:sz w:val="24"/>
          <w:highlight w:val="none"/>
          <w:lang w:val="en-US" w:eastAsia="zh-CN"/>
        </w:rPr>
        <w:t>更换人员</w:t>
      </w:r>
      <w:r>
        <w:rPr>
          <w:rFonts w:hint="eastAsia" w:ascii="仿宋" w:hAnsi="仿宋" w:eastAsia="仿宋" w:cs="仿宋"/>
          <w:color w:val="auto"/>
          <w:sz w:val="24"/>
          <w:highlight w:val="none"/>
        </w:rPr>
        <w:t>，中标单位应及时安排顶替人员到岗。</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所招录人员必须身体健康、五官端正、年龄男65周岁（女60周岁）以下。</w:t>
      </w:r>
    </w:p>
    <w:p>
      <w:pPr>
        <w:spacing w:line="48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4、工作考核</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4.1每月对各临床科室发放员工考核测评表，由被调查科室负责人填写并签名。</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4.2中标单位对员工定期进行检查、考核、培训，并有记录。</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4.3每月考核结果与中标费用挂钩，考核分95分以上为合格，不合格者，每下降1个百分点扣相应区域中标款1%。</w:t>
      </w:r>
    </w:p>
    <w:p>
      <w:pPr>
        <w:spacing w:line="480" w:lineRule="exact"/>
        <w:ind w:firstLine="470" w:firstLineChars="196"/>
        <w:rPr>
          <w:rFonts w:hint="eastAsia" w:ascii="仿宋" w:hAnsi="仿宋" w:eastAsia="仿宋" w:cs="仿宋"/>
          <w:b/>
          <w:color w:val="auto"/>
          <w:sz w:val="24"/>
          <w:highlight w:val="none"/>
        </w:rPr>
      </w:pPr>
      <w:r>
        <w:rPr>
          <w:rFonts w:hint="eastAsia" w:ascii="仿宋" w:hAnsi="仿宋" w:eastAsia="仿宋" w:cs="仿宋"/>
          <w:color w:val="auto"/>
          <w:sz w:val="24"/>
          <w:highlight w:val="none"/>
        </w:rPr>
        <w:t>4.4工作考核细则：</w:t>
      </w:r>
    </w:p>
    <w:tbl>
      <w:tblPr>
        <w:tblStyle w:val="6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6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restart"/>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管理工作(20分)</w:t>
            </w: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1.有管理人员职责，有管理具体措施；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2.员工上岗前培训合格率达100％；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3.有员工考核细则，佩证上岗、微笑服务、礼貌用语；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4.不在工作区域吸烟。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restart"/>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劳动纪律(20分)</w:t>
            </w: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1.工作服从护士长、医护人员安排；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2.着装上岗、不迟到早退；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3.遵守医院规章制度，禁用大功率电器；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restart"/>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 xml:space="preserve">服务态度(20分)   </w:t>
            </w: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1.主动、热情协助病人做各项检查；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2.接（送）病人过程中动作应轻、稳、准；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3.不与病人或家属顶撞；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4.注意途中安全和保暖；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restart"/>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在岗在位(20分)</w:t>
            </w: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1.保持通信工具畅通（特殊情况及时告知）；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2.上班时间禁止离开医院；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restart"/>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及时性(20分)</w:t>
            </w: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1.当天的检查应当天完成（除有时间规定外）；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dxa"/>
            <w:vMerge w:val="continue"/>
            <w:noWrap w:val="0"/>
            <w:vAlign w:val="center"/>
          </w:tcPr>
          <w:p>
            <w:pPr>
              <w:spacing w:after="156" w:line="480" w:lineRule="exact"/>
              <w:ind w:firstLine="480"/>
              <w:rPr>
                <w:rFonts w:hint="eastAsia" w:ascii="仿宋" w:hAnsi="仿宋" w:eastAsia="仿宋" w:cs="仿宋"/>
                <w:color w:val="auto"/>
                <w:sz w:val="24"/>
                <w:highlight w:val="none"/>
              </w:rPr>
            </w:pPr>
          </w:p>
        </w:tc>
        <w:tc>
          <w:tcPr>
            <w:tcW w:w="6355" w:type="dxa"/>
            <w:noWrap w:val="0"/>
            <w:vAlign w:val="center"/>
          </w:tcPr>
          <w:p>
            <w:pPr>
              <w:spacing w:after="156" w:line="480" w:lineRule="exact"/>
              <w:rPr>
                <w:rFonts w:hint="eastAsia" w:ascii="仿宋" w:hAnsi="仿宋" w:eastAsia="仿宋" w:cs="仿宋"/>
                <w:color w:val="auto"/>
                <w:sz w:val="24"/>
                <w:highlight w:val="none"/>
              </w:rPr>
            </w:pPr>
            <w:r>
              <w:rPr>
                <w:rFonts w:hint="eastAsia" w:ascii="仿宋" w:hAnsi="仿宋" w:eastAsia="仿宋" w:cs="仿宋"/>
                <w:color w:val="auto"/>
                <w:highlight w:val="none"/>
              </w:rPr>
              <w:t>2.临时性任务应保质保量完成；</w:t>
            </w:r>
          </w:p>
        </w:tc>
      </w:tr>
    </w:tbl>
    <w:p>
      <w:pPr>
        <w:spacing w:line="48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二</w:t>
      </w:r>
      <w:r>
        <w:rPr>
          <w:rFonts w:hint="eastAsia" w:ascii="仿宋" w:hAnsi="仿宋" w:eastAsia="仿宋" w:cs="仿宋"/>
          <w:b/>
          <w:color w:val="auto"/>
          <w:sz w:val="24"/>
          <w:highlight w:val="none"/>
        </w:rPr>
        <w:t>、投标报价</w:t>
      </w:r>
    </w:p>
    <w:p>
      <w:pPr>
        <w:spacing w:line="480" w:lineRule="exact"/>
        <w:ind w:firstLine="472" w:firstLineChars="196"/>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color w:val="auto"/>
          <w:sz w:val="24"/>
          <w:highlight w:val="none"/>
        </w:rPr>
        <w:t>包括员工工资福利、税收、管理费、服装费、住宿、养老保险等社保费、体检费用、人身意外伤害保险费等一切费用。</w:t>
      </w:r>
    </w:p>
    <w:p>
      <w:pPr>
        <w:spacing w:line="480" w:lineRule="exact"/>
        <w:ind w:firstLine="482" w:firstLineChars="20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rPr>
        <w:t>本次项目期限为：本服务项目服务期限为</w:t>
      </w:r>
      <w:r>
        <w:rPr>
          <w:rFonts w:hint="eastAsia" w:ascii="仿宋" w:hAnsi="仿宋" w:eastAsia="仿宋" w:cs="仿宋"/>
          <w:b/>
          <w:color w:val="auto"/>
          <w:sz w:val="24"/>
          <w:highlight w:val="none"/>
          <w:lang w:val="en-US" w:eastAsia="zh-CN"/>
        </w:rPr>
        <w:t>24</w:t>
      </w:r>
      <w:r>
        <w:rPr>
          <w:rFonts w:hint="eastAsia" w:ascii="仿宋" w:hAnsi="仿宋" w:eastAsia="仿宋" w:cs="仿宋"/>
          <w:b/>
          <w:color w:val="auto"/>
          <w:sz w:val="24"/>
          <w:highlight w:val="none"/>
        </w:rPr>
        <w:t>个月，</w:t>
      </w:r>
      <w:r>
        <w:rPr>
          <w:rFonts w:hint="eastAsia" w:ascii="仿宋" w:hAnsi="仿宋" w:eastAsia="仿宋" w:cs="仿宋"/>
          <w:b/>
          <w:color w:val="auto"/>
          <w:sz w:val="24"/>
          <w:highlight w:val="none"/>
          <w:u w:val="single"/>
        </w:rPr>
        <w:t>自合同签订生效后</w:t>
      </w:r>
      <w:r>
        <w:rPr>
          <w:rFonts w:hint="eastAsia" w:ascii="仿宋" w:hAnsi="仿宋" w:eastAsia="仿宋" w:cs="仿宋"/>
          <w:b/>
          <w:color w:val="auto"/>
          <w:sz w:val="24"/>
          <w:highlight w:val="none"/>
          <w:u w:val="single"/>
          <w:lang w:eastAsia="zh-CN"/>
        </w:rPr>
        <w:t>两</w:t>
      </w:r>
      <w:r>
        <w:rPr>
          <w:rFonts w:hint="eastAsia" w:ascii="仿宋" w:hAnsi="仿宋" w:eastAsia="仿宋" w:cs="仿宋"/>
          <w:b/>
          <w:color w:val="auto"/>
          <w:sz w:val="24"/>
          <w:highlight w:val="none"/>
          <w:u w:val="single"/>
        </w:rPr>
        <w:t>年止。在下一次招标前原合同仍有效。</w:t>
      </w:r>
    </w:p>
    <w:p>
      <w:pPr>
        <w:spacing w:line="48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三</w:t>
      </w:r>
      <w:r>
        <w:rPr>
          <w:rFonts w:hint="eastAsia" w:ascii="仿宋" w:hAnsi="仿宋" w:eastAsia="仿宋" w:cs="仿宋"/>
          <w:b/>
          <w:color w:val="auto"/>
          <w:sz w:val="24"/>
          <w:highlight w:val="none"/>
        </w:rPr>
        <w:t>、甲乙方责任</w:t>
      </w:r>
    </w:p>
    <w:p>
      <w:pPr>
        <w:spacing w:line="48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（一）甲方责任</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rPr>
        <w:t>．对送检的特殊患者要单独提醒乙方员工重点注意事项，以防止发生意外事故（一级护理以上病人需医护人员陪同）；</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2．尊重乙方员工，重症医学科陪护人员由重症医学科安排、指导工作；</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3．按招标合同按月支付服务费；</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4．在医院内部提供一间办公用房，以方便乙方办公使用。</w:t>
      </w:r>
    </w:p>
    <w:p>
      <w:pPr>
        <w:spacing w:line="48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(二)、乙方责任</w:t>
      </w:r>
    </w:p>
    <w:p>
      <w:pPr>
        <w:spacing w:line="48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1</w:t>
      </w:r>
      <w:r>
        <w:rPr>
          <w:rFonts w:hint="eastAsia" w:ascii="仿宋" w:hAnsi="仿宋" w:eastAsia="仿宋" w:cs="仿宋"/>
          <w:color w:val="auto"/>
          <w:sz w:val="24"/>
          <w:highlight w:val="none"/>
        </w:rPr>
        <w:t>．招聘合格员工（男＜</w:t>
      </w: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5周岁，女＜60周岁，身体健康），签定劳动协议，办理各种用工手续并安排岗前培训，满足甲方的实际需求；如甲方对乙方员工身体状况有疑问的，乙方应配合进行体检，所需费用由乙方承担。</w:t>
      </w:r>
    </w:p>
    <w:p>
      <w:pPr>
        <w:spacing w:line="480" w:lineRule="exact"/>
        <w:ind w:left="2" w:firstLine="559" w:firstLineChars="233"/>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rPr>
        <w:t>．主动为甲方设计合理运送流程以保证病员安全，提高工作效率；但需在征得甲方同意后才能实施，并接受甲方的监督、考核。</w:t>
      </w:r>
    </w:p>
    <w:p>
      <w:pPr>
        <w:spacing w:line="480" w:lineRule="exact"/>
        <w:ind w:left="1"/>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w:t>
      </w:r>
      <w:r>
        <w:rPr>
          <w:rFonts w:hint="eastAsia" w:ascii="仿宋" w:hAnsi="仿宋" w:eastAsia="仿宋" w:cs="仿宋"/>
          <w:color w:val="auto"/>
          <w:sz w:val="24"/>
          <w:highlight w:val="none"/>
        </w:rPr>
        <w:t>．保证检查病人的途中安全（注意保暖、病情观察），严防运送途中不良事故的发生，如发生事故，一切后果由乙方负责。</w:t>
      </w:r>
    </w:p>
    <w:p>
      <w:pPr>
        <w:spacing w:line="4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4</w:t>
      </w:r>
      <w:r>
        <w:rPr>
          <w:rFonts w:hint="eastAsia" w:ascii="仿宋" w:hAnsi="仿宋" w:eastAsia="仿宋" w:cs="仿宋"/>
          <w:color w:val="auto"/>
          <w:sz w:val="24"/>
          <w:highlight w:val="none"/>
        </w:rPr>
        <w:t>．陪送检查前后均应与所在科室的护士做好交接工作，并安全搬运至平车（轮椅）。</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．配备必要的装备、统一着装、佩带工作证，避免服务中造成不必要的失误；乙方人员应遵守甲方各项规章制度，不得在甲方区域擅自承揽其他业务。</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．必须与员工签订有关用工合同并按时、足额为员工交纳各类保险，若发生各类劳资纠纷一概与甲方无关，由乙方自行解决。</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rPr>
        <w:t>．保证按月足额支付员工工资。</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rPr>
        <w:t>．乙方应教育员工爱护医院内各种设施，乙方员工有损坏甲方公物的，乙方应按市场价向甲方赔偿，款项从服务费中扣除。不得私自收集医院内的纸板、报纸等物品进行变卖，违反规定视情节轻重扣10～50元。</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rPr>
        <w:t>．乙方员工在甲方场所内发生工伤事故的，则乙方应承担所有责任并履行赔偿义务。</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rPr>
        <w:t>．乙方员工应处理好与患者及家属间的关系，如发生患者及家属投诉等情况，由乙方负责进行处理。</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rPr>
        <w:t>1．乙方应每月</w:t>
      </w:r>
      <w:r>
        <w:rPr>
          <w:rFonts w:hint="eastAsia" w:ascii="仿宋" w:hAnsi="仿宋" w:eastAsia="仿宋" w:cs="仿宋"/>
          <w:color w:val="auto"/>
          <w:sz w:val="24"/>
          <w:highlight w:val="none"/>
        </w:rPr>
        <w:t>25</w:t>
      </w:r>
      <w:r>
        <w:rPr>
          <w:rFonts w:hint="eastAsia" w:ascii="仿宋" w:hAnsi="仿宋" w:eastAsia="仿宋" w:cs="仿宋"/>
          <w:color w:val="auto"/>
          <w:sz w:val="24"/>
          <w:highlight w:val="none"/>
        </w:rPr>
        <w:t>日前将下月人员排班表交甲方认可备案。排班必须达到甲方的最基本要求。</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rPr>
        <w:t>2．乙方人员应定期检查平车、轮椅等，发现隐患及时提出，如因违反操作、不听指令等不当行为造成甲方或患者人身、财产损失的，由乙方承担赔偿责任。</w:t>
      </w:r>
    </w:p>
    <w:p>
      <w:pPr>
        <w:spacing w:line="480" w:lineRule="exact"/>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13.乙方应认真管理员工，经明确因乙方员工行为造成的任何纠纷，由乙方负责解决，乙方应承担由此给甲方造成的损失。</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2967"/>
      <w:bookmarkStart w:id="39" w:name="_Toc15367"/>
      <w:bookmarkStart w:id="40" w:name="_Toc28855"/>
      <w:bookmarkStart w:id="41" w:name="_Toc20421"/>
      <w:bookmarkStart w:id="42" w:name="_Toc19273"/>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6311"/>
      <w:bookmarkStart w:id="45" w:name="_Toc6773"/>
      <w:bookmarkStart w:id="46" w:name="_Toc2918"/>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13918"/>
      <w:bookmarkStart w:id="50" w:name="_Toc5635"/>
      <w:bookmarkStart w:id="51" w:name="_Toc4929"/>
      <w:bookmarkStart w:id="52"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3654"/>
      <w:bookmarkStart w:id="55" w:name="_Toc26916"/>
      <w:bookmarkStart w:id="56" w:name="_Toc30506"/>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0340"/>
      <w:bookmarkStart w:id="59" w:name="_Toc22618"/>
      <w:bookmarkStart w:id="60" w:name="_Toc1814"/>
      <w:bookmarkStart w:id="61" w:name="_Toc4760"/>
      <w:bookmarkStart w:id="62" w:name="_Toc8772"/>
      <w:bookmarkStart w:id="63" w:name="_Toc31421"/>
      <w:bookmarkStart w:id="64" w:name="_Toc11108"/>
      <w:bookmarkStart w:id="65" w:name="_Toc3625"/>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8586"/>
      <w:bookmarkStart w:id="68" w:name="_Toc5698"/>
      <w:bookmarkStart w:id="69" w:name="_Toc3079"/>
      <w:bookmarkStart w:id="70"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9497"/>
      <w:bookmarkStart w:id="73" w:name="_Toc32454"/>
      <w:bookmarkStart w:id="74" w:name="_Toc18683"/>
      <w:bookmarkStart w:id="7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14021"/>
      <w:bookmarkStart w:id="83" w:name="_Toc31297"/>
      <w:bookmarkStart w:id="84" w:name="_Toc25079"/>
      <w:bookmarkStart w:id="85" w:name="_Toc5228"/>
      <w:bookmarkStart w:id="86" w:name="_Toc19680"/>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19539"/>
      <w:bookmarkStart w:id="89" w:name="_Toc3769"/>
      <w:bookmarkStart w:id="90" w:name="_Toc31402"/>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4133"/>
      <w:bookmarkStart w:id="94" w:name="_Toc9161"/>
      <w:bookmarkStart w:id="95" w:name="_Toc27945"/>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31233"/>
      <w:bookmarkStart w:id="99" w:name="_Toc26555"/>
      <w:bookmarkStart w:id="100" w:name="_Toc22011"/>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6163"/>
      <w:bookmarkStart w:id="104" w:name="_Toc13467"/>
      <w:bookmarkStart w:id="105" w:name="_Toc13154"/>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10663"/>
      <w:bookmarkStart w:id="113" w:name="_Toc26689"/>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26633"/>
      <w:bookmarkStart w:id="116" w:name="_Toc4720"/>
      <w:bookmarkStart w:id="117" w:name="_Toc14371"/>
      <w:bookmarkStart w:id="118" w:name="_Toc32494"/>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24465"/>
      <w:bookmarkStart w:id="122" w:name="_Toc14115"/>
      <w:bookmarkStart w:id="123" w:name="_Toc3638"/>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7315"/>
      <w:bookmarkStart w:id="127" w:name="_Toc14814"/>
      <w:bookmarkStart w:id="128" w:name="_Toc25525"/>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016"/>
      <w:bookmarkStart w:id="132" w:name="_Toc233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12666"/>
      <w:bookmarkStart w:id="137" w:name="_Toc2308"/>
      <w:bookmarkStart w:id="138" w:name="_Toc31892"/>
      <w:bookmarkStart w:id="139" w:name="_Toc98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5063"/>
      <w:bookmarkStart w:id="144" w:name="_Toc12254"/>
      <w:bookmarkStart w:id="145" w:name="_Toc27644"/>
      <w:bookmarkStart w:id="146" w:name="_Toc28906"/>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30599"/>
      <w:bookmarkStart w:id="150" w:name="_Toc18540"/>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279701263"/>
      <w:bookmarkStart w:id="152" w:name="_Toc18567"/>
      <w:bookmarkStart w:id="153" w:name="_Toc487900373"/>
      <w:bookmarkStart w:id="154" w:name="_Toc12773"/>
      <w:bookmarkStart w:id="155" w:name="_Toc10330"/>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2"/>
        <w:tblW w:w="96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3"/>
        <w:gridCol w:w="1436"/>
        <w:gridCol w:w="74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763" w:type="dxa"/>
            <w:tcBorders>
              <w:bottom w:val="single" w:color="auto" w:sz="4" w:space="0"/>
            </w:tcBorders>
            <w:noWrap w:val="0"/>
            <w:vAlign w:val="center"/>
          </w:tcPr>
          <w:p>
            <w:pPr>
              <w:spacing w:line="44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序号</w:t>
            </w:r>
          </w:p>
        </w:tc>
        <w:tc>
          <w:tcPr>
            <w:tcW w:w="1436" w:type="dxa"/>
            <w:tcBorders>
              <w:bottom w:val="single" w:color="auto" w:sz="4" w:space="0"/>
            </w:tcBorders>
            <w:noWrap w:val="0"/>
            <w:vAlign w:val="center"/>
          </w:tcPr>
          <w:p>
            <w:pPr>
              <w:tabs>
                <w:tab w:val="right" w:pos="-699"/>
              </w:tabs>
              <w:snapToGrid w:val="0"/>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lang w:eastAsia="zh-CN"/>
              </w:rPr>
              <w:t>评审项</w:t>
            </w:r>
          </w:p>
        </w:tc>
        <w:tc>
          <w:tcPr>
            <w:tcW w:w="7425" w:type="dxa"/>
            <w:tcBorders>
              <w:bottom w:val="single" w:color="auto" w:sz="4" w:space="0"/>
            </w:tcBorders>
            <w:noWrap w:val="0"/>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项    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763" w:type="dxa"/>
            <w:tcBorders>
              <w:bottom w:val="single" w:color="auto"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436" w:type="dxa"/>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体系认证</w:t>
            </w:r>
          </w:p>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425" w:type="dxa"/>
            <w:tcBorders>
              <w:bottom w:val="single" w:color="auto" w:sz="4" w:space="0"/>
            </w:tcBorders>
            <w:noWrap w:val="0"/>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Cs w:val="21"/>
                <w:highlight w:val="none"/>
              </w:rPr>
              <w:t>具有有效期内环境管理体系认证（1分）。具有有效期内质量管理体系认证（1分）。具有有效期内职业健康安全管理体系认证（1分），投标文件中提供复印件加盖公章，无不得分。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9" w:hRule="atLeast"/>
          <w:jc w:val="center"/>
        </w:trPr>
        <w:tc>
          <w:tcPr>
            <w:tcW w:w="763" w:type="dxa"/>
            <w:tcBorders>
              <w:top w:val="single" w:color="auto"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36" w:type="dxa"/>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荣誉情况</w:t>
            </w:r>
          </w:p>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425" w:type="dxa"/>
            <w:tcBorders>
              <w:top w:val="single" w:color="auto" w:sz="4" w:space="0"/>
            </w:tcBorders>
            <w:noWrap w:val="0"/>
            <w:vAlign w:val="center"/>
          </w:tcPr>
          <w:p>
            <w:pPr>
              <w:autoSpaceDE w:val="0"/>
              <w:autoSpaceDN w:val="0"/>
              <w:adjustRightInd w:val="0"/>
              <w:spacing w:line="320" w:lineRule="exact"/>
              <w:rPr>
                <w:rFonts w:hint="eastAsia" w:ascii="仿宋" w:hAnsi="仿宋" w:eastAsia="仿宋" w:cs="仿宋"/>
                <w:color w:val="auto"/>
                <w:sz w:val="24"/>
                <w:highlight w:val="none"/>
              </w:rPr>
            </w:pPr>
            <w:r>
              <w:rPr>
                <w:rFonts w:hint="eastAsia" w:ascii="仿宋" w:hAnsi="仿宋" w:eastAsia="仿宋" w:cs="仿宋"/>
                <w:color w:val="auto"/>
                <w:szCs w:val="21"/>
                <w:highlight w:val="none"/>
              </w:rPr>
              <w:t>20</w:t>
            </w:r>
            <w:r>
              <w:rPr>
                <w:rFonts w:hint="eastAsia" w:ascii="仿宋" w:hAnsi="仿宋" w:eastAsia="仿宋" w:cs="仿宋"/>
                <w:color w:val="auto"/>
                <w:szCs w:val="21"/>
                <w:highlight w:val="none"/>
                <w:lang w:val="en-US" w:eastAsia="zh-CN"/>
              </w:rPr>
              <w:t>21</w:t>
            </w:r>
            <w:r>
              <w:rPr>
                <w:rFonts w:hint="eastAsia" w:ascii="仿宋" w:hAnsi="仿宋" w:eastAsia="仿宋" w:cs="仿宋"/>
                <w:color w:val="auto"/>
                <w:szCs w:val="21"/>
                <w:highlight w:val="none"/>
              </w:rPr>
              <w:t>年1月1日至今单位获得行业主管部门荣誉证书，一个证书得1分，最高得3分，投标文件中提供复印件加盖公章。（3分）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63" w:type="dxa"/>
            <w:tcBorders>
              <w:bottom w:val="single" w:color="auto"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p>
            <w:pPr>
              <w:spacing w:line="360" w:lineRule="exact"/>
              <w:jc w:val="center"/>
              <w:rPr>
                <w:rFonts w:hint="eastAsia" w:ascii="仿宋" w:hAnsi="仿宋" w:eastAsia="仿宋" w:cs="仿宋"/>
                <w:color w:val="auto"/>
                <w:szCs w:val="21"/>
                <w:highlight w:val="none"/>
              </w:rPr>
            </w:pPr>
          </w:p>
        </w:tc>
        <w:tc>
          <w:tcPr>
            <w:tcW w:w="1436" w:type="dxa"/>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业绩经验</w:t>
            </w:r>
          </w:p>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425" w:type="dxa"/>
            <w:tcBorders>
              <w:bottom w:val="single" w:color="auto" w:sz="4" w:space="0"/>
            </w:tcBorders>
            <w:noWrap w:val="0"/>
            <w:vAlign w:val="center"/>
          </w:tcPr>
          <w:p>
            <w:pPr>
              <w:autoSpaceDE w:val="0"/>
              <w:autoSpaceDN w:val="0"/>
              <w:adjustRightInd w:val="0"/>
              <w:spacing w:line="320" w:lineRule="exact"/>
              <w:rPr>
                <w:rFonts w:hint="eastAsia" w:ascii="仿宋" w:hAnsi="仿宋" w:eastAsia="仿宋" w:cs="仿宋"/>
                <w:color w:val="auto"/>
                <w:kern w:val="24"/>
                <w:sz w:val="24"/>
                <w:highlight w:val="none"/>
                <w:lang w:eastAsia="zh-CN"/>
              </w:rPr>
            </w:pPr>
            <w:r>
              <w:rPr>
                <w:rFonts w:hint="eastAsia" w:ascii="仿宋" w:hAnsi="仿宋" w:eastAsia="仿宋" w:cs="仿宋"/>
                <w:color w:val="auto"/>
                <w:kern w:val="24"/>
                <w:szCs w:val="21"/>
                <w:highlight w:val="none"/>
              </w:rPr>
              <w:t>投标人</w:t>
            </w:r>
            <w:r>
              <w:rPr>
                <w:rFonts w:hint="eastAsia" w:ascii="仿宋" w:hAnsi="仿宋" w:eastAsia="仿宋" w:cs="仿宋"/>
                <w:color w:val="auto"/>
                <w:kern w:val="24"/>
                <w:szCs w:val="21"/>
                <w:highlight w:val="none"/>
                <w:lang w:eastAsia="zh-CN"/>
              </w:rPr>
              <w:t>自</w:t>
            </w:r>
            <w:r>
              <w:rPr>
                <w:rFonts w:hint="eastAsia" w:ascii="仿宋" w:hAnsi="仿宋" w:eastAsia="仿宋" w:cs="仿宋"/>
                <w:color w:val="auto"/>
                <w:kern w:val="24"/>
                <w:szCs w:val="21"/>
                <w:highlight w:val="none"/>
                <w:lang w:val="en-US" w:eastAsia="zh-CN"/>
              </w:rPr>
              <w:t>2021年1月1日起</w:t>
            </w:r>
            <w:r>
              <w:rPr>
                <w:rFonts w:hint="eastAsia" w:ascii="仿宋" w:hAnsi="仿宋" w:eastAsia="仿宋" w:cs="仿宋"/>
                <w:color w:val="auto"/>
                <w:kern w:val="24"/>
                <w:szCs w:val="21"/>
                <w:highlight w:val="none"/>
              </w:rPr>
              <w:t>承担过三级医院护送陪检服务项目</w:t>
            </w:r>
            <w:r>
              <w:rPr>
                <w:rFonts w:hint="eastAsia" w:ascii="仿宋" w:hAnsi="仿宋" w:eastAsia="仿宋" w:cs="仿宋"/>
                <w:color w:val="auto"/>
                <w:kern w:val="24"/>
                <w:szCs w:val="21"/>
                <w:highlight w:val="none"/>
              </w:rPr>
              <w:t>，每个项目得1分；本项最高不超过3分。业绩证明材料须提供协议书（合同）及结算凭证（发票等）复印件并加盖公章（以签订时间为准，同一单位一年内按一个项目计算，如出现与事实不符等情况，将根据有关规定以“提供虚假材料谋取中标”予以处罚）</w:t>
            </w:r>
            <w:r>
              <w:rPr>
                <w:rFonts w:hint="eastAsia" w:ascii="仿宋" w:hAnsi="仿宋" w:eastAsia="仿宋" w:cs="仿宋"/>
                <w:color w:val="auto"/>
                <w:kern w:val="24"/>
                <w:szCs w:val="21"/>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tcBorders>
              <w:top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36" w:type="dxa"/>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业主满意度评价（3分）</w:t>
            </w:r>
          </w:p>
        </w:tc>
        <w:tc>
          <w:tcPr>
            <w:tcW w:w="7425" w:type="dxa"/>
            <w:tcBorders>
              <w:top w:val="single" w:color="auto" w:sz="4" w:space="0"/>
            </w:tcBorders>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以上业绩获得业主给予的满意评价或优秀评价的，</w:t>
            </w:r>
            <w:r>
              <w:rPr>
                <w:rFonts w:hint="eastAsia" w:ascii="仿宋" w:hAnsi="仿宋" w:eastAsia="仿宋" w:cs="仿宋"/>
                <w:color w:val="auto"/>
                <w:szCs w:val="21"/>
                <w:highlight w:val="none"/>
              </w:rPr>
              <w:t>每一个得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分，最高得3分。</w:t>
            </w:r>
            <w:r>
              <w:rPr>
                <w:rFonts w:hint="eastAsia" w:ascii="仿宋" w:hAnsi="仿宋" w:eastAsia="仿宋" w:cs="仿宋"/>
                <w:color w:val="auto"/>
                <w:szCs w:val="21"/>
                <w:highlight w:val="none"/>
              </w:rPr>
              <w:t>（提供评价意见复印件并加盖评价单位及投标人公章，否则不得分，同一业绩获多次评价的，只计一次得分）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436" w:type="dxa"/>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采购需求响应程度（8分）</w:t>
            </w:r>
          </w:p>
        </w:tc>
        <w:tc>
          <w:tcPr>
            <w:tcW w:w="7425"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完全响应采购需求的，得8分，不完全响应或有负偏离的每一项扣2分，扣完为止。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restart"/>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436" w:type="dxa"/>
            <w:vMerge w:val="restart"/>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管理服务理念、组织架构及制度</w:t>
            </w:r>
          </w:p>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（9分）</w:t>
            </w:r>
          </w:p>
        </w:tc>
        <w:tc>
          <w:tcPr>
            <w:tcW w:w="7425" w:type="dxa"/>
            <w:vMerge w:val="restart"/>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1、提出合理的管理服务理念，提出服务定位、目标，投标人的管理模式是否能够切合实际，且安全可行，保密性、安全性、文明服务的计划及承诺情况（0-3分）；</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2、有比较完善的组织架构，清晰简练地列出主要管理流程，包括对运作流程图、激励机制、监督机制、自我约束机制、信息反馈渠道及处理机制，管理指标承诺达到物业管理标准（0-3分）；</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有完善的护送陪检管理制度、作业流程及管理工作计划及实施时间，并建立和完善档案管理制度、公众制度、管理制度及其配套设施权属清册等，体现标准化服务，管理服务水平是否符合国家和行业标准（0-3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continue"/>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continue"/>
            <w:tcBorders>
              <w:bottom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63" w:type="dxa"/>
            <w:tcBorders>
              <w:top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436" w:type="dxa"/>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组织实施方案（6分）</w:t>
            </w:r>
          </w:p>
        </w:tc>
        <w:tc>
          <w:tcPr>
            <w:tcW w:w="7425" w:type="dxa"/>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根据投标人的组织实施方案是否符合本项目实际，可行性和科学性，提供图片能切实反应方案内容等由专家进行横向比较后酌情评分</w:t>
            </w:r>
            <w:r>
              <w:rPr>
                <w:rFonts w:hint="eastAsia" w:ascii="仿宋" w:hAnsi="仿宋" w:eastAsia="仿宋" w:cs="仿宋"/>
                <w:color w:val="auto"/>
                <w:szCs w:val="21"/>
                <w:highlight w:val="none"/>
                <w:lang w:val="en-US" w:eastAsia="zh-CN"/>
              </w:rPr>
              <w:t>(0-6分）</w:t>
            </w:r>
            <w:r>
              <w:rPr>
                <w:rFonts w:hint="eastAsia" w:ascii="仿宋" w:hAnsi="仿宋" w:eastAsia="仿宋" w:cs="仿宋"/>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436" w:type="dxa"/>
            <w:vMerge w:val="restart"/>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服务质量保障（6分）</w:t>
            </w:r>
          </w:p>
        </w:tc>
        <w:tc>
          <w:tcPr>
            <w:tcW w:w="7425" w:type="dxa"/>
            <w:vMerge w:val="restart"/>
            <w:noWrap w:val="0"/>
            <w:vAlign w:val="center"/>
          </w:tcPr>
          <w:p>
            <w:pPr>
              <w:keepNext w:val="0"/>
              <w:keepLines w:val="0"/>
              <w:pageBreakBefore w:val="0"/>
              <w:widowControl w:val="0"/>
              <w:kinsoku/>
              <w:wordWrap/>
              <w:overflowPunct/>
              <w:topLinePunct w:val="0"/>
              <w:bidi w:val="0"/>
              <w:adjustRightInd w:val="0"/>
              <w:snapToGrid/>
              <w:spacing w:line="360" w:lineRule="exact"/>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根据投标人的服务质量保障体系的详细、具体、可行性和可操作性等由专家进行横向比较酌情评分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0-6分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continue"/>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63" w:type="dxa"/>
            <w:vMerge w:val="continue"/>
            <w:tcBorders>
              <w:bottom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restart"/>
            <w:tcBorders>
              <w:top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436" w:type="dxa"/>
            <w:vMerge w:val="restar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员工素质及培训（8分）</w:t>
            </w:r>
          </w:p>
        </w:tc>
        <w:tc>
          <w:tcPr>
            <w:tcW w:w="7425" w:type="dxa"/>
            <w:vMerge w:val="restart"/>
            <w:tcBorders>
              <w:top w:val="single" w:color="auto" w:sz="4" w:space="0"/>
            </w:tcBorders>
            <w:noWrap w:val="0"/>
            <w:vAlign w:val="center"/>
          </w:tcPr>
          <w:p>
            <w:pPr>
              <w:numPr>
                <w:ilvl w:val="0"/>
                <w:numId w:val="1"/>
              </w:num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根据投标人的员工专业素质、工作能力、员工招聘标准等方面由专家进行横向比较后酌情评分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0-4分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p>
            <w:pPr>
              <w:numPr>
                <w:ilvl w:val="0"/>
                <w:numId w:val="1"/>
              </w:num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根据投标人员工培训计划及保障措施，由专家根据员工训练计划的完整性、可行性、科学性等</w:t>
            </w:r>
            <w:r>
              <w:rPr>
                <w:rFonts w:hint="eastAsia" w:ascii="仿宋" w:hAnsi="仿宋" w:eastAsia="仿宋" w:cs="仿宋"/>
                <w:color w:val="auto"/>
                <w:szCs w:val="21"/>
                <w:highlight w:val="none"/>
              </w:rPr>
              <w:t>由专家进行横向比较后酌情评分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0-4分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continue"/>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763" w:type="dxa"/>
            <w:vMerge w:val="continue"/>
            <w:tcBorders>
              <w:bottom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p>
        </w:tc>
        <w:tc>
          <w:tcPr>
            <w:tcW w:w="1436"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p>
        </w:tc>
        <w:tc>
          <w:tcPr>
            <w:tcW w:w="7425" w:type="dxa"/>
            <w:vMerge w:val="continue"/>
            <w:noWrap w:val="0"/>
            <w:vAlign w:val="center"/>
          </w:tcPr>
          <w:p>
            <w:pPr>
              <w:spacing w:line="360" w:lineRule="exact"/>
              <w:rPr>
                <w:rFonts w:hint="eastAsia" w:ascii="仿宋" w:hAnsi="仿宋" w:eastAsia="仿宋" w:cs="仿宋"/>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1" w:hRule="atLeast"/>
          <w:jc w:val="center"/>
        </w:trPr>
        <w:tc>
          <w:tcPr>
            <w:tcW w:w="763" w:type="dxa"/>
            <w:tcBorders>
              <w:top w:val="single" w:color="auto" w:sz="4" w:space="0"/>
              <w:bottom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4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拟派出的项目管理人员安排情况（6分）</w:t>
            </w:r>
          </w:p>
        </w:tc>
        <w:tc>
          <w:tcPr>
            <w:tcW w:w="7425" w:type="dxa"/>
            <w:noWrap w:val="0"/>
            <w:vAlign w:val="center"/>
          </w:tcPr>
          <w:p>
            <w:pPr>
              <w:pStyle w:val="33"/>
              <w:spacing w:after="156"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及相关专业的专职管理和技术人员的资质和履历情况，担任本项目负责人和其他人员是否具有类似项目实施经验，项目经理是否具有调动投标人各项资源能力，安排参与项目的专业人员素质、技术能力、专业分布、经验和数量等情况进行评分（</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6分）。提供</w:t>
            </w:r>
            <w:r>
              <w:rPr>
                <w:rFonts w:hint="eastAsia" w:ascii="仿宋" w:hAnsi="仿宋" w:eastAsia="仿宋" w:cs="仿宋"/>
                <w:color w:val="auto"/>
                <w:szCs w:val="21"/>
                <w:highlight w:val="none"/>
                <w:lang w:eastAsia="zh-CN"/>
              </w:rPr>
              <w:t>相关人员</w:t>
            </w:r>
            <w:r>
              <w:rPr>
                <w:rFonts w:hint="eastAsia" w:ascii="仿宋" w:hAnsi="仿宋" w:eastAsia="仿宋" w:cs="仿宋"/>
                <w:color w:val="auto"/>
                <w:szCs w:val="21"/>
                <w:highlight w:val="none"/>
              </w:rPr>
              <w:t>本单位社保</w:t>
            </w:r>
            <w:r>
              <w:rPr>
                <w:rFonts w:hint="eastAsia" w:ascii="仿宋" w:hAnsi="仿宋" w:eastAsia="仿宋" w:cs="仿宋"/>
                <w:color w:val="auto"/>
                <w:szCs w:val="21"/>
                <w:highlight w:val="none"/>
                <w:lang w:eastAsia="zh-CN"/>
              </w:rPr>
              <w:t>缴纳</w:t>
            </w:r>
            <w:r>
              <w:rPr>
                <w:rFonts w:hint="eastAsia" w:ascii="仿宋" w:hAnsi="仿宋" w:eastAsia="仿宋" w:cs="仿宋"/>
                <w:color w:val="auto"/>
                <w:szCs w:val="21"/>
                <w:highlight w:val="none"/>
              </w:rPr>
              <w:t>证明。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763" w:type="dxa"/>
            <w:tcBorders>
              <w:top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1436" w:type="dxa"/>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紧急事件防范预案（5分）</w:t>
            </w:r>
          </w:p>
        </w:tc>
        <w:tc>
          <w:tcPr>
            <w:tcW w:w="7425" w:type="dxa"/>
            <w:noWrap w:val="0"/>
            <w:vAlign w:val="center"/>
          </w:tcPr>
          <w:p>
            <w:pPr>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结合本项目实际，由专家根据投标人应急预案措施的可行性、全面性等方面进行评分</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lang w:val="en-US" w:eastAsia="zh-CN"/>
              </w:rPr>
              <w:t>0-5分</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763" w:type="dxa"/>
            <w:tcBorders>
              <w:top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436" w:type="dxa"/>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优惠承诺情况（5分）</w:t>
            </w:r>
          </w:p>
        </w:tc>
        <w:tc>
          <w:tcPr>
            <w:tcW w:w="7425" w:type="dxa"/>
            <w:noWrap w:val="0"/>
            <w:vAlign w:val="center"/>
          </w:tcPr>
          <w:p>
            <w:pPr>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是否给出优惠和承诺，根据优惠程度和承诺内容打分</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lang w:val="en-US" w:eastAsia="zh-CN"/>
              </w:rPr>
              <w:t>0-5分</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763" w:type="dxa"/>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1436" w:type="dxa"/>
            <w:noWrap w:val="0"/>
            <w:vAlign w:val="center"/>
          </w:tcPr>
          <w:p>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员工安全保障措施（5分）</w:t>
            </w:r>
          </w:p>
        </w:tc>
        <w:tc>
          <w:tcPr>
            <w:tcW w:w="7425" w:type="dxa"/>
            <w:noWrap w:val="0"/>
            <w:vAlign w:val="center"/>
          </w:tcPr>
          <w:p>
            <w:pPr>
              <w:pStyle w:val="33"/>
              <w:spacing w:after="156" w:line="360" w:lineRule="exac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员工意外伤害赔偿等工作保障方面的措施</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0-5分</w:t>
            </w:r>
            <w:r>
              <w:rPr>
                <w:rFonts w:hint="eastAsia" w:ascii="仿宋" w:hAnsi="仿宋" w:eastAsia="仿宋" w:cs="仿宋"/>
                <w:color w:val="auto"/>
                <w:szCs w:val="21"/>
                <w:highlight w:val="none"/>
                <w:lang w:eastAsia="zh-CN"/>
              </w:rPr>
              <w:t>）。</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pPr>
        <w:pStyle w:val="24"/>
        <w:rPr>
          <w:rFonts w:hint="eastAsia" w:ascii="仿宋" w:hAnsi="仿宋" w:eastAsia="仿宋" w:cs="仿宋"/>
          <w:b/>
          <w:color w:val="auto"/>
          <w:sz w:val="36"/>
          <w:szCs w:val="20"/>
          <w:highlight w:val="none"/>
        </w:rPr>
      </w:pPr>
    </w:p>
    <w:p>
      <w:pPr>
        <w:pStyle w:val="24"/>
        <w:ind w:left="0" w:leftChars="0" w:firstLine="0" w:firstLineChars="0"/>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pStyle w:val="2"/>
        <w:rPr>
          <w:rFonts w:hint="eastAsia" w:ascii="仿宋" w:hAnsi="仿宋" w:eastAsia="仿宋" w:cs="仿宋"/>
          <w:b/>
          <w:color w:val="auto"/>
          <w:kern w:val="0"/>
          <w:sz w:val="24"/>
          <w:highlight w:val="none"/>
        </w:rPr>
      </w:pPr>
    </w:p>
    <w:p>
      <w:pPr>
        <w:rPr>
          <w:rFonts w:hint="eastAsia" w:ascii="仿宋" w:hAnsi="仿宋" w:eastAsia="仿宋" w:cs="仿宋"/>
          <w:color w:val="auto"/>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0"/>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73D2CDE"/>
    <w:multiLevelType w:val="singleLevel"/>
    <w:tmpl w:val="773D2CD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2154332"/>
    <w:rsid w:val="0E55245E"/>
    <w:rsid w:val="0F096B8F"/>
    <w:rsid w:val="0F63063F"/>
    <w:rsid w:val="107050AA"/>
    <w:rsid w:val="133E2320"/>
    <w:rsid w:val="16571DC8"/>
    <w:rsid w:val="17E6386F"/>
    <w:rsid w:val="18E60774"/>
    <w:rsid w:val="1D2F1C3B"/>
    <w:rsid w:val="30CD01D9"/>
    <w:rsid w:val="38872063"/>
    <w:rsid w:val="3BAC6F34"/>
    <w:rsid w:val="427E60E8"/>
    <w:rsid w:val="42DB609A"/>
    <w:rsid w:val="46145D2C"/>
    <w:rsid w:val="490735E2"/>
    <w:rsid w:val="4CB0248B"/>
    <w:rsid w:val="4F4B3D85"/>
    <w:rsid w:val="5F561B6F"/>
    <w:rsid w:val="5F57E5CA"/>
    <w:rsid w:val="61C00D14"/>
    <w:rsid w:val="61E15EAB"/>
    <w:rsid w:val="669C35D3"/>
    <w:rsid w:val="6BD4147B"/>
    <w:rsid w:val="6FC37AD4"/>
    <w:rsid w:val="743E18FB"/>
    <w:rsid w:val="78AD1F79"/>
    <w:rsid w:val="7A4821E4"/>
    <w:rsid w:val="7BFA050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autoRedefine/>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reader-word-layer reader-word-s5-9"/>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42037</Words>
  <Characters>44935</Characters>
  <Paragraphs>1943</Paragraphs>
  <TotalTime>6</TotalTime>
  <ScaleCrop>false</ScaleCrop>
  <LinksUpToDate>false</LinksUpToDate>
  <CharactersWithSpaces>52310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2024-04-08T07:29:40Z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