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color w:val="auto"/>
          <w:sz w:val="48"/>
          <w:szCs w:val="48"/>
          <w:highlight w:val="none"/>
        </w:rPr>
      </w:pPr>
      <w:bookmarkStart w:id="169" w:name="_GoBack"/>
    </w:p>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绍兴市中医院净化系统（手术室、供应室、ICU）运营托管服务项目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TYJZ2023097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十一</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绍兴市中医院净化系统（手术室、供应室、ICU）运营托管服务项目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3</w:t>
      </w:r>
      <w:r>
        <w:rPr>
          <w:rStyle w:val="77"/>
          <w:rFonts w:hint="eastAsia" w:ascii="仿宋" w:hAnsi="仿宋" w:eastAsia="仿宋" w:cs="仿宋"/>
          <w:snapToGrid/>
          <w:color w:val="auto"/>
          <w:kern w:val="2"/>
          <w:sz w:val="24"/>
          <w:szCs w:val="24"/>
          <w:highlight w:val="none"/>
        </w:rPr>
        <w:t xml:space="preserve">年月日 </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TYJZ2023097</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 xml:space="preserve"> 绍兴市中医院净化系统（手术室、供应室、ICU）运营托管服务项目</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720000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720000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标项名称：净化系统（手术室、供应室、ICU）运营托管服务项目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预算金额（元）：720000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绍兴市越城区朝皇路58号正大综合楼601泰宇咨询会议室，在政府采购云平台（www.zcygov.cn）上开启响应文件。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王鑫卫</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项目联系方式（询问）：0575-89109951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28359020"/>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地址：绍兴市越城区朝皇路58号正大综合楼601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张婷婷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建筑业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*62</w:t>
            </w:r>
            <w:r>
              <w:rPr>
                <w:rFonts w:hint="eastAsia" w:ascii="仿宋" w:hAnsi="仿宋" w:eastAsia="仿宋" w:cs="仿宋"/>
                <w:snapToGrid w:val="0"/>
                <w:color w:val="auto"/>
                <w:kern w:val="28"/>
                <w:sz w:val="24"/>
                <w:highlight w:val="none"/>
              </w:rPr>
              <w:t>%进行收费。服务费不到2000元按照2000元收取。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30295"/>
      <w:bookmarkEnd w:id="20"/>
      <w:bookmarkStart w:id="21" w:name="_Hlt74729768"/>
      <w:bookmarkEnd w:id="21"/>
      <w:bookmarkStart w:id="22" w:name="_Hlt75236101"/>
      <w:bookmarkEnd w:id="22"/>
      <w:bookmarkStart w:id="23" w:name="_Hlt68073093"/>
      <w:bookmarkEnd w:id="23"/>
      <w:bookmarkStart w:id="24" w:name="_Hlt68072990"/>
      <w:bookmarkEnd w:id="24"/>
      <w:bookmarkStart w:id="25" w:name="_Hlt74714665"/>
      <w:bookmarkEnd w:id="25"/>
      <w:bookmarkStart w:id="26" w:name="_Hlt68072998"/>
      <w:bookmarkEnd w:id="26"/>
      <w:bookmarkStart w:id="27" w:name="_Hlt74707468"/>
      <w:bookmarkEnd w:id="27"/>
      <w:bookmarkStart w:id="28" w:name="_Hlt75236290"/>
      <w:bookmarkEnd w:id="28"/>
      <w:bookmarkStart w:id="29" w:name="_Hlt68403820"/>
      <w:bookmarkEnd w:id="29"/>
      <w:bookmarkStart w:id="30" w:name="_Hlt75236011"/>
      <w:bookmarkEnd w:id="30"/>
      <w:bookmarkStart w:id="31" w:name="_Hlt68057669"/>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shd w:val="clear" w:color="auto" w:fill="FFFFFF"/>
        <w:tabs>
          <w:tab w:val="left" w:pos="426"/>
        </w:tabs>
        <w:spacing w:line="360" w:lineRule="auto"/>
        <w:ind w:firstLine="420" w:firstLineChars="200"/>
        <w:rPr>
          <w:rFonts w:hint="eastAsia" w:ascii="仿宋" w:hAnsi="仿宋" w:eastAsia="仿宋" w:cs="仿宋"/>
          <w:sz w:val="21"/>
          <w:szCs w:val="21"/>
          <w:highlight w:val="none"/>
          <w:lang w:eastAsia="zh-CN"/>
        </w:rPr>
      </w:pPr>
      <w:bookmarkStart w:id="38" w:name="_Toc458886103"/>
      <w:r>
        <w:rPr>
          <w:rFonts w:hint="eastAsia" w:ascii="仿宋" w:hAnsi="仿宋" w:eastAsia="仿宋" w:cs="仿宋"/>
          <w:sz w:val="21"/>
          <w:szCs w:val="21"/>
          <w:highlight w:val="none"/>
        </w:rPr>
        <w:t>1.项目名称：绍兴市中医院净化系统（手术室、供应室、ICU）运营托管服务</w:t>
      </w:r>
      <w:r>
        <w:rPr>
          <w:rFonts w:hint="eastAsia" w:ascii="仿宋" w:hAnsi="仿宋" w:eastAsia="仿宋" w:cs="仿宋"/>
          <w:sz w:val="21"/>
          <w:szCs w:val="21"/>
          <w:highlight w:val="none"/>
          <w:lang w:eastAsia="zh-CN"/>
        </w:rPr>
        <w:t>项目</w:t>
      </w:r>
    </w:p>
    <w:p>
      <w:pPr>
        <w:pStyle w:val="24"/>
        <w:tabs>
          <w:tab w:val="left" w:pos="426"/>
        </w:tabs>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2.项目内容：</w:t>
      </w:r>
    </w:p>
    <w:p>
      <w:pPr>
        <w:pStyle w:val="54"/>
        <w:tabs>
          <w:tab w:val="left" w:pos="426"/>
        </w:tabs>
        <w:spacing w:line="360" w:lineRule="auto"/>
        <w:ind w:left="0" w:leftChars="0" w:firstLine="630" w:firstLineChars="300"/>
        <w:rPr>
          <w:rFonts w:hint="eastAsia" w:ascii="仿宋" w:hAnsi="仿宋" w:eastAsia="仿宋" w:cs="仿宋"/>
          <w:sz w:val="21"/>
          <w:szCs w:val="21"/>
          <w:highlight w:val="none"/>
        </w:rPr>
      </w:pPr>
      <w:r>
        <w:rPr>
          <w:rFonts w:hint="eastAsia" w:ascii="仿宋" w:hAnsi="仿宋" w:eastAsia="仿宋" w:cs="仿宋"/>
          <w:sz w:val="21"/>
          <w:szCs w:val="21"/>
          <w:highlight w:val="none"/>
        </w:rPr>
        <w:t>A)、项目采购预算：72万元。</w:t>
      </w:r>
    </w:p>
    <w:p>
      <w:pPr>
        <w:pStyle w:val="24"/>
        <w:shd w:val="clear" w:color="auto" w:fill="FFFFFF"/>
        <w:tabs>
          <w:tab w:val="left" w:pos="426"/>
        </w:tabs>
        <w:ind w:firstLine="630" w:firstLineChars="300"/>
        <w:rPr>
          <w:rFonts w:hint="eastAsia" w:ascii="仿宋" w:hAnsi="仿宋" w:eastAsia="仿宋" w:cs="仿宋"/>
          <w:sz w:val="21"/>
          <w:szCs w:val="21"/>
          <w:highlight w:val="none"/>
        </w:rPr>
      </w:pPr>
      <w:r>
        <w:rPr>
          <w:rFonts w:hint="eastAsia" w:ascii="仿宋" w:hAnsi="仿宋" w:eastAsia="仿宋" w:cs="仿宋"/>
          <w:sz w:val="21"/>
          <w:szCs w:val="21"/>
          <w:highlight w:val="none"/>
        </w:rPr>
        <w:t>B)、服务地点：绍兴市中医院</w:t>
      </w:r>
    </w:p>
    <w:p>
      <w:pPr>
        <w:pStyle w:val="24"/>
        <w:shd w:val="clear" w:color="auto" w:fill="FFFFFF"/>
        <w:tabs>
          <w:tab w:val="left" w:pos="426"/>
        </w:tabs>
        <w:ind w:firstLine="630" w:firstLineChars="300"/>
        <w:rPr>
          <w:rFonts w:hint="eastAsia" w:ascii="仿宋" w:hAnsi="仿宋" w:eastAsia="仿宋" w:cs="仿宋"/>
          <w:sz w:val="21"/>
          <w:szCs w:val="21"/>
          <w:highlight w:val="none"/>
        </w:rPr>
      </w:pPr>
      <w:r>
        <w:rPr>
          <w:rFonts w:hint="eastAsia" w:ascii="仿宋" w:hAnsi="仿宋" w:eastAsia="仿宋" w:cs="仿宋"/>
          <w:sz w:val="21"/>
          <w:szCs w:val="21"/>
          <w:highlight w:val="none"/>
        </w:rPr>
        <w:t>C)、服务期限：本项目总服务期为3年。</w:t>
      </w:r>
    </w:p>
    <w:p>
      <w:pPr>
        <w:widowControl/>
        <w:tabs>
          <w:tab w:val="left" w:pos="426"/>
        </w:tabs>
        <w:snapToGrid w:val="0"/>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3.项目范围：</w:t>
      </w:r>
    </w:p>
    <w:p>
      <w:pPr>
        <w:widowControl/>
        <w:tabs>
          <w:tab w:val="left" w:pos="426"/>
        </w:tabs>
        <w:snapToGrid w:val="0"/>
        <w:spacing w:line="360" w:lineRule="auto"/>
        <w:ind w:firstLine="630" w:firstLineChars="300"/>
        <w:rPr>
          <w:rFonts w:hint="eastAsia" w:ascii="仿宋" w:hAnsi="仿宋" w:eastAsia="仿宋" w:cs="仿宋"/>
          <w:sz w:val="21"/>
          <w:szCs w:val="21"/>
          <w:highlight w:val="none"/>
        </w:rPr>
      </w:pPr>
      <w:r>
        <w:rPr>
          <w:rFonts w:hint="eastAsia" w:ascii="仿宋" w:hAnsi="仿宋" w:eastAsia="仿宋" w:cs="仿宋"/>
          <w:sz w:val="21"/>
          <w:szCs w:val="21"/>
          <w:highlight w:val="none"/>
        </w:rPr>
        <w:t>A)、三层洁净手术部：</w:t>
      </w:r>
    </w:p>
    <w:p>
      <w:pPr>
        <w:widowControl/>
        <w:tabs>
          <w:tab w:val="left" w:pos="426"/>
        </w:tabs>
        <w:adjustRightInd w:val="0"/>
        <w:snapToGrid w:val="0"/>
        <w:spacing w:line="360" w:lineRule="auto"/>
        <w:ind w:firstLine="630" w:firstLineChars="300"/>
        <w:rPr>
          <w:rFonts w:hint="eastAsia" w:ascii="仿宋" w:hAnsi="仿宋" w:eastAsia="仿宋" w:cs="仿宋"/>
          <w:sz w:val="21"/>
          <w:szCs w:val="21"/>
          <w:highlight w:val="none"/>
        </w:rPr>
      </w:pPr>
      <w:r>
        <w:rPr>
          <w:rFonts w:hint="eastAsia" w:ascii="仿宋" w:hAnsi="仿宋" w:eastAsia="仿宋" w:cs="仿宋"/>
          <w:sz w:val="21"/>
          <w:szCs w:val="21"/>
          <w:highlight w:val="none"/>
        </w:rPr>
        <w:t>建筑层高4.2米，建筑面积约2430平方，共设计12间洁净手术室，其中I级手术室3间（防辐射手术室3间）、III级正负压切换手术室1间、III级DSA复合手术室1间、III级其它洁净手术室7间（含防辐射手术室4间），以及配套的走廊及功能辅助用房。</w:t>
      </w:r>
    </w:p>
    <w:p>
      <w:pPr>
        <w:widowControl/>
        <w:tabs>
          <w:tab w:val="left" w:pos="426"/>
        </w:tabs>
        <w:adjustRightInd w:val="0"/>
        <w:snapToGrid w:val="0"/>
        <w:spacing w:line="360" w:lineRule="auto"/>
        <w:ind w:firstLine="630" w:firstLineChars="300"/>
        <w:rPr>
          <w:rFonts w:hint="eastAsia" w:ascii="仿宋" w:hAnsi="仿宋" w:eastAsia="仿宋" w:cs="仿宋"/>
          <w:sz w:val="21"/>
          <w:szCs w:val="21"/>
          <w:highlight w:val="none"/>
        </w:rPr>
      </w:pPr>
      <w:r>
        <w:rPr>
          <w:rFonts w:hint="eastAsia" w:ascii="仿宋" w:hAnsi="仿宋" w:eastAsia="仿宋" w:cs="仿宋"/>
          <w:sz w:val="21"/>
          <w:szCs w:val="21"/>
          <w:highlight w:val="none"/>
        </w:rPr>
        <w:t>B)、二层消毒供应中心：建筑层高4.2米，建筑面积约769平方，共设置污染区、检查包装及灭菌区、无菌存放区、医护生活办公区域，以及其相应配套辅助用房。</w:t>
      </w:r>
    </w:p>
    <w:p>
      <w:pPr>
        <w:widowControl/>
        <w:tabs>
          <w:tab w:val="left" w:pos="426"/>
        </w:tabs>
        <w:snapToGrid w:val="0"/>
        <w:spacing w:line="360" w:lineRule="auto"/>
        <w:ind w:firstLine="630" w:firstLineChars="300"/>
        <w:rPr>
          <w:rFonts w:hint="eastAsia" w:ascii="仿宋" w:hAnsi="仿宋" w:eastAsia="仿宋" w:cs="仿宋"/>
          <w:sz w:val="21"/>
          <w:szCs w:val="21"/>
          <w:highlight w:val="none"/>
        </w:rPr>
      </w:pPr>
      <w:r>
        <w:rPr>
          <w:rFonts w:hint="eastAsia" w:ascii="仿宋" w:hAnsi="仿宋" w:eastAsia="仿宋" w:cs="仿宋"/>
          <w:sz w:val="21"/>
          <w:szCs w:val="21"/>
          <w:highlight w:val="none"/>
        </w:rPr>
        <w:t>C)、三层重症监护病房（ICU）约建筑层高4.2米，建筑面积约1396平方，共设置26床位，七床位1间，四床位3间，三床位1间，单人VIP床位4间，以及其相应配套辅助用房；</w:t>
      </w:r>
    </w:p>
    <w:p>
      <w:pPr>
        <w:widowControl/>
        <w:tabs>
          <w:tab w:val="left" w:pos="426"/>
        </w:tabs>
        <w:adjustRightInd w:val="0"/>
        <w:snapToGrid w:val="0"/>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4.服务范围：</w:t>
      </w:r>
    </w:p>
    <w:p>
      <w:pPr>
        <w:widowControl/>
        <w:shd w:val="clear" w:color="auto" w:fill="FFFFFF"/>
        <w:tabs>
          <w:tab w:val="left" w:pos="426"/>
        </w:tabs>
        <w:adjustRightInd w:val="0"/>
        <w:snapToGrid w:val="0"/>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本次招标范围包括绍兴市中医院手术室、供应室、ICU的空调设备、过滤器耗材、建筑门窗、器具设备、蒸汽系统、给排水系统、医用气体系统、智能化系统（呼叫、监控、探视）、强电系统及其他项目等相关的设备设施的更换、维修、维护、保养服务。（详见服务范围清单）</w:t>
      </w:r>
    </w:p>
    <w:p>
      <w:pPr>
        <w:shd w:val="clear" w:color="auto" w:fill="FFFFFF"/>
        <w:tabs>
          <w:tab w:val="left" w:pos="426"/>
        </w:tabs>
        <w:spacing w:line="360" w:lineRule="auto"/>
        <w:ind w:firstLine="422" w:firstLineChars="200"/>
        <w:outlineLvl w:val="1"/>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eastAsia="zh-CN"/>
        </w:rPr>
        <w:t>一</w:t>
      </w:r>
      <w:r>
        <w:rPr>
          <w:rFonts w:hint="eastAsia" w:ascii="仿宋" w:hAnsi="仿宋" w:eastAsia="仿宋" w:cs="仿宋"/>
          <w:b/>
          <w:bCs/>
          <w:sz w:val="21"/>
          <w:szCs w:val="21"/>
          <w:highlight w:val="none"/>
        </w:rPr>
        <w:t>、服务要求</w:t>
      </w:r>
    </w:p>
    <w:bookmarkEnd w:id="38"/>
    <w:p>
      <w:pPr>
        <w:shd w:val="clear" w:color="auto" w:fill="FFFFFF"/>
        <w:tabs>
          <w:tab w:val="left" w:pos="426"/>
        </w:tabs>
        <w:spacing w:line="360" w:lineRule="auto"/>
        <w:ind w:firstLine="422" w:firstLineChars="200"/>
        <w:outlineLvl w:val="1"/>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（一） 服务要求：</w:t>
      </w:r>
    </w:p>
    <w:p>
      <w:pPr>
        <w:widowControl/>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color w:val="000000"/>
          <w:sz w:val="21"/>
          <w:szCs w:val="21"/>
          <w:highlight w:val="none"/>
          <w:lang w:bidi="ar"/>
        </w:rPr>
        <w:t>1.</w:t>
      </w:r>
      <w:r>
        <w:rPr>
          <w:rFonts w:hint="eastAsia" w:ascii="仿宋" w:hAnsi="仿宋" w:eastAsia="仿宋" w:cs="仿宋"/>
          <w:sz w:val="21"/>
          <w:szCs w:val="21"/>
          <w:highlight w:val="none"/>
        </w:rPr>
        <w:t>运营托管</w:t>
      </w:r>
      <w:r>
        <w:rPr>
          <w:rFonts w:hint="eastAsia" w:ascii="仿宋" w:hAnsi="仿宋" w:eastAsia="仿宋" w:cs="仿宋"/>
          <w:sz w:val="21"/>
          <w:szCs w:val="21"/>
          <w:highlight w:val="none"/>
          <w:lang w:eastAsia="zh-Hans"/>
        </w:rPr>
        <w:t>服务</w:t>
      </w:r>
      <w:r>
        <w:rPr>
          <w:rFonts w:hint="eastAsia" w:ascii="仿宋" w:hAnsi="仿宋" w:eastAsia="仿宋" w:cs="仿宋"/>
          <w:sz w:val="21"/>
          <w:szCs w:val="21"/>
          <w:highlight w:val="none"/>
        </w:rPr>
        <w:t>：</w:t>
      </w:r>
    </w:p>
    <w:p>
      <w:pPr>
        <w:widowControl/>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sz w:val="21"/>
          <w:szCs w:val="21"/>
          <w:highlight w:val="none"/>
        </w:rPr>
        <w:t>1.1服务范围内所有</w:t>
      </w:r>
      <w:r>
        <w:rPr>
          <w:rFonts w:hint="eastAsia" w:ascii="仿宋" w:hAnsi="仿宋" w:eastAsia="仿宋" w:cs="仿宋"/>
          <w:sz w:val="21"/>
          <w:szCs w:val="21"/>
          <w:highlight w:val="none"/>
          <w:lang w:eastAsia="zh-Hans"/>
        </w:rPr>
        <w:t>设备</w:t>
      </w:r>
      <w:r>
        <w:rPr>
          <w:rFonts w:hint="eastAsia" w:ascii="仿宋" w:hAnsi="仿宋" w:eastAsia="仿宋" w:cs="仿宋"/>
          <w:sz w:val="21"/>
          <w:szCs w:val="21"/>
          <w:highlight w:val="none"/>
        </w:rPr>
        <w:t>日常</w:t>
      </w:r>
      <w:r>
        <w:rPr>
          <w:rFonts w:hint="eastAsia" w:ascii="仿宋" w:hAnsi="仿宋" w:eastAsia="仿宋" w:cs="仿宋"/>
          <w:sz w:val="21"/>
          <w:szCs w:val="21"/>
          <w:highlight w:val="none"/>
          <w:lang w:eastAsia="zh-Hans"/>
        </w:rPr>
        <w:t>开关机、巡检、维护、</w:t>
      </w:r>
      <w:r>
        <w:rPr>
          <w:rFonts w:hint="eastAsia" w:ascii="仿宋" w:hAnsi="仿宋" w:eastAsia="仿宋" w:cs="仿宋"/>
          <w:sz w:val="21"/>
          <w:szCs w:val="21"/>
          <w:highlight w:val="none"/>
        </w:rPr>
        <w:t>保养、</w:t>
      </w:r>
      <w:r>
        <w:rPr>
          <w:rFonts w:hint="eastAsia" w:ascii="仿宋" w:hAnsi="仿宋" w:eastAsia="仿宋" w:cs="仿宋"/>
          <w:sz w:val="21"/>
          <w:szCs w:val="21"/>
          <w:highlight w:val="none"/>
          <w:lang w:eastAsia="zh-Hans"/>
        </w:rPr>
        <w:t>维修、</w:t>
      </w:r>
      <w:r>
        <w:rPr>
          <w:rFonts w:hint="eastAsia" w:ascii="仿宋" w:hAnsi="仿宋" w:eastAsia="仿宋" w:cs="仿宋"/>
          <w:sz w:val="21"/>
          <w:szCs w:val="21"/>
          <w:highlight w:val="none"/>
        </w:rPr>
        <w:t>清洗</w:t>
      </w:r>
      <w:r>
        <w:rPr>
          <w:rFonts w:hint="eastAsia" w:ascii="仿宋" w:hAnsi="仿宋" w:eastAsia="仿宋" w:cs="仿宋"/>
          <w:sz w:val="21"/>
          <w:szCs w:val="21"/>
          <w:highlight w:val="none"/>
          <w:lang w:eastAsia="zh-Hans"/>
        </w:rPr>
        <w:t>、</w:t>
      </w:r>
      <w:r>
        <w:rPr>
          <w:rFonts w:hint="eastAsia" w:ascii="仿宋" w:hAnsi="仿宋" w:eastAsia="仿宋" w:cs="仿宋"/>
          <w:sz w:val="21"/>
          <w:szCs w:val="21"/>
          <w:highlight w:val="none"/>
        </w:rPr>
        <w:t>耗材（过滤器）更换、配件更换</w:t>
      </w:r>
      <w:r>
        <w:rPr>
          <w:rFonts w:hint="eastAsia" w:ascii="仿宋" w:hAnsi="仿宋" w:eastAsia="仿宋" w:cs="仿宋"/>
          <w:sz w:val="21"/>
          <w:szCs w:val="21"/>
          <w:highlight w:val="none"/>
          <w:lang w:eastAsia="zh-Hans"/>
        </w:rPr>
        <w:t>；</w:t>
      </w:r>
      <w:r>
        <w:rPr>
          <w:rFonts w:hint="eastAsia" w:ascii="仿宋" w:hAnsi="仿宋" w:eastAsia="仿宋" w:cs="仿宋"/>
          <w:color w:val="000000"/>
          <w:sz w:val="21"/>
          <w:szCs w:val="21"/>
          <w:highlight w:val="none"/>
          <w:lang w:bidi="ar"/>
        </w:rPr>
        <w:t>建立台账，制定维护保养、巡检制度以及设备运行记录、故障记录。</w:t>
      </w:r>
    </w:p>
    <w:p>
      <w:pPr>
        <w:widowControl/>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1.2设立驻场项目部并配备专业的持证上岗维护人员不少于2人。</w:t>
      </w:r>
      <w:r>
        <w:rPr>
          <w:rFonts w:hint="eastAsia" w:ascii="仿宋" w:hAnsi="仿宋" w:eastAsia="仿宋" w:cs="仿宋"/>
          <w:color w:val="000000"/>
          <w:kern w:val="0"/>
          <w:sz w:val="21"/>
          <w:szCs w:val="21"/>
          <w:highlight w:val="none"/>
          <w:lang w:bidi="ar"/>
        </w:rPr>
        <w:t>全年365天24小时驻场服务</w:t>
      </w:r>
      <w:r>
        <w:rPr>
          <w:rFonts w:hint="eastAsia" w:ascii="仿宋" w:hAnsi="仿宋" w:eastAsia="仿宋" w:cs="仿宋"/>
          <w:color w:val="000000"/>
          <w:sz w:val="21"/>
          <w:szCs w:val="21"/>
          <w:highlight w:val="none"/>
          <w:lang w:bidi="ar"/>
        </w:rPr>
        <w:t>，出现故障</w:t>
      </w:r>
      <w:r>
        <w:rPr>
          <w:rFonts w:hint="eastAsia" w:ascii="仿宋" w:hAnsi="仿宋" w:eastAsia="仿宋" w:cs="仿宋"/>
          <w:color w:val="000000"/>
          <w:kern w:val="0"/>
          <w:sz w:val="21"/>
          <w:szCs w:val="21"/>
          <w:highlight w:val="none"/>
          <w:lang w:bidi="ar"/>
        </w:rPr>
        <w:t>立即响应且15 分钟到场</w:t>
      </w:r>
      <w:r>
        <w:rPr>
          <w:rFonts w:hint="eastAsia" w:ascii="仿宋" w:hAnsi="仿宋" w:eastAsia="仿宋" w:cs="仿宋"/>
          <w:color w:val="000000"/>
          <w:sz w:val="21"/>
          <w:szCs w:val="21"/>
          <w:highlight w:val="none"/>
          <w:lang w:bidi="ar"/>
        </w:rPr>
        <w:t>。</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1.3每天对医院净化机组及系统的清洁情况作详细的记录。</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1.4所有设备每周至少1次的常规检查、调整和润滑。</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1.5建立设备备品备件库且保证所提供备件、附件和易损件为原厂生产。</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1.6制定系统设备管理应急预案，并定期组织应急演练。确保系统稳定运行。</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1.7服务反馈:提供季度服务总结报告及科室满意度调查表，净化区域每年邀请第三方进行年度检测，并提供合格的检测报告。</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1.8建立项目线上线下档案管理（图纸、清单、维修单、服务报告）。</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1.9建立服务过程档案，随时供医院查阅。并提交相关资料配合医院三甲评审。</w:t>
      </w:r>
    </w:p>
    <w:p>
      <w:pPr>
        <w:widowControl/>
        <w:shd w:val="clear" w:color="auto" w:fill="FFFFFF"/>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2.全年365天24小时提供技术支持服务以及安全应急服务。</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3.规范化管理:</w:t>
      </w:r>
    </w:p>
    <w:p>
      <w:pPr>
        <w:widowControl/>
        <w:shd w:val="clear" w:color="auto" w:fill="FFFFFF"/>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3.1依据《医院洁净手术部建筑技术规范》GB50333-2013标准、《医院空气净化管理规范》WS/T 368-2012、《手术部医院感染预防与控制技术规范》、《医院洁净手术部运行维护与管理规范》、《医院供热系统运行管理》WS437-2013、《医院电力系统运行管理》WS434-2013、《医院中央空调系统运行管理》WS488-2016、《医院二次供水运行管理》WS436-2013、《关于印发新冠肺炎流行期间办公场所和公共场所空调通风系统运行管理指南》、《公共场所集中空调通风系统清洗消毒规范》、《洁净室施工及验收规范》GB50591-2010定期对全院洁净系统进行检测、GB50365-2019《空调通风系统运行管理标准》进行系统维护以及更换过滤器等托管运营操作。</w:t>
      </w:r>
    </w:p>
    <w:p>
      <w:pPr>
        <w:widowControl/>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3.2设备机房标准化建设，</w:t>
      </w:r>
      <w:r>
        <w:rPr>
          <w:rFonts w:hint="eastAsia" w:ascii="仿宋" w:hAnsi="仿宋" w:eastAsia="仿宋" w:cs="仿宋"/>
          <w:sz w:val="21"/>
          <w:szCs w:val="21"/>
          <w:highlight w:val="none"/>
        </w:rPr>
        <w:t>服务管理制度上墙，机房设备、管道标识</w:t>
      </w:r>
      <w:r>
        <w:rPr>
          <w:rFonts w:hint="eastAsia" w:ascii="仿宋" w:hAnsi="仿宋" w:eastAsia="仿宋" w:cs="仿宋"/>
          <w:sz w:val="21"/>
          <w:szCs w:val="21"/>
          <w:highlight w:val="none"/>
          <w:lang w:eastAsia="zh-Hans"/>
        </w:rPr>
        <w:t>、</w:t>
      </w:r>
      <w:r>
        <w:rPr>
          <w:rFonts w:hint="eastAsia" w:ascii="仿宋" w:hAnsi="仿宋" w:eastAsia="仿宋" w:cs="仿宋"/>
          <w:sz w:val="21"/>
          <w:szCs w:val="21"/>
          <w:highlight w:val="none"/>
        </w:rPr>
        <w:t>标牌张贴，</w:t>
      </w:r>
      <w:r>
        <w:rPr>
          <w:rFonts w:hint="eastAsia" w:ascii="仿宋" w:hAnsi="仿宋" w:eastAsia="仿宋" w:cs="仿宋"/>
          <w:color w:val="000000"/>
          <w:sz w:val="21"/>
          <w:szCs w:val="21"/>
          <w:highlight w:val="none"/>
          <w:lang w:bidi="ar"/>
        </w:rPr>
        <w:t>实施规范化管理。</w:t>
      </w:r>
    </w:p>
    <w:p>
      <w:pPr>
        <w:widowControl/>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3.3严格遵守设备操作流程及要求，定期对系统设备进行维护保养，延长设备的使用寿命。</w:t>
      </w:r>
    </w:p>
    <w:p>
      <w:pPr>
        <w:widowControl/>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3.4设备机房实行门禁管理，无关人员严禁入内，确保机房设备安全。</w:t>
      </w:r>
    </w:p>
    <w:p>
      <w:pPr>
        <w:widowControl/>
        <w:shd w:val="clear" w:color="auto" w:fill="FFFFFF"/>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3.5特种设备管理:特种设备专人负责，建立台账，并按期点检和年检，做好相关记录，确保相关手续和资料符合特检院要求。</w:t>
      </w:r>
    </w:p>
    <w:p>
      <w:pPr>
        <w:widowControl/>
        <w:shd w:val="clear" w:color="auto" w:fill="FFFFFF"/>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4.项目的供应商管理名册、联系方式、货期、产品样册、合格证以及售后资料管理。</w:t>
      </w:r>
    </w:p>
    <w:p>
      <w:pPr>
        <w:widowControl/>
        <w:shd w:val="clear" w:color="auto" w:fill="FFFFFF"/>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5.建立智慧运维管理系统:对设备进行编码，建立线上台账，将每一次巡视、维修、保养、配件更换、日常耗材更换过程资料及照片上传系统并存储，相关数据能在平台和手机端显示，便于各类数据随时调阅，建立监管数据库，实现对外监管数字化，提升全院后勤信息化水平。</w:t>
      </w:r>
    </w:p>
    <w:p>
      <w:pPr>
        <w:widowControl/>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6.洁净科室空气质量在线监控:实时显示各科室空气质量并存储，过往数据随时能进行调阅，按时更换滤网，提升科室满意度，降低感染风险。</w:t>
      </w:r>
    </w:p>
    <w:p>
      <w:pPr>
        <w:widowControl/>
        <w:shd w:val="clear" w:color="auto" w:fill="FFFFFF"/>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7.节能</w:t>
      </w:r>
      <w:r>
        <w:rPr>
          <w:rFonts w:hint="eastAsia" w:ascii="仿宋" w:hAnsi="仿宋" w:eastAsia="仿宋" w:cs="仿宋"/>
          <w:color w:val="000000"/>
          <w:sz w:val="21"/>
          <w:szCs w:val="21"/>
          <w:highlight w:val="none"/>
          <w:lang w:eastAsia="zh-Hans" w:bidi="ar"/>
        </w:rPr>
        <w:t>服务</w:t>
      </w:r>
      <w:r>
        <w:rPr>
          <w:rFonts w:hint="eastAsia" w:ascii="仿宋" w:hAnsi="仿宋" w:eastAsia="仿宋" w:cs="仿宋"/>
          <w:color w:val="000000"/>
          <w:sz w:val="21"/>
          <w:szCs w:val="21"/>
          <w:highlight w:val="none"/>
          <w:lang w:bidi="ar"/>
        </w:rPr>
        <w:t>：</w:t>
      </w:r>
    </w:p>
    <w:p>
      <w:pPr>
        <w:pStyle w:val="257"/>
        <w:tabs>
          <w:tab w:val="left" w:pos="754"/>
        </w:tabs>
        <w:spacing w:after="0" w:line="360" w:lineRule="auto"/>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7.1诊断服务:对全院空调系统进行问题诊断，并提供诊断报告及节能降耗方案。</w:t>
      </w:r>
    </w:p>
    <w:p>
      <w:pPr>
        <w:pStyle w:val="257"/>
        <w:tabs>
          <w:tab w:val="left" w:pos="754"/>
        </w:tabs>
        <w:spacing w:after="0" w:line="360" w:lineRule="auto"/>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7.2行为节能管理：适当区域张贴节能标识，提升医、患节约意识。</w:t>
      </w:r>
    </w:p>
    <w:p>
      <w:pPr>
        <w:pStyle w:val="257"/>
        <w:tabs>
          <w:tab w:val="left" w:pos="754"/>
        </w:tabs>
        <w:spacing w:after="0" w:line="360" w:lineRule="auto"/>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7.3</w:t>
      </w:r>
      <w:r>
        <w:rPr>
          <w:rFonts w:hint="eastAsia" w:ascii="仿宋" w:hAnsi="仿宋" w:eastAsia="仿宋" w:cs="仿宋"/>
          <w:color w:val="000000"/>
          <w:sz w:val="21"/>
          <w:szCs w:val="21"/>
          <w:highlight w:val="none"/>
          <w:lang w:eastAsia="zh-Hans" w:bidi="ar"/>
        </w:rPr>
        <w:t>普通区域</w:t>
      </w:r>
      <w:r>
        <w:rPr>
          <w:rFonts w:hint="eastAsia" w:ascii="仿宋" w:hAnsi="仿宋" w:eastAsia="仿宋" w:cs="仿宋"/>
          <w:color w:val="000000"/>
          <w:sz w:val="21"/>
          <w:szCs w:val="21"/>
          <w:highlight w:val="none"/>
          <w:lang w:bidi="ar"/>
        </w:rPr>
        <w:t>空调开启时段关门关窗，人离关灯及空调。</w:t>
      </w:r>
    </w:p>
    <w:p>
      <w:pPr>
        <w:pStyle w:val="24"/>
        <w:tabs>
          <w:tab w:val="left" w:pos="426"/>
        </w:tabs>
        <w:ind w:left="420" w:leftChars="200"/>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7.4.巡视过程中，发现跑、冒、滴、漏现象，及时处理，减少长明灯、长流水现象。</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8.服务费用模式</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8.1项目服务费采用总价包干制（含税），合同金额在合同期限内不做调整。</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8.2包括中标人履行</w:t>
      </w:r>
      <w:r>
        <w:rPr>
          <w:rFonts w:hint="eastAsia" w:ascii="仿宋" w:hAnsi="仿宋" w:eastAsia="仿宋" w:cs="仿宋"/>
          <w:sz w:val="21"/>
          <w:szCs w:val="21"/>
          <w:highlight w:val="none"/>
          <w:lang w:eastAsia="zh-Hans"/>
        </w:rPr>
        <w:t>服务</w:t>
      </w:r>
      <w:r>
        <w:rPr>
          <w:rFonts w:hint="eastAsia" w:ascii="仿宋" w:hAnsi="仿宋" w:eastAsia="仿宋" w:cs="仿宋"/>
          <w:sz w:val="21"/>
          <w:szCs w:val="21"/>
          <w:highlight w:val="none"/>
        </w:rPr>
        <w:t>范围内所有按相关规定及要求进行巡检、保养、维修、耗材及配件更换、系统清洗、消毒等，等一切可能发生的费用。</w:t>
      </w:r>
    </w:p>
    <w:p>
      <w:pPr>
        <w:widowControl/>
        <w:shd w:val="clear" w:color="auto" w:fill="FFFFFF"/>
        <w:tabs>
          <w:tab w:val="left" w:pos="426"/>
        </w:tabs>
        <w:spacing w:line="360" w:lineRule="auto"/>
        <w:ind w:firstLine="420" w:firstLineChars="200"/>
        <w:rPr>
          <w:rFonts w:hint="eastAsia" w:ascii="仿宋" w:hAnsi="仿宋" w:eastAsia="仿宋" w:cs="仿宋"/>
          <w:color w:val="000000"/>
          <w:sz w:val="21"/>
          <w:szCs w:val="21"/>
          <w:highlight w:val="none"/>
          <w:lang w:bidi="ar"/>
        </w:rPr>
      </w:pPr>
      <w:r>
        <w:rPr>
          <w:rFonts w:hint="eastAsia" w:ascii="仿宋" w:hAnsi="仿宋" w:eastAsia="仿宋" w:cs="仿宋"/>
          <w:color w:val="000000"/>
          <w:sz w:val="21"/>
          <w:szCs w:val="21"/>
          <w:highlight w:val="none"/>
          <w:lang w:bidi="ar"/>
        </w:rPr>
        <w:t>9.监管考核:每季度科室对空调维保服务进行满意度评价打分，平均得分不得低于90分，每少一分罚款200元，直接从维保服务费中扣除。</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10.服务指标（原有系统、材料等原因达不到的除外）</w:t>
      </w:r>
    </w:p>
    <w:p>
      <w:pPr>
        <w:widowControl/>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10.1空气监测系统（若有）需要达到实时监测实时显示，空气品质及其他技术指标需满足如下标准：</w:t>
      </w:r>
    </w:p>
    <w:tbl>
      <w:tblPr>
        <w:tblStyle w:val="63"/>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53"/>
        <w:gridCol w:w="1499"/>
        <w:gridCol w:w="3083"/>
        <w:gridCol w:w="1313"/>
        <w:gridCol w:w="1313"/>
        <w:gridCol w:w="1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000" w:type="pct"/>
            <w:gridSpan w:val="6"/>
            <w:noWrap w:val="0"/>
            <w:vAlign w:val="center"/>
          </w:tcPr>
          <w:p>
            <w:pPr>
              <w:widowControl/>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一般诊疗科室室内空气质量标准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38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76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参数类别</w:t>
            </w:r>
          </w:p>
        </w:tc>
        <w:tc>
          <w:tcPr>
            <w:tcW w:w="1580"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参数</w:t>
            </w: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标准值</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386"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68"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物理性</w:t>
            </w:r>
          </w:p>
        </w:tc>
        <w:tc>
          <w:tcPr>
            <w:tcW w:w="1580"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温度</w:t>
            </w:r>
          </w:p>
        </w:tc>
        <w:tc>
          <w:tcPr>
            <w:tcW w:w="673"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21-26</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夏季空调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86"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768" w:type="pct"/>
            <w:vMerge w:val="continue"/>
            <w:tcBorders>
              <w:bottom w:val="nil"/>
            </w:tcBorders>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1580"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673"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18-24</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冬季供暖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386"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68" w:type="pct"/>
            <w:vMerge w:val="continue"/>
            <w:tcBorders>
              <w:top w:val="nil"/>
              <w:bottom w:val="nil"/>
            </w:tcBorders>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1580"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相对湿度</w:t>
            </w:r>
          </w:p>
        </w:tc>
        <w:tc>
          <w:tcPr>
            <w:tcW w:w="673"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40~75</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夏季空调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386"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768" w:type="pct"/>
            <w:vMerge w:val="continue"/>
            <w:tcBorders>
              <w:bottom w:val="nil"/>
            </w:tcBorders>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1580"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673"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30~60</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冬季供暖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386"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768" w:type="pct"/>
            <w:vMerge w:val="continue"/>
            <w:tcBorders>
              <w:top w:val="nil"/>
              <w:bottom w:val="nil"/>
            </w:tcBorders>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1580"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空气流速</w:t>
            </w:r>
          </w:p>
        </w:tc>
        <w:tc>
          <w:tcPr>
            <w:tcW w:w="673" w:type="pct"/>
            <w:vMerge w:val="restar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m/s</w:t>
            </w: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≤0.3</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夏季空调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386"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768" w:type="pct"/>
            <w:vMerge w:val="continue"/>
            <w:tcBorders>
              <w:bottom w:val="nil"/>
            </w:tcBorders>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1580"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673" w:type="pct"/>
            <w:vMerge w:val="continue"/>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冬季供暖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8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768" w:type="pct"/>
            <w:vMerge w:val="continue"/>
            <w:tcBorders>
              <w:top w:val="nil"/>
            </w:tcBorders>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c>
          <w:tcPr>
            <w:tcW w:w="1580"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新风量</w:t>
            </w: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m³/h.人</w:t>
            </w:r>
          </w:p>
        </w:tc>
        <w:tc>
          <w:tcPr>
            <w:tcW w:w="673"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≥40</w:t>
            </w:r>
          </w:p>
        </w:tc>
        <w:tc>
          <w:tcPr>
            <w:tcW w:w="91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p>
        </w:tc>
      </w:tr>
    </w:tbl>
    <w:p>
      <w:pPr>
        <w:pStyle w:val="24"/>
        <w:shd w:val="clear" w:color="auto" w:fill="FFFFFF"/>
        <w:tabs>
          <w:tab w:val="left" w:pos="426"/>
        </w:tabs>
        <w:autoSpaceDE w:val="0"/>
        <w:autoSpaceDN w:val="0"/>
        <w:snapToGrid w:val="0"/>
        <w:spacing w:line="560" w:lineRule="exact"/>
        <w:ind w:firstLine="420" w:firstLineChars="200"/>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10.2洁净科室的各类洁净用房四类环境除静态细菌浓度和洁净度级别应符合相应等级的要求外，各类洁净用房的其他主要技术指标应按下表的规定。</w:t>
      </w:r>
    </w:p>
    <w:tbl>
      <w:tblPr>
        <w:tblStyle w:val="6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845"/>
        <w:gridCol w:w="1036"/>
        <w:gridCol w:w="1109"/>
        <w:gridCol w:w="948"/>
        <w:gridCol w:w="834"/>
        <w:gridCol w:w="1386"/>
        <w:gridCol w:w="731"/>
        <w:gridCol w:w="797"/>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0"/>
            <w:noWrap/>
            <w:vAlign w:val="center"/>
          </w:tcPr>
          <w:p>
            <w:pPr>
              <w:pStyle w:val="627"/>
              <w:tabs>
                <w:tab w:val="left" w:pos="426"/>
              </w:tabs>
              <w:snapToGrid/>
              <w:ind w:firstLine="38"/>
              <w:jc w:val="center"/>
              <w:rPr>
                <w:rFonts w:hint="eastAsia" w:ascii="仿宋" w:hAnsi="仿宋" w:eastAsia="仿宋" w:cs="仿宋"/>
                <w:sz w:val="21"/>
                <w:szCs w:val="21"/>
                <w:highlight w:val="none"/>
              </w:rPr>
            </w:pPr>
            <w:bookmarkStart w:id="39" w:name="_bookmark7"/>
            <w:bookmarkEnd w:id="39"/>
            <w:r>
              <w:rPr>
                <w:rFonts w:hint="eastAsia" w:ascii="仿宋" w:hAnsi="仿宋" w:eastAsia="仿宋" w:cs="仿宋"/>
                <w:sz w:val="21"/>
                <w:szCs w:val="21"/>
                <w:highlight w:val="none"/>
              </w:rPr>
              <w:t>洁净用房主要技术指标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424"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室内压力</w:t>
            </w:r>
          </w:p>
        </w:tc>
        <w:tc>
          <w:tcPr>
            <w:tcW w:w="520"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最小换气次数</w:t>
            </w:r>
          </w:p>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(次/h)</w:t>
            </w:r>
          </w:p>
        </w:tc>
        <w:tc>
          <w:tcPr>
            <w:tcW w:w="55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工作区平均风速(m/s)</w:t>
            </w:r>
          </w:p>
        </w:tc>
        <w:tc>
          <w:tcPr>
            <w:tcW w:w="476"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温度</w:t>
            </w:r>
          </w:p>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1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相对湿度(%)</w:t>
            </w:r>
          </w:p>
        </w:tc>
        <w:tc>
          <w:tcPr>
            <w:tcW w:w="695"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最小新风量m³/h.㎡或次/h</w:t>
            </w:r>
          </w:p>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（仅指本栏括号中数据）</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噪声dB</w:t>
            </w:r>
          </w:p>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(A)</w:t>
            </w:r>
          </w:p>
        </w:tc>
        <w:tc>
          <w:tcPr>
            <w:tcW w:w="400"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最低照度(lx)</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最少术间自净时间min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Ⅰ级洁净手术室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0.20～0.25</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22～25</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15～20</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≤51</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≥350</w:t>
            </w:r>
          </w:p>
        </w:tc>
        <w:tc>
          <w:tcPr>
            <w:tcW w:w="341"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Ⅱ级洁净手术室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24</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22～25</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15～20</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≤49</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≥350</w:t>
            </w:r>
          </w:p>
        </w:tc>
        <w:tc>
          <w:tcPr>
            <w:tcW w:w="341"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Ⅲ级洁净手术室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18</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22～25</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15～20</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≤49</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≥350</w:t>
            </w:r>
          </w:p>
        </w:tc>
        <w:tc>
          <w:tcPr>
            <w:tcW w:w="341"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Ⅳ级洁净手术室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12</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22～25</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15～20</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≤49</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≥350</w:t>
            </w:r>
          </w:p>
        </w:tc>
        <w:tc>
          <w:tcPr>
            <w:tcW w:w="341"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体外循环室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12</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22～27</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无菌敷料室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12</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≤27</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未拆封器械、无菌药品、一次性物品和精密仪器存放室等洁净辅助用房</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≤27</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护士站</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22～26</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预麻醉室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负</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23～26</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手术室前室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22～27</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≥200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刷手间</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负</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22～27</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≤55</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洁净区走廊</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22～26</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≤52</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恢复室</w:t>
            </w:r>
          </w:p>
        </w:tc>
        <w:tc>
          <w:tcPr>
            <w:tcW w:w="424"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正</w:t>
            </w:r>
          </w:p>
        </w:tc>
        <w:tc>
          <w:tcPr>
            <w:tcW w:w="52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55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476"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22～26</w:t>
            </w:r>
          </w:p>
        </w:tc>
        <w:tc>
          <w:tcPr>
            <w:tcW w:w="418"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25～60</w:t>
            </w:r>
          </w:p>
        </w:tc>
        <w:tc>
          <w:tcPr>
            <w:tcW w:w="695"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7"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≤48</w:t>
            </w:r>
          </w:p>
        </w:tc>
        <w:tc>
          <w:tcPr>
            <w:tcW w:w="400" w:type="pct"/>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≥200</w:t>
            </w:r>
          </w:p>
        </w:tc>
        <w:tc>
          <w:tcPr>
            <w:tcW w:w="341"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8" w:type="pct"/>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其他净化科室</w:t>
            </w:r>
          </w:p>
        </w:tc>
        <w:tc>
          <w:tcPr>
            <w:tcW w:w="4201" w:type="pct"/>
            <w:gridSpan w:val="9"/>
            <w:noWrap/>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其他净化科室主要指标参考相关规范标准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0"/>
            <w:noWrap w:val="0"/>
            <w:vAlign w:val="center"/>
          </w:tcPr>
          <w:p>
            <w:pPr>
              <w:pStyle w:val="627"/>
              <w:tabs>
                <w:tab w:val="left" w:pos="426"/>
              </w:tabs>
              <w:snapToGrid/>
              <w:ind w:firstLine="38"/>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注：本表仅适用于本项目实施内容静态检测数据参考</w:t>
            </w:r>
          </w:p>
        </w:tc>
      </w:tr>
    </w:tbl>
    <w:p>
      <w:pPr>
        <w:tabs>
          <w:tab w:val="left" w:pos="426"/>
        </w:tabs>
        <w:rPr>
          <w:rFonts w:hint="eastAsia" w:ascii="仿宋" w:hAnsi="仿宋" w:eastAsia="仿宋" w:cs="仿宋"/>
          <w:sz w:val="21"/>
          <w:szCs w:val="21"/>
          <w:highlight w:val="none"/>
        </w:rPr>
      </w:pPr>
      <w:r>
        <w:rPr>
          <w:rFonts w:hint="eastAsia" w:ascii="仿宋" w:hAnsi="仿宋" w:eastAsia="仿宋" w:cs="仿宋"/>
          <w:sz w:val="21"/>
          <w:szCs w:val="21"/>
          <w:highlight w:val="none"/>
        </w:rPr>
        <w:t>注：</w:t>
      </w:r>
    </w:p>
    <w:p>
      <w:pPr>
        <w:numPr>
          <w:ilvl w:val="0"/>
          <w:numId w:val="1"/>
        </w:numPr>
        <w:tabs>
          <w:tab w:val="left" w:pos="426"/>
        </w:tabs>
        <w:rPr>
          <w:rFonts w:hint="eastAsia" w:ascii="仿宋" w:hAnsi="仿宋" w:eastAsia="仿宋" w:cs="仿宋"/>
          <w:sz w:val="21"/>
          <w:szCs w:val="21"/>
          <w:highlight w:val="none"/>
        </w:rPr>
      </w:pPr>
      <w:r>
        <w:rPr>
          <w:rFonts w:hint="eastAsia" w:ascii="仿宋" w:hAnsi="仿宋" w:eastAsia="仿宋" w:cs="仿宋"/>
          <w:sz w:val="21"/>
          <w:szCs w:val="21"/>
          <w:highlight w:val="none"/>
        </w:rPr>
        <w:t>负压手术室用房室内压力一栏应为“负”。</w:t>
      </w:r>
    </w:p>
    <w:p>
      <w:pPr>
        <w:numPr>
          <w:ilvl w:val="0"/>
          <w:numId w:val="1"/>
        </w:numPr>
        <w:tabs>
          <w:tab w:val="left" w:pos="426"/>
        </w:tabs>
        <w:rPr>
          <w:rFonts w:hint="eastAsia" w:ascii="仿宋" w:hAnsi="仿宋" w:eastAsia="仿宋" w:cs="仿宋"/>
          <w:sz w:val="21"/>
          <w:szCs w:val="21"/>
          <w:highlight w:val="none"/>
        </w:rPr>
      </w:pPr>
      <w:r>
        <w:rPr>
          <w:rFonts w:hint="eastAsia" w:ascii="仿宋" w:hAnsi="仿宋" w:eastAsia="仿宋" w:cs="仿宋"/>
          <w:sz w:val="21"/>
          <w:szCs w:val="21"/>
          <w:highlight w:val="none"/>
        </w:rPr>
        <w:t>平均风速指集中送风区地面以上1.2m截面的平均风速。</w:t>
      </w:r>
    </w:p>
    <w:p>
      <w:pPr>
        <w:numPr>
          <w:ilvl w:val="0"/>
          <w:numId w:val="1"/>
        </w:numPr>
        <w:tabs>
          <w:tab w:val="left" w:pos="426"/>
        </w:tabs>
        <w:rPr>
          <w:rFonts w:hint="eastAsia" w:ascii="仿宋" w:hAnsi="仿宋" w:eastAsia="仿宋" w:cs="仿宋"/>
          <w:sz w:val="21"/>
          <w:szCs w:val="21"/>
          <w:highlight w:val="none"/>
        </w:rPr>
      </w:pPr>
      <w:r>
        <w:rPr>
          <w:rFonts w:hint="eastAsia" w:ascii="仿宋" w:hAnsi="仿宋" w:eastAsia="仿宋" w:cs="仿宋"/>
          <w:sz w:val="21"/>
          <w:szCs w:val="21"/>
          <w:highlight w:val="none"/>
        </w:rPr>
        <w:t>眼科手术室截面平均风速应控制在0.15～0.2m/s。</w:t>
      </w:r>
    </w:p>
    <w:p>
      <w:pPr>
        <w:numPr>
          <w:ilvl w:val="0"/>
          <w:numId w:val="1"/>
        </w:numPr>
        <w:tabs>
          <w:tab w:val="left" w:pos="426"/>
        </w:tabs>
        <w:rPr>
          <w:rFonts w:hint="eastAsia" w:ascii="仿宋" w:hAnsi="仿宋" w:eastAsia="仿宋" w:cs="仿宋"/>
          <w:sz w:val="21"/>
          <w:szCs w:val="21"/>
          <w:highlight w:val="none"/>
          <w:lang w:bidi="ar"/>
        </w:rPr>
      </w:pPr>
      <w:r>
        <w:rPr>
          <w:rFonts w:hint="eastAsia" w:ascii="仿宋" w:hAnsi="仿宋" w:eastAsia="仿宋" w:cs="仿宋"/>
          <w:sz w:val="21"/>
          <w:szCs w:val="21"/>
          <w:highlight w:val="none"/>
        </w:rPr>
        <w:t>温湿度范围下限为冬季的最低值，上限为夏季的最高值。</w:t>
      </w:r>
    </w:p>
    <w:p>
      <w:pPr>
        <w:shd w:val="clear" w:color="auto" w:fill="FFFFFF"/>
        <w:tabs>
          <w:tab w:val="left" w:pos="426"/>
        </w:tabs>
        <w:spacing w:line="360" w:lineRule="auto"/>
        <w:ind w:firstLine="422" w:firstLineChars="200"/>
        <w:outlineLvl w:val="1"/>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（二） 服务范围：</w:t>
      </w:r>
    </w:p>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1.空调设备清单表</w:t>
      </w:r>
    </w:p>
    <w:tbl>
      <w:tblPr>
        <w:tblStyle w:val="63"/>
        <w:tblW w:w="4998" w:type="pct"/>
        <w:tblInd w:w="0" w:type="dxa"/>
        <w:tblLayout w:type="autofit"/>
        <w:tblCellMar>
          <w:top w:w="0" w:type="dxa"/>
          <w:left w:w="108" w:type="dxa"/>
          <w:bottom w:w="0" w:type="dxa"/>
          <w:right w:w="108" w:type="dxa"/>
        </w:tblCellMar>
      </w:tblPr>
      <w:tblGrid>
        <w:gridCol w:w="1380"/>
        <w:gridCol w:w="5815"/>
        <w:gridCol w:w="1381"/>
        <w:gridCol w:w="1381"/>
      </w:tblGrid>
      <w:tr>
        <w:tblPrEx>
          <w:tblCellMar>
            <w:top w:w="0" w:type="dxa"/>
            <w:left w:w="108" w:type="dxa"/>
            <w:bottom w:w="0" w:type="dxa"/>
            <w:right w:w="108" w:type="dxa"/>
          </w:tblCellMar>
        </w:tblPrEx>
        <w:trPr>
          <w:trHeight w:val="571"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序号</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项目参数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单位</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数量</w:t>
            </w:r>
          </w:p>
        </w:tc>
      </w:tr>
      <w:tr>
        <w:tblPrEx>
          <w:tblCellMar>
            <w:top w:w="0" w:type="dxa"/>
            <w:left w:w="108" w:type="dxa"/>
            <w:bottom w:w="0" w:type="dxa"/>
            <w:right w:w="108" w:type="dxa"/>
          </w:tblCellMar>
        </w:tblPrEx>
        <w:trPr>
          <w:trHeight w:val="457"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风冷热泵机组规格：冷量130KW，热量140KW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r>
      <w:tr>
        <w:tblPrEx>
          <w:tblCellMar>
            <w:top w:w="0" w:type="dxa"/>
            <w:left w:w="108" w:type="dxa"/>
            <w:bottom w:w="0" w:type="dxa"/>
            <w:right w:w="108" w:type="dxa"/>
          </w:tblCellMar>
        </w:tblPrEx>
        <w:trPr>
          <w:trHeight w:val="46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循环水泵规格：水流量50吨/小时，扬程32米</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802"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1.名称:循环机组AHU-1，</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2.规格:3200m3/h，10KW制冷量，制热量8KW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804"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1.名称:循环机组AHU-2，</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2.规格:10000m3/h，25KW制冷量，制热量25KW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722"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1.名称:循环机组AHU-3，</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2.规格:10000m3/h，25KW制冷量，制热量25KW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75"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1.名称:循环机组AHU-4，</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2.规格:10000m3/h，25KW制冷量，制热量25KW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75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1.名称:循环机组AHU-5，</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2.规格:4560m3/h，14KW制冷量，制热量14KW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731"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1.名称:循环机组AHU-6，</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2.规格:4360m3/h，14KW制冷量，制热量14KW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808"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1.名称:循环机组AHU-7，</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2.规格:2180m3/h，6KW制冷量，制热量6KW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789"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1.名称:循环机组AHU-8，</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2.规格:4620m3/h，16KW制冷量，制热量16KW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81"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1.名称:循环机组AHU-9，</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2.规格:13660m3/h，46KW制冷量，制热量46KW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9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1.名称:循环机组AHU-10，</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2.规格:13270m3/h，46KW制冷量，制热量46KW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864"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1.名称:循环机组AHU-11，</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2.规格:7420m3/h，30KW制冷量，制热量30KW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42"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1.名称:循环机组AHU-14，</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2.规格:4360m3/h，14KW制冷量，制热量14KW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15</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新风机组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1.名称:PAU-3，</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2.规格:9300m3/h，168KW制冷量，制热量84KW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726"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16</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新风机组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1.名称:PAU-4，</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2.规格:10200m3/h，190KW制冷量，制热量95KW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883"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新风机组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1.名称:PAU-3-2，</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2.规格:3950m3/h，50KW制冷量，制热量38KW，机外静压500Pa，输入功率2.2KW/380V。</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83"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新风机组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1.名称:PAU-2，</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2.规格:6490m3/h，94KW制冷量，制热量48KW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83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19</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自吸新风循环机组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1.名称:循环机组AHU-12，</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2.规格:6610m3/h，66KW制冷量，制热量33KW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835"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20</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自吸新风循环机组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1.名称:循环机组AHU-13，</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2.规格:7160m3/h，94KW制冷量，制热量47KW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72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21</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新风机组</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1.名称:PAU-1，</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2.规格:2530m3/h，36KW制冷量，制热量18KW</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712"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2.规格：300m3/h，250Pa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r>
      <w:tr>
        <w:tblPrEx>
          <w:tblCellMar>
            <w:top w:w="0" w:type="dxa"/>
            <w:left w:w="108" w:type="dxa"/>
            <w:bottom w:w="0" w:type="dxa"/>
            <w:right w:w="108" w:type="dxa"/>
          </w:tblCellMar>
        </w:tblPrEx>
        <w:trPr>
          <w:trHeight w:val="686"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23</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2.规格：800m3/h，300Pa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24</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2.规格：1000m3/h，300Pa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25</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2.规格：1500m3/h，450Pa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26</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防爆排风机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1.型式：防爆排风机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2.规格：500m3/h，300Pa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27</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2.规格：1500m3/h，250Pa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2.规格：300m3/h，250Pa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通风器</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1.型式：通风器</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2.规格：300m3/h</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30</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1.型式：排风机EF-3F-2</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2.规格：2800m3/h，250Pa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31</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2.规格：500m3/h，300Pa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32</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2.规格：600m3/h，300Pa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33</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2.规格：800m3/h，300Pa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排风机（防爆型）</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1.型式：排风机（防爆型）</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2.规格：1000m3/h，300Pa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35</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2.规格：1200m3/h，300Pa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36</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2.规格：1400m3/h，300Pa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37</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2.规格：1800m3/h，350Pa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9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38</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1.型式：排风机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2.规格：2000m3/h，350Pa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39</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挂壁机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5HP，包含内外机及其配件</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40</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挂壁机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3HP，包含内外机及其配件</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41</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风机盘管</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两盘管,加长型水盘</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94</w:t>
            </w:r>
          </w:p>
        </w:tc>
      </w:tr>
      <w:tr>
        <w:tblPrEx>
          <w:tblCellMar>
            <w:top w:w="0" w:type="dxa"/>
            <w:left w:w="108" w:type="dxa"/>
            <w:bottom w:w="0" w:type="dxa"/>
            <w:right w:w="108" w:type="dxa"/>
          </w:tblCellMar>
        </w:tblPrEx>
        <w:trPr>
          <w:trHeight w:val="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42</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快速升降温装置</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制冷量30KW，制热量42KW，含自控</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43</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压差显示装置</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数码显示，-20Pa~20Pa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r>
      <w:tr>
        <w:tblPrEx>
          <w:tblCellMar>
            <w:top w:w="0" w:type="dxa"/>
            <w:left w:w="108" w:type="dxa"/>
            <w:bottom w:w="0" w:type="dxa"/>
            <w:right w:w="108" w:type="dxa"/>
          </w:tblCellMar>
        </w:tblPrEx>
        <w:trPr>
          <w:trHeight w:val="426"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44</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净化机组自控系统</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19</w:t>
            </w:r>
          </w:p>
        </w:tc>
      </w:tr>
      <w:tr>
        <w:tblPrEx>
          <w:tblCellMar>
            <w:top w:w="0" w:type="dxa"/>
            <w:left w:w="108" w:type="dxa"/>
            <w:bottom w:w="0" w:type="dxa"/>
            <w:right w:w="108" w:type="dxa"/>
          </w:tblCellMar>
        </w:tblPrEx>
        <w:trPr>
          <w:trHeight w:val="489"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45</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中央监控系统</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1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46</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风机盘管空调水系统（两管制）</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1.含DN20电动二通阀1只</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2.过滤器1只</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3.阀门2只</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4.不锈钢软接2只</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5.温控器1只</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94</w:t>
            </w:r>
          </w:p>
        </w:tc>
      </w:tr>
      <w:tr>
        <w:tblPrEx>
          <w:tblCellMar>
            <w:top w:w="0" w:type="dxa"/>
            <w:left w:w="108" w:type="dxa"/>
            <w:bottom w:w="0" w:type="dxa"/>
            <w:right w:w="108" w:type="dxa"/>
          </w:tblCellMar>
        </w:tblPrEx>
        <w:trPr>
          <w:trHeight w:val="12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47</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天花板送风装置</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1.使用区域：I级手术室</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2.规格：OPL2.4/2.6</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3.含高效过滤器</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12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48</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天花板送风装置</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1.使用区域：III级手术室</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2.规格：OPL1.4/2.6</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3.含高效过滤器</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r>
      <w:tr>
        <w:tblPrEx>
          <w:tblCellMar>
            <w:top w:w="0" w:type="dxa"/>
            <w:left w:w="108" w:type="dxa"/>
            <w:bottom w:w="0" w:type="dxa"/>
            <w:right w:w="108" w:type="dxa"/>
          </w:tblCellMar>
        </w:tblPrEx>
        <w:trPr>
          <w:trHeight w:val="409"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风口</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612</w:t>
            </w:r>
          </w:p>
        </w:tc>
      </w:tr>
      <w:tr>
        <w:tblPrEx>
          <w:tblCellMar>
            <w:top w:w="0" w:type="dxa"/>
            <w:left w:w="108" w:type="dxa"/>
            <w:bottom w:w="0" w:type="dxa"/>
            <w:right w:w="108" w:type="dxa"/>
          </w:tblCellMar>
        </w:tblPrEx>
        <w:trPr>
          <w:trHeight w:val="389"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干蒸汽加湿器</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16</w:t>
            </w:r>
          </w:p>
        </w:tc>
      </w:tr>
      <w:tr>
        <w:tblPrEx>
          <w:tblCellMar>
            <w:top w:w="0" w:type="dxa"/>
            <w:left w:w="108" w:type="dxa"/>
            <w:bottom w:w="0" w:type="dxa"/>
            <w:right w:w="108" w:type="dxa"/>
          </w:tblCellMar>
        </w:tblPrEx>
        <w:trPr>
          <w:trHeight w:val="454"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51</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PTC电加热</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r>
      <w:tr>
        <w:tblPrEx>
          <w:tblCellMar>
            <w:top w:w="0" w:type="dxa"/>
            <w:left w:w="108" w:type="dxa"/>
            <w:bottom w:w="0" w:type="dxa"/>
            <w:right w:w="108" w:type="dxa"/>
          </w:tblCellMar>
        </w:tblPrEx>
        <w:trPr>
          <w:trHeight w:val="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52</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不锈钢板水箱安装</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1.材质：不锈钢板，1m³</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68"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53</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冷凝水箱</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1.规格：600x600x600</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r>
      <w:tr>
        <w:tblPrEx>
          <w:tblCellMar>
            <w:top w:w="0" w:type="dxa"/>
            <w:left w:w="108" w:type="dxa"/>
            <w:bottom w:w="0" w:type="dxa"/>
            <w:right w:w="108" w:type="dxa"/>
          </w:tblCellMar>
        </w:tblPrEx>
        <w:trPr>
          <w:trHeight w:val="600"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54</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电子除垢仪</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1.规格：DN200，1.6Mpa</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375"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55</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变频器</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w:t>
            </w:r>
          </w:p>
        </w:tc>
      </w:tr>
      <w:tr>
        <w:tblPrEx>
          <w:tblCellMar>
            <w:top w:w="0" w:type="dxa"/>
            <w:left w:w="108" w:type="dxa"/>
            <w:bottom w:w="0" w:type="dxa"/>
            <w:right w:w="108" w:type="dxa"/>
          </w:tblCellMar>
        </w:tblPrEx>
        <w:trPr>
          <w:trHeight w:val="425" w:hRule="atLeast"/>
        </w:trPr>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56</w:t>
            </w:r>
          </w:p>
        </w:tc>
        <w:tc>
          <w:tcPr>
            <w:tcW w:w="291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等离子灭菌器</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93"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48</w:t>
            </w:r>
          </w:p>
        </w:tc>
      </w:tr>
    </w:tbl>
    <w:p>
      <w:pPr>
        <w:pStyle w:val="24"/>
        <w:tabs>
          <w:tab w:val="left" w:pos="426"/>
        </w:tabs>
        <w:rPr>
          <w:rFonts w:hint="eastAsia" w:ascii="仿宋" w:hAnsi="仿宋" w:eastAsia="仿宋" w:cs="仿宋"/>
          <w:sz w:val="21"/>
          <w:szCs w:val="21"/>
          <w:highlight w:val="none"/>
        </w:rPr>
        <w:sectPr>
          <w:pgSz w:w="11911" w:h="16838"/>
          <w:pgMar w:top="1440" w:right="1083" w:bottom="1440" w:left="1083" w:header="720" w:footer="720" w:gutter="0"/>
          <w:cols w:space="720" w:num="1"/>
        </w:sectPr>
      </w:pPr>
    </w:p>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2.净化耗材（空气过滤器）清单表</w:t>
      </w:r>
    </w:p>
    <w:tbl>
      <w:tblPr>
        <w:tblStyle w:val="63"/>
        <w:tblW w:w="9686" w:type="dxa"/>
        <w:jc w:val="center"/>
        <w:tblLayout w:type="fixed"/>
        <w:tblCellMar>
          <w:top w:w="0" w:type="dxa"/>
          <w:left w:w="108" w:type="dxa"/>
          <w:bottom w:w="0" w:type="dxa"/>
          <w:right w:w="108" w:type="dxa"/>
        </w:tblCellMar>
      </w:tblPr>
      <w:tblGrid>
        <w:gridCol w:w="735"/>
        <w:gridCol w:w="1976"/>
        <w:gridCol w:w="2475"/>
        <w:gridCol w:w="2070"/>
        <w:gridCol w:w="720"/>
        <w:gridCol w:w="715"/>
        <w:gridCol w:w="995"/>
      </w:tblGrid>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序号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区域</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名称</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规格型号</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单位</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数量</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品牌</w:t>
            </w:r>
          </w:p>
        </w:tc>
      </w:tr>
      <w:tr>
        <w:tblPrEx>
          <w:tblCellMar>
            <w:top w:w="0" w:type="dxa"/>
            <w:left w:w="108" w:type="dxa"/>
            <w:bottom w:w="0" w:type="dxa"/>
            <w:right w:w="108" w:type="dxa"/>
          </w:tblCellMar>
        </w:tblPrEx>
        <w:trPr>
          <w:trHeight w:val="622"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568"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54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595"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608"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下排风口高效过滤器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567"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608"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581"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844*597*69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609"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376"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844*597*69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486"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20</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844*597*69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30</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40</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11号手术室</w:t>
            </w:r>
          </w:p>
        </w:tc>
        <w:tc>
          <w:tcPr>
            <w:tcW w:w="24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344*1244*69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222*994*69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60</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12号手术室</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送风天花高效过滤器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500*500*90</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785*285*69</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下回风口过滤网（黑色）</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795*295</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295*295*96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64</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手术室辅房及走廊</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高效送风口过滤器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320*320*90</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65</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高效送风口过滤器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484*484*90</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55</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94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500*310*46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400*260*46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500*500*46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69</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ICU</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400*260*46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70</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供应室</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高效送风口过滤器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320*320*90</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高效送风口过滤器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484*484*90</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下回风口中效过滤器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500*310*46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400*260*46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上排风口中效过滤器</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500*500*46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AHU-1</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77</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AHU-2</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79</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AHU-3</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595*595*46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80</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290*493*46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85</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87</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AHU-4</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89</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AHU-5</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90</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91</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AHU-6</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93</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AHU-7</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AHU-8</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97</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AHU-9</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290*493*46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100</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101</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AHU-10</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290*493*46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103</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AHU-12</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107</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AHU-13</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290*493*46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493*493*46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110</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490*490*381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111</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AHU-14</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113</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PAU-1</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115</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PAU-2</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117</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PAU-3</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290*493*46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119</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120</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121</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高效过滤器（密褶式）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592*592*292</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122</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高效过滤器（密褶式）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287*592*292</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123</w:t>
            </w:r>
          </w:p>
        </w:tc>
        <w:tc>
          <w:tcPr>
            <w:tcW w:w="197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PAU-4</w:t>
            </w: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290*493*46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124</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初效过滤器（板式）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493*595*46</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125</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126</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中效过滤器（袋式）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592*490*381</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127</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高效过滤器（密褶式）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592*592*292</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128</w:t>
            </w:r>
          </w:p>
        </w:tc>
        <w:tc>
          <w:tcPr>
            <w:tcW w:w="1976" w:type="dxa"/>
            <w:vMerge w:val="continue"/>
            <w:tcBorders>
              <w:top w:val="single" w:color="000000" w:sz="4" w:space="0"/>
              <w:left w:val="single" w:color="000000" w:sz="4" w:space="0"/>
              <w:bottom w:val="single" w:color="000000" w:sz="4" w:space="0"/>
              <w:right w:val="single" w:color="000000" w:sz="4" w:space="0"/>
            </w:tcBorders>
            <w:noWrap/>
            <w:vAlign w:val="center"/>
          </w:tcPr>
          <w:p>
            <w:pPr>
              <w:tabs>
                <w:tab w:val="left" w:pos="426"/>
              </w:tabs>
              <w:jc w:val="center"/>
              <w:rPr>
                <w:rFonts w:hint="eastAsia" w:ascii="仿宋" w:hAnsi="仿宋" w:eastAsia="仿宋" w:cs="仿宋"/>
                <w:sz w:val="21"/>
                <w:szCs w:val="21"/>
                <w:highlight w:val="none"/>
              </w:rPr>
            </w:pPr>
          </w:p>
        </w:tc>
        <w:tc>
          <w:tcPr>
            <w:tcW w:w="24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高效过滤器（密褶式）</w:t>
            </w:r>
          </w:p>
        </w:tc>
        <w:tc>
          <w:tcPr>
            <w:tcW w:w="207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287*592*292</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原品牌及以上</w:t>
            </w:r>
          </w:p>
        </w:tc>
      </w:tr>
      <w:tr>
        <w:tblPrEx>
          <w:tblCellMar>
            <w:top w:w="0" w:type="dxa"/>
            <w:left w:w="108" w:type="dxa"/>
            <w:bottom w:w="0" w:type="dxa"/>
            <w:right w:w="108" w:type="dxa"/>
          </w:tblCellMar>
        </w:tblPrEx>
        <w:trPr>
          <w:trHeight w:val="445"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129</w:t>
            </w:r>
          </w:p>
        </w:tc>
        <w:tc>
          <w:tcPr>
            <w:tcW w:w="7241" w:type="dxa"/>
            <w:gridSpan w:val="4"/>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汇总</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608</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p>
        </w:tc>
      </w:tr>
      <w:tr>
        <w:tblPrEx>
          <w:tblCellMar>
            <w:top w:w="0" w:type="dxa"/>
            <w:left w:w="108" w:type="dxa"/>
            <w:bottom w:w="0" w:type="dxa"/>
            <w:right w:w="108" w:type="dxa"/>
          </w:tblCellMar>
        </w:tblPrEx>
        <w:trPr>
          <w:trHeight w:val="7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p>
        </w:tc>
        <w:tc>
          <w:tcPr>
            <w:tcW w:w="7241" w:type="dxa"/>
            <w:gridSpan w:val="4"/>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注：下回排风尼龙过滤网约每1周清洗一次，初效过滤器约每三个月更换一次，中效过滤器约每六个月更换一次，高效过滤器约每两年更换一次，具体时间间隔可根据实际情况调整。</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p>
        </w:tc>
      </w:tr>
    </w:tbl>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3.建筑门窗、器具设备清单表</w:t>
      </w:r>
    </w:p>
    <w:tbl>
      <w:tblPr>
        <w:tblStyle w:val="63"/>
        <w:tblW w:w="4999" w:type="pct"/>
        <w:tblInd w:w="0" w:type="dxa"/>
        <w:tblLayout w:type="autofit"/>
        <w:tblCellMar>
          <w:top w:w="0" w:type="dxa"/>
          <w:left w:w="108" w:type="dxa"/>
          <w:bottom w:w="0" w:type="dxa"/>
          <w:right w:w="108" w:type="dxa"/>
        </w:tblCellMar>
      </w:tblPr>
      <w:tblGrid>
        <w:gridCol w:w="744"/>
        <w:gridCol w:w="5736"/>
        <w:gridCol w:w="765"/>
        <w:gridCol w:w="1248"/>
      </w:tblGrid>
      <w:tr>
        <w:tblPrEx>
          <w:tblCellMar>
            <w:top w:w="0" w:type="dxa"/>
            <w:left w:w="108" w:type="dxa"/>
            <w:bottom w:w="0" w:type="dxa"/>
            <w:right w:w="108" w:type="dxa"/>
          </w:tblCellMar>
        </w:tblPrEx>
        <w:trPr>
          <w:trHeight w:val="4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项目参数</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r>
      <w:tr>
        <w:tblPrEx>
          <w:tblCellMar>
            <w:top w:w="0" w:type="dxa"/>
            <w:left w:w="108" w:type="dxa"/>
            <w:bottom w:w="0" w:type="dxa"/>
            <w:right w:w="108" w:type="dxa"/>
          </w:tblCellMar>
        </w:tblPrEx>
        <w:trPr>
          <w:trHeight w:val="335"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门窗</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r>
      <w:tr>
        <w:tblPrEx>
          <w:tblCellMar>
            <w:top w:w="0" w:type="dxa"/>
            <w:left w:w="108" w:type="dxa"/>
            <w:bottom w:w="0" w:type="dxa"/>
            <w:right w:w="108" w:type="dxa"/>
          </w:tblCellMar>
        </w:tblPrEx>
        <w:trPr>
          <w:trHeight w:val="361"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电动门</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樘</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w:t>
            </w:r>
          </w:p>
        </w:tc>
      </w:tr>
      <w:tr>
        <w:tblPrEx>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钢制门\气密门\气密铅防护门\防火门</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樘</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149</w:t>
            </w:r>
          </w:p>
        </w:tc>
      </w:tr>
      <w:tr>
        <w:tblPrEx>
          <w:tblCellMar>
            <w:top w:w="0" w:type="dxa"/>
            <w:left w:w="108" w:type="dxa"/>
            <w:bottom w:w="0" w:type="dxa"/>
            <w:right w:w="108" w:type="dxa"/>
          </w:tblCellMar>
        </w:tblPrEx>
        <w:trPr>
          <w:trHeight w:val="26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窗</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20</w:t>
            </w:r>
          </w:p>
        </w:tc>
      </w:tr>
      <w:tr>
        <w:tblPrEx>
          <w:tblCellMar>
            <w:top w:w="0" w:type="dxa"/>
            <w:left w:w="108" w:type="dxa"/>
            <w:bottom w:w="0" w:type="dxa"/>
            <w:right w:w="108" w:type="dxa"/>
          </w:tblCellMar>
        </w:tblPrEx>
        <w:trPr>
          <w:trHeight w:val="336"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器具设备</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r>
      <w:tr>
        <w:tblPrEx>
          <w:tblCellMar>
            <w:top w:w="0" w:type="dxa"/>
            <w:left w:w="108" w:type="dxa"/>
            <w:bottom w:w="0" w:type="dxa"/>
            <w:right w:w="108" w:type="dxa"/>
          </w:tblCellMar>
        </w:tblPrEx>
        <w:trPr>
          <w:trHeight w:val="6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中央控制面板</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900*600*100液晶情报面板</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9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嵌入式三联观片灯</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1、LED液晶观片灯</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2、1200×600×25</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r>
      <w:tr>
        <w:tblPrEx>
          <w:tblCellMar>
            <w:top w:w="0" w:type="dxa"/>
            <w:left w:w="108" w:type="dxa"/>
            <w:bottom w:w="0" w:type="dxa"/>
            <w:right w:w="108" w:type="dxa"/>
          </w:tblCellMar>
        </w:tblPrEx>
        <w:trPr>
          <w:trHeight w:val="9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嵌入式六联观片灯</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1、LED液晶观片灯</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2、1200x1000x25</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5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非治疗电源插座箱（带380v）</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尺寸:900mm×210mm×100mm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52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治疗电源插座箱</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尺寸:900mm×210mm×100mm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36</w:t>
            </w:r>
          </w:p>
        </w:tc>
      </w:tr>
      <w:tr>
        <w:tblPrEx>
          <w:tblCellMar>
            <w:top w:w="0" w:type="dxa"/>
            <w:left w:w="108" w:type="dxa"/>
            <w:bottom w:w="0" w:type="dxa"/>
            <w:right w:w="108" w:type="dxa"/>
          </w:tblCellMar>
        </w:tblPrEx>
        <w:trPr>
          <w:trHeight w:val="8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嵌入式麻醉柜</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尺寸:1200mm×1700mm×400mm，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7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嵌入式器械柜</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尺寸:1200mm×1700mm×400mm，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6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嵌入式药品柜</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尺寸:1200mm×1700mm×400mm，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64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嵌入式电脑柜</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尺寸:1200mm×1800mm×400mm，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56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嵌入式导管柜</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尺寸:1200mm×1700mm×400mm，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52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保温柜(恒温培养箱）</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尺寸：480X490X840</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r>
      <w:tr>
        <w:tblPrEx>
          <w:tblCellMar>
            <w:top w:w="0" w:type="dxa"/>
            <w:left w:w="108" w:type="dxa"/>
            <w:bottom w:w="0" w:type="dxa"/>
            <w:right w:w="108" w:type="dxa"/>
          </w:tblCellMar>
        </w:tblPrEx>
        <w:trPr>
          <w:trHeight w:val="48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无菌柜</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尺寸:1200mm×1700mm×400mm，</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r>
      <w:tr>
        <w:tblPrEx>
          <w:tblCellMar>
            <w:top w:w="0" w:type="dxa"/>
            <w:left w:w="108" w:type="dxa"/>
            <w:bottom w:w="0" w:type="dxa"/>
            <w:right w:w="108" w:type="dxa"/>
          </w:tblCellMar>
        </w:tblPrEx>
        <w:trPr>
          <w:trHeight w:val="6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保冷柜（血液储存箱）</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尺寸：480X470X840</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406"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直线型输液导轨</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396"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15</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椭圆型医用输液导轨</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41</w:t>
            </w:r>
          </w:p>
        </w:tc>
      </w:tr>
      <w:tr>
        <w:tblPrEx>
          <w:tblCellMar>
            <w:top w:w="0" w:type="dxa"/>
            <w:left w:w="108" w:type="dxa"/>
            <w:bottom w:w="0" w:type="dxa"/>
            <w:right w:w="108" w:type="dxa"/>
          </w:tblCellMar>
        </w:tblPrEx>
        <w:trPr>
          <w:trHeight w:val="400" w:hRule="atLeast"/>
        </w:trPr>
        <w:tc>
          <w:tcPr>
            <w:tcW w:w="43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16</w:t>
            </w:r>
          </w:p>
        </w:tc>
        <w:tc>
          <w:tcPr>
            <w:tcW w:w="337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L型医用隔帘导轨</w:t>
            </w:r>
          </w:p>
        </w:tc>
        <w:tc>
          <w:tcPr>
            <w:tcW w:w="450"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34"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37</w:t>
            </w:r>
          </w:p>
        </w:tc>
      </w:tr>
    </w:tbl>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4.蒸汽系统清单表</w:t>
      </w:r>
    </w:p>
    <w:tbl>
      <w:tblPr>
        <w:tblStyle w:val="63"/>
        <w:tblW w:w="4997" w:type="pct"/>
        <w:tblInd w:w="0" w:type="dxa"/>
        <w:tblLayout w:type="autofit"/>
        <w:tblCellMar>
          <w:top w:w="0" w:type="dxa"/>
          <w:left w:w="108" w:type="dxa"/>
          <w:bottom w:w="0" w:type="dxa"/>
          <w:right w:w="108" w:type="dxa"/>
        </w:tblCellMar>
      </w:tblPr>
      <w:tblGrid>
        <w:gridCol w:w="833"/>
        <w:gridCol w:w="5768"/>
        <w:gridCol w:w="834"/>
        <w:gridCol w:w="1055"/>
      </w:tblGrid>
      <w:tr>
        <w:tblPrEx>
          <w:tblCellMar>
            <w:top w:w="0" w:type="dxa"/>
            <w:left w:w="108" w:type="dxa"/>
            <w:bottom w:w="0" w:type="dxa"/>
            <w:right w:w="108"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序号</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项目参数</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r>
      <w:tr>
        <w:tblPrEx>
          <w:tblCellMar>
            <w:top w:w="0" w:type="dxa"/>
            <w:left w:w="108" w:type="dxa"/>
            <w:bottom w:w="0" w:type="dxa"/>
            <w:right w:w="108" w:type="dxa"/>
          </w:tblCellMar>
        </w:tblPrEx>
        <w:trPr>
          <w:trHeight w:val="2120"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蒸汽发生器</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1.名称：盘管式（工业级）蒸汽发生</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2.额定蒸发量：1.0吨/h</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3.水容积：28L</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4.额定蒸汽压力：1.25Mpa</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5.功率：6.2KW</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6.燃烧控制方式：工业级、 预混式、冷凝式、盘管式、超低氮</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7.配置低氮燃烧器、燃气减压阀、程控器、空气过滤器、补水器、水泵电机等。</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自动控制系统</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远程监控系统</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450"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不锈钢汽水分离器</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规格:DN32 PN16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1260"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分气缸</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1.质量:200kg以内</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2.规格：2进2出</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3.材质：304不锈钢</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4.带DN50排水口</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1125"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软水处理器</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1.名称：全自动软化器</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2.运行流量：2m³ /h</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3.罐体：FRP材质</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4.滤料：精致石英砂8-16mm，软化专用树脂100Na</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351"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控制系统</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水表</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327" w:hRule="atLeast"/>
        </w:trPr>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3396"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压力表</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r>
    </w:tbl>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5.给排水系统清单表</w:t>
      </w:r>
    </w:p>
    <w:tbl>
      <w:tblPr>
        <w:tblStyle w:val="63"/>
        <w:tblW w:w="4998" w:type="pct"/>
        <w:tblInd w:w="0" w:type="dxa"/>
        <w:tblLayout w:type="autofit"/>
        <w:tblCellMar>
          <w:top w:w="0" w:type="dxa"/>
          <w:left w:w="108" w:type="dxa"/>
          <w:bottom w:w="0" w:type="dxa"/>
          <w:right w:w="108" w:type="dxa"/>
        </w:tblCellMar>
      </w:tblPr>
      <w:tblGrid>
        <w:gridCol w:w="1123"/>
        <w:gridCol w:w="5122"/>
        <w:gridCol w:w="1123"/>
        <w:gridCol w:w="1124"/>
      </w:tblGrid>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3015"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项目参数</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感应洗手盆</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49</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手动洗手盆</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三人洗手池</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二人洗手池</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小厨宝1.5KW、5L</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台下式洗脸盆</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台下式洗脸盆（两人位）</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单人污洗池</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双人污洗池</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坐便器</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蹲式大便器</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小便器</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淋浴器</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60L电热水器</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15</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拖把池</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16</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铜清扫口</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r>
      <w:tr>
        <w:tblPrEx>
          <w:tblCellMar>
            <w:top w:w="0" w:type="dxa"/>
            <w:left w:w="108" w:type="dxa"/>
            <w:bottom w:w="0" w:type="dxa"/>
            <w:right w:w="108" w:type="dxa"/>
          </w:tblCellMar>
        </w:tblPrEx>
        <w:trPr>
          <w:trHeight w:val="4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w:t>
            </w:r>
          </w:p>
        </w:tc>
        <w:tc>
          <w:tcPr>
            <w:tcW w:w="301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汽水双封不锈钢洁净地漏</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个</w:t>
            </w:r>
          </w:p>
        </w:tc>
        <w:tc>
          <w:tcPr>
            <w:tcW w:w="66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38</w:t>
            </w:r>
          </w:p>
        </w:tc>
      </w:tr>
    </w:tbl>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6.医用气体系统清单表</w:t>
      </w:r>
    </w:p>
    <w:tbl>
      <w:tblPr>
        <w:tblStyle w:val="63"/>
        <w:tblW w:w="4999" w:type="pct"/>
        <w:tblInd w:w="0" w:type="dxa"/>
        <w:tblLayout w:type="autofit"/>
        <w:tblCellMar>
          <w:top w:w="0" w:type="dxa"/>
          <w:left w:w="108" w:type="dxa"/>
          <w:bottom w:w="0" w:type="dxa"/>
          <w:right w:w="108" w:type="dxa"/>
        </w:tblCellMar>
      </w:tblPr>
      <w:tblGrid>
        <w:gridCol w:w="1218"/>
        <w:gridCol w:w="4839"/>
        <w:gridCol w:w="1218"/>
        <w:gridCol w:w="1218"/>
      </w:tblGrid>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序号</w:t>
            </w:r>
          </w:p>
        </w:tc>
        <w:tc>
          <w:tcPr>
            <w:tcW w:w="284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项目参数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护士站三气报警箱</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护士站气体报警箱</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护士站气体报警装置</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医用气体报警装置</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361"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不锈钢制气体面板900*400*200；</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废气排放泵功率：2KW</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废气排放泵功率：1KW</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284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高效过滤器</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全自动氮气汇流排组</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全自动二氧化碳汇流排组</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远程汇流排报警装置</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二级减压箱</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w:t>
            </w:r>
          </w:p>
        </w:tc>
        <w:tc>
          <w:tcPr>
            <w:tcW w:w="284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氧气流量计</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氧气终端</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35</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15</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空气终端</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16</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负压吸引终端</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33</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二氧化碳终端</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氮气终端</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19</w:t>
            </w:r>
          </w:p>
        </w:tc>
        <w:tc>
          <w:tcPr>
            <w:tcW w:w="2848"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压力表</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21</w:t>
            </w:r>
          </w:p>
        </w:tc>
      </w:tr>
      <w:tr>
        <w:tblPrEx>
          <w:tblCellMar>
            <w:top w:w="0" w:type="dxa"/>
            <w:left w:w="108" w:type="dxa"/>
            <w:bottom w:w="0" w:type="dxa"/>
            <w:right w:w="108" w:type="dxa"/>
          </w:tblCellMar>
        </w:tblPrEx>
        <w:trPr>
          <w:trHeight w:val="285" w:hRule="atLeast"/>
        </w:trPr>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20</w:t>
            </w:r>
          </w:p>
        </w:tc>
        <w:tc>
          <w:tcPr>
            <w:tcW w:w="284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气动三联体</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717"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bl>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7.智能化系统清单表</w:t>
      </w:r>
    </w:p>
    <w:tbl>
      <w:tblPr>
        <w:tblStyle w:val="63"/>
        <w:tblW w:w="4998" w:type="pct"/>
        <w:tblInd w:w="0" w:type="dxa"/>
        <w:tblLayout w:type="autofit"/>
        <w:tblCellMar>
          <w:top w:w="0" w:type="dxa"/>
          <w:left w:w="108" w:type="dxa"/>
          <w:bottom w:w="0" w:type="dxa"/>
          <w:right w:w="108" w:type="dxa"/>
        </w:tblCellMar>
      </w:tblPr>
      <w:tblGrid>
        <w:gridCol w:w="1140"/>
        <w:gridCol w:w="5072"/>
        <w:gridCol w:w="1140"/>
        <w:gridCol w:w="1140"/>
      </w:tblGrid>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序号</w:t>
            </w:r>
          </w:p>
        </w:tc>
        <w:tc>
          <w:tcPr>
            <w:tcW w:w="2985"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项目参数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r>
      <w:tr>
        <w:tblPrEx>
          <w:tblCellMar>
            <w:top w:w="0" w:type="dxa"/>
            <w:left w:w="108" w:type="dxa"/>
            <w:bottom w:w="0" w:type="dxa"/>
            <w:right w:w="108" w:type="dxa"/>
          </w:tblCellMar>
        </w:tblPrEx>
        <w:trPr>
          <w:trHeight w:val="42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2985"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呼叫系统</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r>
      <w:tr>
        <w:tblPrEx>
          <w:tblCellMar>
            <w:top w:w="0" w:type="dxa"/>
            <w:left w:w="108" w:type="dxa"/>
            <w:bottom w:w="0" w:type="dxa"/>
            <w:right w:w="108" w:type="dxa"/>
          </w:tblCellMar>
        </w:tblPrEx>
        <w:trPr>
          <w:trHeight w:val="38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呼叫系统主机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46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电源接线箱</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46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电子显示屏(单面)</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呼叫系统分机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w:t>
            </w:r>
          </w:p>
        </w:tc>
      </w:tr>
      <w:tr>
        <w:tblPrEx>
          <w:tblCellMar>
            <w:top w:w="0" w:type="dxa"/>
            <w:left w:w="108" w:type="dxa"/>
            <w:bottom w:w="0" w:type="dxa"/>
            <w:right w:w="108" w:type="dxa"/>
          </w:tblCellMar>
        </w:tblPrEx>
        <w:trPr>
          <w:trHeight w:val="20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呼叫地址盒</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2985"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广播系统（三层手术室）</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天花喇叭</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106</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音量控制器</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59</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话筒</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强插电源器</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带分区/前置广播功放</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DVD机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机柜尺寸28U,1408×535×485mm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2985"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监控系统</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r>
      <w:tr>
        <w:tblPrEx>
          <w:tblCellMar>
            <w:top w:w="0" w:type="dxa"/>
            <w:left w:w="108" w:type="dxa"/>
            <w:bottom w:w="0" w:type="dxa"/>
            <w:right w:w="108" w:type="dxa"/>
          </w:tblCellMar>
        </w:tblPrEx>
        <w:trPr>
          <w:trHeight w:val="38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网络彩色半球摄像机（带变焦）</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67</w:t>
            </w:r>
          </w:p>
        </w:tc>
      </w:tr>
      <w:tr>
        <w:tblPrEx>
          <w:tblCellMar>
            <w:top w:w="0" w:type="dxa"/>
            <w:left w:w="108" w:type="dxa"/>
            <w:bottom w:w="0" w:type="dxa"/>
            <w:right w:w="108" w:type="dxa"/>
          </w:tblCellMar>
        </w:tblPrEx>
        <w:trPr>
          <w:trHeight w:val="38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摄像机电源DC12V 2A</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67</w:t>
            </w:r>
          </w:p>
        </w:tc>
      </w:tr>
      <w:tr>
        <w:tblPrEx>
          <w:tblCellMar>
            <w:top w:w="0" w:type="dxa"/>
            <w:left w:w="108" w:type="dxa"/>
            <w:bottom w:w="0" w:type="dxa"/>
            <w:right w:w="108" w:type="dxa"/>
          </w:tblCellMar>
        </w:tblPrEx>
        <w:trPr>
          <w:trHeight w:val="38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拾音器</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网络硬盘录像服务器（32路）</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38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POE交换机(48口)</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POE交换机(24口)</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2985"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管理计算机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38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显示噐尺寸 32"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380"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机柜尺寸27U,1354*600*600mm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2985"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探视系统</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护士站主机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可视探访分机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可视病床分机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26</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三色门灯</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电源箱</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网络交换机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多媒体控制盒（服务器地址盒）</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285" w:hRule="atLeast"/>
        </w:trPr>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2985"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液晶探访显示屏</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bl>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8.强电系统清单表</w:t>
      </w:r>
    </w:p>
    <w:tbl>
      <w:tblPr>
        <w:tblStyle w:val="63"/>
        <w:tblW w:w="4997" w:type="pct"/>
        <w:tblInd w:w="0" w:type="dxa"/>
        <w:tblLayout w:type="autofit"/>
        <w:tblCellMar>
          <w:top w:w="0" w:type="dxa"/>
          <w:left w:w="108" w:type="dxa"/>
          <w:bottom w:w="0" w:type="dxa"/>
          <w:right w:w="108" w:type="dxa"/>
        </w:tblCellMar>
      </w:tblPr>
      <w:tblGrid>
        <w:gridCol w:w="768"/>
        <w:gridCol w:w="5909"/>
        <w:gridCol w:w="916"/>
        <w:gridCol w:w="897"/>
      </w:tblGrid>
      <w:tr>
        <w:tblPrEx>
          <w:tblCellMar>
            <w:top w:w="0" w:type="dxa"/>
            <w:left w:w="108" w:type="dxa"/>
            <w:bottom w:w="0" w:type="dxa"/>
            <w:right w:w="108" w:type="dxa"/>
          </w:tblCellMar>
        </w:tblPrEx>
        <w:trPr>
          <w:trHeight w:val="4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347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项目参数</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tabs>
                <w:tab w:val="left" w:pos="426"/>
              </w:tabs>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r>
      <w:tr>
        <w:tblPrEx>
          <w:tblCellMar>
            <w:top w:w="0" w:type="dxa"/>
            <w:left w:w="108" w:type="dxa"/>
            <w:bottom w:w="0" w:type="dxa"/>
            <w:right w:w="108" w:type="dxa"/>
          </w:tblCellMar>
        </w:tblPrEx>
        <w:trPr>
          <w:trHeight w:val="5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配电箱</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21</w:t>
            </w:r>
          </w:p>
        </w:tc>
      </w:tr>
      <w:tr>
        <w:tblPrEx>
          <w:tblCellMar>
            <w:top w:w="0" w:type="dxa"/>
            <w:left w:w="108" w:type="dxa"/>
            <w:bottom w:w="0" w:type="dxa"/>
            <w:right w:w="108" w:type="dxa"/>
          </w:tblCellMar>
        </w:tblPrEx>
        <w:trPr>
          <w:trHeight w:val="9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UPS不间断电源</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 xml:space="preserve">三进三出 80kVA,                          </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应急时间：30min</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106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隔离电源系统</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 xml:space="preserve">功率：8kVA                                    </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 xml:space="preserve">配置绝缘监视仪、电流互感器                        </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配置报警面板及专用电源</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套</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w:t>
            </w:r>
          </w:p>
        </w:tc>
      </w:tr>
      <w:tr>
        <w:tblPrEx>
          <w:tblCellMar>
            <w:top w:w="0" w:type="dxa"/>
            <w:left w:w="108" w:type="dxa"/>
            <w:bottom w:w="0" w:type="dxa"/>
            <w:right w:w="108" w:type="dxa"/>
          </w:tblCellMar>
        </w:tblPrEx>
        <w:trPr>
          <w:trHeight w:val="46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水泵控制箱</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应急电源盒</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规格：36w 30min</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171</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隔离电源系统中央报警显示单元</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54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等电位接地端子箱</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接线端子数量：5个</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6</w:t>
            </w:r>
          </w:p>
        </w:tc>
      </w:tr>
      <w:tr>
        <w:tblPrEx>
          <w:tblCellMar>
            <w:top w:w="0" w:type="dxa"/>
            <w:left w:w="108" w:type="dxa"/>
            <w:bottom w:w="0" w:type="dxa"/>
            <w:right w:w="108" w:type="dxa"/>
          </w:tblCellMar>
        </w:tblPrEx>
        <w:trPr>
          <w:trHeight w:val="74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 xml:space="preserve">等电位接地端子箱                            </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接线端子数量：6平方导线接线端子8个，16平方接线端子2个。</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r>
      <w:tr>
        <w:tblPrEx>
          <w:tblCellMar>
            <w:top w:w="0" w:type="dxa"/>
            <w:left w:w="108" w:type="dxa"/>
            <w:bottom w:w="0" w:type="dxa"/>
            <w:right w:w="108" w:type="dxa"/>
          </w:tblCellMar>
        </w:tblPrEx>
        <w:trPr>
          <w:trHeight w:val="66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等电位接地端子箱</w:t>
            </w:r>
            <w:r>
              <w:rPr>
                <w:rFonts w:hint="eastAsia" w:ascii="仿宋" w:hAnsi="仿宋" w:eastAsia="仿宋" w:cs="仿宋"/>
                <w:kern w:val="0"/>
                <w:sz w:val="21"/>
                <w:szCs w:val="21"/>
                <w:highlight w:val="none"/>
                <w:lang w:bidi="ar"/>
              </w:rPr>
              <w:br w:type="textWrapping"/>
            </w:r>
            <w:r>
              <w:rPr>
                <w:rFonts w:hint="eastAsia" w:ascii="仿宋" w:hAnsi="仿宋" w:eastAsia="仿宋" w:cs="仿宋"/>
                <w:kern w:val="0"/>
                <w:sz w:val="21"/>
                <w:szCs w:val="21"/>
                <w:highlight w:val="none"/>
                <w:lang w:bidi="ar"/>
              </w:rPr>
              <w:t>接线端子数量：6平方导线接线端子30个，16平方接线端子2个</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台</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10</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二三孔插座规格：250V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361</w:t>
            </w:r>
          </w:p>
        </w:tc>
      </w:tr>
      <w:tr>
        <w:tblPrEx>
          <w:tblCellMar>
            <w:top w:w="0" w:type="dxa"/>
            <w:left w:w="108" w:type="dxa"/>
            <w:bottom w:w="0" w:type="dxa"/>
            <w:right w:w="108" w:type="dxa"/>
          </w:tblCellMar>
        </w:tblPrEx>
        <w:trPr>
          <w:trHeight w:val="46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防水密闭两三孔插座规格：250V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57</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单相16A插座规格：250V/16A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11</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13</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380V插座规格：380V/20A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防爆插座规格：250V/10A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r>
      <w:tr>
        <w:tblPrEx>
          <w:tblCellMar>
            <w:top w:w="0" w:type="dxa"/>
            <w:left w:w="108" w:type="dxa"/>
            <w:bottom w:w="0" w:type="dxa"/>
            <w:right w:w="108" w:type="dxa"/>
          </w:tblCellMar>
        </w:tblPrEx>
        <w:trPr>
          <w:trHeight w:val="56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15</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防水地插座规格：250V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50</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16</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单联单控开关规格：250V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31</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17</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双联单控开关规格：250V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73</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18</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三联单控开关规格：250V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39</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19</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单联双控开关规格：250V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20</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双联双控开关规格：250V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r>
      <w:tr>
        <w:tblPrEx>
          <w:tblCellMar>
            <w:top w:w="0" w:type="dxa"/>
            <w:left w:w="108" w:type="dxa"/>
            <w:bottom w:w="0" w:type="dxa"/>
            <w:right w:w="108" w:type="dxa"/>
          </w:tblCellMar>
        </w:tblPrEx>
        <w:trPr>
          <w:trHeight w:val="46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21</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防爆单联开关 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5</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22</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四联单控开关规格：250V 10A</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w:t>
            </w:r>
          </w:p>
        </w:tc>
      </w:tr>
      <w:tr>
        <w:tblPrEx>
          <w:tblCellMar>
            <w:top w:w="0" w:type="dxa"/>
            <w:left w:w="108" w:type="dxa"/>
            <w:bottom w:w="0" w:type="dxa"/>
            <w:right w:w="108" w:type="dxa"/>
          </w:tblCellMar>
        </w:tblPrEx>
        <w:trPr>
          <w:trHeight w:val="52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23</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LED医用气密灯带（带应急电源）45W 1200x300mm 带应急模块</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24</w:t>
            </w:r>
          </w:p>
        </w:tc>
      </w:tr>
      <w:tr>
        <w:tblPrEx>
          <w:tblCellMar>
            <w:top w:w="0" w:type="dxa"/>
            <w:left w:w="108" w:type="dxa"/>
            <w:bottom w:w="0" w:type="dxa"/>
            <w:right w:w="108" w:type="dxa"/>
          </w:tblCellMar>
        </w:tblPrEx>
        <w:trPr>
          <w:trHeight w:val="52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24</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LED医用气密灯带（带应急电源）84W 1300x350mm 带应急模块</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74</w:t>
            </w:r>
          </w:p>
        </w:tc>
      </w:tr>
      <w:tr>
        <w:tblPrEx>
          <w:tblCellMar>
            <w:top w:w="0" w:type="dxa"/>
            <w:left w:w="108" w:type="dxa"/>
            <w:bottom w:w="0" w:type="dxa"/>
            <w:right w:w="108" w:type="dxa"/>
          </w:tblCellMar>
        </w:tblPrEx>
        <w:trPr>
          <w:trHeight w:val="631"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25</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LED医用气密灯带（带应急电源）45W 1300x350mm 带应急模块</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14</w:t>
            </w:r>
          </w:p>
        </w:tc>
      </w:tr>
      <w:tr>
        <w:tblPrEx>
          <w:tblCellMar>
            <w:top w:w="0" w:type="dxa"/>
            <w:left w:w="108" w:type="dxa"/>
            <w:bottom w:w="0" w:type="dxa"/>
            <w:right w:w="108" w:type="dxa"/>
          </w:tblCellMar>
        </w:tblPrEx>
        <w:trPr>
          <w:trHeight w:val="54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26</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LED医用气密灯带（带应急电源）42W 600x600mm 带应急模块</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46</w:t>
            </w:r>
          </w:p>
        </w:tc>
      </w:tr>
      <w:tr>
        <w:tblPrEx>
          <w:tblCellMar>
            <w:top w:w="0" w:type="dxa"/>
            <w:left w:w="108" w:type="dxa"/>
            <w:bottom w:w="0" w:type="dxa"/>
            <w:right w:w="108" w:type="dxa"/>
          </w:tblCellMar>
        </w:tblPrEx>
        <w:trPr>
          <w:trHeight w:val="62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27</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 84W 1300x350mm</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86</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28</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 21W 600x300mm</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29</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 45W 1200x300mm</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255</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30</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  42W 600x600mm</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264</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31</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LED医用气密灯带 42W 300x300mm</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43</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32</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气密LED筒灯规格：LED，11w</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80</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33</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防爆筒灯规格：LED，11w</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34</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“手术中”指示灯规格：LED，4w</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12</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35</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“防辐射”指示灯规格：LED，4w</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8</w:t>
            </w:r>
          </w:p>
        </w:tc>
      </w:tr>
      <w:tr>
        <w:tblPrEx>
          <w:tblCellMar>
            <w:top w:w="0" w:type="dxa"/>
            <w:left w:w="108" w:type="dxa"/>
            <w:bottom w:w="0" w:type="dxa"/>
            <w:right w:w="108" w:type="dxa"/>
          </w:tblCellMar>
        </w:tblPrEx>
        <w:trPr>
          <w:trHeight w:val="600" w:hRule="atLeast"/>
        </w:trPr>
        <w:tc>
          <w:tcPr>
            <w:tcW w:w="452"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36</w:t>
            </w:r>
          </w:p>
        </w:tc>
        <w:tc>
          <w:tcPr>
            <w:tcW w:w="3479" w:type="pct"/>
            <w:tcBorders>
              <w:top w:val="single" w:color="000000" w:sz="4" w:space="0"/>
              <w:left w:val="single" w:color="000000" w:sz="4" w:space="0"/>
              <w:bottom w:val="single" w:color="000000" w:sz="4" w:space="0"/>
              <w:right w:val="nil"/>
            </w:tcBorders>
            <w:noWrap w:val="0"/>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地脚灯规格：LED，3W</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只</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9</w:t>
            </w:r>
          </w:p>
        </w:tc>
      </w:tr>
    </w:tbl>
    <w:p>
      <w:pPr>
        <w:pStyle w:val="257"/>
        <w:tabs>
          <w:tab w:val="left" w:pos="754"/>
        </w:tabs>
        <w:spacing w:after="0" w:line="360" w:lineRule="auto"/>
        <w:ind w:left="420" w:leftChars="200"/>
        <w:outlineLvl w:val="2"/>
        <w:rPr>
          <w:rFonts w:hint="eastAsia" w:ascii="仿宋" w:hAnsi="仿宋" w:eastAsia="仿宋" w:cs="仿宋"/>
          <w:sz w:val="21"/>
          <w:szCs w:val="21"/>
          <w:highlight w:val="none"/>
        </w:rPr>
      </w:pPr>
      <w:r>
        <w:rPr>
          <w:rFonts w:hint="eastAsia" w:ascii="仿宋" w:hAnsi="仿宋" w:eastAsia="仿宋" w:cs="仿宋"/>
          <w:sz w:val="21"/>
          <w:szCs w:val="21"/>
          <w:highlight w:val="none"/>
        </w:rPr>
        <w:t>9.项目数字化服务清单表</w:t>
      </w:r>
    </w:p>
    <w:tbl>
      <w:tblPr>
        <w:tblStyle w:val="63"/>
        <w:tblW w:w="4992" w:type="pct"/>
        <w:tblInd w:w="0" w:type="dxa"/>
        <w:tblLayout w:type="fixed"/>
        <w:tblCellMar>
          <w:top w:w="0" w:type="dxa"/>
          <w:left w:w="108" w:type="dxa"/>
          <w:bottom w:w="0" w:type="dxa"/>
          <w:right w:w="108" w:type="dxa"/>
        </w:tblCellMar>
      </w:tblPr>
      <w:tblGrid>
        <w:gridCol w:w="489"/>
        <w:gridCol w:w="590"/>
        <w:gridCol w:w="861"/>
        <w:gridCol w:w="5079"/>
        <w:gridCol w:w="760"/>
        <w:gridCol w:w="702"/>
      </w:tblGrid>
      <w:tr>
        <w:tblPrEx>
          <w:tblCellMar>
            <w:top w:w="0" w:type="dxa"/>
            <w:left w:w="108" w:type="dxa"/>
            <w:bottom w:w="0" w:type="dxa"/>
            <w:right w:w="108" w:type="dxa"/>
          </w:tblCellMar>
        </w:tblPrEx>
        <w:trPr>
          <w:trHeight w:val="7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b/>
                <w:bCs/>
                <w:sz w:val="21"/>
                <w:szCs w:val="21"/>
                <w:highlight w:val="none"/>
              </w:rPr>
            </w:pPr>
            <w:r>
              <w:rPr>
                <w:rFonts w:hint="eastAsia" w:ascii="仿宋" w:hAnsi="仿宋" w:eastAsia="仿宋" w:cs="仿宋"/>
                <w:b/>
                <w:bCs/>
                <w:kern w:val="0"/>
                <w:sz w:val="21"/>
                <w:szCs w:val="21"/>
                <w:highlight w:val="none"/>
                <w:lang w:bidi="ar"/>
              </w:rPr>
              <w:t>序号</w:t>
            </w:r>
          </w:p>
        </w:tc>
        <w:tc>
          <w:tcPr>
            <w:tcW w:w="855"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center"/>
              <w:textAlignment w:val="center"/>
              <w:rPr>
                <w:rFonts w:hint="eastAsia" w:ascii="仿宋" w:hAnsi="仿宋" w:eastAsia="仿宋" w:cs="仿宋"/>
                <w:b/>
                <w:bCs/>
                <w:sz w:val="21"/>
                <w:szCs w:val="21"/>
                <w:highlight w:val="none"/>
              </w:rPr>
            </w:pPr>
            <w:r>
              <w:rPr>
                <w:rFonts w:hint="eastAsia" w:ascii="仿宋" w:hAnsi="仿宋" w:eastAsia="仿宋" w:cs="仿宋"/>
                <w:b/>
                <w:bCs/>
                <w:kern w:val="0"/>
                <w:sz w:val="21"/>
                <w:szCs w:val="21"/>
                <w:highlight w:val="none"/>
                <w:lang w:bidi="ar"/>
              </w:rPr>
              <w:t>项目名称</w:t>
            </w:r>
          </w:p>
        </w:tc>
        <w:tc>
          <w:tcPr>
            <w:tcW w:w="2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center"/>
              <w:textAlignment w:val="center"/>
              <w:rPr>
                <w:rFonts w:hint="eastAsia" w:ascii="仿宋" w:hAnsi="仿宋" w:eastAsia="仿宋" w:cs="仿宋"/>
                <w:b/>
                <w:bCs/>
                <w:sz w:val="21"/>
                <w:szCs w:val="21"/>
                <w:highlight w:val="none"/>
              </w:rPr>
            </w:pPr>
            <w:r>
              <w:rPr>
                <w:rFonts w:hint="eastAsia" w:ascii="仿宋" w:hAnsi="仿宋" w:eastAsia="仿宋" w:cs="仿宋"/>
                <w:b/>
                <w:bCs/>
                <w:kern w:val="0"/>
                <w:sz w:val="21"/>
                <w:szCs w:val="21"/>
                <w:highlight w:val="none"/>
                <w:lang w:bidi="ar"/>
              </w:rPr>
              <w:t>服务内容及说明</w:t>
            </w:r>
          </w:p>
        </w:tc>
        <w:tc>
          <w:tcPr>
            <w:tcW w:w="44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b/>
                <w:bCs/>
                <w:sz w:val="21"/>
                <w:szCs w:val="21"/>
                <w:highlight w:val="none"/>
              </w:rPr>
            </w:pPr>
            <w:r>
              <w:rPr>
                <w:rFonts w:hint="eastAsia" w:ascii="仿宋" w:hAnsi="仿宋" w:eastAsia="仿宋" w:cs="仿宋"/>
                <w:b/>
                <w:bCs/>
                <w:kern w:val="0"/>
                <w:sz w:val="21"/>
                <w:szCs w:val="21"/>
                <w:highlight w:val="none"/>
                <w:lang w:bidi="ar"/>
              </w:rPr>
              <w:t>数量</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b/>
                <w:bCs/>
                <w:sz w:val="21"/>
                <w:szCs w:val="21"/>
                <w:highlight w:val="none"/>
              </w:rPr>
            </w:pPr>
            <w:r>
              <w:rPr>
                <w:rFonts w:hint="eastAsia" w:ascii="仿宋" w:hAnsi="仿宋" w:eastAsia="仿宋" w:cs="仿宋"/>
                <w:b/>
                <w:bCs/>
                <w:kern w:val="0"/>
                <w:sz w:val="21"/>
                <w:szCs w:val="21"/>
                <w:highlight w:val="none"/>
                <w:lang w:bidi="ar"/>
              </w:rPr>
              <w:t>单位</w:t>
            </w:r>
          </w:p>
        </w:tc>
      </w:tr>
      <w:tr>
        <w:tblPrEx>
          <w:tblCellMar>
            <w:top w:w="0" w:type="dxa"/>
            <w:left w:w="108" w:type="dxa"/>
            <w:bottom w:w="0" w:type="dxa"/>
            <w:right w:w="108" w:type="dxa"/>
          </w:tblCellMar>
        </w:tblPrEx>
        <w:trPr>
          <w:trHeight w:val="940" w:hRule="atLeast"/>
        </w:trPr>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kern w:val="0"/>
                <w:sz w:val="21"/>
                <w:szCs w:val="21"/>
                <w:highlight w:val="none"/>
                <w:lang w:bidi="ar"/>
              </w:rPr>
            </w:pPr>
          </w:p>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其他服务类</w:t>
            </w:r>
          </w:p>
        </w:tc>
        <w:tc>
          <w:tcPr>
            <w:tcW w:w="5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空气品质智慧平台</w:t>
            </w:r>
          </w:p>
        </w:tc>
        <w:tc>
          <w:tcPr>
            <w:tcW w:w="29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空气品质智慧平台：</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1、对实时空气质量进行监测，记录，过往空气质量数据可追随，实现洁净区域空气质量数字化；</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2、通过空气质量监测、记录，督促净化耗材定期更换，确保空气质量指标实时达标；</w:t>
            </w:r>
          </w:p>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3、平台可记录三年数据，建立监管数据库，可随时调阅三年内各科室空气质量数据，现实洁净科室空气品质监管数字化；</w:t>
            </w:r>
          </w:p>
        </w:tc>
        <w:tc>
          <w:tcPr>
            <w:tcW w:w="44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w:t>
            </w:r>
          </w:p>
        </w:tc>
      </w:tr>
      <w:tr>
        <w:tblPrEx>
          <w:tblCellMar>
            <w:top w:w="0" w:type="dxa"/>
            <w:left w:w="108" w:type="dxa"/>
            <w:bottom w:w="0" w:type="dxa"/>
            <w:right w:w="108" w:type="dxa"/>
          </w:tblCellMar>
        </w:tblPrEx>
        <w:trPr>
          <w:trHeight w:val="780" w:hRule="atLeast"/>
        </w:trPr>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tabs>
                <w:tab w:val="left" w:pos="426"/>
              </w:tabs>
              <w:jc w:val="center"/>
              <w:rPr>
                <w:rFonts w:hint="eastAsia" w:ascii="仿宋" w:hAnsi="仿宋" w:eastAsia="仿宋" w:cs="仿宋"/>
                <w:sz w:val="21"/>
                <w:szCs w:val="21"/>
                <w:highlight w:val="none"/>
              </w:rPr>
            </w:pPr>
          </w:p>
        </w:tc>
        <w:tc>
          <w:tcPr>
            <w:tcW w:w="5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运营管理智慧平台</w:t>
            </w:r>
          </w:p>
        </w:tc>
        <w:tc>
          <w:tcPr>
            <w:tcW w:w="29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运营管理智慧平台：</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1、建立服务范围内空调、净化、医气等设备编码，建立在线台账；</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2、平台导入巡视计划、预防性保养计划等模板，督促并监督落实托管过程服务；</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3、巡检：对辖区设备进行巡检并扫码并上传巡视内容，平台进行记录，时间精确到秒；</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4、维修：设备维修，将设备故障状态及维修后的状态进行拍照，同维修确认单据上传至平台；</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5、保养：将设备保养前后照片上传至平台；</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6、耗材更换：将更换前后的耗材照片上传至平台；</w:t>
            </w:r>
          </w:p>
          <w:p>
            <w:pPr>
              <w:widowControl/>
              <w:tabs>
                <w:tab w:val="left" w:pos="426"/>
              </w:tabs>
              <w:jc w:val="left"/>
              <w:textAlignment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7、配件更换：将更换前后的配件照片上传至平台</w:t>
            </w:r>
          </w:p>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通过以上手段，平台收集并分析区域设备使用情况，并具备分类数据导出功能，便于后勤管理及监督，实现托管服务过程数字化。</w:t>
            </w:r>
          </w:p>
        </w:tc>
        <w:tc>
          <w:tcPr>
            <w:tcW w:w="44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w:t>
            </w:r>
          </w:p>
        </w:tc>
      </w:tr>
      <w:tr>
        <w:tblPrEx>
          <w:tblCellMar>
            <w:top w:w="0" w:type="dxa"/>
            <w:left w:w="108" w:type="dxa"/>
            <w:bottom w:w="0" w:type="dxa"/>
            <w:right w:w="108" w:type="dxa"/>
          </w:tblCellMar>
        </w:tblPrEx>
        <w:trPr>
          <w:trHeight w:val="640" w:hRule="atLeast"/>
        </w:trPr>
        <w:tc>
          <w:tcPr>
            <w:tcW w:w="2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tabs>
                <w:tab w:val="left" w:pos="426"/>
              </w:tabs>
              <w:jc w:val="center"/>
              <w:rPr>
                <w:rFonts w:hint="eastAsia" w:ascii="仿宋" w:hAnsi="仿宋" w:eastAsia="仿宋" w:cs="仿宋"/>
                <w:sz w:val="21"/>
                <w:szCs w:val="21"/>
                <w:highlight w:val="none"/>
              </w:rPr>
            </w:pPr>
          </w:p>
        </w:tc>
        <w:tc>
          <w:tcPr>
            <w:tcW w:w="5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abs>
                <w:tab w:val="left" w:pos="426"/>
              </w:tabs>
              <w:jc w:val="left"/>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节能管理</w:t>
            </w:r>
          </w:p>
        </w:tc>
        <w:tc>
          <w:tcPr>
            <w:tcW w:w="299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257"/>
              <w:tabs>
                <w:tab w:val="left" w:pos="754"/>
              </w:tabs>
              <w:spacing w:after="0" w:line="240" w:lineRule="auto"/>
              <w:ind w:left="0" w:leftChars="0" w:firstLine="0" w:firstLineChars="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1.对全院用能设备进行诊断，制定优化方案。</w:t>
            </w:r>
          </w:p>
          <w:p>
            <w:pPr>
              <w:pStyle w:val="257"/>
              <w:tabs>
                <w:tab w:val="left" w:pos="754"/>
              </w:tabs>
              <w:spacing w:after="0" w:line="240" w:lineRule="auto"/>
              <w:ind w:left="0" w:leftChars="0" w:firstLine="0" w:firstLineChars="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2.行为节能管理：适当区域张贴节能标识，提升医、患节约意识。</w:t>
            </w:r>
          </w:p>
          <w:p>
            <w:pPr>
              <w:pStyle w:val="257"/>
              <w:tabs>
                <w:tab w:val="left" w:pos="754"/>
              </w:tabs>
              <w:spacing w:after="0" w:line="240" w:lineRule="auto"/>
              <w:ind w:left="0" w:leftChars="0" w:firstLine="0" w:firstLineChars="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3.空调开启时段关门关窗，人离关灯及空调。</w:t>
            </w:r>
          </w:p>
          <w:p>
            <w:pPr>
              <w:pStyle w:val="257"/>
              <w:tabs>
                <w:tab w:val="left" w:pos="754"/>
              </w:tabs>
              <w:spacing w:after="0" w:line="240" w:lineRule="auto"/>
              <w:ind w:left="0" w:leftChars="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4.巡视过程中，发现跑、冒、滴、漏现象，及时处理，减少长明灯、长流水现象。</w:t>
            </w:r>
          </w:p>
        </w:tc>
        <w:tc>
          <w:tcPr>
            <w:tcW w:w="44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tabs>
                <w:tab w:val="left" w:pos="426"/>
              </w:tabs>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项</w:t>
            </w:r>
          </w:p>
        </w:tc>
      </w:tr>
    </w:tbl>
    <w:p>
      <w:pPr>
        <w:shd w:val="clear" w:color="auto" w:fill="FFFFFF"/>
        <w:tabs>
          <w:tab w:val="left" w:pos="426"/>
        </w:tabs>
        <w:spacing w:line="360" w:lineRule="auto"/>
        <w:ind w:firstLine="422" w:firstLineChars="200"/>
        <w:outlineLvl w:val="0"/>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eastAsia="zh-CN"/>
        </w:rPr>
        <w:t>二、</w:t>
      </w:r>
      <w:r>
        <w:rPr>
          <w:rFonts w:hint="eastAsia" w:ascii="仿宋" w:hAnsi="仿宋" w:eastAsia="仿宋" w:cs="仿宋"/>
          <w:b/>
          <w:bCs/>
          <w:sz w:val="21"/>
          <w:szCs w:val="21"/>
          <w:highlight w:val="none"/>
        </w:rPr>
        <w:t xml:space="preserve">  服务内容</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（一）、维护保养的标准：</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保障医院范围内医疗空间、空调系统稳定运行并达到国家相关标准。</w:t>
      </w:r>
    </w:p>
    <w:p>
      <w:pPr>
        <w:tabs>
          <w:tab w:val="left" w:pos="426"/>
        </w:tabs>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1）中标人指派专业技术人员对净化系统进行现场维护保养服务。</w:t>
      </w:r>
    </w:p>
    <w:p>
      <w:pPr>
        <w:tabs>
          <w:tab w:val="left" w:pos="426"/>
        </w:tabs>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中标人指派2名技术人员24小时驻点服务。</w:t>
      </w:r>
    </w:p>
    <w:p>
      <w:pPr>
        <w:tabs>
          <w:tab w:val="left" w:pos="426"/>
        </w:tabs>
        <w:spacing w:line="360" w:lineRule="auto"/>
        <w:ind w:firstLine="422" w:firstLineChars="200"/>
        <w:rPr>
          <w:rFonts w:hint="eastAsia" w:ascii="仿宋" w:hAnsi="仿宋" w:eastAsia="仿宋" w:cs="仿宋"/>
          <w:sz w:val="21"/>
          <w:szCs w:val="21"/>
          <w:highlight w:val="none"/>
        </w:rPr>
      </w:pPr>
      <w:r>
        <w:rPr>
          <w:rFonts w:hint="eastAsia" w:ascii="仿宋" w:hAnsi="仿宋" w:eastAsia="仿宋" w:cs="仿宋"/>
          <w:b/>
          <w:sz w:val="21"/>
          <w:szCs w:val="21"/>
          <w:highlight w:val="none"/>
        </w:rPr>
        <w:t>2）中标人对医院空调机组及其它设备的运行情况定期作详细的记录.</w:t>
      </w:r>
      <w:r>
        <w:rPr>
          <w:rFonts w:hint="eastAsia" w:ascii="仿宋" w:hAnsi="仿宋" w:eastAsia="仿宋" w:cs="仿宋"/>
          <w:sz w:val="21"/>
          <w:szCs w:val="21"/>
          <w:highlight w:val="none"/>
        </w:rPr>
        <w:t xml:space="preserve">  </w:t>
      </w:r>
    </w:p>
    <w:p>
      <w:pPr>
        <w:pStyle w:val="257"/>
        <w:numPr>
          <w:ilvl w:val="0"/>
          <w:numId w:val="2"/>
        </w:numPr>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高、中效的压差是否按设计调校的高、中效过滤器设计的终阻力，如果</w:t>
      </w:r>
    </w:p>
    <w:p>
      <w:pPr>
        <w:pStyle w:val="257"/>
        <w:spacing w:line="360" w:lineRule="auto"/>
        <w:ind w:left="0"/>
        <w:rPr>
          <w:rFonts w:hint="eastAsia" w:ascii="仿宋" w:hAnsi="仿宋" w:eastAsia="仿宋" w:cs="仿宋"/>
          <w:sz w:val="21"/>
          <w:szCs w:val="21"/>
          <w:highlight w:val="none"/>
        </w:rPr>
      </w:pPr>
      <w:r>
        <w:rPr>
          <w:rFonts w:hint="eastAsia" w:ascii="仿宋" w:hAnsi="仿宋" w:eastAsia="仿宋" w:cs="仿宋"/>
          <w:sz w:val="21"/>
          <w:szCs w:val="21"/>
          <w:highlight w:val="none"/>
        </w:rPr>
        <w:t>没有，按正确步骤调校到高、中效过滤器设计的终阻力。如果高、中效过滤器很快达到设计的终阻力，要求准备相应的过滤器。否则会破坏医院的压力分布梯度，造成医院的交叉污染。</w:t>
      </w:r>
    </w:p>
    <w:p>
      <w:pPr>
        <w:pStyle w:val="257"/>
        <w:numPr>
          <w:ilvl w:val="0"/>
          <w:numId w:val="2"/>
        </w:numPr>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空气处理机内风机、马达运行情况：检查风机的运行频率、声音，如果</w:t>
      </w:r>
    </w:p>
    <w:p>
      <w:pPr>
        <w:pStyle w:val="257"/>
        <w:spacing w:line="360" w:lineRule="auto"/>
        <w:ind w:left="0"/>
        <w:rPr>
          <w:rFonts w:hint="eastAsia" w:ascii="仿宋" w:hAnsi="仿宋" w:eastAsia="仿宋" w:cs="仿宋"/>
          <w:sz w:val="21"/>
          <w:szCs w:val="21"/>
          <w:highlight w:val="none"/>
        </w:rPr>
      </w:pPr>
      <w:r>
        <w:rPr>
          <w:rFonts w:hint="eastAsia" w:ascii="仿宋" w:hAnsi="仿宋" w:eastAsia="仿宋" w:cs="仿宋"/>
          <w:sz w:val="21"/>
          <w:szCs w:val="21"/>
          <w:highlight w:val="none"/>
        </w:rPr>
        <w:t>发出尖叫声应该加润滑油保养设备；马达磨损严重应该准备相应规格的马达轴，否则会造成长时间停机，洁净室不能运用。确保机组的正常运行。</w:t>
      </w:r>
    </w:p>
    <w:p>
      <w:pPr>
        <w:pStyle w:val="257"/>
        <w:numPr>
          <w:ilvl w:val="0"/>
          <w:numId w:val="2"/>
        </w:numPr>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加湿器：定期检查加湿器运行状态。</w:t>
      </w:r>
    </w:p>
    <w:p>
      <w:pPr>
        <w:pStyle w:val="257"/>
        <w:numPr>
          <w:ilvl w:val="0"/>
          <w:numId w:val="2"/>
        </w:numPr>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系统压差：每个星期检查洁净室对外压差，因为随着系统的运行高效过</w:t>
      </w:r>
    </w:p>
    <w:p>
      <w:pPr>
        <w:pStyle w:val="257"/>
        <w:spacing w:after="0" w:line="360" w:lineRule="auto"/>
        <w:ind w:left="0"/>
        <w:rPr>
          <w:rFonts w:hint="eastAsia" w:ascii="仿宋" w:hAnsi="仿宋" w:eastAsia="仿宋" w:cs="仿宋"/>
          <w:sz w:val="21"/>
          <w:szCs w:val="21"/>
          <w:highlight w:val="none"/>
        </w:rPr>
      </w:pPr>
      <w:r>
        <w:rPr>
          <w:rFonts w:hint="eastAsia" w:ascii="仿宋" w:hAnsi="仿宋" w:eastAsia="仿宋" w:cs="仿宋"/>
          <w:sz w:val="21"/>
          <w:szCs w:val="21"/>
          <w:highlight w:val="none"/>
        </w:rPr>
        <w:t>滤器的阻力越来越大系统的风量越来越小，系统对外的正压被破坏，易形成交叉感染。此时调节马达的频率增加风量保证压差，避免交叉感染。</w:t>
      </w:r>
    </w:p>
    <w:p>
      <w:pPr>
        <w:tabs>
          <w:tab w:val="left" w:pos="426"/>
        </w:tabs>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3）中标人每周对医院净化机组及系统的清洁情况作详细的记录：</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A：空气处理机内冷凝水排放情况：尽管采用正压送风尽量避免冷凝水存积，</w:t>
      </w:r>
    </w:p>
    <w:p>
      <w:pPr>
        <w:tabs>
          <w:tab w:val="left" w:pos="426"/>
        </w:tabs>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且冷凝水倒流，有可能冷凝水接受盘、机组安装不平衡存积冷凝水滋生细菌并发出臭味。最好每周检查、清除存积冷凝水。</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B：净化系统的初效过滤器：初效过滤器安装在新风管道的开端，是流动空</w:t>
      </w:r>
    </w:p>
    <w:p>
      <w:pPr>
        <w:tabs>
          <w:tab w:val="left" w:pos="426"/>
        </w:tabs>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气的第一道过滤，新风是保证人体呼吸、洁净室压差、洁净室气体置换的风。如果新风过滤器被堵净化系统被破坏，因此必须每周清洁新风初效过滤器。并作详细的记录。</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C：洁净室回风口：洁净室回风口安装在室内墙壁距地150mm，风口拆卸且</w:t>
      </w:r>
    </w:p>
    <w:p>
      <w:pPr>
        <w:tabs>
          <w:tab w:val="left" w:pos="426"/>
        </w:tabs>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带初效过滤网。洁净室在使用过程中经过系统的自净达到净化效果。如果在自净过程中大的微粒长时间留在过滤网上为细菌的滋生提供了环境和条件。</w:t>
      </w:r>
    </w:p>
    <w:p>
      <w:pPr>
        <w:tabs>
          <w:tab w:val="left" w:pos="426"/>
        </w:tabs>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4）空调系统的例行保养。</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A：每个月检查一次机组气密性。</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B：定期检测初、中效过滤器。</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新风管中的初效过滤器，每周用水清洁或视当地室外环境而定。</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机组内的初效过滤器：实时检测压差情况更换。</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机组内的中效过滤器：实时检测压差情况更换，不得用水清洗。</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C：定期清洁水管管道过滤器。管道过滤器，每个月清洗一次。</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D：每个月检查空气处理机组内风机、马达及机械传动部件的松紧并润滑保养。</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E：空气处理机组内冷热盘管的排污、排气以及清洁。</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F：每个月对空气处理机内加湿器的排污检查。</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G：定期（每月）检查控制元件：</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温湿度传感器、压差传感器、高温断路器、空气压差开关、急停开关、管道</w:t>
      </w:r>
    </w:p>
    <w:p>
      <w:pPr>
        <w:tabs>
          <w:tab w:val="left" w:pos="426"/>
        </w:tabs>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温度开关、电动比例积分二通阀、平衡阀、蒸汽电动调节阀、风阀执行器。主机清洁及加氟里昂。</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H：定期（每三个月）检查高效过滤器。</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检查高效过滤器要由专业人事进行。高效过滤是否漏风或堵塞。</w:t>
      </w:r>
    </w:p>
    <w:p>
      <w:pPr>
        <w:tabs>
          <w:tab w:val="left" w:pos="426"/>
        </w:tabs>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5）空调水系统运行程序：（风冷式热泵机组运行记录）</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A：注意事项</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检查水系统水量是否充满，空气是否排放干净，所有水阀开关是处于适当位置；</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检查所有温度计（表）、压力表、阀门、过滤器是否正常。</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B：开机后检查</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水系统供回水压力表是否正确工作在状态压力范围，水系统空气是否排除干净；</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水系统供回水温度是否处于设定正确工作状态压力范围；</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检查电制冷机组冷媒高低压力是否处于正确工作状态压力范围；</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当出现不正常现象，应立即停机检查，排除故障后，才能重新启动使用。</w:t>
      </w:r>
    </w:p>
    <w:p>
      <w:pPr>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C：保养事项</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空调水系统必须的由专业技术人员负责操作、开机、维护保养；</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每周定期需要作室内外温湿度、冷热水进出温度、水压、电流，并做好记录，</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以便做调整参数及维修的参考；</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定期清洗管道过滤器，三个月用水清洗一次；</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定期检查所有阀门，是否处于良好状态；</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免费为采购人培训日常保养、定期举行净化知识讲座。</w:t>
      </w:r>
    </w:p>
    <w:p>
      <w:pPr>
        <w:tabs>
          <w:tab w:val="left" w:pos="426"/>
        </w:tabs>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6）蒸汽系统的例行保养：</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A：定期检查</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在蒸汽发生器的日常使用过程中，需定期进行一系列检查工作，以确保设备的安全与稳定运行。具体检查项目包括：</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 运行时间检查：记录设备的运行时间，以便及时发现潜在问题并采取相应措施。</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 温度、压力、流量等参数检查：定期检查设备的相关参数，确保其在规定范围内。</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 维护保养记录跟踪：建立设备维护保养记录，明确维护保养责任人及维护保养时间，以确保设备得到及时的保养和维护。</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B：部件更换</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为确保蒸汽发生器的长期稳定运行，需要及时更换一些内部和外部部件。部件更换包括以下方面：</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 内部部件更换：如燃烧器、水位传感器、压力传感器等部件，需定期进行更换以避免设备故障。</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 外部部件更换：如管道、阀门、散热器等部件，如有损坏或老化，应及时更换以保证设备正常运行。</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 部件更换记录跟踪：每次更换部件后，需及时记录更换时间、更换部件名称及更换原因，以便日后查询。</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C：清洁和维护</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为保证蒸汽发生器的正常运行和使用寿命，需定期进行清洁和维护。清洁和维护工作包括以下方面：</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 内部清洁：定期清理设备内部的积灰、油污等杂质，以避免影响设备的散热和燃烧效果。</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 外部清洁：清洗设备的外部表面，去除积尘和杂物，确保设备散热良好。</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 维护保养记录跟踪：对设备的每次清洁和维护进行记录，明确维护保养内容及效果，以便日后查阅。</w:t>
      </w:r>
    </w:p>
    <w:p>
      <w:pPr>
        <w:tabs>
          <w:tab w:val="left" w:pos="426"/>
        </w:tabs>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7）医用气体系统的例行保养：</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 定期检查气体管道</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定期检查气体管道的连接处、弯头、阀门等易漏气部位，观察管道是否出现变形、锈蚀、损伤等情况。对于存在问题的管道，及时进行维修或更换。同时，要定期对管道进行气密性检测，以排除潜在的安全隐患。</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 气体设备清洁消毒</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每周对气体设备进行清洁消毒，包括氧气发生器、气体阀门、过滤器等。用酒精擦拭设备表面并晾干，以保持设备清洁无菌。同时，要定期检查设备的运行状态，发现异常及时处理。</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c.气密性检测</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气密性检测是保障气体系统安全运行的关键措施。可采用肥皂水涂抹法、电子检漏仪等手段进行检测。在检测过程中，要确保系统不漏气，以避免因漏气导致的不安全事件。</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d. 故障及时排除</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当医用气体系统出现故障时，要立即采取应急处理措施，如关闭相应阀门、停止使用等。同时要及时查找故障原因，进行维修或更换部件，确保系统恢复正常运行。</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e. 安全阀校准</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安全阀是医用气体系统中的重要组成部分，能够保障气体压力的稳定。一般每三年由专业人员进行校准一次，以确保安全阀的准确性和可靠性。</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f. 过滤器更换</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过滤器可以过滤掉大部分的杂质和颗粒物，因此更换过滤器也是保障气体质量的重要措施。一般每半年更换一次，以确保医用气体的纯净度。</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g. 压力调节</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调节气体压力是保障医用气体系统稳定运行的重要环节。要定期检查压力表是否正常工作，调节压力至规定范围内，同时要注意调节精度和安全性，以避免因压力波动导致的不安全事件。</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h. 报警系统检测</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医用气体系统中报警系统的检测也非常重要，要确保系统出现漏气等异常情况时能够及时报警。要定期检查报警系统的灵敏性和可靠性，及时维修或更换故障部件，以保证系统的正常运行。</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i. 维护记录</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记录医用气体系统维护情况，包括维护时间、维护人员、维护内容等，以便日后查看。通过建立完善的维护记录制度，可以追溯系统的维修保养历史，及时发现并解决潜在问题。</w:t>
      </w:r>
    </w:p>
    <w:p>
      <w:pPr>
        <w:tabs>
          <w:tab w:val="left" w:pos="426"/>
        </w:tabs>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8）电气系统的例行保养：</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a. 日常检查</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日常检查是保障医院电气系统安全运行的重要措施。应每天对电气系统的各个组成部分进行检查，包括供电设备、配电系统、照明系统等，观察是否有异常现象，如发热、异味、破损等，并及时处理异常情况。</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b. 定期维护</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定期维护是保障医院电气系统稳定运行的重要措施。应定期对电气系统的各个组成部分进行维护保养，包括清洁、润滑、检查、调整等，以保持良好的工作状态。</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c. 设备更换</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设备更换是保障医院电气系统可靠运行的重要措施。对于损坏严重或达到使用寿命的电气设备应及时进行更换，以保证系统的可靠性。</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d. 应急处理</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应急处理是保障医院电气系统安全运行的重要环节。在遇到突发事件或电气故障时，应立即采取应急措施，如切断电源、疏散人员等，以避免事故扩大。</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e. 安全防护</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安全防护是保障医院电气系统安全运行的重要措施。应采取有效的安全防护措施，如安装漏电保护器、设置防雷系统等，以保护医护人员和患者的安全。</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f. 记录和报告</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记录和报告是医院电气系统检修保养工作的重要组成部分。应记录每次检修保养工作的内容、时间、人员等信息，并定期向上级主管部门汇报，以便及时发现问题并处理。</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g. 培训和教育</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培训和教育是提高医院电气系统检修保养水平的重要措施。应针对医护人员和技术人员进行培训和教育，提高他们对电气系统的认识和操作技能，以避免因操作不当导致的安全事故。</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h. 合规性检查</w:t>
      </w:r>
    </w:p>
    <w:p>
      <w:pPr>
        <w:shd w:val="clear" w:color="auto" w:fill="FFFFFF"/>
        <w:tabs>
          <w:tab w:val="left" w:pos="426"/>
        </w:tabs>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合规性检查是保障医院电气系统符合相关法规标准的重要措施。应定期对电气系统的各个组成部分进行检查，确保其符合国家相关法规标准，如电气安全规范、</w:t>
      </w:r>
      <w:r>
        <w:rPr>
          <w:rFonts w:hint="eastAsia" w:ascii="仿宋" w:hAnsi="仿宋" w:eastAsia="仿宋" w:cs="仿宋"/>
          <w:sz w:val="21"/>
          <w:szCs w:val="21"/>
          <w:highlight w:val="none"/>
          <w:lang w:eastAsia="zh-CN"/>
        </w:rPr>
        <w:t>净化系统</w:t>
      </w:r>
      <w:r>
        <w:rPr>
          <w:rFonts w:hint="eastAsia" w:ascii="仿宋" w:hAnsi="仿宋" w:eastAsia="仿宋" w:cs="仿宋"/>
          <w:sz w:val="21"/>
          <w:szCs w:val="21"/>
          <w:highlight w:val="none"/>
        </w:rPr>
        <w:t>标准等。同时，还应积极配合相关部门的检查工作，及时整改问题，确保系统的合规性。</w:t>
      </w:r>
    </w:p>
    <w:p>
      <w:pPr>
        <w:pStyle w:val="257"/>
        <w:tabs>
          <w:tab w:val="left" w:pos="754"/>
        </w:tabs>
        <w:spacing w:after="0" w:line="360" w:lineRule="auto"/>
        <w:ind w:left="0"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（二）其他服务运营维修保养服务内容</w:t>
      </w:r>
    </w:p>
    <w:p>
      <w:pPr>
        <w:pStyle w:val="257"/>
        <w:tabs>
          <w:tab w:val="left" w:pos="754"/>
        </w:tabs>
        <w:spacing w:after="0" w:line="360" w:lineRule="auto"/>
        <w:ind w:left="0"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运营管理智慧平台</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（1）建立空调、净化、医气等设备编码，建立在线台账；</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（2）平台导入巡视计划、预防性保养计划等模板，督促并监督落实托管过程服务；</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（3）巡检：对辖区设备进行巡检并扫码并上传巡视内容，平台进行记录，时间精确到秒；</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（4）维修：设备维修，将设备故障状态及维修后的状态进行拍照，同维修确认单据上传至平台；</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（5）保养：将设备保养前后照片上传至平台；</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（6）耗材更换：将更换前后的耗材照片上传至平台；</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（7）配件更换：将更换前后的配件照片上传至平台。</w:t>
      </w:r>
    </w:p>
    <w:p>
      <w:pPr>
        <w:pStyle w:val="257"/>
        <w:tabs>
          <w:tab w:val="left" w:pos="754"/>
        </w:tabs>
        <w:spacing w:after="0" w:line="360" w:lineRule="auto"/>
        <w:ind w:left="0"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空气品质智慧平台</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（1）对实时空气质量进行监测，记录，过往空气质量数据可追随，实现洁净区域空气质量数字化；</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（2）通过空气质量监测、记录，督促净化耗材定期更换，确保空气质量指标实时达标；</w:t>
      </w:r>
    </w:p>
    <w:p>
      <w:pPr>
        <w:pStyle w:val="257"/>
        <w:tabs>
          <w:tab w:val="left" w:pos="754"/>
        </w:tabs>
        <w:spacing w:after="0" w:line="360" w:lineRule="auto"/>
        <w:ind w:left="0" w:firstLine="420" w:firstLineChars="200"/>
        <w:rPr>
          <w:rFonts w:hint="eastAsia" w:ascii="仿宋" w:hAnsi="仿宋" w:eastAsia="仿宋" w:cs="仿宋"/>
          <w:sz w:val="21"/>
          <w:szCs w:val="21"/>
          <w:highlight w:val="none"/>
          <w:lang w:bidi="ar"/>
        </w:rPr>
      </w:pPr>
      <w:r>
        <w:rPr>
          <w:rFonts w:hint="eastAsia" w:ascii="仿宋" w:hAnsi="仿宋" w:eastAsia="仿宋" w:cs="仿宋"/>
          <w:sz w:val="21"/>
          <w:szCs w:val="21"/>
          <w:highlight w:val="none"/>
        </w:rPr>
        <w:t>（3）平台可记录三年数据，建立监管数据库，可随时调阅三年内各科室</w:t>
      </w:r>
      <w:r>
        <w:rPr>
          <w:rFonts w:hint="eastAsia" w:ascii="仿宋" w:hAnsi="仿宋" w:eastAsia="仿宋" w:cs="仿宋"/>
          <w:sz w:val="21"/>
          <w:szCs w:val="21"/>
          <w:highlight w:val="none"/>
          <w:lang w:bidi="ar"/>
        </w:rPr>
        <w:t>空气质量数据。</w:t>
      </w:r>
    </w:p>
    <w:p>
      <w:pPr>
        <w:pStyle w:val="257"/>
        <w:tabs>
          <w:tab w:val="left" w:pos="754"/>
        </w:tabs>
        <w:spacing w:after="0" w:line="360" w:lineRule="auto"/>
        <w:ind w:left="0"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对范围内空调进行节能管理：</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（1）对全院用能设备进行诊断，制定优化方案；</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（2）行为节能管理：适当区域张贴节能标识，提升医、患节约意识；</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（3）空调开启时段关门关窗，人离关灯及空调；</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（4）巡视过程中，发现跑、冒、滴、漏现象，及时处理，减少长明灯、长流水现象</w:t>
      </w:r>
    </w:p>
    <w:p>
      <w:pPr>
        <w:pStyle w:val="257"/>
        <w:tabs>
          <w:tab w:val="left" w:pos="754"/>
        </w:tabs>
        <w:spacing w:after="0" w:line="360" w:lineRule="auto"/>
        <w:ind w:left="0"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（三）院内运营维修保养服务要求</w:t>
      </w:r>
    </w:p>
    <w:p>
      <w:pPr>
        <w:pStyle w:val="257"/>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（1）中标人按采购人要求的时间、地点提供服务，坚持服务质量第一，准确、快速的排除突发故障。</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w:t>
      </w:r>
      <w:r>
        <w:rPr>
          <w:rFonts w:hint="eastAsia" w:ascii="仿宋" w:hAnsi="仿宋" w:eastAsia="仿宋" w:cs="仿宋"/>
          <w:kern w:val="0"/>
          <w:sz w:val="21"/>
          <w:szCs w:val="21"/>
          <w:highlight w:val="none"/>
        </w:rPr>
        <w:t>所有工作人员统一着装</w:t>
      </w:r>
      <w:r>
        <w:rPr>
          <w:rFonts w:hint="eastAsia" w:ascii="仿宋" w:hAnsi="仿宋" w:eastAsia="仿宋" w:cs="仿宋"/>
          <w:sz w:val="21"/>
          <w:szCs w:val="21"/>
          <w:highlight w:val="none"/>
        </w:rPr>
        <w:t>、衣着整洁、佩带胸卡。</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（3）中标人在接到采购人的故障电话后 15 分钟内到达现场，在最短时间内检查出故障，并及时排除（须更换损坏零部件清单，经采购人主管确认签字后更换）。</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（4）保养内容应严格按照保养制度进行，并由采购人签字确认。</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（5）保持工作现场的整洁卫生，工作人员仅限在工作场地内活动，未经采购人许可严禁进入其他区域。</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（6）中标人负责合同范围内所有的零配件费用。</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（7）由中标人更换零配件及其所代购的零件，中标人均选用正规厂家出厂合格品牌并对其提供托管，在此期间发生二次损坏由中标人负责更换。</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（8）中标人向采购人传授正确的使用方法，努力减少故障的发生。</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（9）遵守采购人的规章制度、作息时间及有关规定。</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（10）中标人积极配合医院做好上级检查及制定出切实可行的保障措施。若在维护过程中造成人员伤亡或财产损失，由中标人承担全部赔偿责任及发生的全部费用。</w:t>
      </w:r>
    </w:p>
    <w:p>
      <w:pPr>
        <w:shd w:val="clear" w:color="auto" w:fill="FFFFFF"/>
        <w:tabs>
          <w:tab w:val="left" w:pos="426"/>
        </w:tabs>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（11）中标人确保项目服务质量，严格遵循验收制度，每次维修保养后出具书面验收报告，双方签字确认。</w:t>
      </w:r>
    </w:p>
    <w:p>
      <w:pPr>
        <w:pStyle w:val="257"/>
        <w:widowControl w:val="0"/>
        <w:tabs>
          <w:tab w:val="left" w:pos="754"/>
        </w:tabs>
        <w:spacing w:after="0"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（四）运营托管要求</w:t>
      </w:r>
    </w:p>
    <w:p>
      <w:pPr>
        <w:pStyle w:val="257"/>
        <w:widowControl w:val="0"/>
        <w:snapToGrid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（1）在设备托管期内，因设备本身的缺陷导致各种故障，中标人应负责免费更换产品，提供技术服务和指导设备维修。</w:t>
      </w:r>
    </w:p>
    <w:p>
      <w:pPr>
        <w:pStyle w:val="257"/>
        <w:widowControl w:val="0"/>
        <w:snapToGrid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（2）如设备在托管期后发生故障，中标人在收到采购人的书面维修通知后，应即时给予响应。在托管期内的工作应包括对所有设备</w:t>
      </w:r>
      <w:r>
        <w:rPr>
          <w:rFonts w:hint="eastAsia" w:ascii="仿宋" w:hAnsi="仿宋" w:eastAsia="仿宋" w:cs="仿宋"/>
          <w:sz w:val="21"/>
          <w:szCs w:val="21"/>
          <w:highlight w:val="none"/>
          <w:u w:val="thick"/>
        </w:rPr>
        <w:t>每周至少1次</w:t>
      </w:r>
      <w:r>
        <w:rPr>
          <w:rFonts w:hint="eastAsia" w:ascii="仿宋" w:hAnsi="仿宋" w:eastAsia="仿宋" w:cs="仿宋"/>
          <w:sz w:val="21"/>
          <w:szCs w:val="21"/>
          <w:highlight w:val="none"/>
        </w:rPr>
        <w:t>的常规检查、调整和润滑。</w:t>
      </w:r>
    </w:p>
    <w:p>
      <w:pPr>
        <w:pStyle w:val="257"/>
        <w:widowControl w:val="0"/>
        <w:snapToGrid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（3）中标人在投标文件中所承诺的辅材、配件价格及托管期外的托管年费及服务方案做为合同的一部分。</w:t>
      </w:r>
    </w:p>
    <w:p>
      <w:pPr>
        <w:pStyle w:val="257"/>
        <w:widowControl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在托管期内，中标人应保证所提供设备无故障开机运行，如达不到要求，托管期应顺延，并且中标人应赔偿采购人经济损失。对托管期内的维修服务，中标人应在接到采购人通知后15分钟内做出响应并提出解决办法，无偿负责设备的调试或更换已损坏的零部件；托管期以后的维修服务，中标人驻场人员应做到在采购人发出维修通知后及时进行设备维修，更换已损坏的零部件。乙甲双方将对托管期外服务条款及费用的收取签署托管协议。</w:t>
      </w:r>
    </w:p>
    <w:p>
      <w:pPr>
        <w:pStyle w:val="257"/>
        <w:widowControl w:val="0"/>
        <w:snapToGrid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（5）每个维护项目完成后，经采购人验收并签字后，方为该维修项目本次维修完毕。</w:t>
      </w:r>
    </w:p>
    <w:p>
      <w:pPr>
        <w:pStyle w:val="257"/>
        <w:widowControl w:val="0"/>
        <w:snapToGrid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中标人未按本合同约定到场维护或未按约定时间维修完毕的，采购人有权委派他方处理，处理结果由采购人签字认可后即生效，不再经由中标人确认（采购人将处理情况通知中标人），因此所发生的一切费用从中标人托管款中扣除，不足扣除的，另行向中标人追偿。且中标人未能按售后服务要求提供服务的，每发生一次，中标人应向采购人支付违约金1000元。</w:t>
      </w:r>
    </w:p>
    <w:p>
      <w:pPr>
        <w:pStyle w:val="257"/>
        <w:widowControl w:val="0"/>
        <w:tabs>
          <w:tab w:val="left" w:pos="1800"/>
        </w:tabs>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（7）中标人免费培训采购人指定的操作、管理人员，经培训合格后能上岗操作。</w:t>
      </w:r>
    </w:p>
    <w:p>
      <w:pPr>
        <w:pStyle w:val="257"/>
        <w:widowControl w:val="0"/>
        <w:snapToGrid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（8）托管期内中标人应免费保养、修理和替换由于设备、材料、施工质量的问题造成的损坏及故障。</w:t>
      </w:r>
    </w:p>
    <w:p>
      <w:pPr>
        <w:pStyle w:val="257"/>
        <w:widowControl w:val="0"/>
        <w:snapToGrid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（9）中标人应提供维护记录书，以便采购人随时查阅维修保养、部件更换次数、检查及维修日期等记录。</w:t>
      </w:r>
    </w:p>
    <w:p>
      <w:pPr>
        <w:pStyle w:val="257"/>
        <w:widowControl w:val="0"/>
        <w:spacing w:line="360" w:lineRule="auto"/>
        <w:ind w:left="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（10）备件供应：中标人对各种型号的设备须提供足够的备件、附件和易损件并保证是原厂生产，以满足设备正常运行的需要。</w:t>
      </w:r>
    </w:p>
    <w:p>
      <w:pPr>
        <w:shd w:val="clear" w:color="auto" w:fill="FFFFFF"/>
        <w:tabs>
          <w:tab w:val="left" w:pos="426"/>
        </w:tabs>
        <w:spacing w:line="360" w:lineRule="auto"/>
        <w:ind w:firstLine="422" w:firstLineChars="200"/>
        <w:outlineLvl w:val="0"/>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eastAsia="zh-CN"/>
        </w:rPr>
        <w:t>三、付款方式及考核</w:t>
      </w:r>
    </w:p>
    <w:p>
      <w:pPr>
        <w:shd w:val="clear" w:color="auto" w:fill="FFFFFF"/>
        <w:tabs>
          <w:tab w:val="left" w:pos="426"/>
        </w:tabs>
        <w:spacing w:line="360" w:lineRule="auto"/>
        <w:ind w:firstLine="420" w:firstLineChars="200"/>
        <w:outlineLvl w:val="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1、付款方式:合同开始履行后60天支付本年度保修费用的50%，本年度保修服务结束后，根据医院的考核结果支付剩余保修费用的50%。</w:t>
      </w:r>
    </w:p>
    <w:p>
      <w:pPr>
        <w:shd w:val="clear" w:color="auto" w:fill="FFFFFF"/>
        <w:tabs>
          <w:tab w:val="left" w:pos="426"/>
        </w:tabs>
        <w:spacing w:line="360" w:lineRule="auto"/>
        <w:ind w:firstLine="420" w:firstLineChars="200"/>
        <w:outlineLvl w:val="0"/>
        <w:rPr>
          <w:rFonts w:ascii="仿宋" w:hAnsi="仿宋" w:eastAsia="仿宋" w:cs="仿宋"/>
          <w:sz w:val="24"/>
          <w:szCs w:val="24"/>
          <w:highlight w:val="none"/>
          <w:lang w:val="en-US"/>
        </w:rPr>
      </w:pPr>
      <w:r>
        <w:rPr>
          <w:rFonts w:hint="eastAsia" w:ascii="仿宋" w:hAnsi="仿宋" w:eastAsia="仿宋" w:cs="仿宋"/>
          <w:kern w:val="2"/>
          <w:sz w:val="21"/>
          <w:szCs w:val="21"/>
          <w:highlight w:val="none"/>
          <w:lang w:val="en-US" w:eastAsia="zh-CN" w:bidi="ar-SA"/>
        </w:rPr>
        <w:t>2、考核：采购人应对中标方提供的维保服务质量，服度态度进行全面考核，考核合格方可支付服务费用，考核标准参照附件：《绍兴市中医院净化系统维保服务考核管理办法》。</w:t>
      </w:r>
    </w:p>
    <w:p>
      <w:pPr>
        <w:jc w:val="center"/>
        <w:rPr>
          <w:rFonts w:hint="eastAsia" w:ascii="仿宋" w:hAnsi="仿宋" w:eastAsia="仿宋" w:cs="仿宋"/>
          <w:b/>
          <w:bCs/>
          <w:sz w:val="36"/>
          <w:szCs w:val="36"/>
          <w:highlight w:val="none"/>
        </w:rPr>
      </w:pPr>
    </w:p>
    <w:p>
      <w:pPr>
        <w:pStyle w:val="2"/>
        <w:rPr>
          <w:rFonts w:hint="eastAsia"/>
          <w:highlight w:val="none"/>
        </w:rPr>
      </w:pPr>
    </w:p>
    <w:p>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绍兴市</w:t>
      </w:r>
      <w:r>
        <w:rPr>
          <w:rFonts w:hint="eastAsia" w:ascii="仿宋" w:hAnsi="仿宋" w:eastAsia="仿宋" w:cs="仿宋"/>
          <w:b/>
          <w:bCs/>
          <w:sz w:val="36"/>
          <w:szCs w:val="36"/>
          <w:highlight w:val="none"/>
          <w:lang w:eastAsia="zh-CN"/>
        </w:rPr>
        <w:t>中</w:t>
      </w:r>
      <w:r>
        <w:rPr>
          <w:rFonts w:hint="eastAsia" w:ascii="仿宋" w:hAnsi="仿宋" w:eastAsia="仿宋" w:cs="仿宋"/>
          <w:b/>
          <w:bCs/>
          <w:sz w:val="36"/>
          <w:szCs w:val="36"/>
          <w:highlight w:val="none"/>
        </w:rPr>
        <w:t>医院</w:t>
      </w:r>
      <w:r>
        <w:rPr>
          <w:rFonts w:hint="eastAsia" w:ascii="仿宋" w:hAnsi="仿宋" w:eastAsia="仿宋" w:cs="仿宋"/>
          <w:b/>
          <w:bCs/>
          <w:sz w:val="36"/>
          <w:szCs w:val="36"/>
          <w:highlight w:val="none"/>
          <w:lang w:eastAsia="zh-CN"/>
        </w:rPr>
        <w:t>净化系统</w:t>
      </w:r>
      <w:r>
        <w:rPr>
          <w:rFonts w:hint="eastAsia" w:ascii="仿宋" w:hAnsi="仿宋" w:eastAsia="仿宋" w:cs="仿宋"/>
          <w:b/>
          <w:bCs/>
          <w:sz w:val="36"/>
          <w:szCs w:val="36"/>
          <w:highlight w:val="none"/>
        </w:rPr>
        <w:t>维保服务考核管理办法</w:t>
      </w:r>
    </w:p>
    <w:p>
      <w:pPr>
        <w:pStyle w:val="33"/>
        <w:spacing w:line="360" w:lineRule="auto"/>
        <w:ind w:firstLine="480" w:firstLineChars="200"/>
        <w:rPr>
          <w:rFonts w:ascii="仿宋" w:hAnsi="仿宋" w:eastAsia="仿宋" w:cs="仿宋"/>
          <w:sz w:val="24"/>
          <w:highlight w:val="none"/>
        </w:rPr>
      </w:pP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为加强管理，提升维保服务质量，确保维保服务规范化运作，保障临床工作的顺利开展，特制定如下考核细则： </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lang w:eastAsia="zh-CN"/>
        </w:rPr>
        <w:t>净化系统</w:t>
      </w:r>
      <w:r>
        <w:rPr>
          <w:rFonts w:hint="eastAsia" w:ascii="仿宋" w:hAnsi="仿宋" w:eastAsia="仿宋" w:cs="仿宋"/>
          <w:sz w:val="24"/>
          <w:highlight w:val="none"/>
        </w:rPr>
        <w:t>维保服务工作，由绍兴市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负责监管，考核小组负责日常管理，各涉及科室配合、协助监管。</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考核小组：设备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成立维保服务考核小组，设备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长任组长，小组成员由全体工程师担任，考核小组负责日常监管和年度考核。</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考核采用百分制，对服务质量和满意度进行年度考核，设备处考核小组打分，详见附表。</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考核的最终结果作为医院向维保服务公司支付费用依据，具体如下：综合考核结果9</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分以上（含9</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分）的按合同全额支付；综合考核结果低于9</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分，每下降1分，扣款</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000元，直至80分；综合考核结果低于80分，下降1分，扣款</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000元，直至60分，并予以书面警告；综合考核评价低于60分，终止合同，并承担相应违约责任。</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考核内容详见《绍兴市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zh-CN"/>
        </w:rPr>
        <w:t>净化系统</w:t>
      </w:r>
      <w:r>
        <w:rPr>
          <w:rFonts w:hint="eastAsia" w:ascii="仿宋" w:hAnsi="仿宋" w:eastAsia="仿宋" w:cs="仿宋"/>
          <w:sz w:val="24"/>
          <w:highlight w:val="none"/>
        </w:rPr>
        <w:t>维保服务考核表》，本考核事宜解释权为设备</w:t>
      </w:r>
      <w:r>
        <w:rPr>
          <w:rFonts w:hint="eastAsia" w:ascii="仿宋" w:hAnsi="仿宋" w:eastAsia="仿宋" w:cs="仿宋"/>
          <w:sz w:val="24"/>
          <w:highlight w:val="none"/>
          <w:lang w:eastAsia="zh-CN"/>
        </w:rPr>
        <w:t>科</w:t>
      </w:r>
      <w:r>
        <w:rPr>
          <w:rFonts w:hint="eastAsia" w:ascii="仿宋" w:hAnsi="仿宋" w:eastAsia="仿宋" w:cs="仿宋"/>
          <w:sz w:val="24"/>
          <w:highlight w:val="none"/>
        </w:rPr>
        <w:t>。</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其他分项考核（除考核表规定内容外）：</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1)维保服务公司在服务过程中未按标准执行而引起临床科室或病人投诉的，经调查情况属实的，每发生1起扣除1000元；</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2)维保服务公司在服务过程未按标准执行而引起医疗纠纷及事故的，每发生1起扣除</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000元，并承担相应赔偿责任；</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3)在上级部门检查中，因维保服务公司原因受到书面通报批评或被新闻媒体曝光批评的，每发生1起扣除</w:t>
      </w:r>
      <w:r>
        <w:rPr>
          <w:rFonts w:hint="eastAsia" w:ascii="仿宋" w:hAnsi="仿宋" w:eastAsia="仿宋" w:cs="仿宋"/>
          <w:sz w:val="24"/>
          <w:highlight w:val="none"/>
          <w:lang w:val="en-US" w:eastAsia="zh-CN"/>
        </w:rPr>
        <w:t>5000</w:t>
      </w:r>
      <w:r>
        <w:rPr>
          <w:rFonts w:hint="eastAsia" w:ascii="仿宋" w:hAnsi="仿宋" w:eastAsia="仿宋" w:cs="仿宋"/>
          <w:sz w:val="24"/>
          <w:highlight w:val="none"/>
        </w:rPr>
        <w:t>元，医院可单方面终止合同；</w:t>
      </w:r>
    </w:p>
    <w:p>
      <w:pPr>
        <w:spacing w:line="360" w:lineRule="auto"/>
        <w:rPr>
          <w:rFonts w:ascii="仿宋" w:hAnsi="仿宋" w:eastAsia="仿宋" w:cs="仿宋"/>
          <w:b/>
          <w:bCs/>
          <w:sz w:val="36"/>
          <w:szCs w:val="36"/>
          <w:highlight w:val="none"/>
        </w:rPr>
      </w:pPr>
    </w:p>
    <w:p>
      <w:pPr>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br w:type="page"/>
      </w:r>
    </w:p>
    <w:p>
      <w:pPr>
        <w:spacing w:line="360" w:lineRule="auto"/>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绍兴市</w:t>
      </w:r>
      <w:r>
        <w:rPr>
          <w:rFonts w:hint="eastAsia" w:ascii="仿宋" w:hAnsi="仿宋" w:eastAsia="仿宋" w:cs="仿宋"/>
          <w:b/>
          <w:bCs/>
          <w:sz w:val="36"/>
          <w:szCs w:val="36"/>
          <w:highlight w:val="none"/>
          <w:lang w:eastAsia="zh-CN"/>
        </w:rPr>
        <w:t>中</w:t>
      </w:r>
      <w:r>
        <w:rPr>
          <w:rFonts w:hint="eastAsia" w:ascii="仿宋" w:hAnsi="仿宋" w:eastAsia="仿宋" w:cs="仿宋"/>
          <w:b/>
          <w:bCs/>
          <w:sz w:val="36"/>
          <w:szCs w:val="36"/>
          <w:highlight w:val="none"/>
        </w:rPr>
        <w:t>医院</w:t>
      </w:r>
      <w:r>
        <w:rPr>
          <w:rFonts w:hint="eastAsia" w:ascii="仿宋" w:hAnsi="仿宋" w:eastAsia="仿宋" w:cs="仿宋"/>
          <w:b/>
          <w:bCs/>
          <w:sz w:val="36"/>
          <w:szCs w:val="36"/>
          <w:highlight w:val="none"/>
          <w:lang w:val="zh-CN"/>
        </w:rPr>
        <w:t>净化系统</w:t>
      </w:r>
      <w:r>
        <w:rPr>
          <w:rFonts w:hint="eastAsia" w:ascii="仿宋" w:hAnsi="仿宋" w:eastAsia="仿宋" w:cs="仿宋"/>
          <w:b/>
          <w:bCs/>
          <w:sz w:val="36"/>
          <w:szCs w:val="36"/>
          <w:highlight w:val="none"/>
        </w:rPr>
        <w:t>维保服务考核表</w:t>
      </w:r>
    </w:p>
    <w:p>
      <w:pPr>
        <w:rPr>
          <w:rFonts w:ascii="仿宋" w:hAnsi="仿宋" w:eastAsia="仿宋" w:cs="仿宋"/>
          <w:sz w:val="24"/>
          <w:highlight w:val="none"/>
        </w:rPr>
      </w:pPr>
    </w:p>
    <w:p>
      <w:pPr>
        <w:jc w:val="left"/>
        <w:rPr>
          <w:rFonts w:ascii="仿宋" w:hAnsi="仿宋" w:eastAsia="仿宋" w:cs="仿宋"/>
          <w:sz w:val="24"/>
          <w:highlight w:val="none"/>
        </w:rPr>
      </w:pPr>
    </w:p>
    <w:tbl>
      <w:tblPr>
        <w:tblStyle w:val="63"/>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合同编号</w:t>
            </w:r>
          </w:p>
        </w:tc>
        <w:tc>
          <w:tcPr>
            <w:tcW w:w="3826" w:type="dxa"/>
            <w:noWrap w:val="0"/>
            <w:vAlign w:val="center"/>
          </w:tcPr>
          <w:p>
            <w:pPr>
              <w:jc w:val="left"/>
              <w:rPr>
                <w:rFonts w:ascii="仿宋" w:hAnsi="仿宋" w:eastAsia="仿宋" w:cs="仿宋"/>
                <w:b/>
                <w:szCs w:val="21"/>
                <w:highlight w:val="none"/>
              </w:rPr>
            </w:pPr>
          </w:p>
        </w:tc>
        <w:tc>
          <w:tcPr>
            <w:tcW w:w="2175"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科室</w:t>
            </w:r>
          </w:p>
        </w:tc>
        <w:tc>
          <w:tcPr>
            <w:tcW w:w="1674" w:type="dxa"/>
            <w:noWrap w:val="0"/>
            <w:vAlign w:val="center"/>
          </w:tcPr>
          <w:p>
            <w:pPr>
              <w:jc w:val="left"/>
              <w:rPr>
                <w:rFonts w:ascii="仿宋" w:hAnsi="仿宋" w:eastAsia="仿宋" w:cs="仿宋"/>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服务公司</w:t>
            </w:r>
          </w:p>
        </w:tc>
        <w:tc>
          <w:tcPr>
            <w:tcW w:w="3826" w:type="dxa"/>
            <w:noWrap w:val="0"/>
            <w:vAlign w:val="center"/>
          </w:tcPr>
          <w:p>
            <w:pPr>
              <w:jc w:val="left"/>
              <w:rPr>
                <w:rFonts w:ascii="仿宋" w:hAnsi="仿宋" w:eastAsia="仿宋" w:cs="仿宋"/>
                <w:b/>
                <w:szCs w:val="21"/>
                <w:highlight w:val="none"/>
              </w:rPr>
            </w:pPr>
          </w:p>
        </w:tc>
        <w:tc>
          <w:tcPr>
            <w:tcW w:w="2175"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联系人及联系方式</w:t>
            </w:r>
          </w:p>
        </w:tc>
        <w:tc>
          <w:tcPr>
            <w:tcW w:w="1674" w:type="dxa"/>
            <w:noWrap w:val="0"/>
            <w:vAlign w:val="center"/>
          </w:tcPr>
          <w:p>
            <w:pPr>
              <w:jc w:val="left"/>
              <w:rPr>
                <w:rFonts w:ascii="仿宋" w:hAnsi="仿宋" w:eastAsia="仿宋" w:cs="仿宋"/>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pPr>
              <w:jc w:val="left"/>
              <w:rPr>
                <w:rFonts w:ascii="仿宋" w:hAnsi="仿宋" w:eastAsia="仿宋" w:cs="仿宋"/>
                <w:b/>
                <w:szCs w:val="21"/>
                <w:highlight w:val="none"/>
              </w:rPr>
            </w:pPr>
            <w:r>
              <w:rPr>
                <w:rFonts w:hint="eastAsia" w:ascii="仿宋" w:hAnsi="仿宋" w:eastAsia="仿宋" w:cs="仿宋"/>
                <w:b/>
                <w:szCs w:val="21"/>
                <w:highlight w:val="none"/>
              </w:rPr>
              <w:t>考核周期</w:t>
            </w:r>
          </w:p>
        </w:tc>
        <w:tc>
          <w:tcPr>
            <w:tcW w:w="7675" w:type="dxa"/>
            <w:gridSpan w:val="3"/>
            <w:noWrap w:val="0"/>
            <w:vAlign w:val="center"/>
          </w:tcPr>
          <w:p>
            <w:pPr>
              <w:jc w:val="left"/>
              <w:rPr>
                <w:rFonts w:ascii="仿宋" w:hAnsi="仿宋" w:eastAsia="仿宋" w:cs="仿宋"/>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pPr>
              <w:rPr>
                <w:rFonts w:ascii="仿宋" w:hAnsi="仿宋" w:eastAsia="仿宋" w:cs="仿宋"/>
                <w:szCs w:val="21"/>
                <w:highlight w:val="none"/>
              </w:rPr>
            </w:pPr>
            <w:r>
              <w:rPr>
                <w:rFonts w:hint="eastAsia" w:ascii="仿宋" w:hAnsi="仿宋" w:eastAsia="仿宋" w:cs="仿宋"/>
                <w:szCs w:val="21"/>
                <w:highlight w:val="none"/>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3" w:type="dxa"/>
            <w:noWrap w:val="0"/>
            <w:vAlign w:val="center"/>
          </w:tcPr>
          <w:p>
            <w:pPr>
              <w:jc w:val="center"/>
              <w:rPr>
                <w:rFonts w:ascii="仿宋" w:hAnsi="仿宋" w:eastAsia="仿宋" w:cs="仿宋"/>
                <w:b/>
                <w:szCs w:val="21"/>
                <w:highlight w:val="none"/>
              </w:rPr>
            </w:pPr>
            <w:r>
              <w:rPr>
                <w:rFonts w:hint="eastAsia" w:ascii="仿宋" w:hAnsi="仿宋" w:eastAsia="仿宋" w:cs="仿宋"/>
                <w:b/>
                <w:szCs w:val="21"/>
                <w:highlight w:val="none"/>
              </w:rPr>
              <w:t>序号</w:t>
            </w:r>
          </w:p>
        </w:tc>
        <w:tc>
          <w:tcPr>
            <w:tcW w:w="3826" w:type="dxa"/>
            <w:noWrap w:val="0"/>
            <w:vAlign w:val="center"/>
          </w:tcPr>
          <w:p>
            <w:pPr>
              <w:jc w:val="center"/>
              <w:rPr>
                <w:rFonts w:ascii="仿宋" w:hAnsi="仿宋" w:eastAsia="仿宋" w:cs="仿宋"/>
                <w:b/>
                <w:szCs w:val="21"/>
                <w:highlight w:val="none"/>
              </w:rPr>
            </w:pPr>
            <w:r>
              <w:rPr>
                <w:rFonts w:hint="eastAsia" w:ascii="仿宋" w:hAnsi="仿宋" w:eastAsia="仿宋" w:cs="仿宋"/>
                <w:b/>
                <w:szCs w:val="21"/>
                <w:highlight w:val="none"/>
              </w:rPr>
              <w:t>评价内容（总分100分）</w:t>
            </w:r>
          </w:p>
        </w:tc>
        <w:tc>
          <w:tcPr>
            <w:tcW w:w="3849" w:type="dxa"/>
            <w:gridSpan w:val="2"/>
            <w:noWrap w:val="0"/>
            <w:vAlign w:val="center"/>
          </w:tcPr>
          <w:p>
            <w:pPr>
              <w:jc w:val="cente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设备维修服务响应速度（15分）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定期维护（PM等）服务完成率</w:t>
            </w:r>
          </w:p>
          <w:p>
            <w:pPr>
              <w:rPr>
                <w:rFonts w:ascii="仿宋" w:hAnsi="仿宋" w:eastAsia="仿宋" w:cs="仿宋"/>
                <w:szCs w:val="21"/>
                <w:highlight w:val="none"/>
              </w:rPr>
            </w:pPr>
            <w:r>
              <w:rPr>
                <w:rFonts w:hint="eastAsia" w:ascii="仿宋" w:hAnsi="仿宋" w:eastAsia="仿宋" w:cs="仿宋"/>
                <w:szCs w:val="21"/>
                <w:highlight w:val="none"/>
              </w:rPr>
              <w:t>（10分）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配件质量与供应能力（15分）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4</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完好率保障情况（10分）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5</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单次维修报告提供情况（10分）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6</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维保年度总结报告质量（10分）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7</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维修人员操作规范化程度（10分）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8</w:t>
            </w:r>
          </w:p>
        </w:tc>
        <w:tc>
          <w:tcPr>
            <w:tcW w:w="3826" w:type="dxa"/>
            <w:noWrap w:val="0"/>
            <w:vAlign w:val="center"/>
          </w:tcPr>
          <w:p>
            <w:pPr>
              <w:rPr>
                <w:rFonts w:ascii="仿宋" w:hAnsi="仿宋" w:eastAsia="仿宋" w:cs="仿宋"/>
                <w:szCs w:val="21"/>
                <w:highlight w:val="none"/>
              </w:rPr>
            </w:pPr>
            <w:r>
              <w:rPr>
                <w:rFonts w:hint="eastAsia" w:ascii="仿宋" w:hAnsi="仿宋" w:eastAsia="仿宋" w:cs="仿宋"/>
                <w:szCs w:val="21"/>
                <w:highlight w:val="none"/>
              </w:rPr>
              <w:t>维修服务满意度（20分）</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pPr>
              <w:jc w:val="center"/>
              <w:rPr>
                <w:rFonts w:ascii="仿宋" w:hAnsi="仿宋" w:eastAsia="仿宋" w:cs="仿宋"/>
                <w:szCs w:val="21"/>
                <w:highlight w:val="none"/>
              </w:rPr>
            </w:pPr>
            <w:r>
              <w:rPr>
                <w:rFonts w:hint="eastAsia" w:ascii="仿宋" w:hAnsi="仿宋" w:eastAsia="仿宋" w:cs="仿宋"/>
                <w:szCs w:val="21"/>
                <w:highlight w:val="none"/>
              </w:rPr>
              <w:t>综合考评结果</w:t>
            </w:r>
          </w:p>
        </w:tc>
        <w:tc>
          <w:tcPr>
            <w:tcW w:w="3849" w:type="dxa"/>
            <w:gridSpan w:val="2"/>
            <w:noWrap w:val="0"/>
            <w:vAlign w:val="center"/>
          </w:tcPr>
          <w:p>
            <w:pPr>
              <w:rPr>
                <w:rFonts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pPr>
              <w:rPr>
                <w:rFonts w:ascii="仿宋" w:hAnsi="仿宋" w:eastAsia="仿宋" w:cs="仿宋"/>
                <w:szCs w:val="21"/>
                <w:highlight w:val="none"/>
              </w:rPr>
            </w:pPr>
            <w:r>
              <w:rPr>
                <w:rFonts w:hint="eastAsia" w:ascii="仿宋" w:hAnsi="仿宋" w:eastAsia="仿宋" w:cs="仿宋"/>
                <w:b/>
                <w:szCs w:val="21"/>
                <w:highlight w:val="none"/>
              </w:rPr>
              <w:t>改进意见及建议：</w:t>
            </w:r>
          </w:p>
        </w:tc>
      </w:tr>
    </w:tbl>
    <w:p>
      <w:pPr>
        <w:jc w:val="left"/>
        <w:rPr>
          <w:rFonts w:ascii="仿宋" w:hAnsi="仿宋" w:eastAsia="仿宋" w:cs="仿宋"/>
          <w:sz w:val="24"/>
          <w:highlight w:val="none"/>
        </w:rPr>
      </w:pPr>
    </w:p>
    <w:p>
      <w:pPr>
        <w:jc w:val="left"/>
        <w:rPr>
          <w:rFonts w:ascii="仿宋" w:hAnsi="仿宋" w:eastAsia="仿宋" w:cs="仿宋"/>
          <w:sz w:val="24"/>
          <w:highlight w:val="none"/>
        </w:rPr>
      </w:pPr>
    </w:p>
    <w:p>
      <w:pPr>
        <w:jc w:val="left"/>
        <w:rPr>
          <w:rFonts w:hint="eastAsia" w:ascii="仿宋" w:hAnsi="仿宋" w:eastAsia="仿宋" w:cs="仿宋"/>
          <w:sz w:val="24"/>
          <w:highlight w:val="none"/>
        </w:rPr>
      </w:pPr>
    </w:p>
    <w:p>
      <w:pPr>
        <w:jc w:val="left"/>
        <w:rPr>
          <w:rFonts w:hint="eastAsia" w:ascii="仿宋" w:hAnsi="仿宋" w:eastAsia="仿宋" w:cs="仿宋"/>
          <w:sz w:val="24"/>
          <w:highlight w:val="none"/>
        </w:rPr>
      </w:pPr>
    </w:p>
    <w:p>
      <w:pPr>
        <w:jc w:val="left"/>
        <w:rPr>
          <w:rFonts w:ascii="仿宋" w:hAnsi="仿宋" w:eastAsia="仿宋" w:cs="仿宋"/>
          <w:sz w:val="24"/>
          <w:highlight w:val="none"/>
        </w:rPr>
      </w:pPr>
      <w:r>
        <w:rPr>
          <w:rFonts w:hint="eastAsia" w:ascii="仿宋" w:hAnsi="仿宋" w:eastAsia="仿宋" w:cs="仿宋"/>
          <w:sz w:val="24"/>
          <w:highlight w:val="none"/>
        </w:rPr>
        <w:t>考评组员：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日期：</w:t>
      </w:r>
      <w:r>
        <w:rPr>
          <w:rFonts w:hint="eastAsia" w:ascii="仿宋" w:hAnsi="仿宋" w:eastAsia="仿宋" w:cs="仿宋"/>
          <w:sz w:val="24"/>
          <w:highlight w:val="none"/>
          <w:u w:val="single"/>
        </w:rPr>
        <w:t xml:space="preserve">              </w:t>
      </w:r>
    </w:p>
    <w:p>
      <w:pPr>
        <w:rPr>
          <w:rFonts w:ascii="仿宋" w:hAnsi="仿宋" w:eastAsia="仿宋" w:cs="仿宋"/>
          <w:sz w:val="24"/>
          <w:highlight w:val="none"/>
        </w:rPr>
      </w:pPr>
    </w:p>
    <w:p>
      <w:pPr>
        <w:rPr>
          <w:rFonts w:hint="eastAsia" w:ascii="仿宋" w:hAnsi="仿宋" w:eastAsia="仿宋" w:cs="仿宋"/>
          <w:sz w:val="24"/>
          <w:highlight w:val="none"/>
        </w:rPr>
      </w:pPr>
    </w:p>
    <w:p>
      <w:pPr>
        <w:rPr>
          <w:rFonts w:ascii="仿宋" w:hAnsi="仿宋" w:eastAsia="仿宋" w:cs="仿宋"/>
          <w:sz w:val="24"/>
          <w:highlight w:val="none"/>
        </w:rPr>
      </w:pPr>
      <w:r>
        <w:rPr>
          <w:rFonts w:hint="eastAsia" w:ascii="仿宋" w:hAnsi="仿宋" w:eastAsia="仿宋" w:cs="仿宋"/>
          <w:sz w:val="24"/>
          <w:highlight w:val="none"/>
        </w:rPr>
        <w:t>审核人：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rPr>
          <w:highlight w:val="none"/>
        </w:rPr>
      </w:pPr>
    </w:p>
    <w:p>
      <w:pPr>
        <w:pStyle w:val="80"/>
        <w:numPr>
          <w:ilvl w:val="0"/>
          <w:numId w:val="0"/>
        </w:numPr>
        <w:ind w:leftChars="0"/>
        <w:rPr>
          <w:rFonts w:hint="default" w:ascii="仿宋" w:hAnsi="仿宋" w:eastAsia="仿宋" w:cs="仿宋"/>
          <w:b/>
          <w:color w:val="auto"/>
          <w:sz w:val="24"/>
          <w:szCs w:val="24"/>
          <w:highlight w:val="none"/>
          <w:lang w:val="en-US" w:eastAsia="zh-CN"/>
        </w:rPr>
      </w:pPr>
    </w:p>
    <w:p>
      <w:pPr>
        <w:pStyle w:val="80"/>
        <w:numPr>
          <w:ilvl w:val="0"/>
          <w:numId w:val="0"/>
        </w:numPr>
        <w:ind w:leftChars="0"/>
        <w:rPr>
          <w:rFonts w:hint="default"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4"/>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15367"/>
      <w:bookmarkStart w:id="41" w:name="_Toc28855"/>
      <w:bookmarkStart w:id="42" w:name="_Toc22967"/>
      <w:bookmarkStart w:id="43" w:name="_Toc20421"/>
      <w:bookmarkStart w:id="44" w:name="_Toc19273"/>
      <w:r>
        <w:rPr>
          <w:rFonts w:hint="eastAsia" w:ascii="仿宋" w:hAnsi="仿宋" w:eastAsia="仿宋" w:cs="仿宋"/>
          <w:b/>
          <w:color w:val="auto"/>
          <w:sz w:val="24"/>
          <w:highlight w:val="none"/>
        </w:rPr>
        <w:t>1.1 合同组成部分</w:t>
      </w:r>
      <w:bookmarkEnd w:id="40"/>
      <w:bookmarkEnd w:id="41"/>
      <w:bookmarkEnd w:id="42"/>
      <w:bookmarkEnd w:id="43"/>
      <w:bookmarkEnd w:id="4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22185"/>
      <w:bookmarkStart w:id="46" w:name="_Toc6311"/>
      <w:bookmarkStart w:id="47" w:name="_Toc6773"/>
      <w:bookmarkStart w:id="48" w:name="_Toc2918"/>
      <w:bookmarkStart w:id="49" w:name="_Toc18585"/>
      <w:r>
        <w:rPr>
          <w:rFonts w:hint="eastAsia" w:ascii="仿宋" w:hAnsi="仿宋" w:eastAsia="仿宋" w:cs="仿宋"/>
          <w:b/>
          <w:color w:val="auto"/>
          <w:sz w:val="24"/>
          <w:highlight w:val="none"/>
        </w:rPr>
        <w:t>1.2 标的</w:t>
      </w:r>
      <w:bookmarkEnd w:id="45"/>
      <w:bookmarkEnd w:id="46"/>
      <w:bookmarkEnd w:id="47"/>
      <w:bookmarkEnd w:id="48"/>
      <w:bookmarkEnd w:id="4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1386"/>
      <w:bookmarkStart w:id="51" w:name="_Toc13918"/>
      <w:bookmarkStart w:id="52" w:name="_Toc5635"/>
      <w:bookmarkStart w:id="53" w:name="_Toc4929"/>
      <w:bookmarkStart w:id="54"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14993"/>
      <w:bookmarkStart w:id="56" w:name="_Toc3654"/>
      <w:bookmarkStart w:id="57" w:name="_Toc26916"/>
      <w:bookmarkStart w:id="58" w:name="_Toc30506"/>
      <w:bookmarkStart w:id="59"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0" w:name="_Toc10340"/>
      <w:bookmarkStart w:id="61" w:name="_Toc22618"/>
      <w:bookmarkStart w:id="62" w:name="_Toc1814"/>
      <w:bookmarkStart w:id="63" w:name="_Toc4760"/>
      <w:bookmarkStart w:id="64" w:name="_Toc8772"/>
      <w:bookmarkStart w:id="65" w:name="_Toc31421"/>
      <w:bookmarkStart w:id="66" w:name="_Toc11108"/>
      <w:bookmarkStart w:id="67" w:name="_Toc3625"/>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2375"/>
      <w:bookmarkStart w:id="69" w:name="_Toc8586"/>
      <w:bookmarkStart w:id="70" w:name="_Toc5698"/>
      <w:bookmarkStart w:id="71" w:name="_Toc3079"/>
      <w:bookmarkStart w:id="72" w:name="_Toc24662"/>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26807"/>
      <w:bookmarkStart w:id="74" w:name="_Toc9497"/>
      <w:bookmarkStart w:id="75" w:name="_Toc32454"/>
      <w:bookmarkStart w:id="76" w:name="_Toc18683"/>
      <w:bookmarkStart w:id="77"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15583"/>
      <w:bookmarkStart w:id="79" w:name="_Toc28375"/>
      <w:bookmarkStart w:id="80" w:name="_Toc16021"/>
      <w:r>
        <w:rPr>
          <w:rFonts w:hint="eastAsia" w:ascii="仿宋" w:hAnsi="仿宋" w:eastAsia="仿宋" w:cs="仿宋"/>
          <w:b/>
          <w:color w:val="auto"/>
          <w:sz w:val="24"/>
          <w:highlight w:val="none"/>
        </w:rPr>
        <w:t>1.9合同争议的解决</w:t>
      </w:r>
      <w:bookmarkEnd w:id="78"/>
      <w:bookmarkEnd w:id="79"/>
      <w:bookmarkEnd w:id="8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7245"/>
      <w:bookmarkStart w:id="82" w:name="_Toc11173"/>
      <w:bookmarkStart w:id="83" w:name="_Toc15322"/>
      <w:r>
        <w:rPr>
          <w:rFonts w:hint="eastAsia" w:ascii="仿宋" w:hAnsi="仿宋" w:eastAsia="仿宋" w:cs="仿宋"/>
          <w:b/>
          <w:color w:val="auto"/>
          <w:sz w:val="24"/>
          <w:highlight w:val="none"/>
        </w:rPr>
        <w:t>2.0 合同生效</w:t>
      </w:r>
      <w:bookmarkEnd w:id="81"/>
      <w:bookmarkEnd w:id="82"/>
      <w:bookmarkEnd w:id="8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4" w:name="_Toc14021"/>
      <w:bookmarkStart w:id="85" w:name="_Toc31297"/>
      <w:bookmarkStart w:id="86" w:name="_Toc25079"/>
      <w:bookmarkStart w:id="87" w:name="_Toc5228"/>
      <w:bookmarkStart w:id="88" w:name="_Toc19680"/>
      <w:r>
        <w:rPr>
          <w:rFonts w:hint="eastAsia" w:ascii="仿宋" w:hAnsi="仿宋" w:eastAsia="仿宋" w:cs="仿宋"/>
          <w:b/>
          <w:color w:val="auto"/>
          <w:sz w:val="24"/>
          <w:highlight w:val="none"/>
        </w:rPr>
        <w:t>2.1 定义</w:t>
      </w:r>
      <w:bookmarkEnd w:id="84"/>
      <w:bookmarkEnd w:id="85"/>
      <w:bookmarkEnd w:id="86"/>
      <w:bookmarkEnd w:id="87"/>
      <w:bookmarkEnd w:id="8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9" w:name="_Toc16752"/>
      <w:bookmarkStart w:id="90" w:name="_Toc19539"/>
      <w:bookmarkStart w:id="91" w:name="_Toc3769"/>
      <w:bookmarkStart w:id="92" w:name="_Toc31402"/>
      <w:bookmarkStart w:id="93" w:name="_Toc23289"/>
      <w:r>
        <w:rPr>
          <w:rFonts w:hint="eastAsia" w:ascii="仿宋" w:hAnsi="仿宋" w:eastAsia="仿宋" w:cs="仿宋"/>
          <w:b/>
          <w:color w:val="auto"/>
          <w:sz w:val="24"/>
          <w:highlight w:val="none"/>
        </w:rPr>
        <w:t>2.2 技术规范</w:t>
      </w:r>
      <w:bookmarkEnd w:id="89"/>
      <w:bookmarkEnd w:id="90"/>
      <w:bookmarkEnd w:id="91"/>
      <w:bookmarkEnd w:id="92"/>
      <w:bookmarkEnd w:id="9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4" w:name="_Toc13673"/>
      <w:bookmarkStart w:id="95" w:name="_Toc4133"/>
      <w:bookmarkStart w:id="96" w:name="_Toc9161"/>
      <w:bookmarkStart w:id="97" w:name="_Toc27945"/>
      <w:bookmarkStart w:id="98" w:name="_Toc12412"/>
      <w:r>
        <w:rPr>
          <w:rFonts w:hint="eastAsia" w:ascii="仿宋" w:hAnsi="仿宋" w:eastAsia="仿宋" w:cs="仿宋"/>
          <w:b/>
          <w:color w:val="auto"/>
          <w:sz w:val="24"/>
          <w:highlight w:val="none"/>
        </w:rPr>
        <w:t>2.3 知识产权</w:t>
      </w:r>
      <w:bookmarkEnd w:id="94"/>
      <w:bookmarkEnd w:id="95"/>
      <w:bookmarkEnd w:id="96"/>
      <w:bookmarkEnd w:id="97"/>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9" w:name="_Toc32670"/>
      <w:bookmarkStart w:id="100" w:name="_Toc31233"/>
      <w:bookmarkStart w:id="101" w:name="_Toc26555"/>
      <w:bookmarkStart w:id="102" w:name="_Toc22011"/>
      <w:bookmarkStart w:id="103" w:name="_Toc15447"/>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4" w:name="_Toc30507"/>
      <w:bookmarkStart w:id="105" w:name="_Toc16163"/>
      <w:bookmarkStart w:id="106" w:name="_Toc13467"/>
      <w:bookmarkStart w:id="107" w:name="_Toc13154"/>
      <w:bookmarkStart w:id="108" w:name="_Toc18990"/>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2" w:name="_Toc42"/>
      <w:bookmarkStart w:id="113" w:name="_Toc21830"/>
      <w:bookmarkStart w:id="114" w:name="_Toc10663"/>
      <w:bookmarkStart w:id="115" w:name="_Toc26689"/>
      <w:bookmarkStart w:id="116" w:name="_Toc23368"/>
      <w:r>
        <w:rPr>
          <w:rFonts w:hint="eastAsia" w:ascii="仿宋" w:hAnsi="仿宋" w:eastAsia="仿宋" w:cs="仿宋"/>
          <w:b/>
          <w:color w:val="auto"/>
          <w:sz w:val="24"/>
          <w:highlight w:val="none"/>
        </w:rPr>
        <w:t>2.10 合同转让和分包</w:t>
      </w:r>
      <w:bookmarkEnd w:id="112"/>
      <w:bookmarkEnd w:id="113"/>
      <w:bookmarkEnd w:id="114"/>
      <w:bookmarkEnd w:id="115"/>
      <w:bookmarkEnd w:id="11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7" w:name="_Toc26633"/>
      <w:bookmarkStart w:id="118" w:name="_Toc4720"/>
      <w:bookmarkStart w:id="119" w:name="_Toc14371"/>
      <w:bookmarkStart w:id="120" w:name="_Toc32494"/>
      <w:bookmarkStart w:id="121" w:name="_Toc25571"/>
      <w:r>
        <w:rPr>
          <w:rFonts w:hint="eastAsia" w:ascii="仿宋" w:hAnsi="仿宋" w:eastAsia="仿宋" w:cs="仿宋"/>
          <w:b/>
          <w:color w:val="auto"/>
          <w:sz w:val="24"/>
          <w:highlight w:val="none"/>
        </w:rPr>
        <w:t>2.11 不可抗力</w:t>
      </w:r>
      <w:bookmarkEnd w:id="117"/>
      <w:bookmarkEnd w:id="118"/>
      <w:bookmarkEnd w:id="119"/>
      <w:bookmarkEnd w:id="120"/>
      <w:bookmarkEnd w:id="12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2" w:name="_Toc23854"/>
      <w:bookmarkStart w:id="123" w:name="_Toc24465"/>
      <w:bookmarkStart w:id="124" w:name="_Toc14115"/>
      <w:bookmarkStart w:id="125" w:name="_Toc3638"/>
      <w:bookmarkStart w:id="126" w:name="_Toc25783"/>
      <w:r>
        <w:rPr>
          <w:rFonts w:hint="eastAsia" w:ascii="仿宋" w:hAnsi="仿宋" w:eastAsia="仿宋" w:cs="仿宋"/>
          <w:b/>
          <w:color w:val="auto"/>
          <w:sz w:val="24"/>
          <w:highlight w:val="none"/>
        </w:rPr>
        <w:t>2.12 税费</w:t>
      </w:r>
      <w:bookmarkEnd w:id="122"/>
      <w:bookmarkEnd w:id="123"/>
      <w:bookmarkEnd w:id="124"/>
      <w:bookmarkEnd w:id="125"/>
      <w:bookmarkEnd w:id="12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7" w:name="_Toc26883"/>
      <w:bookmarkStart w:id="128" w:name="_Toc7315"/>
      <w:bookmarkStart w:id="129" w:name="_Toc14814"/>
      <w:bookmarkStart w:id="130" w:name="_Toc25525"/>
      <w:bookmarkStart w:id="131" w:name="_Toc30105"/>
      <w:r>
        <w:rPr>
          <w:rFonts w:hint="eastAsia" w:ascii="仿宋" w:hAnsi="仿宋" w:eastAsia="仿宋" w:cs="仿宋"/>
          <w:b/>
          <w:color w:val="auto"/>
          <w:sz w:val="24"/>
          <w:highlight w:val="none"/>
        </w:rPr>
        <w:t>2.13 乙方破产</w:t>
      </w:r>
      <w:bookmarkEnd w:id="127"/>
      <w:bookmarkEnd w:id="128"/>
      <w:bookmarkEnd w:id="129"/>
      <w:bookmarkEnd w:id="130"/>
      <w:bookmarkEnd w:id="1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2" w:name="_Toc1123"/>
      <w:bookmarkStart w:id="133" w:name="_Toc2016"/>
      <w:bookmarkStart w:id="134" w:name="_Toc23323"/>
      <w:r>
        <w:rPr>
          <w:rFonts w:hint="eastAsia" w:ascii="仿宋" w:hAnsi="仿宋" w:eastAsia="仿宋" w:cs="仿宋"/>
          <w:b/>
          <w:color w:val="auto"/>
          <w:sz w:val="24"/>
          <w:highlight w:val="none"/>
        </w:rPr>
        <w:t>2.14 合同中止、终止</w:t>
      </w:r>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5" w:name="_Toc1969"/>
      <w:bookmarkStart w:id="136" w:name="_Toc17363"/>
      <w:bookmarkStart w:id="137" w:name="_Toc14525"/>
      <w:r>
        <w:rPr>
          <w:rFonts w:hint="eastAsia" w:ascii="仿宋" w:hAnsi="仿宋" w:eastAsia="仿宋" w:cs="仿宋"/>
          <w:b/>
          <w:color w:val="auto"/>
          <w:sz w:val="24"/>
          <w:highlight w:val="none"/>
        </w:rPr>
        <w:t>2.15 检验和验收</w:t>
      </w:r>
      <w:bookmarkEnd w:id="135"/>
      <w:bookmarkEnd w:id="136"/>
      <w:bookmarkEnd w:id="137"/>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8" w:name="_Toc12666"/>
      <w:bookmarkStart w:id="139" w:name="_Toc2308"/>
      <w:bookmarkStart w:id="140" w:name="_Toc31892"/>
      <w:bookmarkStart w:id="141" w:name="_Toc9808"/>
      <w:bookmarkStart w:id="142" w:name="_Toc25198"/>
      <w:r>
        <w:rPr>
          <w:rFonts w:hint="eastAsia" w:ascii="仿宋" w:hAnsi="仿宋" w:eastAsia="仿宋" w:cs="仿宋"/>
          <w:b/>
          <w:color w:val="auto"/>
          <w:sz w:val="24"/>
          <w:highlight w:val="none"/>
        </w:rPr>
        <w:t>2.16 通知和送达</w:t>
      </w:r>
      <w:bookmarkEnd w:id="138"/>
      <w:bookmarkEnd w:id="139"/>
      <w:bookmarkEnd w:id="140"/>
      <w:bookmarkEnd w:id="141"/>
      <w:bookmarkEnd w:id="142"/>
    </w:p>
    <w:p>
      <w:pPr>
        <w:spacing w:line="560" w:lineRule="exact"/>
        <w:ind w:firstLine="480" w:firstLineChars="200"/>
        <w:rPr>
          <w:rFonts w:hint="eastAsia" w:ascii="仿宋" w:hAnsi="仿宋" w:eastAsia="仿宋" w:cs="仿宋"/>
          <w:color w:val="auto"/>
          <w:sz w:val="24"/>
          <w:highlight w:val="none"/>
        </w:rPr>
      </w:pPr>
      <w:bookmarkStart w:id="143" w:name="_Toc18401"/>
      <w:bookmarkStart w:id="144"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hint="eastAsia" w:ascii="仿宋" w:hAnsi="仿宋" w:eastAsia="仿宋" w:cs="仿宋"/>
          <w:b/>
          <w:color w:val="auto"/>
          <w:sz w:val="24"/>
          <w:highlight w:val="none"/>
        </w:rPr>
      </w:pPr>
      <w:bookmarkStart w:id="145" w:name="_Toc5063"/>
      <w:bookmarkStart w:id="146" w:name="_Toc12254"/>
      <w:bookmarkStart w:id="147" w:name="_Toc27644"/>
      <w:bookmarkStart w:id="148" w:name="_Toc28906"/>
      <w:bookmarkStart w:id="149" w:name="_Toc20808"/>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0" w:name="_Toc4355"/>
      <w:bookmarkStart w:id="151" w:name="_Toc30599"/>
      <w:bookmarkStart w:id="152" w:name="_Toc18540"/>
      <w:r>
        <w:rPr>
          <w:rFonts w:hint="eastAsia" w:ascii="仿宋" w:hAnsi="仿宋" w:eastAsia="仿宋" w:cs="仿宋"/>
          <w:b/>
          <w:color w:val="auto"/>
          <w:sz w:val="24"/>
          <w:highlight w:val="none"/>
        </w:rPr>
        <w:t>2.18 计量单位</w:t>
      </w:r>
      <w:bookmarkEnd w:id="150"/>
      <w:bookmarkEnd w:id="151"/>
      <w:bookmarkEnd w:id="1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3" w:name="_Toc279701263"/>
      <w:bookmarkStart w:id="154" w:name="_Toc18567"/>
      <w:bookmarkStart w:id="155" w:name="_Toc487900373"/>
      <w:bookmarkStart w:id="156" w:name="_Toc12773"/>
      <w:bookmarkStart w:id="157" w:name="_Toc10330"/>
      <w:bookmarkStart w:id="158" w:name="_Toc259093692"/>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9" w:name="_Toc331685784"/>
      <w:r>
        <w:rPr>
          <w:rFonts w:hint="eastAsia" w:ascii="仿宋" w:hAnsi="仿宋" w:eastAsia="仿宋" w:cs="仿宋"/>
          <w:b/>
          <w:color w:val="auto"/>
          <w:sz w:val="24"/>
          <w:highlight w:val="none"/>
        </w:rPr>
        <w:t xml:space="preserve"> </w:t>
      </w:r>
      <w:bookmarkEnd w:id="159"/>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138"/>
        <w:gridCol w:w="7152"/>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25" w:type="dxa"/>
            <w:noWrap w:val="0"/>
            <w:vAlign w:val="center"/>
          </w:tcPr>
          <w:p>
            <w:pPr>
              <w:tabs>
                <w:tab w:val="left" w:pos="426"/>
              </w:tabs>
              <w:jc w:val="center"/>
              <w:rPr>
                <w:rFonts w:hint="eastAsia" w:ascii="仿宋" w:hAnsi="仿宋" w:eastAsia="仿宋" w:cs="仿宋"/>
                <w:b/>
                <w:szCs w:val="21"/>
                <w:highlight w:val="none"/>
              </w:rPr>
            </w:pPr>
            <w:r>
              <w:rPr>
                <w:rFonts w:hint="eastAsia" w:ascii="仿宋" w:hAnsi="仿宋" w:eastAsia="仿宋" w:cs="仿宋"/>
                <w:b/>
                <w:szCs w:val="21"/>
                <w:highlight w:val="none"/>
              </w:rPr>
              <w:t>序号</w:t>
            </w:r>
          </w:p>
        </w:tc>
        <w:tc>
          <w:tcPr>
            <w:tcW w:w="1138" w:type="dxa"/>
            <w:noWrap w:val="0"/>
            <w:vAlign w:val="center"/>
          </w:tcPr>
          <w:p>
            <w:pPr>
              <w:tabs>
                <w:tab w:val="left" w:pos="426"/>
              </w:tabs>
              <w:jc w:val="center"/>
              <w:rPr>
                <w:rFonts w:hint="eastAsia" w:ascii="仿宋" w:hAnsi="仿宋" w:eastAsia="仿宋" w:cs="仿宋"/>
                <w:b/>
                <w:szCs w:val="21"/>
                <w:highlight w:val="none"/>
              </w:rPr>
            </w:pPr>
            <w:r>
              <w:rPr>
                <w:rFonts w:hint="eastAsia" w:ascii="仿宋" w:hAnsi="仿宋" w:eastAsia="仿宋" w:cs="仿宋"/>
                <w:b/>
                <w:szCs w:val="21"/>
                <w:highlight w:val="none"/>
              </w:rPr>
              <w:t>评审因素</w:t>
            </w:r>
          </w:p>
        </w:tc>
        <w:tc>
          <w:tcPr>
            <w:tcW w:w="7152" w:type="dxa"/>
            <w:noWrap w:val="0"/>
            <w:vAlign w:val="center"/>
          </w:tcPr>
          <w:p>
            <w:pPr>
              <w:tabs>
                <w:tab w:val="left" w:pos="426"/>
              </w:tabs>
              <w:jc w:val="center"/>
              <w:rPr>
                <w:rFonts w:hint="eastAsia" w:ascii="仿宋" w:hAnsi="仿宋" w:eastAsia="仿宋" w:cs="仿宋"/>
                <w:b/>
                <w:szCs w:val="21"/>
                <w:highlight w:val="none"/>
              </w:rPr>
            </w:pPr>
            <w:r>
              <w:rPr>
                <w:rFonts w:hint="eastAsia" w:ascii="仿宋" w:hAnsi="仿宋" w:eastAsia="仿宋" w:cs="仿宋"/>
                <w:b/>
                <w:szCs w:val="21"/>
                <w:highlight w:val="none"/>
              </w:rPr>
              <w:t>评分细则</w:t>
            </w:r>
          </w:p>
        </w:tc>
        <w:tc>
          <w:tcPr>
            <w:tcW w:w="781" w:type="dxa"/>
            <w:noWrap w:val="0"/>
            <w:vAlign w:val="center"/>
          </w:tcPr>
          <w:p>
            <w:pPr>
              <w:tabs>
                <w:tab w:val="left" w:pos="426"/>
              </w:tabs>
              <w:jc w:val="center"/>
              <w:rPr>
                <w:rFonts w:hint="eastAsia" w:ascii="仿宋" w:hAnsi="仿宋" w:eastAsia="仿宋" w:cs="仿宋"/>
                <w:b/>
                <w:szCs w:val="21"/>
                <w:highlight w:val="none"/>
              </w:rPr>
            </w:pPr>
            <w:r>
              <w:rPr>
                <w:rFonts w:hint="eastAsia" w:ascii="仿宋" w:hAnsi="仿宋" w:eastAsia="仿宋" w:cs="仿宋"/>
                <w:b/>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25"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1138" w:type="dxa"/>
            <w:noWrap w:val="0"/>
            <w:vAlign w:val="center"/>
          </w:tcPr>
          <w:p>
            <w:pPr>
              <w:tabs>
                <w:tab w:val="left" w:pos="426"/>
              </w:tabs>
              <w:jc w:val="center"/>
              <w:rPr>
                <w:rFonts w:hint="eastAsia" w:ascii="仿宋" w:hAnsi="仿宋" w:eastAsia="仿宋" w:cs="仿宋"/>
                <w:highlight w:val="none"/>
              </w:rPr>
            </w:pPr>
            <w:r>
              <w:rPr>
                <w:rFonts w:hint="eastAsia" w:ascii="仿宋" w:hAnsi="仿宋" w:eastAsia="仿宋" w:cs="仿宋"/>
                <w:kern w:val="0"/>
                <w:szCs w:val="21"/>
                <w:highlight w:val="none"/>
              </w:rPr>
              <w:t>同类项目业绩</w:t>
            </w:r>
          </w:p>
        </w:tc>
        <w:tc>
          <w:tcPr>
            <w:tcW w:w="7152" w:type="dxa"/>
            <w:noWrap w:val="0"/>
            <w:vAlign w:val="center"/>
          </w:tcPr>
          <w:p>
            <w:pPr>
              <w:tabs>
                <w:tab w:val="left" w:pos="426"/>
              </w:tabs>
              <w:rPr>
                <w:rFonts w:hint="eastAsia" w:ascii="仿宋" w:hAnsi="仿宋" w:eastAsia="仿宋" w:cs="仿宋"/>
                <w:szCs w:val="21"/>
                <w:highlight w:val="none"/>
              </w:rPr>
            </w:pP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自2020年1月起（以合同签订时间为准）具有</w:t>
            </w:r>
            <w:r>
              <w:rPr>
                <w:rFonts w:hint="eastAsia" w:ascii="仿宋" w:hAnsi="仿宋" w:eastAsia="仿宋" w:cs="仿宋"/>
                <w:kern w:val="0"/>
                <w:szCs w:val="21"/>
                <w:highlight w:val="none"/>
              </w:rPr>
              <w:t>医疗机构空调类维保服务业绩</w:t>
            </w:r>
            <w:r>
              <w:rPr>
                <w:rFonts w:hint="eastAsia" w:ascii="仿宋" w:hAnsi="仿宋" w:eastAsia="仿宋" w:cs="仿宋"/>
                <w:szCs w:val="21"/>
                <w:highlight w:val="none"/>
              </w:rPr>
              <w:t>，每个合同得0.5分，最高得2分。</w:t>
            </w:r>
          </w:p>
          <w:p>
            <w:pPr>
              <w:tabs>
                <w:tab w:val="left" w:pos="426"/>
              </w:tabs>
              <w:rPr>
                <w:rFonts w:hint="eastAsia" w:ascii="仿宋" w:hAnsi="仿宋" w:eastAsia="仿宋" w:cs="仿宋"/>
                <w:szCs w:val="21"/>
                <w:highlight w:val="none"/>
              </w:rPr>
            </w:pPr>
            <w:r>
              <w:rPr>
                <w:rFonts w:hint="eastAsia" w:ascii="仿宋" w:hAnsi="仿宋" w:eastAsia="仿宋" w:cs="仿宋"/>
                <w:szCs w:val="21"/>
                <w:highlight w:val="none"/>
              </w:rPr>
              <w:t>（注：须同时提供合同、中标通知书复印件并加盖</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公章，</w:t>
            </w:r>
            <w:r>
              <w:rPr>
                <w:rFonts w:hint="eastAsia" w:ascii="仿宋" w:hAnsi="仿宋" w:eastAsia="仿宋" w:cs="仿宋"/>
                <w:kern w:val="0"/>
                <w:szCs w:val="21"/>
                <w:highlight w:val="none"/>
              </w:rPr>
              <w:t>未按要求提供或提供不清晰导致专家无法有效判断的不得分。</w:t>
            </w:r>
            <w:r>
              <w:rPr>
                <w:rFonts w:hint="eastAsia" w:ascii="仿宋" w:hAnsi="仿宋" w:eastAsia="仿宋" w:cs="仿宋"/>
                <w:szCs w:val="21"/>
                <w:highlight w:val="none"/>
              </w:rPr>
              <w:t>）</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25"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企业证书</w:t>
            </w:r>
          </w:p>
        </w:tc>
        <w:tc>
          <w:tcPr>
            <w:tcW w:w="7152" w:type="dxa"/>
            <w:noWrap w:val="0"/>
            <w:vAlign w:val="center"/>
          </w:tcPr>
          <w:p>
            <w:pPr>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1、具有政府或行业行政主管部门或经民政部门批准成立的相关行业协会颁发的维修企业技术等级证书，一级的得2分，其它得1分；</w:t>
            </w:r>
          </w:p>
          <w:p>
            <w:pPr>
              <w:tabs>
                <w:tab w:val="left" w:pos="426"/>
              </w:tabs>
              <w:rPr>
                <w:rFonts w:hint="eastAsia" w:ascii="仿宋" w:hAnsi="仿宋" w:eastAsia="仿宋" w:cs="仿宋"/>
                <w:szCs w:val="21"/>
                <w:highlight w:val="none"/>
              </w:rPr>
            </w:pPr>
            <w:r>
              <w:rPr>
                <w:rFonts w:hint="eastAsia" w:ascii="仿宋" w:hAnsi="仿宋" w:eastAsia="仿宋" w:cs="仿宋"/>
                <w:szCs w:val="21"/>
                <w:highlight w:val="none"/>
              </w:rPr>
              <w:t>2、具有中国设备维修安装企业能力等级证书（类别含有制冷空调）：</w:t>
            </w:r>
          </w:p>
          <w:p>
            <w:pPr>
              <w:tabs>
                <w:tab w:val="left" w:pos="426"/>
              </w:tabs>
              <w:rPr>
                <w:rFonts w:hint="eastAsia" w:ascii="仿宋" w:hAnsi="仿宋" w:eastAsia="仿宋" w:cs="仿宋"/>
                <w:szCs w:val="21"/>
                <w:highlight w:val="none"/>
              </w:rPr>
            </w:pPr>
            <w:r>
              <w:rPr>
                <w:rFonts w:hint="eastAsia" w:ascii="仿宋" w:hAnsi="仿宋" w:eastAsia="仿宋" w:cs="仿宋"/>
                <w:szCs w:val="21"/>
                <w:highlight w:val="none"/>
              </w:rPr>
              <w:t>（1）具备A类Ⅰ级及以上得2分，具有Ⅱ级得1分，其他不得分；</w:t>
            </w:r>
          </w:p>
          <w:p>
            <w:pPr>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（2）具备D类Ⅰ级及以上得2分，具有Ⅱ级得1分，其他不得分。</w:t>
            </w:r>
          </w:p>
          <w:p>
            <w:pPr>
              <w:tabs>
                <w:tab w:val="left" w:pos="426"/>
              </w:tabs>
              <w:rPr>
                <w:rFonts w:hint="eastAsia" w:ascii="仿宋" w:hAnsi="仿宋" w:eastAsia="仿宋" w:cs="仿宋"/>
                <w:szCs w:val="21"/>
                <w:highlight w:val="none"/>
              </w:rPr>
            </w:pPr>
            <w:r>
              <w:rPr>
                <w:rFonts w:hint="eastAsia" w:ascii="仿宋" w:hAnsi="仿宋" w:eastAsia="仿宋" w:cs="仿宋"/>
                <w:szCs w:val="21"/>
                <w:highlight w:val="none"/>
              </w:rPr>
              <w:t>3、具有政府部门“高新技术企业证书”得3分，没有不得分。</w:t>
            </w:r>
          </w:p>
          <w:p>
            <w:pPr>
              <w:tabs>
                <w:tab w:val="left" w:pos="426"/>
              </w:tabs>
              <w:rPr>
                <w:rFonts w:hint="eastAsia" w:ascii="仿宋" w:hAnsi="仿宋" w:eastAsia="仿宋" w:cs="仿宋"/>
                <w:szCs w:val="21"/>
                <w:highlight w:val="none"/>
              </w:rPr>
            </w:pPr>
            <w:r>
              <w:rPr>
                <w:rFonts w:hint="eastAsia" w:ascii="仿宋" w:hAnsi="仿宋" w:eastAsia="仿宋" w:cs="仿宋"/>
                <w:szCs w:val="21"/>
                <w:highlight w:val="none"/>
              </w:rPr>
              <w:t>（注：提供以上证书的扫描件（复印件）并加盖供应商公章，如提供相关行业协会颁发的的证书，则同时提供该行业协会在“中国社会组织政务服务平台”的查询路径和登记信息查询结果截图，未提供或不符合的或不清晰导致评标委员会无法判定的情况均不得分。）</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企业体系认证</w:t>
            </w:r>
          </w:p>
        </w:tc>
        <w:tc>
          <w:tcPr>
            <w:tcW w:w="7152" w:type="dxa"/>
            <w:noWrap w:val="0"/>
            <w:vAlign w:val="center"/>
          </w:tcPr>
          <w:p>
            <w:pPr>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具有有效期内的体系认证证书：</w:t>
            </w:r>
          </w:p>
          <w:p>
            <w:pPr>
              <w:shd w:val="clear" w:color="auto" w:fill="FFFFFF"/>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1、环境管理体系认证证书（证书范围需包含暖通净化工程施工、GC2级压力管道的设计及CG2级压力管道的安装），得1.5分，没有不得分。</w:t>
            </w:r>
          </w:p>
          <w:p>
            <w:pPr>
              <w:shd w:val="clear" w:color="auto" w:fill="FFFFFF"/>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2、职业健康安全管理体系认证证书（证书范围需包含暖通净化工程施工、GC2级压力管道的设计及CG2级压力管道的安装），得1.5分，没有不得分。</w:t>
            </w:r>
          </w:p>
          <w:p>
            <w:pPr>
              <w:shd w:val="clear" w:color="auto" w:fill="FFFFFF"/>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3、质量管理体系认证证书（证书范围需包含暖通净化工程施工、GC2级压力管道的设计及CG2级压力管道的安装），得1.5分，没有不得分。</w:t>
            </w:r>
          </w:p>
          <w:p>
            <w:pPr>
              <w:shd w:val="clear" w:color="auto" w:fill="FFFFFF"/>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4、具有有效的节能技术服务认证证书，认证级别AAAAA级别的，得2.5分，其它得1分，没有不得分。</w:t>
            </w:r>
          </w:p>
          <w:p>
            <w:pPr>
              <w:shd w:val="clear" w:color="auto" w:fill="FFFFFF"/>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5、具有五星售后服务认证证书且证书在有效期内，满足《商品售后服务评价体系》GB/T 27922-2011要求得3分，具有五星以下售后服务认证证书且证书在有效期内，得1分，没有不得分。</w:t>
            </w:r>
          </w:p>
          <w:p>
            <w:pPr>
              <w:tabs>
                <w:tab w:val="left" w:pos="426"/>
              </w:tabs>
              <w:rPr>
                <w:rFonts w:hint="eastAsia" w:ascii="仿宋" w:hAnsi="仿宋" w:eastAsia="仿宋" w:cs="仿宋"/>
                <w:highlight w:val="none"/>
              </w:rPr>
            </w:pPr>
            <w:r>
              <w:rPr>
                <w:rFonts w:hint="eastAsia" w:ascii="仿宋" w:hAnsi="仿宋" w:eastAsia="仿宋" w:cs="仿宋"/>
                <w:szCs w:val="21"/>
                <w:highlight w:val="none"/>
              </w:rPr>
              <w:t>（注：须同时提供上述有效的证书复印件及全国认证认可信息公共服务平台（网址：http://cx.cnca.cn/）查询为有效的网页截图加盖供应商公章作为评审依据，未按要求提供的不得分。）</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25"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highlight w:val="none"/>
              </w:rPr>
              <w:t>项目团队</w:t>
            </w:r>
          </w:p>
        </w:tc>
        <w:tc>
          <w:tcPr>
            <w:tcW w:w="7152" w:type="dxa"/>
            <w:noWrap w:val="0"/>
            <w:vAlign w:val="center"/>
          </w:tcPr>
          <w:p>
            <w:pPr>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根据拟投入本项目的项目运营团队</w:t>
            </w:r>
            <w:r>
              <w:rPr>
                <w:rFonts w:hint="eastAsia" w:ascii="仿宋" w:hAnsi="仿宋" w:eastAsia="仿宋" w:cs="仿宋"/>
                <w:szCs w:val="21"/>
                <w:highlight w:val="none"/>
              </w:rPr>
              <w:t>（驻点人员</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名）进行评审</w:t>
            </w:r>
            <w:r>
              <w:rPr>
                <w:rFonts w:hint="eastAsia" w:ascii="仿宋" w:hAnsi="仿宋" w:eastAsia="仿宋" w:cs="仿宋"/>
                <w:szCs w:val="21"/>
                <w:highlight w:val="none"/>
              </w:rPr>
              <w:t>：</w:t>
            </w:r>
          </w:p>
          <w:p>
            <w:pPr>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驻点人员（</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名）：上岗人员必须持有特种作业操作证（低压电工作业证、制冷与空调设备安装修理作业证)，</w:t>
            </w:r>
            <w:r>
              <w:rPr>
                <w:rFonts w:hint="eastAsia" w:ascii="仿宋" w:hAnsi="仿宋" w:eastAsia="仿宋" w:cs="仿宋"/>
                <w:szCs w:val="21"/>
                <w:highlight w:val="none"/>
              </w:rPr>
              <w:t>每</w:t>
            </w:r>
            <w:r>
              <w:rPr>
                <w:rFonts w:hint="eastAsia" w:ascii="仿宋" w:hAnsi="仿宋" w:eastAsia="仿宋" w:cs="仿宋"/>
                <w:szCs w:val="21"/>
                <w:highlight w:val="none"/>
                <w:lang w:eastAsia="zh-CN"/>
              </w:rPr>
              <w:t>人</w:t>
            </w:r>
            <w:r>
              <w:rPr>
                <w:rFonts w:hint="eastAsia" w:ascii="仿宋" w:hAnsi="仿宋" w:eastAsia="仿宋" w:cs="仿宋"/>
                <w:szCs w:val="21"/>
                <w:highlight w:val="none"/>
              </w:rPr>
              <w:t>具有1项证书得</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分，具有</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项证书得</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分，最高得4分。</w:t>
            </w:r>
          </w:p>
          <w:p>
            <w:pPr>
              <w:tabs>
                <w:tab w:val="left" w:pos="426"/>
              </w:tabs>
              <w:jc w:val="left"/>
              <w:rPr>
                <w:rFonts w:hint="eastAsia" w:ascii="仿宋" w:hAnsi="仿宋" w:eastAsia="仿宋" w:cs="仿宋"/>
                <w:szCs w:val="21"/>
                <w:highlight w:val="none"/>
              </w:rPr>
            </w:pPr>
            <w:r>
              <w:rPr>
                <w:rFonts w:hint="eastAsia" w:ascii="仿宋" w:hAnsi="仿宋" w:eastAsia="仿宋" w:cs="仿宋"/>
                <w:szCs w:val="21"/>
                <w:highlight w:val="none"/>
              </w:rPr>
              <w:t>（注：提供证书复印件及采购公告日前（不含采购公告当月）6个月内任意1个月供应商购买的社保证明（含社保部门印章），否则不得分；</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25" w:type="dxa"/>
            <w:noWrap w:val="0"/>
            <w:vAlign w:val="center"/>
          </w:tcPr>
          <w:p>
            <w:pPr>
              <w:tabs>
                <w:tab w:val="left" w:pos="426"/>
              </w:tabs>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5</w:t>
            </w:r>
          </w:p>
        </w:tc>
        <w:tc>
          <w:tcPr>
            <w:tcW w:w="1138"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kern w:val="0"/>
                <w:szCs w:val="21"/>
                <w:highlight w:val="none"/>
              </w:rPr>
              <w:t>项目实施方案</w:t>
            </w:r>
          </w:p>
        </w:tc>
        <w:tc>
          <w:tcPr>
            <w:tcW w:w="7152" w:type="dxa"/>
            <w:noWrap w:val="0"/>
            <w:vAlign w:val="center"/>
          </w:tcPr>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根据采购需求制定符合本项目的技术性托管方案（不限于托管流程、托管标准、托管档案管理（电子档案）、针对本项目的重点难点及应对措施等）内容</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齐全，流程方案</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清晰、</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科学合理，</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可操作，重难点分析</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全面</w:t>
            </w:r>
            <w:r>
              <w:rPr>
                <w:rFonts w:hint="eastAsia" w:ascii="仿宋" w:hAnsi="仿宋" w:eastAsia="仿宋" w:cs="仿宋"/>
                <w:szCs w:val="21"/>
                <w:highlight w:val="none"/>
                <w:lang w:eastAsia="zh-CN"/>
              </w:rPr>
              <w:t>等方面</w:t>
            </w:r>
            <w:r>
              <w:rPr>
                <w:rFonts w:hint="eastAsia" w:ascii="仿宋" w:hAnsi="仿宋" w:eastAsia="仿宋" w:cs="仿宋"/>
                <w:szCs w:val="21"/>
                <w:highlight w:val="none"/>
              </w:rPr>
              <w:t>进行综合评审</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0-15分</w:t>
            </w:r>
            <w:r>
              <w:rPr>
                <w:rFonts w:hint="eastAsia" w:ascii="仿宋" w:hAnsi="仿宋" w:eastAsia="仿宋" w:cs="仿宋"/>
                <w:szCs w:val="21"/>
                <w:highlight w:val="none"/>
                <w:lang w:eastAsia="zh-CN"/>
              </w:rPr>
              <w:t>）。</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625" w:type="dxa"/>
            <w:noWrap w:val="0"/>
            <w:vAlign w:val="center"/>
          </w:tcPr>
          <w:p>
            <w:pPr>
              <w:tabs>
                <w:tab w:val="left" w:pos="426"/>
              </w:tabs>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6</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项目质量控制措施</w:t>
            </w:r>
          </w:p>
        </w:tc>
        <w:tc>
          <w:tcPr>
            <w:tcW w:w="7152" w:type="dxa"/>
            <w:noWrap w:val="0"/>
            <w:vAlign w:val="center"/>
          </w:tcPr>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lang w:eastAsia="zh-CN"/>
              </w:rPr>
              <w:t>根据投标人提供的项目质量控制措施方案是否</w:t>
            </w:r>
            <w:r>
              <w:rPr>
                <w:rFonts w:hint="eastAsia" w:ascii="仿宋" w:hAnsi="仿宋" w:eastAsia="仿宋" w:cs="仿宋"/>
                <w:szCs w:val="21"/>
                <w:highlight w:val="none"/>
              </w:rPr>
              <w:t>详细、合理、切合实际</w:t>
            </w:r>
            <w:r>
              <w:rPr>
                <w:rFonts w:hint="eastAsia" w:ascii="仿宋" w:hAnsi="仿宋" w:eastAsia="仿宋" w:cs="仿宋"/>
                <w:szCs w:val="21"/>
                <w:highlight w:val="none"/>
                <w:lang w:eastAsia="zh-CN"/>
              </w:rPr>
              <w:t>，</w:t>
            </w:r>
            <w:r>
              <w:rPr>
                <w:rFonts w:hint="eastAsia" w:ascii="仿宋" w:hAnsi="仿宋" w:eastAsia="仿宋" w:cs="仿宋"/>
                <w:szCs w:val="21"/>
                <w:highlight w:val="none"/>
              </w:rPr>
              <w:t>质量控制措施</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完善、可实施</w:t>
            </w:r>
            <w:r>
              <w:rPr>
                <w:rFonts w:hint="eastAsia" w:ascii="仿宋" w:hAnsi="仿宋" w:eastAsia="仿宋" w:cs="仿宋"/>
                <w:szCs w:val="21"/>
                <w:highlight w:val="none"/>
                <w:lang w:eastAsia="zh-CN"/>
              </w:rPr>
              <w:t>等方面进行综合评审（</w:t>
            </w:r>
            <w:r>
              <w:rPr>
                <w:rFonts w:hint="eastAsia" w:ascii="仿宋" w:hAnsi="仿宋" w:eastAsia="仿宋" w:cs="仿宋"/>
                <w:szCs w:val="21"/>
                <w:highlight w:val="none"/>
                <w:lang w:val="en-US" w:eastAsia="zh-CN"/>
              </w:rPr>
              <w:t>0-5分</w:t>
            </w:r>
            <w:r>
              <w:rPr>
                <w:rFonts w:hint="eastAsia" w:ascii="仿宋" w:hAnsi="仿宋" w:eastAsia="仿宋" w:cs="仿宋"/>
                <w:szCs w:val="21"/>
                <w:highlight w:val="none"/>
                <w:lang w:eastAsia="zh-CN"/>
              </w:rPr>
              <w:t>）。</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25" w:type="dxa"/>
            <w:noWrap w:val="0"/>
            <w:vAlign w:val="center"/>
          </w:tcPr>
          <w:p>
            <w:pPr>
              <w:tabs>
                <w:tab w:val="left" w:pos="426"/>
              </w:tabs>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7</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应急方案</w:t>
            </w:r>
          </w:p>
        </w:tc>
        <w:tc>
          <w:tcPr>
            <w:tcW w:w="7152" w:type="dxa"/>
            <w:noWrap w:val="0"/>
            <w:vAlign w:val="center"/>
          </w:tcPr>
          <w:p>
            <w:pPr>
              <w:tabs>
                <w:tab w:val="left" w:pos="426"/>
              </w:tabs>
              <w:snapToGrid w:val="0"/>
              <w:jc w:val="left"/>
              <w:rPr>
                <w:rFonts w:hint="eastAsia" w:ascii="仿宋" w:hAnsi="仿宋" w:eastAsia="仿宋" w:cs="仿宋"/>
                <w:kern w:val="0"/>
                <w:szCs w:val="21"/>
                <w:highlight w:val="none"/>
              </w:rPr>
            </w:pPr>
            <w:r>
              <w:rPr>
                <w:rFonts w:hint="eastAsia" w:ascii="仿宋" w:hAnsi="仿宋" w:eastAsia="仿宋" w:cs="仿宋"/>
                <w:szCs w:val="21"/>
                <w:highlight w:val="none"/>
              </w:rPr>
              <w:t>根据本项目需求制订应急预案，内容可包括但不限于以下内容：人员框架与职责，事故级别分类、应对措施及机制，响应速度计划安排，事后处理方案，预防措施等。</w:t>
            </w:r>
            <w:r>
              <w:rPr>
                <w:rFonts w:hint="eastAsia" w:ascii="仿宋" w:hAnsi="仿宋" w:eastAsia="仿宋" w:cs="仿宋"/>
                <w:szCs w:val="21"/>
                <w:highlight w:val="none"/>
                <w:lang w:eastAsia="zh-CN"/>
              </w:rPr>
              <w:t>专家根据</w:t>
            </w:r>
            <w:r>
              <w:rPr>
                <w:rFonts w:hint="eastAsia" w:ascii="仿宋" w:hAnsi="仿宋" w:eastAsia="仿宋" w:cs="仿宋"/>
                <w:szCs w:val="21"/>
                <w:highlight w:val="none"/>
              </w:rPr>
              <w:t>方案内容</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详细，架构</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清晰，职责</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分明，措施处理及安排</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得当</w:t>
            </w:r>
            <w:r>
              <w:rPr>
                <w:rFonts w:hint="eastAsia" w:ascii="仿宋" w:hAnsi="仿宋" w:eastAsia="仿宋" w:cs="仿宋"/>
                <w:szCs w:val="21"/>
                <w:highlight w:val="none"/>
                <w:lang w:eastAsia="zh-CN"/>
              </w:rPr>
              <w:t>等方面进行综合评审（</w:t>
            </w:r>
            <w:r>
              <w:rPr>
                <w:rFonts w:hint="eastAsia" w:ascii="仿宋" w:hAnsi="仿宋" w:eastAsia="仿宋" w:cs="仿宋"/>
                <w:szCs w:val="21"/>
                <w:highlight w:val="none"/>
                <w:lang w:val="en-US" w:eastAsia="zh-CN"/>
              </w:rPr>
              <w:t>0-5分</w:t>
            </w:r>
            <w:r>
              <w:rPr>
                <w:rFonts w:hint="eastAsia" w:ascii="仿宋" w:hAnsi="仿宋" w:eastAsia="仿宋" w:cs="仿宋"/>
                <w:szCs w:val="21"/>
                <w:highlight w:val="none"/>
                <w:lang w:eastAsia="zh-CN"/>
              </w:rPr>
              <w:t>）。</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25" w:type="dxa"/>
            <w:noWrap w:val="0"/>
            <w:vAlign w:val="center"/>
          </w:tcPr>
          <w:p>
            <w:pPr>
              <w:shd w:val="clear" w:color="auto" w:fill="FFFFFF"/>
              <w:tabs>
                <w:tab w:val="left" w:pos="426"/>
              </w:tabs>
              <w:jc w:val="center"/>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lang w:val="en-US" w:eastAsia="zh-CN"/>
              </w:rPr>
              <w:t>8</w:t>
            </w:r>
          </w:p>
        </w:tc>
        <w:tc>
          <w:tcPr>
            <w:tcW w:w="1138" w:type="dxa"/>
            <w:noWrap w:val="0"/>
            <w:vAlign w:val="center"/>
          </w:tcPr>
          <w:p>
            <w:pPr>
              <w:shd w:val="clear" w:color="auto" w:fill="FFFFFF"/>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技术培训方案</w:t>
            </w:r>
          </w:p>
        </w:tc>
        <w:tc>
          <w:tcPr>
            <w:tcW w:w="7152" w:type="dxa"/>
            <w:noWrap w:val="0"/>
            <w:vAlign w:val="center"/>
          </w:tcPr>
          <w:p>
            <w:pPr>
              <w:shd w:val="clear" w:color="auto" w:fill="FFFFFF"/>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根据投标人所提供的技术培训方案</w:t>
            </w:r>
            <w:r>
              <w:rPr>
                <w:rFonts w:hint="eastAsia" w:ascii="仿宋" w:hAnsi="仿宋" w:eastAsia="仿宋" w:cs="仿宋"/>
                <w:szCs w:val="21"/>
                <w:highlight w:val="none"/>
                <w:lang w:eastAsia="zh-CN"/>
              </w:rPr>
              <w:t>内容是否</w:t>
            </w:r>
            <w:r>
              <w:rPr>
                <w:rFonts w:hint="eastAsia" w:ascii="仿宋" w:hAnsi="仿宋" w:eastAsia="仿宋" w:cs="仿宋"/>
                <w:szCs w:val="21"/>
                <w:highlight w:val="none"/>
              </w:rPr>
              <w:t>全面具体，</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符合项目特点（方案应包括培训对象、培训内容和培训计划等）进行</w:t>
            </w:r>
            <w:r>
              <w:rPr>
                <w:rFonts w:hint="eastAsia" w:ascii="仿宋" w:hAnsi="仿宋" w:eastAsia="仿宋" w:cs="仿宋"/>
                <w:szCs w:val="21"/>
                <w:highlight w:val="none"/>
                <w:lang w:eastAsia="zh-CN"/>
              </w:rPr>
              <w:t>综合评审（</w:t>
            </w:r>
            <w:r>
              <w:rPr>
                <w:rFonts w:hint="eastAsia" w:ascii="仿宋" w:hAnsi="仿宋" w:eastAsia="仿宋" w:cs="仿宋"/>
                <w:szCs w:val="21"/>
                <w:highlight w:val="none"/>
                <w:lang w:val="en-US" w:eastAsia="zh-CN"/>
              </w:rPr>
              <w:t>0-5分</w:t>
            </w:r>
            <w:r>
              <w:rPr>
                <w:rFonts w:hint="eastAsia" w:ascii="仿宋" w:hAnsi="仿宋" w:eastAsia="仿宋" w:cs="仿宋"/>
                <w:szCs w:val="21"/>
                <w:highlight w:val="none"/>
                <w:lang w:eastAsia="zh-CN"/>
              </w:rPr>
              <w:t>）</w:t>
            </w:r>
            <w:r>
              <w:rPr>
                <w:rFonts w:hint="eastAsia" w:ascii="仿宋" w:hAnsi="仿宋" w:eastAsia="仿宋" w:cs="仿宋"/>
                <w:szCs w:val="21"/>
                <w:highlight w:val="none"/>
              </w:rPr>
              <w:t>。</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5" w:type="dxa"/>
            <w:noWrap w:val="0"/>
            <w:vAlign w:val="center"/>
          </w:tcPr>
          <w:p>
            <w:pPr>
              <w:tabs>
                <w:tab w:val="left" w:pos="426"/>
              </w:tabs>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9</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空气质量实时监测信息化</w:t>
            </w:r>
          </w:p>
          <w:p>
            <w:pPr>
              <w:tabs>
                <w:tab w:val="left" w:pos="426"/>
              </w:tabs>
              <w:jc w:val="center"/>
              <w:rPr>
                <w:rFonts w:hint="eastAsia" w:ascii="仿宋" w:hAnsi="仿宋" w:eastAsia="仿宋" w:cs="仿宋"/>
                <w:kern w:val="0"/>
                <w:szCs w:val="21"/>
                <w:highlight w:val="none"/>
              </w:rPr>
            </w:pPr>
          </w:p>
        </w:tc>
        <w:tc>
          <w:tcPr>
            <w:tcW w:w="7152" w:type="dxa"/>
            <w:noWrap w:val="0"/>
            <w:vAlign w:val="center"/>
          </w:tcPr>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1、</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提供空气质量实时监测信息化系统，系统具有相关软件著作权证书的，得3分；</w:t>
            </w:r>
          </w:p>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2、具</w:t>
            </w:r>
            <w:r>
              <w:rPr>
                <w:rFonts w:hint="eastAsia" w:ascii="仿宋" w:hAnsi="仿宋" w:eastAsia="仿宋" w:cs="仿宋"/>
                <w:szCs w:val="21"/>
                <w:highlight w:val="none"/>
                <w:lang w:eastAsia="zh-CN"/>
              </w:rPr>
              <w:t>有</w:t>
            </w:r>
            <w:r>
              <w:rPr>
                <w:rFonts w:hint="eastAsia" w:ascii="仿宋" w:hAnsi="仿宋" w:eastAsia="仿宋" w:cs="仿宋"/>
                <w:szCs w:val="21"/>
                <w:highlight w:val="none"/>
              </w:rPr>
              <w:t>实时动态采集空气质量数据的功能，具体监测指标功能包含温度、湿度、PM2.5、二氧化碳、压差、甲醛和TVOC。在联网的情况下，数据可以上传到云端，支持手机微信或者集中显示大屏随时随地查看。供应商根据功能需求制定项目实施方案</w:t>
            </w:r>
            <w:r>
              <w:rPr>
                <w:rFonts w:hint="eastAsia" w:ascii="仿宋" w:hAnsi="仿宋" w:eastAsia="仿宋" w:cs="仿宋"/>
                <w:szCs w:val="21"/>
                <w:highlight w:val="none"/>
                <w:lang w:eastAsia="zh-CN"/>
              </w:rPr>
              <w:t>及功能（需提供</w:t>
            </w:r>
            <w:r>
              <w:rPr>
                <w:rFonts w:hint="eastAsia" w:ascii="仿宋" w:hAnsi="仿宋" w:eastAsia="仿宋" w:cs="仿宋"/>
                <w:szCs w:val="21"/>
                <w:highlight w:val="none"/>
                <w:lang w:val="en-US" w:eastAsia="zh-CN"/>
              </w:rPr>
              <w:t>截图证明资料</w:t>
            </w:r>
            <w:r>
              <w:rPr>
                <w:rFonts w:hint="eastAsia" w:ascii="仿宋" w:hAnsi="仿宋" w:eastAsia="仿宋" w:cs="仿宋"/>
                <w:szCs w:val="21"/>
                <w:highlight w:val="none"/>
                <w:lang w:eastAsia="zh-CN"/>
              </w:rPr>
              <w:t>）是否完善切实可行进行综合评审（</w:t>
            </w:r>
            <w:r>
              <w:rPr>
                <w:rFonts w:hint="eastAsia" w:ascii="仿宋" w:hAnsi="仿宋" w:eastAsia="仿宋" w:cs="仿宋"/>
                <w:szCs w:val="21"/>
                <w:highlight w:val="none"/>
                <w:lang w:val="en-US" w:eastAsia="zh-CN"/>
              </w:rPr>
              <w:t>0-3分</w:t>
            </w:r>
            <w:r>
              <w:rPr>
                <w:rFonts w:hint="eastAsia" w:ascii="仿宋" w:hAnsi="仿宋" w:eastAsia="仿宋" w:cs="仿宋"/>
                <w:szCs w:val="21"/>
                <w:highlight w:val="none"/>
                <w:lang w:eastAsia="zh-CN"/>
              </w:rPr>
              <w:t>）。</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625" w:type="dxa"/>
            <w:noWrap w:val="0"/>
            <w:vAlign w:val="center"/>
          </w:tcPr>
          <w:p>
            <w:pPr>
              <w:tabs>
                <w:tab w:val="left" w:pos="426"/>
              </w:tabs>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10</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运维管理信息化</w:t>
            </w:r>
          </w:p>
        </w:tc>
        <w:tc>
          <w:tcPr>
            <w:tcW w:w="7152" w:type="dxa"/>
            <w:noWrap w:val="0"/>
            <w:vAlign w:val="center"/>
          </w:tcPr>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1、</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提供运维管理信息化系统，系统具有相关软件著作权证书的，得3分；</w:t>
            </w:r>
          </w:p>
          <w:p>
            <w:pPr>
              <w:tabs>
                <w:tab w:val="left" w:pos="426"/>
              </w:tabs>
              <w:snapToGrid w:val="0"/>
              <w:jc w:val="left"/>
              <w:rPr>
                <w:rFonts w:hint="eastAsia" w:ascii="仿宋" w:hAnsi="仿宋" w:eastAsia="仿宋" w:cs="仿宋"/>
                <w:kern w:val="0"/>
                <w:szCs w:val="21"/>
                <w:highlight w:val="none"/>
              </w:rPr>
            </w:pPr>
            <w:r>
              <w:rPr>
                <w:rFonts w:hint="eastAsia" w:ascii="仿宋" w:hAnsi="仿宋" w:eastAsia="仿宋" w:cs="仿宋"/>
                <w:szCs w:val="21"/>
                <w:highlight w:val="none"/>
              </w:rPr>
              <w:t>2、在运行维护过程使用物联网及智能化手段，具</w:t>
            </w:r>
            <w:r>
              <w:rPr>
                <w:rFonts w:hint="eastAsia" w:ascii="仿宋" w:hAnsi="仿宋" w:eastAsia="仿宋" w:cs="仿宋"/>
                <w:szCs w:val="21"/>
                <w:highlight w:val="none"/>
                <w:lang w:eastAsia="zh-CN"/>
              </w:rPr>
              <w:t>有</w:t>
            </w:r>
            <w:r>
              <w:rPr>
                <w:rFonts w:hint="eastAsia" w:ascii="仿宋" w:hAnsi="仿宋" w:eastAsia="仿宋" w:cs="仿宋"/>
                <w:szCs w:val="21"/>
                <w:highlight w:val="none"/>
              </w:rPr>
              <w:t>以下功能：预防性维护保养计划、零配件及耗材管理、结果可视、过程可追溯、过程资料数字化、所有设备一物一码。</w:t>
            </w:r>
            <w:r>
              <w:rPr>
                <w:rFonts w:hint="eastAsia" w:ascii="仿宋" w:hAnsi="仿宋" w:eastAsia="仿宋" w:cs="仿宋"/>
                <w:szCs w:val="21"/>
                <w:highlight w:val="none"/>
                <w:lang w:eastAsia="zh-CN"/>
              </w:rPr>
              <w:t>根据投标人</w:t>
            </w:r>
            <w:r>
              <w:rPr>
                <w:rFonts w:hint="eastAsia" w:ascii="仿宋" w:hAnsi="仿宋" w:eastAsia="仿宋" w:cs="仿宋"/>
                <w:szCs w:val="21"/>
                <w:highlight w:val="none"/>
              </w:rPr>
              <w:t>提供</w:t>
            </w:r>
            <w:r>
              <w:rPr>
                <w:rFonts w:hint="eastAsia" w:ascii="仿宋" w:hAnsi="仿宋" w:eastAsia="仿宋" w:cs="仿宋"/>
                <w:szCs w:val="21"/>
                <w:highlight w:val="none"/>
                <w:lang w:eastAsia="zh-CN"/>
              </w:rPr>
              <w:t>的</w:t>
            </w:r>
            <w:r>
              <w:rPr>
                <w:rFonts w:hint="eastAsia" w:ascii="仿宋" w:hAnsi="仿宋" w:eastAsia="仿宋" w:cs="仿宋"/>
                <w:szCs w:val="21"/>
                <w:highlight w:val="none"/>
              </w:rPr>
              <w:t>软件功能截图证明</w:t>
            </w:r>
            <w:r>
              <w:rPr>
                <w:rFonts w:hint="eastAsia" w:ascii="仿宋" w:hAnsi="仿宋" w:eastAsia="仿宋" w:cs="仿宋"/>
                <w:szCs w:val="21"/>
                <w:highlight w:val="none"/>
                <w:lang w:eastAsia="zh-CN"/>
              </w:rPr>
              <w:t>是否齐全及</w:t>
            </w:r>
            <w:r>
              <w:rPr>
                <w:rFonts w:hint="eastAsia" w:ascii="仿宋" w:hAnsi="仿宋" w:eastAsia="仿宋" w:cs="仿宋"/>
                <w:szCs w:val="21"/>
                <w:highlight w:val="none"/>
              </w:rPr>
              <w:t>相关描述</w:t>
            </w:r>
            <w:r>
              <w:rPr>
                <w:rFonts w:hint="eastAsia" w:ascii="仿宋" w:hAnsi="仿宋" w:eastAsia="仿宋" w:cs="仿宋"/>
                <w:szCs w:val="21"/>
                <w:highlight w:val="none"/>
                <w:lang w:eastAsia="zh-CN"/>
              </w:rPr>
              <w:t>是否清晰合理进行综合评审（</w:t>
            </w:r>
            <w:r>
              <w:rPr>
                <w:rFonts w:hint="eastAsia" w:ascii="仿宋" w:hAnsi="仿宋" w:eastAsia="仿宋" w:cs="仿宋"/>
                <w:szCs w:val="21"/>
                <w:highlight w:val="none"/>
                <w:lang w:val="en-US" w:eastAsia="zh-CN"/>
              </w:rPr>
              <w:t>0-3分</w:t>
            </w:r>
            <w:r>
              <w:rPr>
                <w:rFonts w:hint="eastAsia" w:ascii="仿宋" w:hAnsi="仿宋" w:eastAsia="仿宋" w:cs="仿宋"/>
                <w:szCs w:val="21"/>
                <w:highlight w:val="none"/>
                <w:lang w:eastAsia="zh-CN"/>
              </w:rPr>
              <w:t>）。</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25" w:type="dxa"/>
            <w:noWrap w:val="0"/>
            <w:vAlign w:val="center"/>
          </w:tcPr>
          <w:p>
            <w:pPr>
              <w:tabs>
                <w:tab w:val="left" w:pos="426"/>
              </w:tabs>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11</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医院能耗管理</w:t>
            </w:r>
          </w:p>
        </w:tc>
        <w:tc>
          <w:tcPr>
            <w:tcW w:w="7152" w:type="dxa"/>
            <w:noWrap w:val="0"/>
            <w:vAlign w:val="center"/>
          </w:tcPr>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1、</w:t>
            </w:r>
            <w:r>
              <w:rPr>
                <w:rFonts w:hint="eastAsia" w:ascii="仿宋" w:hAnsi="仿宋" w:eastAsia="仿宋" w:cs="仿宋"/>
                <w:szCs w:val="21"/>
                <w:highlight w:val="none"/>
                <w:lang w:eastAsia="zh-CN"/>
              </w:rPr>
              <w:t>根据投标人提供的</w:t>
            </w:r>
            <w:r>
              <w:rPr>
                <w:rFonts w:hint="eastAsia" w:ascii="仿宋" w:hAnsi="仿宋" w:eastAsia="仿宋" w:cs="仿宋"/>
                <w:szCs w:val="21"/>
                <w:highlight w:val="none"/>
              </w:rPr>
              <w:t>节约能耗、提高管理时效的实施方案</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齐全完善，可实施性</w:t>
            </w:r>
            <w:r>
              <w:rPr>
                <w:rFonts w:hint="eastAsia" w:ascii="仿宋" w:hAnsi="仿宋" w:eastAsia="仿宋" w:cs="仿宋"/>
                <w:szCs w:val="21"/>
                <w:highlight w:val="none"/>
                <w:lang w:eastAsia="zh-CN"/>
              </w:rPr>
              <w:t>，是否</w:t>
            </w:r>
            <w:r>
              <w:rPr>
                <w:rFonts w:hint="eastAsia" w:ascii="仿宋" w:hAnsi="仿宋" w:eastAsia="仿宋" w:cs="仿宋"/>
                <w:szCs w:val="21"/>
                <w:highlight w:val="none"/>
              </w:rPr>
              <w:t>符合项目需求</w:t>
            </w:r>
            <w:r>
              <w:rPr>
                <w:rFonts w:hint="eastAsia" w:ascii="仿宋" w:hAnsi="仿宋" w:eastAsia="仿宋" w:cs="仿宋"/>
                <w:szCs w:val="21"/>
                <w:highlight w:val="none"/>
                <w:lang w:eastAsia="zh-CN"/>
              </w:rPr>
              <w:t>进行综合评审（</w:t>
            </w:r>
            <w:r>
              <w:rPr>
                <w:rFonts w:hint="eastAsia" w:ascii="仿宋" w:hAnsi="仿宋" w:eastAsia="仿宋" w:cs="仿宋"/>
                <w:szCs w:val="21"/>
                <w:highlight w:val="none"/>
                <w:lang w:val="en-US" w:eastAsia="zh-CN"/>
              </w:rPr>
              <w:t>0-1.5</w:t>
            </w:r>
            <w:r>
              <w:rPr>
                <w:rFonts w:hint="eastAsia" w:ascii="仿宋" w:hAnsi="仿宋" w:eastAsia="仿宋" w:cs="仿宋"/>
                <w:szCs w:val="21"/>
                <w:highlight w:val="none"/>
                <w:lang w:eastAsia="zh-CN"/>
              </w:rPr>
              <w:t>）；</w:t>
            </w:r>
          </w:p>
          <w:p>
            <w:pPr>
              <w:tabs>
                <w:tab w:val="left" w:pos="426"/>
              </w:tabs>
              <w:snapToGrid w:val="0"/>
              <w:jc w:val="left"/>
              <w:rPr>
                <w:rFonts w:hint="eastAsia" w:ascii="仿宋" w:hAnsi="仿宋" w:eastAsia="仿宋" w:cs="仿宋"/>
                <w:kern w:val="0"/>
                <w:szCs w:val="21"/>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具</w:t>
            </w:r>
            <w:r>
              <w:rPr>
                <w:rFonts w:hint="eastAsia" w:ascii="仿宋" w:hAnsi="仿宋" w:eastAsia="仿宋" w:cs="仿宋"/>
                <w:szCs w:val="21"/>
                <w:highlight w:val="none"/>
                <w:lang w:eastAsia="zh-CN"/>
              </w:rPr>
              <w:t>有</w:t>
            </w:r>
            <w:r>
              <w:rPr>
                <w:rFonts w:hint="eastAsia" w:ascii="仿宋" w:hAnsi="仿宋" w:eastAsia="仿宋" w:cs="仿宋"/>
                <w:szCs w:val="21"/>
                <w:highlight w:val="none"/>
              </w:rPr>
              <w:t>能耗监测技术实力的能力：具有能耗减碳监控类相关软件或者硬件技术实力（包括发明、实用新型专利或者软件著作权），提供相关的证明文件，得1.5分。</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625" w:type="dxa"/>
            <w:noWrap w:val="0"/>
            <w:vAlign w:val="center"/>
          </w:tcPr>
          <w:p>
            <w:pPr>
              <w:tabs>
                <w:tab w:val="left" w:pos="426"/>
              </w:tabs>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12</w:t>
            </w:r>
          </w:p>
        </w:tc>
        <w:tc>
          <w:tcPr>
            <w:tcW w:w="1138" w:type="dxa"/>
            <w:noWrap w:val="0"/>
            <w:vAlign w:val="center"/>
          </w:tcPr>
          <w:p>
            <w:pPr>
              <w:tabs>
                <w:tab w:val="left" w:pos="426"/>
              </w:tabs>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工具/仪器情况</w:t>
            </w:r>
          </w:p>
        </w:tc>
        <w:tc>
          <w:tcPr>
            <w:tcW w:w="7152" w:type="dxa"/>
            <w:noWrap w:val="0"/>
            <w:vAlign w:val="center"/>
          </w:tcPr>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1、根据</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拟投入本项目的以下6类自有工具进行评审：高压清洗机；真空泵；交流焊机；冷媒回收机；套丝机；R41专用扩管器。具备6类的得6分；具备4-5类的得3分；具备2-3类的得1分；其它不得分。</w:t>
            </w:r>
          </w:p>
          <w:p>
            <w:pPr>
              <w:tabs>
                <w:tab w:val="left" w:pos="426"/>
              </w:tabs>
              <w:snapToGrid w:val="0"/>
              <w:jc w:val="left"/>
              <w:rPr>
                <w:rFonts w:hint="eastAsia" w:ascii="仿宋" w:hAnsi="仿宋" w:eastAsia="仿宋" w:cs="仿宋"/>
                <w:szCs w:val="21"/>
                <w:highlight w:val="none"/>
              </w:rPr>
            </w:pPr>
            <w:r>
              <w:rPr>
                <w:rFonts w:hint="eastAsia" w:ascii="仿宋" w:hAnsi="仿宋" w:eastAsia="仿宋" w:cs="仿宋"/>
                <w:szCs w:val="21"/>
                <w:highlight w:val="none"/>
              </w:rPr>
              <w:t>2、根据</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拟投入本项目的以下7类自有仪器进行评审：风量检测仪；风速仪；温湿度检测仪；钳形电流表；万用表；数显测电笔；冷媒检漏仪器。具备7类的得4分；具备5-6类的得2分；具备3-4类的得1分；其它不得分。</w:t>
            </w:r>
          </w:p>
          <w:p>
            <w:pPr>
              <w:tabs>
                <w:tab w:val="left" w:pos="426"/>
              </w:tabs>
              <w:snapToGrid w:val="0"/>
              <w:jc w:val="left"/>
              <w:rPr>
                <w:rFonts w:hint="eastAsia" w:ascii="仿宋" w:hAnsi="仿宋" w:eastAsia="仿宋" w:cs="仿宋"/>
                <w:highlight w:val="none"/>
              </w:rPr>
            </w:pPr>
            <w:r>
              <w:rPr>
                <w:rFonts w:hint="eastAsia" w:ascii="仿宋" w:hAnsi="仿宋" w:eastAsia="仿宋" w:cs="仿宋"/>
                <w:szCs w:val="21"/>
                <w:highlight w:val="none"/>
              </w:rPr>
              <w:t>（注：提供对应设备清单明细、自有工具/仪器发票、图片，证明材料不齐全的则该项不得分。）</w:t>
            </w:r>
          </w:p>
        </w:tc>
        <w:tc>
          <w:tcPr>
            <w:tcW w:w="781" w:type="dxa"/>
            <w:noWrap w:val="0"/>
            <w:vAlign w:val="center"/>
          </w:tcPr>
          <w:p>
            <w:pPr>
              <w:tabs>
                <w:tab w:val="left" w:pos="426"/>
              </w:tabs>
              <w:jc w:val="center"/>
              <w:rPr>
                <w:rFonts w:hint="eastAsia" w:ascii="仿宋" w:hAnsi="仿宋" w:eastAsia="仿宋" w:cs="仿宋"/>
                <w:szCs w:val="21"/>
                <w:highlight w:val="none"/>
              </w:rPr>
            </w:pPr>
            <w:r>
              <w:rPr>
                <w:rFonts w:hint="eastAsia" w:ascii="仿宋" w:hAnsi="仿宋" w:eastAsia="仿宋" w:cs="仿宋"/>
                <w:szCs w:val="21"/>
                <w:highlight w:val="none"/>
              </w:rPr>
              <w:t>10</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2"/>
        <w:rPr>
          <w:rFonts w:hint="eastAsia" w:ascii="仿宋" w:hAnsi="仿宋" w:eastAsia="仿宋" w:cs="仿宋"/>
          <w:b/>
          <w:bCs/>
          <w:color w:val="auto"/>
          <w:sz w:val="24"/>
          <w:highlight w:val="none"/>
        </w:rPr>
      </w:pPr>
    </w:p>
    <w:p>
      <w:pPr>
        <w:pStyle w:val="2"/>
        <w:rPr>
          <w:rFonts w:hint="eastAsia" w:ascii="仿宋" w:hAnsi="仿宋" w:eastAsia="仿宋" w:cs="仿宋"/>
          <w:b/>
          <w:bCs/>
          <w:color w:val="auto"/>
          <w:sz w:val="24"/>
          <w:highlight w:val="none"/>
        </w:rPr>
      </w:pPr>
    </w:p>
    <w:p>
      <w:pPr>
        <w:pStyle w:val="2"/>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lang w:eastAsia="zh-CN"/>
        </w:rPr>
      </w:pPr>
    </w:p>
    <w:p>
      <w:pPr>
        <w:pStyle w:val="80"/>
        <w:rPr>
          <w:rFonts w:hint="eastAsia" w:ascii="仿宋" w:hAnsi="仿宋" w:eastAsia="仿宋" w:cs="仿宋"/>
          <w:color w:val="auto"/>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both"/>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4"/>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both"/>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0" w:name="_Hlk101131882"/>
      <w:r>
        <w:rPr>
          <w:rFonts w:hint="eastAsia" w:ascii="仿宋" w:hAnsi="仿宋" w:eastAsia="仿宋" w:cs="仿宋"/>
          <w:color w:val="auto"/>
          <w:kern w:val="0"/>
          <w:sz w:val="24"/>
          <w:highlight w:val="none"/>
          <w:u w:val="single"/>
        </w:rPr>
        <w:t>联合体成员X,……</w:t>
      </w:r>
      <w:bookmarkEnd w:id="16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1"/>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3" w:name="OLE_LINK14"/>
      <w:bookmarkStart w:id="164" w:name="OLE_LINK13"/>
      <w:r>
        <w:rPr>
          <w:rFonts w:hint="eastAsia" w:ascii="仿宋" w:hAnsi="仿宋" w:eastAsia="仿宋" w:cs="仿宋"/>
          <w:b/>
          <w:color w:val="auto"/>
          <w:spacing w:val="6"/>
          <w:sz w:val="32"/>
          <w:szCs w:val="32"/>
          <w:highlight w:val="none"/>
        </w:rPr>
        <w:t>残疾人福利性单位声明函</w:t>
      </w:r>
    </w:p>
    <w:bookmarkEnd w:id="163"/>
    <w:bookmarkEnd w:id="164"/>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4"/>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bookmarkEnd w:id="169"/>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91899912"/>
    <w:bookmarkStart w:id="166" w:name="_Toc164085800"/>
    <w:bookmarkStart w:id="167" w:name="_Toc36110187"/>
    <w:bookmarkStart w:id="168" w:name="_Toc131845147"/>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41B7E05"/>
    <w:multiLevelType w:val="multilevel"/>
    <w:tmpl w:val="141B7E05"/>
    <w:lvl w:ilvl="0" w:tentative="0">
      <w:start w:val="1"/>
      <w:numFmt w:val="upp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0595ACA"/>
    <w:multiLevelType w:val="multilevel"/>
    <w:tmpl w:val="40595ACA"/>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iMTc5Mjg0YWFmNjAwZTBjOGFiODc5N2VmNzc1NDQifQ=="/>
  </w:docVars>
  <w:rsids>
    <w:rsidRoot w:val="00172A27"/>
    <w:rsid w:val="0F096B8F"/>
    <w:rsid w:val="0F63063F"/>
    <w:rsid w:val="136E3F3C"/>
    <w:rsid w:val="17E6386F"/>
    <w:rsid w:val="18E60774"/>
    <w:rsid w:val="1B411FFC"/>
    <w:rsid w:val="1D2F1C3B"/>
    <w:rsid w:val="30CD01D9"/>
    <w:rsid w:val="38872063"/>
    <w:rsid w:val="427E60E8"/>
    <w:rsid w:val="490735E2"/>
    <w:rsid w:val="49FA7836"/>
    <w:rsid w:val="4CB0248B"/>
    <w:rsid w:val="4F4B3D85"/>
    <w:rsid w:val="5F561B6F"/>
    <w:rsid w:val="5F57E5CA"/>
    <w:rsid w:val="669C35D3"/>
    <w:rsid w:val="6BD4147B"/>
    <w:rsid w:val="6FC37AD4"/>
    <w:rsid w:val="78AD1F79"/>
    <w:rsid w:val="7BFA050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首行缩进"/>
    <w:basedOn w:val="1"/>
    <w:next w:val="1"/>
    <w:qFormat/>
    <w:uiPriority w:val="0"/>
    <w:pPr>
      <w:spacing w:line="360" w:lineRule="auto"/>
      <w:ind w:firstLine="480" w:firstLineChars="200"/>
    </w:pPr>
    <w:rPr>
      <w:rFonts w:ascii="宋体"/>
      <w:sz w:val="24"/>
      <w:szCs w:val="20"/>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24"/>
    <w:next w:val="1"/>
    <w:link w:val="320"/>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42037</Words>
  <Characters>44935</Characters>
  <Paragraphs>1943</Paragraphs>
  <TotalTime>53</TotalTime>
  <ScaleCrop>false</ScaleCrop>
  <LinksUpToDate>false</LinksUpToDate>
  <CharactersWithSpaces>52310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2023-11-21T08:56:30Z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