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绍兴市中医院监控存储扩容项目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sz w:val="28"/>
          <w:szCs w:val="28"/>
          <w:highlight w:val="none"/>
          <w:lang w:eastAsia="zh-CN"/>
        </w:rPr>
        <w:t>TYJZ2023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25193662"/>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rPr>
              <w:t>月</w:t>
            </w:r>
          </w:p>
        </w:tc>
      </w:tr>
    </w:tbl>
    <w:p>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绍兴市中医院监控存储扩容项目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年月日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TYJZ2023</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绍兴市中医院监控存储扩容项目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640000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 xml:space="preserve">640000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监控存储扩容项目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预算金额：640000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785" w:firstLineChars="374"/>
        <w:textAlignment w:val="auto"/>
        <w:rPr>
          <w:rFonts w:hint="eastAsia" w:ascii="仿宋" w:hAnsi="仿宋" w:eastAsia="仿宋" w:cs="仿宋"/>
          <w:color w:val="auto"/>
          <w:sz w:val="24"/>
          <w:highlight w:val="none"/>
          <w:u w:val="singl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28359019"/>
      <w:bookmarkStart w:id="13" w:name="_Toc28359096"/>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地址：绍兴市越城区人民中路651号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20"/>
      <w:bookmarkStart w:id="16" w:name="_Toc28359097"/>
      <w:bookmarkStart w:id="17" w:name="_Toc35393638"/>
      <w:bookmarkStart w:id="18" w:name="_Toc3539380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地址：绍兴市越城区朝皇路正大综合楼601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808"/>
      <w:bookmarkStart w:id="20" w:name="_Toc28359098"/>
      <w:bookmarkStart w:id="21" w:name="_Toc28359021"/>
      <w:bookmarkStart w:id="2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张婷婷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bookmarkStart w:id="202" w:name="_GoBack"/>
            <w:r>
              <w:rPr>
                <w:rFonts w:hint="eastAsia" w:ascii="仿宋" w:hAnsi="仿宋" w:eastAsia="仿宋" w:cs="仿宋"/>
                <w:color w:val="auto"/>
                <w:kern w:val="0"/>
                <w:sz w:val="24"/>
                <w:highlight w:val="yellow"/>
                <w:lang w:eastAsia="zh-CN"/>
              </w:rPr>
              <w:sym w:font="Wingdings 2" w:char="0052"/>
            </w:r>
            <w:r>
              <w:rPr>
                <w:rFonts w:hint="eastAsia" w:ascii="仿宋" w:hAnsi="仿宋" w:eastAsia="仿宋" w:cs="仿宋"/>
                <w:color w:val="auto"/>
                <w:kern w:val="0"/>
                <w:sz w:val="24"/>
                <w:highlight w:val="yellow"/>
              </w:rPr>
              <w:t>B组织，</w:t>
            </w:r>
            <w:r>
              <w:rPr>
                <w:rFonts w:hint="eastAsia" w:ascii="仿宋" w:hAnsi="仿宋" w:eastAsia="仿宋" w:cs="仿宋"/>
                <w:color w:val="auto"/>
                <w:sz w:val="24"/>
                <w:highlight w:val="yellow"/>
              </w:rPr>
              <w:t>时间：</w:t>
            </w:r>
            <w:r>
              <w:rPr>
                <w:rFonts w:hint="eastAsia" w:ascii="仿宋" w:hAnsi="仿宋" w:eastAsia="仿宋" w:cs="仿宋"/>
                <w:color w:val="auto"/>
                <w:sz w:val="24"/>
                <w:highlight w:val="yellow"/>
                <w:u w:val="single"/>
              </w:rPr>
              <w:t xml:space="preserve">      </w:t>
            </w:r>
            <w:r>
              <w:rPr>
                <w:rFonts w:hint="eastAsia" w:ascii="仿宋" w:hAnsi="仿宋" w:eastAsia="仿宋" w:cs="仿宋"/>
                <w:color w:val="auto"/>
                <w:sz w:val="24"/>
                <w:highlight w:val="yellow"/>
              </w:rPr>
              <w:t>,地点：</w:t>
            </w:r>
            <w:r>
              <w:rPr>
                <w:rFonts w:hint="eastAsia" w:ascii="仿宋" w:hAnsi="仿宋" w:eastAsia="仿宋" w:cs="仿宋"/>
                <w:color w:val="auto"/>
                <w:sz w:val="24"/>
                <w:highlight w:val="yellow"/>
                <w:u w:val="single"/>
              </w:rPr>
              <w:t xml:space="preserve">      </w:t>
            </w:r>
            <w:r>
              <w:rPr>
                <w:rFonts w:hint="eastAsia" w:ascii="仿宋" w:hAnsi="仿宋" w:eastAsia="仿宋" w:cs="仿宋"/>
                <w:color w:val="auto"/>
                <w:sz w:val="24"/>
                <w:highlight w:val="yellow"/>
              </w:rPr>
              <w:t>，联系人：</w:t>
            </w:r>
            <w:r>
              <w:rPr>
                <w:rFonts w:hint="eastAsia" w:ascii="仿宋" w:hAnsi="仿宋" w:eastAsia="仿宋" w:cs="仿宋"/>
                <w:color w:val="auto"/>
                <w:sz w:val="24"/>
                <w:highlight w:val="yellow"/>
                <w:u w:val="single"/>
              </w:rPr>
              <w:t xml:space="preserve">      </w:t>
            </w:r>
            <w:r>
              <w:rPr>
                <w:rFonts w:hint="eastAsia" w:ascii="仿宋" w:hAnsi="仿宋" w:eastAsia="仿宋" w:cs="仿宋"/>
                <w:color w:val="auto"/>
                <w:sz w:val="24"/>
                <w:highlight w:val="yellow"/>
              </w:rPr>
              <w:t>，联系方式：</w:t>
            </w:r>
            <w:r>
              <w:rPr>
                <w:rFonts w:hint="eastAsia" w:ascii="仿宋" w:hAnsi="仿宋" w:eastAsia="仿宋" w:cs="仿宋"/>
                <w:color w:val="auto"/>
                <w:sz w:val="24"/>
                <w:highlight w:val="yellow"/>
                <w:u w:val="single"/>
              </w:rPr>
              <w:t xml:space="preserve">      </w:t>
            </w:r>
            <w:r>
              <w:rPr>
                <w:rFonts w:hint="eastAsia" w:ascii="仿宋" w:hAnsi="仿宋" w:eastAsia="仿宋" w:cs="仿宋"/>
                <w:color w:val="auto"/>
                <w:sz w:val="24"/>
                <w:szCs w:val="20"/>
                <w:highlight w:val="yellow"/>
              </w:rPr>
              <w:t>。</w:t>
            </w:r>
            <w:bookmarkEnd w:id="2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详见招标文件第三部分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详见招标文件第三部分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投标截止前一天</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绍兴市朝皇路正大综合楼</w:t>
            </w:r>
            <w:r>
              <w:rPr>
                <w:rFonts w:hint="eastAsia" w:ascii="仿宋" w:hAnsi="仿宋" w:eastAsia="仿宋" w:cs="仿宋"/>
                <w:color w:val="auto"/>
                <w:sz w:val="24"/>
                <w:highlight w:val="none"/>
                <w:u w:val="single"/>
                <w:lang w:val="en-US" w:eastAsia="zh-CN"/>
              </w:rPr>
              <w:t>601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金锦英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13656752180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2" w:char="00A3"/>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30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网络存储设备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工业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72998"/>
      <w:bookmarkEnd w:id="23"/>
      <w:bookmarkStart w:id="24" w:name="_Hlt74714665"/>
      <w:bookmarkEnd w:id="24"/>
      <w:bookmarkStart w:id="25" w:name="_Hlt74707468"/>
      <w:bookmarkEnd w:id="25"/>
      <w:bookmarkStart w:id="26" w:name="_Hlt75236011"/>
      <w:bookmarkEnd w:id="26"/>
      <w:bookmarkStart w:id="27" w:name="_Hlt68072990"/>
      <w:bookmarkEnd w:id="27"/>
      <w:bookmarkStart w:id="28" w:name="_Hlt75236290"/>
      <w:bookmarkEnd w:id="28"/>
      <w:bookmarkStart w:id="29" w:name="_Hlt74730295"/>
      <w:bookmarkEnd w:id="29"/>
      <w:bookmarkStart w:id="30" w:name="_Hlt68073093"/>
      <w:bookmarkEnd w:id="30"/>
      <w:bookmarkStart w:id="31" w:name="_Hlt74729768"/>
      <w:bookmarkEnd w:id="31"/>
      <w:bookmarkStart w:id="32" w:name="_Hlt68057669"/>
      <w:bookmarkEnd w:id="32"/>
      <w:bookmarkStart w:id="33" w:name="_Hlt68403820"/>
      <w:bookmarkEnd w:id="33"/>
      <w:bookmarkStart w:id="34" w:name="_Hlt75236101"/>
      <w:bookmarkEnd w:id="34"/>
      <w:bookmarkStart w:id="35" w:name="第三部分"/>
      <w:bookmarkStart w:id="36" w:name="_Toc164416483"/>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color w:val="auto"/>
          <w:highlight w:val="none"/>
        </w:rPr>
      </w:pPr>
    </w:p>
    <w:p>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监控存储扩容项目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64</w:t>
      </w:r>
      <w:r>
        <w:rPr>
          <w:rFonts w:hint="eastAsia" w:ascii="仿宋_GB2312" w:hAnsi="新宋体" w:eastAsia="仿宋_GB2312" w:cs="Arial"/>
          <w:b/>
          <w:bCs/>
          <w:color w:val="auto"/>
          <w:sz w:val="24"/>
          <w:highlight w:val="none"/>
        </w:rPr>
        <w:t>万元）</w:t>
      </w:r>
    </w:p>
    <w:p>
      <w:pPr>
        <w:keepNext w:val="0"/>
        <w:keepLines w:val="0"/>
        <w:pageBreakBefore w:val="0"/>
        <w:kinsoku/>
        <w:wordWrap/>
        <w:overflowPunct/>
        <w:topLinePunct w:val="0"/>
        <w:autoSpaceDE/>
        <w:autoSpaceDN/>
        <w:bidi w:val="0"/>
        <w:adjustRightInd/>
        <w:snapToGrid/>
        <w:spacing w:line="360" w:lineRule="auto"/>
        <w:ind w:left="420" w:leftChars="200"/>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lang w:eastAsia="zh-CN"/>
        </w:rPr>
        <w:t>一、</w:t>
      </w:r>
      <w:r>
        <w:rPr>
          <w:rFonts w:hint="eastAsia" w:ascii="仿宋" w:hAnsi="仿宋" w:eastAsia="仿宋" w:cs="仿宋"/>
          <w:b/>
          <w:bCs/>
          <w:color w:val="auto"/>
          <w:szCs w:val="21"/>
          <w:highlight w:val="none"/>
        </w:rPr>
        <w:t>主要技术参数及采购清单</w:t>
      </w:r>
      <w:r>
        <w:rPr>
          <w:rFonts w:hint="eastAsia" w:ascii="仿宋" w:hAnsi="仿宋" w:eastAsia="仿宋" w:cs="仿宋"/>
          <w:b/>
          <w:bCs/>
          <w:color w:val="auto"/>
          <w:szCs w:val="21"/>
          <w:highlight w:val="none"/>
          <w:lang w:eastAsia="zh-CN"/>
        </w:rPr>
        <w:t>：</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23"/>
        <w:gridCol w:w="1026"/>
        <w:gridCol w:w="5487"/>
        <w:gridCol w:w="484"/>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33" w:type="pct"/>
            <w:noWrap w:val="0"/>
            <w:vAlign w:val="center"/>
          </w:tcPr>
          <w:p>
            <w:pPr>
              <w:snapToGrid w:val="0"/>
              <w:spacing w:line="36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序号</w:t>
            </w:r>
          </w:p>
        </w:tc>
        <w:tc>
          <w:tcPr>
            <w:tcW w:w="558" w:type="pct"/>
            <w:noWrap w:val="0"/>
            <w:vAlign w:val="center"/>
          </w:tcPr>
          <w:p>
            <w:pPr>
              <w:snapToGrid w:val="0"/>
              <w:spacing w:line="36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名 称</w:t>
            </w:r>
          </w:p>
        </w:tc>
        <w:tc>
          <w:tcPr>
            <w:tcW w:w="559" w:type="pct"/>
            <w:noWrap w:val="0"/>
            <w:vAlign w:val="center"/>
          </w:tcPr>
          <w:p>
            <w:pPr>
              <w:snapToGrid w:val="0"/>
              <w:spacing w:line="360" w:lineRule="exact"/>
              <w:jc w:val="cente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推荐品牌</w:t>
            </w:r>
          </w:p>
        </w:tc>
        <w:tc>
          <w:tcPr>
            <w:tcW w:w="2990" w:type="pct"/>
            <w:noWrap w:val="0"/>
            <w:vAlign w:val="center"/>
          </w:tcPr>
          <w:p>
            <w:pPr>
              <w:snapToGrid w:val="0"/>
              <w:spacing w:line="36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技术要求及指标</w:t>
            </w:r>
          </w:p>
        </w:tc>
        <w:tc>
          <w:tcPr>
            <w:tcW w:w="264" w:type="pct"/>
            <w:noWrap w:val="0"/>
            <w:vAlign w:val="center"/>
          </w:tcPr>
          <w:p>
            <w:pPr>
              <w:snapToGrid w:val="0"/>
              <w:spacing w:line="36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单位</w:t>
            </w:r>
          </w:p>
        </w:tc>
        <w:tc>
          <w:tcPr>
            <w:tcW w:w="294" w:type="pct"/>
            <w:noWrap w:val="0"/>
            <w:vAlign w:val="center"/>
          </w:tcPr>
          <w:p>
            <w:pPr>
              <w:snapToGrid w:val="0"/>
              <w:spacing w:line="36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33" w:type="pct"/>
            <w:noWrap w:val="0"/>
            <w:vAlign w:val="center"/>
          </w:tcPr>
          <w:p>
            <w:pPr>
              <w:snapToGrid w:val="0"/>
              <w:spacing w:line="36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558" w:type="pct"/>
            <w:noWrap w:val="0"/>
            <w:vAlign w:val="center"/>
          </w:tcPr>
          <w:p>
            <w:pPr>
              <w:pStyle w:val="258"/>
              <w:spacing w:line="360" w:lineRule="exact"/>
              <w:ind w:left="0" w:leftChars="0" w:firstLine="0" w:firstLineChars="0"/>
              <w:jc w:val="both"/>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网络存储设备</w:t>
            </w:r>
          </w:p>
        </w:tc>
        <w:tc>
          <w:tcPr>
            <w:tcW w:w="559" w:type="pct"/>
            <w:noWrap w:val="0"/>
            <w:vAlign w:val="center"/>
          </w:tcPr>
          <w:p>
            <w:pPr>
              <w:pStyle w:val="258"/>
              <w:spacing w:line="360" w:lineRule="exact"/>
              <w:ind w:left="0" w:leftChars="0" w:firstLine="0" w:firstLineChars="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海康威视、大华、中控智慧</w:t>
            </w:r>
          </w:p>
        </w:tc>
        <w:tc>
          <w:tcPr>
            <w:tcW w:w="2990" w:type="pct"/>
            <w:noWrap w:val="0"/>
            <w:vAlign w:val="center"/>
          </w:tcPr>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i w:val="0"/>
                <w:iCs w:val="0"/>
                <w:color w:val="auto"/>
                <w:kern w:val="0"/>
                <w:sz w:val="21"/>
                <w:szCs w:val="21"/>
                <w:highlight w:val="none"/>
                <w:u w:val="none"/>
                <w:lang w:val="en-US" w:eastAsia="zh-CN" w:bidi="ar"/>
              </w:rPr>
              <w:t>主机为标准8U机架式设备</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48盘位，</w:t>
            </w:r>
            <w:r>
              <w:rPr>
                <w:rFonts w:hint="eastAsia" w:ascii="仿宋" w:hAnsi="仿宋" w:eastAsia="仿宋" w:cs="仿宋"/>
                <w:bCs/>
                <w:color w:val="auto"/>
                <w:sz w:val="21"/>
                <w:szCs w:val="21"/>
                <w:highlight w:val="none"/>
                <w:lang w:val="en-US" w:eastAsia="zh-CN"/>
              </w:rPr>
              <w:t>配置</w:t>
            </w:r>
            <w:r>
              <w:rPr>
                <w:rFonts w:hint="eastAsia" w:ascii="仿宋" w:hAnsi="仿宋" w:eastAsia="仿宋" w:cs="仿宋"/>
                <w:bCs/>
                <w:color w:val="auto"/>
                <w:sz w:val="21"/>
                <w:szCs w:val="21"/>
                <w:highlight w:val="none"/>
              </w:rPr>
              <w:t>48块8T企业级SATA硬盘；</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服务器配置：≥1颗64位多核处理器，≥4GB内存，内存支持扩展到≥128GB，内置SSD固态硬盘≥</w:t>
            </w:r>
            <w:r>
              <w:rPr>
                <w:rFonts w:hint="eastAsia" w:ascii="仿宋" w:hAnsi="仿宋" w:eastAsia="仿宋" w:cs="仿宋"/>
                <w:bCs/>
                <w:color w:val="auto"/>
                <w:sz w:val="21"/>
                <w:szCs w:val="21"/>
                <w:highlight w:val="none"/>
                <w:lang w:val="en-US" w:eastAsia="zh-CN"/>
              </w:rPr>
              <w:t>200</w:t>
            </w:r>
            <w:r>
              <w:rPr>
                <w:rFonts w:hint="eastAsia" w:ascii="仿宋" w:hAnsi="仿宋" w:eastAsia="仿宋" w:cs="仿宋"/>
                <w:bCs/>
                <w:color w:val="auto"/>
                <w:sz w:val="21"/>
                <w:szCs w:val="21"/>
                <w:highlight w:val="none"/>
              </w:rPr>
              <w:t>GB（可以扩展到4个SSD作为缓存盘），配置≥6个风扇，支持风扇热插拔冗余温控调速风扇。</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具有48块硬盘热插拔插槽；支持硬盘热插拔设备在读写数据时，热插拔设备内的任意块硬盘，设备正常运行不宕机，硬盘不损坏，数据不丢失，业务不中断。</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4、</w:t>
            </w:r>
            <w:r>
              <w:rPr>
                <w:rFonts w:hint="eastAsia" w:ascii="仿宋" w:hAnsi="仿宋" w:eastAsia="仿宋" w:cs="仿宋"/>
                <w:bCs/>
                <w:color w:val="auto"/>
                <w:sz w:val="21"/>
                <w:szCs w:val="21"/>
                <w:highlight w:val="none"/>
              </w:rPr>
              <w:t>支持网络RAID纠删码技术，多台存储设备组建网络RAID，设置为负载均衡；单台或多台存储设备组建网络RAID，允许每组RAID中任意1-12个磁盘发生故障，数据不丢失，存储服务不中断；允许每组RAID中任意18块硬盘发生故障，业务不中断。（提供封面首页具有CMA、CNAS标识的权威检测报告复印件）</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5、</w:t>
            </w:r>
            <w:r>
              <w:rPr>
                <w:rFonts w:hint="eastAsia" w:ascii="仿宋" w:hAnsi="仿宋" w:eastAsia="仿宋" w:cs="仿宋"/>
                <w:bCs/>
                <w:color w:val="auto"/>
                <w:sz w:val="21"/>
                <w:szCs w:val="21"/>
                <w:highlight w:val="none"/>
              </w:rPr>
              <w:t>支持查看硬盘体检报告、硬盘深度体检和磁盘档案；支持下载单个硬盘或批量硬盘的报告，支持按时间显示硬盘的坏扇区、温度、振动变化趋势的曲线图。（提供封面首页具有CMA、CNAS标识的权威检测报告复印件）</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6、</w:t>
            </w:r>
            <w:r>
              <w:rPr>
                <w:rFonts w:hint="eastAsia" w:ascii="仿宋" w:hAnsi="仿宋" w:eastAsia="仿宋" w:cs="仿宋"/>
                <w:bCs/>
                <w:color w:val="auto"/>
                <w:sz w:val="21"/>
                <w:szCs w:val="21"/>
                <w:highlight w:val="none"/>
              </w:rPr>
              <w:t>可通过硬盘深度体检查看硬盘原始数据读取错误率、上电时间、上电时长计数、意外断电计数、重映射扇区数、磁盘振动等多种硬盘相关健康值。（提供封面首页具有CMA、CNAS标识的权威检测报告复印件）</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7、</w:t>
            </w:r>
            <w:r>
              <w:rPr>
                <w:rFonts w:hint="eastAsia" w:ascii="仿宋" w:hAnsi="仿宋" w:eastAsia="仿宋" w:cs="仿宋"/>
                <w:bCs/>
                <w:color w:val="auto"/>
                <w:sz w:val="21"/>
                <w:szCs w:val="21"/>
                <w:highlight w:val="none"/>
              </w:rPr>
              <w:t>更换系统盘并配置好信息后，再次开机无需人工介入，可自动恢复业务，历史数据不应丢失。（提供封面首页具有CMA、CNAS标识的权威检测报告复印件）</w:t>
            </w:r>
          </w:p>
          <w:p>
            <w:pPr>
              <w:pStyle w:val="258"/>
              <w:spacing w:line="360" w:lineRule="exact"/>
              <w:ind w:left="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8、</w:t>
            </w:r>
            <w:r>
              <w:rPr>
                <w:rFonts w:hint="eastAsia" w:ascii="仿宋" w:hAnsi="仿宋" w:eastAsia="仿宋" w:cs="仿宋"/>
                <w:bCs/>
                <w:color w:val="auto"/>
                <w:sz w:val="21"/>
                <w:szCs w:val="21"/>
                <w:highlight w:val="none"/>
              </w:rPr>
              <w:t>设备支持版本回退功能，在当前版本出现故障或操作失误后，可进行回退到历史版本，回退后录像正常回放，且历史录像完整。（提供封面首页具有CMA、CNAS标识的权威检测报告复印件）</w:t>
            </w:r>
          </w:p>
          <w:p>
            <w:pPr>
              <w:pStyle w:val="258"/>
              <w:spacing w:line="360" w:lineRule="exact"/>
              <w:ind w:left="0"/>
              <w:rPr>
                <w:rFonts w:hint="eastAsia" w:ascii="仿宋" w:hAnsi="仿宋" w:eastAsia="仿宋" w:cs="仿宋"/>
                <w:color w:val="auto"/>
                <w:kern w:val="0"/>
                <w:sz w:val="21"/>
                <w:szCs w:val="21"/>
                <w:highlight w:val="none"/>
                <w:lang w:eastAsia="zh-CN"/>
              </w:rPr>
            </w:pPr>
            <w:r>
              <w:rPr>
                <w:rFonts w:hint="eastAsia" w:ascii="仿宋" w:hAnsi="仿宋" w:eastAsia="仿宋" w:cs="仿宋"/>
                <w:bCs/>
                <w:color w:val="auto"/>
                <w:sz w:val="21"/>
                <w:szCs w:val="21"/>
                <w:highlight w:val="none"/>
                <w:lang w:val="en-US" w:eastAsia="zh-CN"/>
              </w:rPr>
              <w:t>9、</w:t>
            </w:r>
            <w:r>
              <w:rPr>
                <w:rFonts w:hint="eastAsia" w:ascii="仿宋" w:hAnsi="仿宋" w:eastAsia="仿宋" w:cs="仿宋"/>
                <w:color w:val="auto"/>
                <w:sz w:val="21"/>
                <w:szCs w:val="21"/>
                <w:highlight w:val="none"/>
              </w:rPr>
              <w:t>应承诺</w:t>
            </w:r>
            <w:r>
              <w:rPr>
                <w:rFonts w:hint="eastAsia" w:ascii="仿宋" w:hAnsi="仿宋" w:eastAsia="仿宋" w:cs="仿宋"/>
                <w:color w:val="auto"/>
                <w:sz w:val="21"/>
                <w:szCs w:val="21"/>
                <w:highlight w:val="none"/>
                <w:lang w:val="en-US" w:eastAsia="zh-CN"/>
              </w:rPr>
              <w:t>至少</w:t>
            </w:r>
            <w:r>
              <w:rPr>
                <w:rFonts w:hint="eastAsia" w:ascii="仿宋" w:hAnsi="仿宋" w:eastAsia="仿宋" w:cs="仿宋"/>
                <w:color w:val="auto"/>
                <w:sz w:val="21"/>
                <w:szCs w:val="21"/>
                <w:highlight w:val="none"/>
              </w:rPr>
              <w:t>提供整</w:t>
            </w:r>
            <w:r>
              <w:rPr>
                <w:rFonts w:hint="eastAsia" w:ascii="仿宋" w:hAnsi="仿宋" w:eastAsia="仿宋" w:cs="仿宋"/>
                <w:color w:val="auto"/>
                <w:sz w:val="21"/>
                <w:szCs w:val="21"/>
                <w:highlight w:val="none"/>
                <w:lang w:val="en-US" w:eastAsia="zh-CN"/>
              </w:rPr>
              <w:t>机</w:t>
            </w:r>
            <w:r>
              <w:rPr>
                <w:rFonts w:hint="eastAsia" w:ascii="仿宋" w:hAnsi="仿宋" w:eastAsia="仿宋" w:cs="仿宋"/>
                <w:color w:val="auto"/>
                <w:sz w:val="21"/>
                <w:szCs w:val="21"/>
                <w:highlight w:val="none"/>
              </w:rPr>
              <w:t>原厂维保三年（验收通过之日起）</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0"/>
                <w:sz w:val="21"/>
                <w:szCs w:val="21"/>
                <w:highlight w:val="none"/>
              </w:rPr>
              <w:t>签订合同前提供所投设备原厂家对于本项目盖有</w:t>
            </w:r>
            <w:r>
              <w:rPr>
                <w:rFonts w:hint="eastAsia" w:ascii="仿宋" w:hAnsi="仿宋" w:eastAsia="仿宋" w:cs="仿宋"/>
                <w:color w:val="auto"/>
                <w:kern w:val="0"/>
                <w:sz w:val="21"/>
                <w:szCs w:val="21"/>
                <w:highlight w:val="none"/>
                <w:lang w:val="en-US" w:eastAsia="zh-CN"/>
              </w:rPr>
              <w:t>原厂</w:t>
            </w:r>
            <w:r>
              <w:rPr>
                <w:rFonts w:hint="eastAsia" w:ascii="仿宋" w:hAnsi="仿宋" w:eastAsia="仿宋" w:cs="仿宋"/>
                <w:color w:val="auto"/>
                <w:kern w:val="0"/>
                <w:sz w:val="21"/>
                <w:szCs w:val="21"/>
                <w:highlight w:val="none"/>
              </w:rPr>
              <w:t>公章的授权书和</w:t>
            </w:r>
            <w:r>
              <w:rPr>
                <w:rFonts w:hint="eastAsia" w:ascii="仿宋" w:hAnsi="仿宋" w:eastAsia="仿宋" w:cs="仿宋"/>
                <w:b/>
                <w:color w:val="auto"/>
                <w:kern w:val="0"/>
                <w:sz w:val="21"/>
                <w:szCs w:val="21"/>
                <w:highlight w:val="none"/>
              </w:rPr>
              <w:t>三年</w:t>
            </w:r>
            <w:r>
              <w:rPr>
                <w:rFonts w:hint="eastAsia" w:ascii="仿宋" w:hAnsi="仿宋" w:eastAsia="仿宋" w:cs="仿宋"/>
                <w:color w:val="auto"/>
                <w:kern w:val="0"/>
                <w:sz w:val="21"/>
                <w:szCs w:val="21"/>
                <w:highlight w:val="none"/>
              </w:rPr>
              <w:t>保修证明</w:t>
            </w:r>
            <w:r>
              <w:rPr>
                <w:rFonts w:hint="eastAsia" w:ascii="仿宋" w:hAnsi="仿宋" w:eastAsia="仿宋" w:cs="仿宋"/>
                <w:color w:val="auto"/>
                <w:kern w:val="0"/>
                <w:sz w:val="21"/>
                <w:szCs w:val="21"/>
                <w:highlight w:val="none"/>
                <w:lang w:eastAsia="zh-CN"/>
              </w:rPr>
              <w:t>。</w:t>
            </w:r>
          </w:p>
          <w:p>
            <w:pPr>
              <w:pStyle w:val="258"/>
              <w:spacing w:line="360" w:lineRule="exact"/>
              <w:ind w:left="0"/>
              <w:rPr>
                <w:rFonts w:hint="eastAsia" w:ascii="仿宋" w:hAnsi="仿宋" w:eastAsia="仿宋" w:cs="仿宋"/>
                <w:color w:val="auto"/>
                <w:kern w:val="0"/>
                <w:sz w:val="21"/>
                <w:szCs w:val="21"/>
                <w:highlight w:val="none"/>
                <w:lang w:val="en-US" w:eastAsia="zh-CN"/>
              </w:rPr>
            </w:pPr>
            <w:r>
              <w:rPr>
                <w:rFonts w:hint="eastAsia" w:ascii="仿宋" w:hAnsi="仿宋" w:eastAsia="仿宋" w:cs="仿宋"/>
                <w:bCs/>
                <w:color w:val="auto"/>
                <w:sz w:val="21"/>
                <w:szCs w:val="21"/>
                <w:highlight w:val="none"/>
                <w:lang w:val="en-US" w:eastAsia="zh-CN"/>
              </w:rPr>
              <w:t>★10、需与医院原平台无缝对接。在中标后签定合同前由相应设备商提供原厂商的针对相应系统的无缝对接承诺书原件。</w:t>
            </w:r>
          </w:p>
        </w:tc>
        <w:tc>
          <w:tcPr>
            <w:tcW w:w="264" w:type="pct"/>
            <w:noWrap w:val="0"/>
            <w:vAlign w:val="center"/>
          </w:tcPr>
          <w:p>
            <w:pPr>
              <w:spacing w:line="36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台</w:t>
            </w:r>
          </w:p>
        </w:tc>
        <w:tc>
          <w:tcPr>
            <w:tcW w:w="294" w:type="pct"/>
            <w:noWrap w:val="0"/>
            <w:vAlign w:val="center"/>
          </w:tcPr>
          <w:p>
            <w:pPr>
              <w:spacing w:line="360" w:lineRule="exact"/>
              <w:ind w:left="105"/>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4</w:t>
            </w:r>
          </w:p>
        </w:tc>
      </w:tr>
    </w:tbl>
    <w:p>
      <w:pPr>
        <w:numPr>
          <w:ilvl w:val="0"/>
          <w:numId w:val="1"/>
        </w:numPr>
        <w:ind w:left="426" w:leftChars="0" w:firstLine="0" w:firstLineChars="0"/>
        <w:jc w:val="both"/>
        <w:rPr>
          <w:rFonts w:hint="eastAsia" w:ascii="仿宋" w:hAnsi="仿宋" w:eastAsia="仿宋" w:cs="仿宋"/>
          <w:color w:val="auto"/>
          <w:highlight w:val="none"/>
          <w:lang w:val="en-US" w:eastAsia="zh-CN"/>
        </w:rPr>
      </w:pPr>
      <w:r>
        <w:rPr>
          <w:rFonts w:hint="eastAsia" w:ascii="仿宋" w:hAnsi="仿宋" w:eastAsia="仿宋" w:cs="仿宋"/>
          <w:b/>
          <w:bCs/>
          <w:color w:val="auto"/>
          <w:szCs w:val="21"/>
          <w:highlight w:val="none"/>
          <w:lang w:val="en-US" w:eastAsia="zh-CN"/>
        </w:rPr>
        <w:t>付款方式：</w:t>
      </w:r>
    </w:p>
    <w:p>
      <w:pPr>
        <w:spacing w:line="360" w:lineRule="auto"/>
        <w:ind w:left="0" w:leftChars="0" w:firstLine="420" w:firstLineChars="200"/>
        <w:jc w:val="both"/>
        <w:outlineLvl w:val="0"/>
        <w:rPr>
          <w:rFonts w:hint="eastAsia" w:ascii="仿宋" w:hAnsi="仿宋" w:eastAsia="仿宋" w:cs="仿宋"/>
          <w:b/>
          <w:color w:val="auto"/>
          <w:sz w:val="36"/>
          <w:szCs w:val="36"/>
          <w:highlight w:val="none"/>
          <w:lang w:eastAsia="zh-CN"/>
        </w:rPr>
      </w:pP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《浙江省财政厅关于进一步发挥政府采购政策功能全力推动经济稳进提质的通知》（浙财采监〔2022〕3号）文件要求执行，具体付款方式由双方协商后在合同中明确。</w:t>
      </w:r>
    </w:p>
    <w:p>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仿宋" w:hAnsi="仿宋" w:eastAsia="仿宋" w:cs="仿宋"/>
          <w:bCs/>
          <w:color w:val="auto"/>
          <w:szCs w:val="21"/>
          <w:highlight w:val="none"/>
          <w:shd w:val="clear" w:color="auto" w:fill="FBFDFE"/>
          <w:lang w:eastAsia="zh-CN"/>
        </w:rPr>
      </w:pPr>
      <w:r>
        <w:rPr>
          <w:rFonts w:hint="eastAsia" w:ascii="仿宋" w:hAnsi="仿宋" w:eastAsia="仿宋" w:cs="仿宋"/>
          <w:b/>
          <w:color w:val="auto"/>
          <w:highlight w:val="none"/>
          <w:lang w:eastAsia="zh-CN"/>
        </w:rPr>
        <w:t>注：</w:t>
      </w:r>
      <w:r>
        <w:rPr>
          <w:rFonts w:hint="eastAsia" w:ascii="仿宋" w:hAnsi="仿宋" w:eastAsia="仿宋" w:cs="仿宋"/>
          <w:bCs/>
          <w:color w:val="auto"/>
          <w:szCs w:val="21"/>
          <w:highlight w:val="none"/>
          <w:shd w:val="clear" w:color="auto" w:fill="FBFDFE"/>
          <w:lang w:eastAsia="zh-CN"/>
        </w:rPr>
        <w:t>我院院内现有监控平台品牌：</w:t>
      </w:r>
      <w:r>
        <w:rPr>
          <w:rFonts w:hint="eastAsia" w:ascii="仿宋" w:hAnsi="仿宋" w:eastAsia="仿宋" w:cs="仿宋"/>
          <w:b w:val="0"/>
          <w:bCs w:val="0"/>
          <w:color w:val="auto"/>
          <w:sz w:val="21"/>
          <w:szCs w:val="21"/>
          <w:highlight w:val="none"/>
          <w:lang w:eastAsia="zh-CN"/>
        </w:rPr>
        <w:t>海康威视</w:t>
      </w:r>
    </w:p>
    <w:p>
      <w:pPr>
        <w:spacing w:line="360" w:lineRule="auto"/>
        <w:jc w:val="both"/>
        <w:outlineLvl w:val="0"/>
        <w:rPr>
          <w:rFonts w:hint="eastAsia" w:ascii="仿宋" w:hAnsi="仿宋" w:eastAsia="仿宋" w:cs="仿宋"/>
          <w:b/>
          <w:color w:val="auto"/>
          <w:sz w:val="36"/>
          <w:szCs w:val="36"/>
          <w:highlight w:val="none"/>
          <w:lang w:eastAsia="zh-CN"/>
        </w:rPr>
      </w:pPr>
    </w:p>
    <w:p>
      <w:pPr>
        <w:spacing w:line="360" w:lineRule="auto"/>
        <w:ind w:left="720" w:leftChars="343" w:firstLine="1084" w:firstLineChars="300"/>
        <w:jc w:val="center"/>
        <w:outlineLvl w:val="0"/>
        <w:rPr>
          <w:rFonts w:hint="eastAsia" w:ascii="仿宋" w:hAnsi="仿宋" w:eastAsia="仿宋" w:cs="仿宋"/>
          <w:b/>
          <w:color w:val="auto"/>
          <w:sz w:val="36"/>
          <w:szCs w:val="36"/>
          <w:highlight w:val="none"/>
          <w:lang w:eastAsia="zh-CN"/>
        </w:rPr>
      </w:pPr>
    </w:p>
    <w:p>
      <w:pPr>
        <w:spacing w:line="360" w:lineRule="auto"/>
        <w:ind w:left="720" w:leftChars="343" w:firstLine="1084" w:firstLineChars="30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2"/>
        <w:ind w:left="0" w:leftChars="0" w:firstLine="0" w:firstLineChars="0"/>
        <w:rPr>
          <w:rFonts w:hint="eastAsia" w:ascii="仿宋" w:hAnsi="仿宋" w:eastAsia="仿宋" w:cs="仿宋"/>
          <w:color w:val="auto"/>
          <w:szCs w:val="24"/>
          <w:highlight w:val="none"/>
        </w:rPr>
      </w:pPr>
    </w:p>
    <w:p>
      <w:pPr>
        <w:pStyle w:val="702"/>
        <w:jc w:val="center"/>
        <w:rPr>
          <w:rFonts w:hint="eastAsia" w:ascii="仿宋" w:hAnsi="仿宋" w:eastAsia="仿宋" w:cs="仿宋"/>
          <w:color w:val="auto"/>
          <w:szCs w:val="24"/>
          <w:highlight w:val="none"/>
        </w:rPr>
      </w:pPr>
    </w:p>
    <w:p>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2"/>
        <w:rPr>
          <w:rFonts w:hint="eastAsia" w:ascii="仿宋" w:hAnsi="仿宋" w:eastAsia="仿宋" w:cs="仿宋"/>
          <w:color w:val="auto"/>
          <w:szCs w:val="24"/>
          <w:highlight w:val="none"/>
        </w:rPr>
      </w:pPr>
    </w:p>
    <w:p>
      <w:pPr>
        <w:pStyle w:val="70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9"/>
        <w:spacing w:before="120" w:line="22" w:lineRule="atLeast"/>
        <w:rPr>
          <w:rFonts w:hint="eastAsia" w:ascii="仿宋" w:hAnsi="仿宋" w:eastAsia="仿宋" w:cs="仿宋"/>
          <w:color w:val="auto"/>
          <w:szCs w:val="24"/>
          <w:highlight w:val="none"/>
        </w:rPr>
      </w:pPr>
    </w:p>
    <w:p>
      <w:pPr>
        <w:pStyle w:val="599"/>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43" w:name="_Toc3029"/>
      <w:bookmarkStart w:id="44" w:name="_Toc24059"/>
      <w:bookmarkStart w:id="45" w:name="_Toc2232"/>
      <w:r>
        <w:rPr>
          <w:rFonts w:hint="eastAsia" w:ascii="仿宋" w:hAnsi="仿宋" w:eastAsia="仿宋" w:cs="仿宋"/>
          <w:b/>
          <w:color w:val="auto"/>
          <w:sz w:val="24"/>
          <w:highlight w:val="none"/>
        </w:rPr>
        <w:t>1.1 合同组成部分</w:t>
      </w:r>
      <w:bookmarkEnd w:id="43"/>
      <w:bookmarkEnd w:id="44"/>
      <w:bookmarkEnd w:id="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6" w:name="_Toc24300"/>
      <w:bookmarkStart w:id="47" w:name="_Toc27126"/>
      <w:bookmarkStart w:id="48" w:name="_Toc21295"/>
      <w:r>
        <w:rPr>
          <w:rFonts w:hint="eastAsia" w:ascii="仿宋" w:hAnsi="仿宋" w:eastAsia="仿宋" w:cs="仿宋"/>
          <w:b/>
          <w:color w:val="auto"/>
          <w:sz w:val="24"/>
          <w:highlight w:val="none"/>
        </w:rPr>
        <w:t>1.2 货物</w:t>
      </w:r>
      <w:bookmarkEnd w:id="46"/>
      <w:bookmarkEnd w:id="47"/>
      <w:bookmarkEnd w:id="48"/>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49" w:name="_Toc23292"/>
      <w:bookmarkStart w:id="50" w:name="_Toc21631"/>
      <w:bookmarkStart w:id="51" w:name="_Toc21551"/>
      <w:r>
        <w:rPr>
          <w:rFonts w:hint="eastAsia" w:ascii="仿宋" w:hAnsi="仿宋" w:eastAsia="仿宋" w:cs="仿宋"/>
          <w:b/>
          <w:color w:val="auto"/>
          <w:sz w:val="24"/>
          <w:highlight w:val="none"/>
        </w:rPr>
        <w:t>1.3 价款</w:t>
      </w:r>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hint="eastAsia" w:ascii="仿宋" w:hAnsi="仿宋" w:eastAsia="仿宋" w:cs="仿宋"/>
          <w:b/>
          <w:color w:val="auto"/>
          <w:highlight w:val="none"/>
        </w:rPr>
      </w:pPr>
      <w:bookmarkStart w:id="52" w:name="_Toc10340"/>
      <w:bookmarkStart w:id="53" w:name="_Toc22618"/>
      <w:bookmarkStart w:id="54" w:name="_Toc1814"/>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2"/>
      <w:bookmarkEnd w:id="53"/>
      <w:bookmarkEnd w:id="54"/>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5" w:name="_Toc2846"/>
      <w:bookmarkStart w:id="56" w:name="_Toc19304"/>
      <w:bookmarkStart w:id="57" w:name="_Toc32071"/>
      <w:r>
        <w:rPr>
          <w:rFonts w:hint="eastAsia" w:ascii="仿宋" w:hAnsi="仿宋" w:eastAsia="仿宋" w:cs="仿宋"/>
          <w:b/>
          <w:color w:val="auto"/>
          <w:sz w:val="24"/>
          <w:highlight w:val="none"/>
        </w:rPr>
        <w:t>1.7货物交付期限、地点和方式</w:t>
      </w:r>
      <w:bookmarkEnd w:id="55"/>
      <w:bookmarkEnd w:id="56"/>
      <w:bookmarkEnd w:id="57"/>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8" w:name="_Toc27250"/>
      <w:bookmarkStart w:id="59" w:name="_Toc19554"/>
      <w:bookmarkStart w:id="60" w:name="_Toc21423"/>
      <w:r>
        <w:rPr>
          <w:rFonts w:hint="eastAsia" w:ascii="仿宋" w:hAnsi="仿宋" w:eastAsia="仿宋" w:cs="仿宋"/>
          <w:b/>
          <w:color w:val="auto"/>
          <w:sz w:val="24"/>
          <w:highlight w:val="none"/>
        </w:rPr>
        <w:t>1.8违约责任</w:t>
      </w:r>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61" w:name="_Toc15583"/>
      <w:bookmarkStart w:id="62" w:name="_Toc28375"/>
      <w:bookmarkStart w:id="63" w:name="_Toc16021"/>
      <w:r>
        <w:rPr>
          <w:rFonts w:hint="eastAsia" w:ascii="仿宋" w:hAnsi="仿宋" w:eastAsia="仿宋" w:cs="仿宋"/>
          <w:b/>
          <w:color w:val="auto"/>
          <w:sz w:val="24"/>
          <w:highlight w:val="none"/>
        </w:rPr>
        <w:t>1.9合同争议的解决</w:t>
      </w:r>
      <w:bookmarkEnd w:id="61"/>
      <w:bookmarkEnd w:id="62"/>
      <w:bookmarkEnd w:id="63"/>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64" w:name="_Toc15322"/>
      <w:bookmarkStart w:id="65" w:name="_Toc11173"/>
      <w:bookmarkStart w:id="66" w:name="_Toc7245"/>
      <w:r>
        <w:rPr>
          <w:rFonts w:hint="eastAsia" w:ascii="仿宋" w:hAnsi="仿宋" w:eastAsia="仿宋" w:cs="仿宋"/>
          <w:b/>
          <w:color w:val="auto"/>
          <w:sz w:val="24"/>
          <w:highlight w:val="none"/>
        </w:rPr>
        <w:t>2.0 合同生效</w:t>
      </w:r>
      <w:bookmarkEnd w:id="64"/>
      <w:bookmarkEnd w:id="65"/>
      <w:bookmarkEnd w:id="66"/>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7" w:name="_Ref467379205"/>
      <w:bookmarkStart w:id="68" w:name="_Ref467379109"/>
      <w:bookmarkStart w:id="69" w:name="_Toc487900349"/>
      <w:bookmarkStart w:id="70" w:name="_Toc16917"/>
      <w:bookmarkStart w:id="71" w:name="_Ref467379214"/>
      <w:bookmarkStart w:id="72" w:name="_Ref467378499"/>
      <w:bookmarkStart w:id="73" w:name="_Ref467378463"/>
      <w:bookmarkStart w:id="74" w:name="_Ref467378404"/>
      <w:bookmarkStart w:id="75" w:name="_Toc28763"/>
      <w:bookmarkStart w:id="76" w:name="_Toc19614"/>
      <w:bookmarkStart w:id="77" w:name="_Ref467379094"/>
      <w:bookmarkStart w:id="78" w:name="_Ref467379195"/>
      <w:bookmarkStart w:id="79" w:name="_Toc259093669"/>
      <w:bookmarkStart w:id="80" w:name="_Ref467379101"/>
      <w:bookmarkStart w:id="81" w:name="_Ref467379225"/>
      <w:bookmarkStart w:id="82" w:name="_Toc279701240"/>
      <w:r>
        <w:rPr>
          <w:rFonts w:hint="eastAsia" w:ascii="仿宋" w:hAnsi="仿宋" w:eastAsia="仿宋" w:cs="仿宋"/>
          <w:b/>
          <w:color w:val="auto"/>
          <w:sz w:val="24"/>
          <w:highlight w:val="none"/>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83" w:name="_Ref467378840"/>
      <w:r>
        <w:rPr>
          <w:rFonts w:hint="eastAsia" w:ascii="仿宋" w:hAnsi="仿宋" w:eastAsia="仿宋" w:cs="仿宋"/>
          <w:color w:val="auto"/>
          <w:sz w:val="24"/>
          <w:highlight w:val="none"/>
        </w:rPr>
        <w:t>2.1.4 “甲方”系指与中标或成交供应商签署合同的采购人</w:t>
      </w:r>
      <w:bookmarkEnd w:id="83"/>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84" w:name="_Ref467379400"/>
      <w:r>
        <w:rPr>
          <w:rFonts w:hint="eastAsia" w:ascii="仿宋" w:hAnsi="仿宋" w:eastAsia="仿宋" w:cs="仿宋"/>
          <w:color w:val="auto"/>
          <w:sz w:val="24"/>
          <w:highlight w:val="none"/>
        </w:rPr>
        <w:t>2.1.5 “乙方”系指根据合同约定交付货物的中标或成交供应商</w:t>
      </w:r>
      <w:bookmarkEnd w:id="8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5" w:name="_Ref467379436"/>
      <w:r>
        <w:rPr>
          <w:rFonts w:hint="eastAsia" w:ascii="仿宋" w:hAnsi="仿宋" w:eastAsia="仿宋" w:cs="仿宋"/>
          <w:color w:val="auto"/>
          <w:sz w:val="24"/>
          <w:highlight w:val="none"/>
        </w:rPr>
        <w:t>2.1.6 “现场”系指合同约定货物将要运至或者安装的地点。</w:t>
      </w:r>
      <w:bookmarkEnd w:id="85"/>
    </w:p>
    <w:p>
      <w:pPr>
        <w:spacing w:line="560" w:lineRule="exact"/>
        <w:ind w:firstLine="482" w:firstLineChars="200"/>
        <w:outlineLvl w:val="0"/>
        <w:rPr>
          <w:rFonts w:hint="eastAsia" w:ascii="仿宋" w:hAnsi="仿宋" w:eastAsia="仿宋" w:cs="仿宋"/>
          <w:b/>
          <w:color w:val="auto"/>
          <w:sz w:val="24"/>
          <w:highlight w:val="none"/>
        </w:rPr>
      </w:pPr>
      <w:bookmarkStart w:id="86" w:name="_Toc487900350"/>
      <w:bookmarkStart w:id="87" w:name="_Toc27635"/>
      <w:bookmarkStart w:id="88" w:name="_Toc259093670"/>
      <w:bookmarkStart w:id="89" w:name="_Toc13336"/>
      <w:bookmarkStart w:id="90" w:name="_Toc279701241"/>
      <w:bookmarkStart w:id="91" w:name="_Toc32504"/>
      <w:r>
        <w:rPr>
          <w:rFonts w:hint="eastAsia" w:ascii="仿宋" w:hAnsi="仿宋" w:eastAsia="仿宋" w:cs="仿宋"/>
          <w:b/>
          <w:color w:val="auto"/>
          <w:sz w:val="24"/>
          <w:highlight w:val="none"/>
        </w:rPr>
        <w:t>2.2 技术规范</w:t>
      </w:r>
      <w:bookmarkEnd w:id="86"/>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27853"/>
      <w:bookmarkStart w:id="93" w:name="_Toc31634"/>
      <w:bookmarkStart w:id="94" w:name="_Toc9829"/>
      <w:bookmarkStart w:id="95" w:name="_Toc259093671"/>
      <w:bookmarkStart w:id="96" w:name="_Toc487900351"/>
      <w:bookmarkStart w:id="97" w:name="_Toc279701242"/>
      <w:r>
        <w:rPr>
          <w:rFonts w:hint="eastAsia" w:ascii="仿宋" w:hAnsi="仿宋" w:eastAsia="仿宋" w:cs="仿宋"/>
          <w:b/>
          <w:color w:val="auto"/>
          <w:sz w:val="24"/>
          <w:highlight w:val="none"/>
        </w:rPr>
        <w:t>2.3 知识产权</w:t>
      </w:r>
      <w:bookmarkEnd w:id="92"/>
      <w:bookmarkEnd w:id="93"/>
      <w:bookmarkEnd w:id="94"/>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8" w:name="_Toc4194"/>
      <w:bookmarkStart w:id="99" w:name="_Toc29149"/>
      <w:bookmarkStart w:id="100" w:name="_Toc11932"/>
      <w:r>
        <w:rPr>
          <w:rFonts w:hint="eastAsia" w:ascii="仿宋" w:hAnsi="仿宋" w:eastAsia="仿宋" w:cs="仿宋"/>
          <w:b/>
          <w:color w:val="auto"/>
          <w:sz w:val="24"/>
          <w:highlight w:val="none"/>
        </w:rPr>
        <w:t>2.4 包装和装运</w:t>
      </w:r>
      <w:bookmarkEnd w:id="98"/>
      <w:bookmarkEnd w:id="99"/>
      <w:bookmarkEnd w:id="1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1" w:name="_Ref467379542"/>
      <w:bookmarkStart w:id="102" w:name="_Ref467378591"/>
      <w:bookmarkStart w:id="103" w:name="_Toc487900354"/>
      <w:bookmarkStart w:id="104" w:name="_Toc279701245"/>
      <w:bookmarkStart w:id="105" w:name="_Ref467378541"/>
      <w:bookmarkStart w:id="106" w:name="_Ref467379536"/>
      <w:bookmarkStart w:id="107" w:name="_Ref467379527"/>
      <w:bookmarkStart w:id="108" w:name="_Toc259093674"/>
      <w:bookmarkStart w:id="109" w:name="_Toc19074"/>
      <w:bookmarkStart w:id="110" w:name="_Toc26182"/>
      <w:bookmarkStart w:id="111" w:name="_Toc30272"/>
      <w:r>
        <w:rPr>
          <w:rFonts w:hint="eastAsia" w:ascii="仿宋" w:hAnsi="仿宋" w:eastAsia="仿宋" w:cs="仿宋"/>
          <w:b/>
          <w:color w:val="auto"/>
          <w:sz w:val="24"/>
          <w:highlight w:val="none"/>
        </w:rPr>
        <w:t>2.</w:t>
      </w:r>
      <w:bookmarkEnd w:id="101"/>
      <w:bookmarkEnd w:id="102"/>
      <w:bookmarkEnd w:id="103"/>
      <w:bookmarkEnd w:id="104"/>
      <w:bookmarkEnd w:id="105"/>
      <w:bookmarkEnd w:id="106"/>
      <w:bookmarkEnd w:id="107"/>
      <w:bookmarkEnd w:id="108"/>
      <w:r>
        <w:rPr>
          <w:rFonts w:hint="eastAsia" w:ascii="仿宋" w:hAnsi="仿宋" w:eastAsia="仿宋" w:cs="仿宋"/>
          <w:b/>
          <w:color w:val="auto"/>
          <w:sz w:val="24"/>
          <w:highlight w:val="none"/>
        </w:rPr>
        <w:t>5 履约检查和问题反馈</w:t>
      </w:r>
      <w:bookmarkEnd w:id="109"/>
      <w:bookmarkEnd w:id="110"/>
      <w:bookmarkEnd w:id="111"/>
    </w:p>
    <w:p>
      <w:pPr>
        <w:spacing w:line="560" w:lineRule="exact"/>
        <w:ind w:firstLine="480" w:firstLineChars="200"/>
        <w:rPr>
          <w:rFonts w:hint="eastAsia" w:ascii="仿宋" w:hAnsi="仿宋" w:eastAsia="仿宋" w:cs="仿宋"/>
          <w:color w:val="auto"/>
          <w:sz w:val="24"/>
          <w:highlight w:val="none"/>
        </w:rPr>
      </w:pPr>
      <w:bookmarkStart w:id="112" w:name="_Ref467379657"/>
      <w:r>
        <w:rPr>
          <w:rFonts w:hint="eastAsia" w:ascii="仿宋" w:hAnsi="仿宋" w:eastAsia="仿宋" w:cs="仿宋"/>
          <w:color w:val="auto"/>
          <w:sz w:val="24"/>
          <w:highlight w:val="none"/>
        </w:rPr>
        <w:t>2.5.1</w:t>
      </w:r>
      <w:bookmarkEnd w:id="112"/>
      <w:bookmarkStart w:id="113" w:name="_Toc186431854"/>
      <w:bookmarkStart w:id="114" w:name="_Toc279701247"/>
      <w:bookmarkStart w:id="115" w:name="_Toc487900357"/>
      <w:bookmarkStart w:id="116" w:name="_Ref467379793"/>
      <w:bookmarkStart w:id="117" w:name="_Ref467379807"/>
      <w:bookmarkStart w:id="118"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color w:val="auto"/>
          <w:sz w:val="24"/>
          <w:highlight w:val="none"/>
        </w:rPr>
        <w:t>。</w:t>
      </w:r>
    </w:p>
    <w:bookmarkEnd w:id="114"/>
    <w:bookmarkEnd w:id="115"/>
    <w:bookmarkEnd w:id="116"/>
    <w:bookmarkEnd w:id="117"/>
    <w:bookmarkEnd w:id="118"/>
    <w:bookmarkEnd w:id="119"/>
    <w:p>
      <w:pPr>
        <w:spacing w:line="560" w:lineRule="exact"/>
        <w:ind w:firstLine="482" w:firstLineChars="200"/>
        <w:outlineLvl w:val="0"/>
        <w:rPr>
          <w:rFonts w:hint="eastAsia" w:ascii="仿宋" w:hAnsi="仿宋" w:eastAsia="仿宋" w:cs="仿宋"/>
          <w:b/>
          <w:color w:val="auto"/>
          <w:sz w:val="24"/>
          <w:highlight w:val="none"/>
        </w:rPr>
      </w:pPr>
      <w:bookmarkStart w:id="120" w:name="_Toc259093677"/>
      <w:bookmarkStart w:id="121" w:name="_Ref467379863"/>
      <w:bookmarkStart w:id="122" w:name="_Toc279701248"/>
      <w:bookmarkStart w:id="123" w:name="_Toc487900358"/>
      <w:bookmarkStart w:id="124" w:name="_Ref467379923"/>
      <w:bookmarkStart w:id="125" w:name="_Ref467379852"/>
      <w:bookmarkStart w:id="126" w:name="_Toc3225"/>
      <w:bookmarkStart w:id="127" w:name="_Toc774"/>
      <w:bookmarkStart w:id="128" w:name="_Toc16110"/>
      <w:r>
        <w:rPr>
          <w:rFonts w:hint="eastAsia" w:ascii="仿宋" w:hAnsi="仿宋" w:eastAsia="仿宋" w:cs="仿宋"/>
          <w:b/>
          <w:color w:val="auto"/>
          <w:sz w:val="24"/>
          <w:highlight w:val="none"/>
        </w:rPr>
        <w:t>2.6 技术资料</w:t>
      </w:r>
      <w:bookmarkEnd w:id="120"/>
      <w:bookmarkEnd w:id="121"/>
      <w:bookmarkEnd w:id="122"/>
      <w:bookmarkEnd w:id="123"/>
      <w:bookmarkEnd w:id="124"/>
      <w:bookmarkEnd w:id="125"/>
      <w:r>
        <w:rPr>
          <w:rFonts w:hint="eastAsia" w:ascii="仿宋" w:hAnsi="仿宋" w:eastAsia="仿宋" w:cs="仿宋"/>
          <w:b/>
          <w:color w:val="auto"/>
          <w:sz w:val="24"/>
          <w:highlight w:val="none"/>
        </w:rPr>
        <w:t>和保密义务</w:t>
      </w:r>
      <w:bookmarkEnd w:id="126"/>
      <w:bookmarkEnd w:id="127"/>
      <w:bookmarkEnd w:id="1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9" w:name="_Toc7860"/>
      <w:r>
        <w:rPr>
          <w:rFonts w:hint="eastAsia" w:ascii="仿宋" w:hAnsi="仿宋" w:eastAsia="仿宋" w:cs="仿宋"/>
          <w:b/>
          <w:color w:val="auto"/>
          <w:sz w:val="24"/>
          <w:highlight w:val="none"/>
        </w:rPr>
        <w:t>2.7 质量保证</w:t>
      </w:r>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30" w:name="_Toc17244"/>
      <w:bookmarkStart w:id="131" w:name="_Toc487900362"/>
      <w:bookmarkStart w:id="132" w:name="_Toc279701252"/>
      <w:bookmarkStart w:id="133" w:name="_Toc259093681"/>
      <w:r>
        <w:rPr>
          <w:rFonts w:hint="eastAsia" w:ascii="仿宋" w:hAnsi="仿宋" w:eastAsia="仿宋" w:cs="仿宋"/>
          <w:b/>
          <w:color w:val="auto"/>
          <w:sz w:val="24"/>
          <w:highlight w:val="none"/>
        </w:rPr>
        <w:t>2.8 货物的风险负担</w:t>
      </w:r>
      <w:bookmarkEnd w:id="13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4" w:name="_Toc14055"/>
      <w:r>
        <w:rPr>
          <w:rFonts w:hint="eastAsia" w:ascii="仿宋" w:hAnsi="仿宋" w:eastAsia="仿宋" w:cs="仿宋"/>
          <w:b/>
          <w:color w:val="auto"/>
          <w:sz w:val="24"/>
          <w:highlight w:val="none"/>
        </w:rPr>
        <w:t>2.9 延迟交货</w:t>
      </w:r>
      <w:bookmarkEnd w:id="131"/>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5" w:name="_Toc7502"/>
      <w:bookmarkStart w:id="136" w:name="_Toc279701254"/>
      <w:bookmarkStart w:id="137" w:name="_Toc487900364"/>
      <w:bookmarkStart w:id="138" w:name="_Ref467378121"/>
      <w:bookmarkStart w:id="139" w:name="_Toc259093683"/>
      <w:r>
        <w:rPr>
          <w:rFonts w:hint="eastAsia" w:ascii="仿宋" w:hAnsi="仿宋" w:eastAsia="仿宋" w:cs="仿宋"/>
          <w:b/>
          <w:color w:val="auto"/>
          <w:sz w:val="24"/>
          <w:highlight w:val="none"/>
        </w:rPr>
        <w:t>2.10 合同变更</w:t>
      </w:r>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279701259"/>
      <w:bookmarkStart w:id="141" w:name="_Toc259093688"/>
      <w:bookmarkStart w:id="142" w:name="_Toc487900369"/>
    </w:p>
    <w:p>
      <w:pPr>
        <w:spacing w:line="560" w:lineRule="exact"/>
        <w:ind w:firstLine="482" w:firstLineChars="200"/>
        <w:outlineLvl w:val="0"/>
        <w:rPr>
          <w:rFonts w:hint="eastAsia" w:ascii="仿宋" w:hAnsi="仿宋" w:eastAsia="仿宋" w:cs="仿宋"/>
          <w:b/>
          <w:color w:val="auto"/>
          <w:sz w:val="24"/>
          <w:highlight w:val="none"/>
        </w:rPr>
      </w:pPr>
      <w:bookmarkStart w:id="143" w:name="_Toc10366"/>
      <w:bookmarkStart w:id="144" w:name="_Toc22955"/>
      <w:bookmarkStart w:id="145" w:name="_Toc15237"/>
      <w:r>
        <w:rPr>
          <w:rFonts w:hint="eastAsia" w:ascii="仿宋" w:hAnsi="仿宋" w:eastAsia="仿宋" w:cs="仿宋"/>
          <w:b/>
          <w:color w:val="auto"/>
          <w:sz w:val="24"/>
          <w:highlight w:val="none"/>
        </w:rPr>
        <w:t>2.11 合同转让</w:t>
      </w:r>
      <w:bookmarkEnd w:id="140"/>
      <w:bookmarkEnd w:id="141"/>
      <w:bookmarkEnd w:id="142"/>
      <w:r>
        <w:rPr>
          <w:rFonts w:hint="eastAsia" w:ascii="仿宋" w:hAnsi="仿宋" w:eastAsia="仿宋" w:cs="仿宋"/>
          <w:b/>
          <w:color w:val="auto"/>
          <w:sz w:val="24"/>
          <w:highlight w:val="none"/>
        </w:rPr>
        <w:t>和分包</w:t>
      </w:r>
      <w:bookmarkEnd w:id="143"/>
      <w:bookmarkEnd w:id="144"/>
      <w:bookmarkEnd w:id="1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6" w:name="_Toc13566"/>
      <w:bookmarkStart w:id="147" w:name="_Toc14066"/>
      <w:bookmarkStart w:id="148" w:name="_Toc16508"/>
      <w:r>
        <w:rPr>
          <w:rFonts w:hint="eastAsia" w:ascii="仿宋" w:hAnsi="仿宋" w:eastAsia="仿宋" w:cs="仿宋"/>
          <w:b/>
          <w:color w:val="auto"/>
          <w:sz w:val="24"/>
          <w:highlight w:val="none"/>
        </w:rPr>
        <w:t>2.12 不可抗力</w:t>
      </w:r>
      <w:bookmarkEnd w:id="146"/>
      <w:bookmarkEnd w:id="147"/>
      <w:bookmarkEnd w:id="14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9" w:name="_Toc6969"/>
      <w:bookmarkStart w:id="150" w:name="_Toc259093684"/>
      <w:bookmarkStart w:id="151" w:name="_Toc279701255"/>
      <w:bookmarkStart w:id="152" w:name="_Toc487900365"/>
      <w:bookmarkStart w:id="153" w:name="_Toc30676"/>
      <w:bookmarkStart w:id="154" w:name="_Toc689"/>
      <w:r>
        <w:rPr>
          <w:rFonts w:hint="eastAsia" w:ascii="仿宋" w:hAnsi="仿宋" w:eastAsia="仿宋" w:cs="仿宋"/>
          <w:b/>
          <w:color w:val="auto"/>
          <w:sz w:val="24"/>
          <w:highlight w:val="none"/>
        </w:rPr>
        <w:t>2.13 税费</w:t>
      </w:r>
      <w:bookmarkEnd w:id="149"/>
      <w:bookmarkEnd w:id="150"/>
      <w:bookmarkEnd w:id="151"/>
      <w:bookmarkEnd w:id="152"/>
      <w:bookmarkEnd w:id="153"/>
      <w:bookmarkEnd w:id="15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5" w:name="_Toc8298"/>
      <w:bookmarkStart w:id="156" w:name="_Toc279701258"/>
      <w:bookmarkStart w:id="157" w:name="_Toc7102"/>
      <w:bookmarkStart w:id="158" w:name="_Toc487900368"/>
      <w:bookmarkStart w:id="159" w:name="_Toc259093687"/>
      <w:bookmarkStart w:id="160" w:name="_Toc16959"/>
      <w:r>
        <w:rPr>
          <w:rFonts w:hint="eastAsia" w:ascii="仿宋" w:hAnsi="仿宋" w:eastAsia="仿宋" w:cs="仿宋"/>
          <w:b/>
          <w:color w:val="auto"/>
          <w:sz w:val="24"/>
          <w:highlight w:val="none"/>
        </w:rPr>
        <w:t>2.14乙方破产</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61" w:name="_Toc15387"/>
      <w:bookmarkStart w:id="162" w:name="_Toc6134"/>
      <w:bookmarkStart w:id="163" w:name="_Toc29333"/>
      <w:r>
        <w:rPr>
          <w:rFonts w:hint="eastAsia" w:ascii="仿宋" w:hAnsi="仿宋" w:eastAsia="仿宋" w:cs="仿宋"/>
          <w:b/>
          <w:color w:val="auto"/>
          <w:sz w:val="24"/>
          <w:highlight w:val="none"/>
        </w:rPr>
        <w:t>2.15 合同中止、终止</w:t>
      </w:r>
      <w:bookmarkEnd w:id="161"/>
      <w:bookmarkEnd w:id="162"/>
      <w:bookmarkEnd w:id="16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4" w:name="_Toc14563"/>
      <w:bookmarkStart w:id="165" w:name="_Toc6596"/>
      <w:bookmarkStart w:id="166" w:name="_Toc1125"/>
      <w:r>
        <w:rPr>
          <w:rFonts w:hint="eastAsia" w:ascii="仿宋" w:hAnsi="仿宋" w:eastAsia="仿宋" w:cs="仿宋"/>
          <w:b/>
          <w:color w:val="auto"/>
          <w:sz w:val="24"/>
          <w:highlight w:val="none"/>
        </w:rPr>
        <w:t>2.16检验和验收</w:t>
      </w:r>
      <w:bookmarkEnd w:id="164"/>
      <w:bookmarkEnd w:id="165"/>
      <w:bookmarkEnd w:id="16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6"/>
    <w:bookmarkEnd w:id="137"/>
    <w:bookmarkEnd w:id="138"/>
    <w:bookmarkEnd w:id="139"/>
    <w:p>
      <w:pPr>
        <w:spacing w:line="560" w:lineRule="exact"/>
        <w:ind w:firstLine="482" w:firstLineChars="200"/>
        <w:outlineLvl w:val="0"/>
        <w:rPr>
          <w:rFonts w:hint="eastAsia" w:ascii="仿宋" w:hAnsi="仿宋" w:eastAsia="仿宋" w:cs="仿宋"/>
          <w:b/>
          <w:color w:val="auto"/>
          <w:sz w:val="24"/>
          <w:highlight w:val="none"/>
        </w:rPr>
      </w:pPr>
      <w:bookmarkStart w:id="167" w:name="_Toc259093690"/>
      <w:bookmarkStart w:id="168" w:name="_Toc279701261"/>
      <w:bookmarkStart w:id="169" w:name="_Toc487900371"/>
      <w:bookmarkStart w:id="170" w:name="_Toc25182"/>
      <w:bookmarkStart w:id="171" w:name="_Toc19604"/>
      <w:bookmarkStart w:id="172" w:name="_Toc11284"/>
      <w:r>
        <w:rPr>
          <w:rFonts w:hint="eastAsia" w:ascii="仿宋" w:hAnsi="仿宋" w:eastAsia="仿宋" w:cs="仿宋"/>
          <w:b/>
          <w:color w:val="auto"/>
          <w:sz w:val="24"/>
          <w:highlight w:val="none"/>
        </w:rPr>
        <w:t>2.17 通知</w:t>
      </w:r>
      <w:bookmarkEnd w:id="167"/>
      <w:bookmarkEnd w:id="168"/>
      <w:bookmarkEnd w:id="169"/>
      <w:r>
        <w:rPr>
          <w:rFonts w:hint="eastAsia" w:ascii="仿宋" w:hAnsi="仿宋" w:eastAsia="仿宋" w:cs="仿宋"/>
          <w:b/>
          <w:color w:val="auto"/>
          <w:sz w:val="24"/>
          <w:highlight w:val="none"/>
        </w:rPr>
        <w:t>和送达</w:t>
      </w:r>
      <w:bookmarkEnd w:id="170"/>
      <w:bookmarkEnd w:id="171"/>
      <w:bookmarkEnd w:id="172"/>
    </w:p>
    <w:p>
      <w:pPr>
        <w:spacing w:line="560" w:lineRule="exact"/>
        <w:ind w:firstLine="480" w:firstLineChars="200"/>
        <w:rPr>
          <w:rFonts w:hint="eastAsia" w:ascii="仿宋" w:hAnsi="仿宋" w:eastAsia="仿宋" w:cs="仿宋"/>
          <w:color w:val="auto"/>
          <w:sz w:val="24"/>
          <w:highlight w:val="none"/>
        </w:rPr>
      </w:pPr>
      <w:bookmarkStart w:id="173" w:name="_Toc3135"/>
      <w:bookmarkStart w:id="174" w:name="_Toc6698"/>
      <w:bookmarkStart w:id="175" w:name="_Toc279701262"/>
      <w:bookmarkStart w:id="176" w:name="_Toc259093691"/>
      <w:bookmarkStart w:id="177"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3"/>
      <w:bookmarkEnd w:id="174"/>
    </w:p>
    <w:p>
      <w:pPr>
        <w:spacing w:line="560" w:lineRule="exact"/>
        <w:ind w:firstLine="480" w:firstLineChars="200"/>
        <w:rPr>
          <w:rFonts w:hint="eastAsia" w:ascii="仿宋" w:hAnsi="仿宋" w:eastAsia="仿宋" w:cs="仿宋"/>
          <w:color w:val="auto"/>
          <w:sz w:val="24"/>
          <w:highlight w:val="none"/>
        </w:rPr>
      </w:pPr>
      <w:bookmarkStart w:id="178" w:name="_Toc23128"/>
      <w:bookmarkStart w:id="179"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pPr>
        <w:spacing w:line="560" w:lineRule="exact"/>
        <w:ind w:firstLine="482" w:firstLineChars="200"/>
        <w:outlineLvl w:val="0"/>
        <w:rPr>
          <w:rFonts w:hint="eastAsia" w:ascii="仿宋" w:hAnsi="仿宋" w:eastAsia="仿宋" w:cs="仿宋"/>
          <w:b/>
          <w:color w:val="auto"/>
          <w:sz w:val="24"/>
          <w:highlight w:val="none"/>
        </w:rPr>
      </w:pPr>
      <w:bookmarkStart w:id="180" w:name="_Toc30599"/>
      <w:bookmarkStart w:id="181" w:name="_Toc18540"/>
      <w:bookmarkStart w:id="182" w:name="_Toc4355"/>
      <w:r>
        <w:rPr>
          <w:rFonts w:hint="eastAsia" w:ascii="仿宋" w:hAnsi="仿宋" w:eastAsia="仿宋" w:cs="仿宋"/>
          <w:b/>
          <w:color w:val="auto"/>
          <w:sz w:val="24"/>
          <w:highlight w:val="none"/>
        </w:rPr>
        <w:t>2.18 计量单位</w:t>
      </w:r>
      <w:bookmarkEnd w:id="175"/>
      <w:bookmarkEnd w:id="176"/>
      <w:bookmarkEnd w:id="177"/>
      <w:bookmarkEnd w:id="180"/>
      <w:bookmarkEnd w:id="181"/>
      <w:bookmarkEnd w:id="1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3" w:name="_Toc18567"/>
      <w:bookmarkStart w:id="184" w:name="_Toc279701263"/>
      <w:bookmarkStart w:id="185" w:name="_Toc12773"/>
      <w:bookmarkStart w:id="186" w:name="_Toc259093692"/>
      <w:bookmarkStart w:id="187" w:name="_Toc487900373"/>
      <w:bookmarkStart w:id="188" w:name="_Toc10330"/>
      <w:r>
        <w:rPr>
          <w:rFonts w:hint="eastAsia" w:ascii="仿宋" w:hAnsi="仿宋" w:eastAsia="仿宋" w:cs="仿宋"/>
          <w:b/>
          <w:color w:val="auto"/>
          <w:sz w:val="24"/>
          <w:highlight w:val="none"/>
        </w:rPr>
        <w:t>2.19 合同使用的文字和适用的法律</w:t>
      </w:r>
      <w:bookmarkEnd w:id="183"/>
      <w:bookmarkEnd w:id="184"/>
      <w:bookmarkEnd w:id="185"/>
      <w:bookmarkEnd w:id="186"/>
      <w:bookmarkEnd w:id="187"/>
      <w:bookmarkEnd w:id="1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9" w:name="_Toc6885"/>
      <w:bookmarkStart w:id="190" w:name="_Toc19890"/>
      <w:bookmarkStart w:id="191" w:name="_Toc14001"/>
      <w:r>
        <w:rPr>
          <w:rFonts w:hint="eastAsia" w:ascii="仿宋" w:hAnsi="仿宋" w:eastAsia="仿宋" w:cs="仿宋"/>
          <w:b/>
          <w:color w:val="auto"/>
          <w:sz w:val="24"/>
          <w:highlight w:val="none"/>
        </w:rPr>
        <w:t>2.20 合同份数</w:t>
      </w:r>
      <w:bookmarkEnd w:id="189"/>
      <w:bookmarkEnd w:id="190"/>
      <w:bookmarkEnd w:id="1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191"/>
        <w:gridCol w:w="6635"/>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40" w:type="pct"/>
            <w:noWrap w:val="0"/>
            <w:vAlign w:val="center"/>
          </w:tcPr>
          <w:p>
            <w:pPr>
              <w:widowControl/>
              <w:spacing w:line="360" w:lineRule="exact"/>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序号</w:t>
            </w:r>
          </w:p>
        </w:tc>
        <w:tc>
          <w:tcPr>
            <w:tcW w:w="649" w:type="pct"/>
            <w:noWrap w:val="0"/>
            <w:vAlign w:val="center"/>
          </w:tcPr>
          <w:p>
            <w:pPr>
              <w:widowControl/>
              <w:spacing w:line="360" w:lineRule="exact"/>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评分内容</w:t>
            </w:r>
          </w:p>
        </w:tc>
        <w:tc>
          <w:tcPr>
            <w:tcW w:w="3616" w:type="pct"/>
            <w:noWrap w:val="0"/>
            <w:vAlign w:val="center"/>
          </w:tcPr>
          <w:p>
            <w:pPr>
              <w:widowControl/>
              <w:spacing w:line="360" w:lineRule="exact"/>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评审细则</w:t>
            </w:r>
          </w:p>
        </w:tc>
        <w:tc>
          <w:tcPr>
            <w:tcW w:w="393" w:type="pct"/>
            <w:noWrap w:val="0"/>
            <w:vAlign w:val="center"/>
          </w:tcPr>
          <w:p>
            <w:pPr>
              <w:widowControl/>
              <w:spacing w:line="360" w:lineRule="exact"/>
              <w:jc w:val="center"/>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产品性能、技术指标</w:t>
            </w:r>
            <w:r>
              <w:rPr>
                <w:rFonts w:hint="eastAsia" w:ascii="仿宋" w:hAnsi="仿宋" w:eastAsia="仿宋" w:cs="仿宋"/>
                <w:color w:val="auto"/>
                <w:sz w:val="21"/>
                <w:szCs w:val="21"/>
                <w:highlight w:val="none"/>
              </w:rPr>
              <w:t>响应程度</w:t>
            </w:r>
          </w:p>
        </w:tc>
        <w:tc>
          <w:tcPr>
            <w:tcW w:w="3616" w:type="pct"/>
            <w:shd w:val="clear" w:color="auto" w:fill="FFFFFF"/>
            <w:noWrap w:val="0"/>
            <w:vAlign w:val="center"/>
          </w:tcPr>
          <w:p>
            <w:pPr>
              <w:widowControl/>
              <w:spacing w:line="36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完全满足招标文件要求得分2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分，其中含“★”的为实质性指标，投标方对任何一项标有★的指标必须满足，如未响应或不满足，将按无效投标处理；含“▲”指标为重要性指标每负偏离一项的扣4分，其他指标每负偏离一项，扣2分，扣完为止。</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2</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对接方案</w:t>
            </w:r>
          </w:p>
        </w:tc>
        <w:tc>
          <w:tcPr>
            <w:tcW w:w="3616" w:type="pct"/>
            <w:shd w:val="clear" w:color="auto" w:fill="FFFFFF"/>
            <w:noWrap w:val="0"/>
            <w:vAlign w:val="center"/>
          </w:tcPr>
          <w:p>
            <w:pPr>
              <w:widowControl/>
              <w:spacing w:line="36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作为医院视频系统的一部分，新购置的存储设备必须兼容现有医院视频监控管理平台，实现统一接入管控,必须考虑系统兼容性,投标商应当充分了解医院现有管理平台架构方案，并</w:t>
            </w:r>
            <w:r>
              <w:rPr>
                <w:rFonts w:hint="eastAsia" w:ascii="仿宋" w:hAnsi="仿宋" w:eastAsia="仿宋" w:cs="仿宋"/>
                <w:color w:val="auto"/>
                <w:kern w:val="0"/>
                <w:sz w:val="21"/>
                <w:szCs w:val="21"/>
                <w:highlight w:val="none"/>
                <w:lang w:val="en-US" w:eastAsia="zh-CN"/>
              </w:rPr>
              <w:t>在</w:t>
            </w:r>
            <w:r>
              <w:rPr>
                <w:rFonts w:hint="eastAsia" w:ascii="仿宋" w:hAnsi="仿宋" w:eastAsia="仿宋" w:cs="仿宋"/>
                <w:color w:val="auto"/>
                <w:kern w:val="0"/>
                <w:sz w:val="21"/>
                <w:szCs w:val="21"/>
                <w:highlight w:val="none"/>
              </w:rPr>
              <w:t>投标</w:t>
            </w:r>
            <w:r>
              <w:rPr>
                <w:rFonts w:hint="eastAsia" w:ascii="仿宋" w:hAnsi="仿宋" w:eastAsia="仿宋" w:cs="仿宋"/>
                <w:color w:val="auto"/>
                <w:kern w:val="0"/>
                <w:sz w:val="21"/>
                <w:szCs w:val="21"/>
                <w:highlight w:val="none"/>
                <w:lang w:val="en-US" w:eastAsia="zh-CN"/>
              </w:rPr>
              <w:t>技术文件</w:t>
            </w:r>
            <w:r>
              <w:rPr>
                <w:rFonts w:hint="eastAsia" w:ascii="仿宋" w:hAnsi="仿宋" w:eastAsia="仿宋" w:cs="仿宋"/>
                <w:color w:val="auto"/>
                <w:kern w:val="0"/>
                <w:sz w:val="21"/>
                <w:szCs w:val="21"/>
                <w:highlight w:val="none"/>
              </w:rPr>
              <w:t>中作出书面方案</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根据投标人提供的对接方案进行评审</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0-10分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10</w:t>
            </w:r>
            <w:r>
              <w:rPr>
                <w:rFonts w:hint="eastAsia" w:ascii="仿宋" w:hAnsi="仿宋" w:eastAsia="仿宋" w:cs="仿宋"/>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3</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投标人资质</w:t>
            </w:r>
          </w:p>
        </w:tc>
        <w:tc>
          <w:tcPr>
            <w:tcW w:w="3616" w:type="pct"/>
            <w:shd w:val="clear" w:color="auto" w:fill="FFFFFF"/>
            <w:noWrap w:val="0"/>
            <w:vAlign w:val="center"/>
          </w:tcPr>
          <w:p>
            <w:pPr>
              <w:widowControl/>
              <w:spacing w:line="36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具有ISO9001质量管理体系认证证书得2分，具有ISO14001环境管理体系认证证书得2分，具有ISO</w:t>
            </w:r>
            <w:r>
              <w:rPr>
                <w:rFonts w:hint="eastAsia" w:ascii="仿宋" w:hAnsi="仿宋" w:eastAsia="仿宋" w:cs="仿宋"/>
                <w:color w:val="auto"/>
                <w:sz w:val="21"/>
                <w:szCs w:val="21"/>
                <w:highlight w:val="none"/>
                <w:lang w:val="en-US" w:eastAsia="zh-CN"/>
              </w:rPr>
              <w:t>45</w:t>
            </w:r>
            <w:r>
              <w:rPr>
                <w:rFonts w:hint="eastAsia" w:ascii="仿宋" w:hAnsi="仿宋" w:eastAsia="仿宋" w:cs="仿宋"/>
                <w:color w:val="auto"/>
                <w:sz w:val="21"/>
                <w:szCs w:val="21"/>
                <w:highlight w:val="none"/>
              </w:rPr>
              <w:t>001职业健康安全管理体系认证证书得2分。需提供证书复印件加盖投标人公章，未提供不得分。</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生产厂家资质</w:t>
            </w:r>
          </w:p>
        </w:tc>
        <w:tc>
          <w:tcPr>
            <w:tcW w:w="3616" w:type="pct"/>
            <w:shd w:val="clear" w:color="auto" w:fill="FFFFFF"/>
            <w:noWrap w:val="0"/>
            <w:vAlign w:val="center"/>
          </w:tcPr>
          <w:p>
            <w:pPr>
              <w:numPr>
                <w:ilvl w:val="0"/>
                <w:numId w:val="0"/>
              </w:numPr>
              <w:snapToGrid w:val="0"/>
              <w:spacing w:line="360" w:lineRule="exact"/>
              <w:jc w:val="left"/>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所投产品制造商应具备较强的技术研发实力，获得过国家级科学技术进步奖的，得3分，提供相关证明材料复印件</w:t>
            </w:r>
            <w:r>
              <w:rPr>
                <w:rFonts w:hint="eastAsia" w:ascii="仿宋" w:hAnsi="仿宋" w:eastAsia="仿宋" w:cs="仿宋"/>
                <w:bCs/>
                <w:color w:val="auto"/>
                <w:sz w:val="21"/>
                <w:szCs w:val="21"/>
                <w:highlight w:val="none"/>
                <w:lang w:eastAsia="zh-CN"/>
              </w:rPr>
              <w:t>；</w:t>
            </w:r>
          </w:p>
          <w:p>
            <w:pPr>
              <w:numPr>
                <w:ilvl w:val="0"/>
                <w:numId w:val="0"/>
              </w:numPr>
              <w:snapToGrid w:val="0"/>
              <w:spacing w:line="360" w:lineRule="exact"/>
              <w:jc w:val="left"/>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所投产品制造商应具备优秀的质量管理水平，获得由国家市场监督管理总局评选的中国质量奖或中国质量奖提名奖的，得3分，提供相关证明材料复印件；</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5</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投标人同类业绩</w:t>
            </w:r>
          </w:p>
        </w:tc>
        <w:tc>
          <w:tcPr>
            <w:tcW w:w="3616" w:type="pct"/>
            <w:shd w:val="clear" w:color="auto" w:fill="FFFFFF"/>
            <w:noWrap w:val="0"/>
            <w:vAlign w:val="center"/>
          </w:tcPr>
          <w:p>
            <w:pPr>
              <w:widowControl/>
              <w:spacing w:line="36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投标人自20</w:t>
            </w:r>
            <w:r>
              <w:rPr>
                <w:rFonts w:hint="eastAsia" w:ascii="仿宋" w:hAnsi="仿宋" w:eastAsia="仿宋" w:cs="仿宋"/>
                <w:color w:val="auto"/>
                <w:sz w:val="21"/>
                <w:szCs w:val="21"/>
                <w:highlight w:val="none"/>
                <w:lang w:val="en-US" w:eastAsia="zh-CN"/>
              </w:rPr>
              <w:t>20</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月1日以来（以合同签订日期为准）承接过</w:t>
            </w:r>
            <w:r>
              <w:rPr>
                <w:rFonts w:hint="eastAsia" w:ascii="仿宋" w:hAnsi="仿宋" w:eastAsia="仿宋" w:cs="仿宋"/>
                <w:color w:val="auto"/>
                <w:sz w:val="21"/>
                <w:szCs w:val="21"/>
                <w:highlight w:val="none"/>
                <w:lang w:val="en-US" w:eastAsia="zh-CN"/>
              </w:rPr>
              <w:t>安防</w:t>
            </w:r>
            <w:r>
              <w:rPr>
                <w:rFonts w:hint="eastAsia" w:ascii="仿宋" w:hAnsi="仿宋" w:eastAsia="仿宋" w:cs="仿宋"/>
                <w:color w:val="auto"/>
                <w:sz w:val="21"/>
                <w:szCs w:val="21"/>
                <w:highlight w:val="none"/>
              </w:rPr>
              <w:t>建设项目</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每提供一份得1分，最多3分。需提供合同复印件加盖投标人</w:t>
            </w:r>
            <w:r>
              <w:rPr>
                <w:rFonts w:hint="eastAsia" w:ascii="仿宋" w:hAnsi="仿宋" w:eastAsia="仿宋" w:cs="仿宋"/>
                <w:bCs/>
                <w:color w:val="auto"/>
                <w:sz w:val="21"/>
                <w:szCs w:val="21"/>
                <w:highlight w:val="none"/>
              </w:rPr>
              <w:t>公章，未提供不得分。</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6</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项目实施方案</w:t>
            </w:r>
          </w:p>
        </w:tc>
        <w:tc>
          <w:tcPr>
            <w:tcW w:w="3616" w:type="pct"/>
            <w:shd w:val="clear" w:color="auto" w:fill="FFFFFF"/>
            <w:noWrap w:val="0"/>
            <w:vAlign w:val="center"/>
          </w:tcPr>
          <w:p>
            <w:pPr>
              <w:widowControl/>
              <w:spacing w:line="36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根据投标人提供的实施方案，包括方案的科学性、完整性及合理性、对采购人实际情况、做好详细的方案、拟派人员配备情况等进行评审</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0-10分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sz w:val="21"/>
                <w:szCs w:val="21"/>
                <w:highlight w:val="none"/>
              </w:rPr>
              <w:t>。</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10</w:t>
            </w:r>
            <w:r>
              <w:rPr>
                <w:rFonts w:hint="eastAsia" w:ascii="仿宋" w:hAnsi="仿宋" w:eastAsia="仿宋" w:cs="仿宋"/>
                <w:color w:val="auto"/>
                <w:kern w:val="0"/>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40"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7</w:t>
            </w:r>
          </w:p>
        </w:tc>
        <w:tc>
          <w:tcPr>
            <w:tcW w:w="649" w:type="pct"/>
            <w:shd w:val="clear" w:color="auto" w:fill="auto"/>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售后服务能力</w:t>
            </w:r>
          </w:p>
        </w:tc>
        <w:tc>
          <w:tcPr>
            <w:tcW w:w="3616" w:type="pct"/>
            <w:shd w:val="clear" w:color="auto" w:fill="FFFFFF"/>
            <w:noWrap w:val="0"/>
            <w:vAlign w:val="center"/>
          </w:tcPr>
          <w:p>
            <w:pPr>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根据投标人提供的售后服务方案，技术后援支持，系统故障响应时间，能对用户的要求及时做出响应等情况进行评审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0-8分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393" w:type="pct"/>
            <w:shd w:val="clear" w:color="auto" w:fill="FFFFFF"/>
            <w:noWrap w:val="0"/>
            <w:vAlign w:val="center"/>
          </w:tcPr>
          <w:p>
            <w:pPr>
              <w:widowControl/>
              <w:spacing w:line="360" w:lineRule="exact"/>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8</w:t>
            </w:r>
            <w:r>
              <w:rPr>
                <w:rFonts w:hint="eastAsia" w:ascii="仿宋" w:hAnsi="仿宋" w:eastAsia="仿宋" w:cs="仿宋"/>
                <w:color w:val="auto"/>
                <w:kern w:val="0"/>
                <w:sz w:val="21"/>
                <w:szCs w:val="21"/>
                <w:highlight w:val="none"/>
              </w:rPr>
              <w:t>分</w:t>
            </w:r>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p>
      <w:pPr>
        <w:pStyle w:val="80"/>
        <w:rPr>
          <w:rFonts w:hint="eastAsia" w:ascii="仿宋" w:hAnsi="仿宋" w:eastAsia="仿宋" w:cs="仿宋"/>
          <w:b/>
          <w:color w:val="auto"/>
          <w:sz w:val="36"/>
          <w:szCs w:val="20"/>
          <w:highlight w:val="none"/>
        </w:rPr>
      </w:pPr>
    </w:p>
    <w:bookmarkEnd w:id="41"/>
    <w:bookmarkEnd w:id="42"/>
    <w:p>
      <w:pPr>
        <w:widowControl/>
        <w:adjustRightInd/>
        <w:jc w:val="both"/>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1"/>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6"/>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6"/>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6"/>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6"/>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1"/>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1"/>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pStyle w:val="81"/>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2" w:name="_Hlk101259491"/>
      <w:r>
        <w:rPr>
          <w:rFonts w:hint="eastAsia" w:ascii="仿宋" w:hAnsi="仿宋" w:eastAsia="仿宋" w:cs="仿宋"/>
          <w:color w:val="auto"/>
          <w:sz w:val="32"/>
          <w:szCs w:val="32"/>
          <w:highlight w:val="none"/>
        </w:rPr>
        <w:t>（如果有）</w:t>
      </w:r>
      <w:bookmarkEnd w:id="192"/>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sz w:val="24"/>
          <w:highlight w:val="none"/>
        </w:rPr>
      </w:pPr>
    </w:p>
    <w:p>
      <w:pPr>
        <w:pStyle w:val="82"/>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pStyle w:val="82"/>
        <w:rPr>
          <w:rFonts w:hint="eastAsia"/>
          <w:color w:val="auto"/>
          <w:highlight w:val="none"/>
        </w:rPr>
      </w:pPr>
    </w:p>
    <w:p>
      <w:pPr>
        <w:pStyle w:val="82"/>
        <w:rPr>
          <w:rFonts w:hint="eastAsia"/>
          <w:color w:val="auto"/>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3" w:name="_Toc465665161"/>
      <w:r>
        <w:rPr>
          <w:rFonts w:hint="eastAsia" w:ascii="仿宋" w:hAnsi="仿宋" w:eastAsia="仿宋" w:cs="仿宋"/>
          <w:color w:val="auto"/>
          <w:highlight w:val="none"/>
        </w:rPr>
        <w:t>附件</w:t>
      </w:r>
      <w:bookmarkEnd w:id="193"/>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rPr>
          <w:rFonts w:hint="eastAsia"/>
          <w:color w:val="auto"/>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4"/>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5"/>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pStyle w:val="82"/>
        <w:rPr>
          <w:rFonts w:hint="eastAsia"/>
          <w:color w:val="auto"/>
          <w:highlight w:val="none"/>
        </w:rPr>
      </w:pPr>
    </w:p>
    <w:p>
      <w:pPr>
        <w:spacing w:line="360" w:lineRule="auto"/>
        <w:jc w:val="both"/>
        <w:rPr>
          <w:rFonts w:hint="eastAsia" w:ascii="仿宋" w:hAnsi="仿宋" w:eastAsia="仿宋" w:cs="仿宋"/>
          <w:b/>
          <w:color w:val="auto"/>
          <w:spacing w:val="6"/>
          <w:sz w:val="32"/>
          <w:szCs w:val="32"/>
          <w:highlight w:val="none"/>
        </w:rPr>
      </w:pPr>
      <w:bookmarkStart w:id="196" w:name="OLE_LINK13"/>
      <w:bookmarkStart w:id="197" w:name="OLE_LINK14"/>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6"/>
    <w:bookmarkEnd w:id="197"/>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8" w:name="_Toc36110187"/>
    <w:bookmarkStart w:id="199" w:name="_Toc164085800"/>
    <w:bookmarkStart w:id="200" w:name="_Toc131845147"/>
    <w:bookmarkStart w:id="201" w:name="_Toc91899912"/>
    <w:r>
      <w:rPr>
        <w:rFonts w:hint="eastAsia" w:ascii="仿宋_GB2312" w:eastAsia="仿宋_GB2312"/>
        <w:kern w:val="0"/>
        <w:szCs w:val="21"/>
      </w:rPr>
      <w:t xml:space="preserve"> 页</w:t>
    </w:r>
    <w:bookmarkEnd w:id="198"/>
    <w:bookmarkEnd w:id="199"/>
    <w:bookmarkEnd w:id="200"/>
    <w:bookmarkEnd w:id="20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DEA032"/>
    <w:multiLevelType w:val="singleLevel"/>
    <w:tmpl w:val="F4DEA032"/>
    <w:lvl w:ilvl="0" w:tentative="0">
      <w:start w:val="2"/>
      <w:numFmt w:val="chineseCounting"/>
      <w:suff w:val="nothing"/>
      <w:lvlText w:val="%1、"/>
      <w:lvlJc w:val="left"/>
      <w:pPr>
        <w:ind w:left="426" w:firstLine="0"/>
      </w:pPr>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Tc5Mjg0YWFmNjAwZTBjOGFiODc5N2VmNzc1NDQifQ=="/>
  </w:docVars>
  <w:rsids>
    <w:rsidRoot w:val="00000000"/>
    <w:rsid w:val="02F1210D"/>
    <w:rsid w:val="033E089E"/>
    <w:rsid w:val="0570611A"/>
    <w:rsid w:val="06D74677"/>
    <w:rsid w:val="0983157E"/>
    <w:rsid w:val="09E90F4F"/>
    <w:rsid w:val="0FA0239A"/>
    <w:rsid w:val="10B26C72"/>
    <w:rsid w:val="12CC3225"/>
    <w:rsid w:val="13E770EB"/>
    <w:rsid w:val="14127BE9"/>
    <w:rsid w:val="146A267E"/>
    <w:rsid w:val="169E17AF"/>
    <w:rsid w:val="22DF7B0C"/>
    <w:rsid w:val="26D47812"/>
    <w:rsid w:val="2C2537B1"/>
    <w:rsid w:val="2CDA6E57"/>
    <w:rsid w:val="2D747B2C"/>
    <w:rsid w:val="3F326AC0"/>
    <w:rsid w:val="4AE22B62"/>
    <w:rsid w:val="4D5636C6"/>
    <w:rsid w:val="4DC86B2C"/>
    <w:rsid w:val="4DE4148C"/>
    <w:rsid w:val="4FAE554B"/>
    <w:rsid w:val="50C301CB"/>
    <w:rsid w:val="5699076C"/>
    <w:rsid w:val="57DAE6E1"/>
    <w:rsid w:val="5BE2212A"/>
    <w:rsid w:val="5F665FB3"/>
    <w:rsid w:val="634A2B1C"/>
    <w:rsid w:val="642152E2"/>
    <w:rsid w:val="65077AE2"/>
    <w:rsid w:val="662A7C27"/>
    <w:rsid w:val="6A5F5CCB"/>
    <w:rsid w:val="6AEF1016"/>
    <w:rsid w:val="6D7F1965"/>
    <w:rsid w:val="729E74BD"/>
    <w:rsid w:val="773364EF"/>
    <w:rsid w:val="7D5438E4"/>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2">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2"/>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2"/>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2"/>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2"/>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2"/>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2"/>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2"/>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2"/>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51129</Words>
  <Characters>54218</Characters>
  <Paragraphs>2030</Paragraphs>
  <TotalTime>7</TotalTime>
  <ScaleCrop>false</ScaleCrop>
  <LinksUpToDate>false</LinksUpToDate>
  <CharactersWithSpaces>61529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kk</cp:lastModifiedBy>
  <cp:lastPrinted>2021-12-28T11:06:00Z</cp:lastPrinted>
  <dcterms:modified xsi:type="dcterms:W3CDTF">2023-10-30T06:52:48Z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