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sz w:val="28"/>
          <w:szCs w:val="28"/>
        </w:rPr>
      </w:pPr>
      <w:r>
        <w:rPr>
          <w:rFonts w:hint="eastAsia" w:ascii="仿宋" w:hAnsi="仿宋" w:eastAsia="仿宋"/>
          <w:sz w:val="28"/>
          <w:szCs w:val="28"/>
        </w:rPr>
        <w:t>项目名称：绍兴市中医院智慧食堂系统功能增设项目采购议价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49500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在</w:t>
      </w:r>
      <w:r>
        <w:rPr>
          <w:rFonts w:hint="eastAsia" w:ascii="仿宋" w:hAnsi="仿宋" w:eastAsia="仿宋"/>
          <w:sz w:val="28"/>
          <w:szCs w:val="28"/>
          <w:lang w:val="en-US" w:eastAsia="zh-CN"/>
        </w:rPr>
        <w:t>医院信息系统基础上开放“产品条码扫描出入库、统计报表改进等软件改造”端口（开放端口，由配送单位开发软件）和新增“配送费用统计表及优惠劵分类统计等项目”。明细如下：</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rPr>
      </w:pPr>
      <w:r>
        <w:rPr>
          <w:rFonts w:hint="eastAsia" w:ascii="仿宋" w:hAnsi="仿宋" w:eastAsia="仿宋"/>
          <w:sz w:val="28"/>
          <w:szCs w:val="28"/>
        </w:rPr>
        <w:t xml:space="preserve"> </w:t>
      </w:r>
    </w:p>
    <w:tbl>
      <w:tblPr>
        <w:tblStyle w:val="8"/>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2849"/>
        <w:gridCol w:w="4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序号</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功能点</w:t>
            </w: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2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改造库存管理后台 (仅开放端口)</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条码识别入口改造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新增条码扫描出入库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统计报表改造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与商品供应商解析条码信息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28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新增优惠卷分类</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不同人群人员分享受不同类别折扣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优惠人群分组根据人员类别分类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消费统计、券使用统计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配送费</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外送订单配送的收取，配送费用统一一致；配送费用统计表；</w:t>
            </w:r>
          </w:p>
        </w:tc>
      </w:tr>
    </w:tbl>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28"/>
          <w:lang w:eastAsia="zh-CN"/>
        </w:rPr>
      </w:pPr>
    </w:p>
    <w:p>
      <w:pPr>
        <w:pStyle w:val="2"/>
        <w:tabs>
          <w:tab w:val="left" w:pos="567"/>
        </w:tabs>
        <w:jc w:val="left"/>
        <w:rPr>
          <w:rFonts w:hint="eastAsia" w:ascii="仿宋" w:hAnsi="仿宋" w:eastAsia="仿宋"/>
          <w:sz w:val="28"/>
          <w:szCs w:val="28"/>
          <w:lang w:val="en-US" w:eastAsia="zh-CN"/>
        </w:rPr>
      </w:pPr>
      <w:r>
        <w:rPr>
          <w:rFonts w:hint="eastAsia" w:ascii="仿宋" w:hAnsi="仿宋" w:eastAsia="仿宋"/>
          <w:sz w:val="28"/>
          <w:szCs w:val="28"/>
          <w:lang w:val="en-US" w:eastAsia="zh-CN"/>
        </w:rPr>
        <w:t>要求如下 ：</w:t>
      </w:r>
      <w:bookmarkStart w:id="0" w:name="_Toc20185"/>
      <w:bookmarkStart w:id="1" w:name="_Toc22859"/>
      <w:bookmarkStart w:id="2" w:name="_Toc99065578"/>
      <w:bookmarkStart w:id="3" w:name="_Toc8815"/>
      <w:bookmarkStart w:id="4" w:name="_Toc439940535"/>
      <w:bookmarkStart w:id="5" w:name="_Toc10477"/>
      <w:bookmarkStart w:id="6" w:name="_Toc29151"/>
    </w:p>
    <w:bookmarkEnd w:id="0"/>
    <w:bookmarkEnd w:id="1"/>
    <w:bookmarkEnd w:id="2"/>
    <w:bookmarkEnd w:id="3"/>
    <w:bookmarkEnd w:id="4"/>
    <w:bookmarkEnd w:id="5"/>
    <w:bookmarkEnd w:id="6"/>
    <w:p>
      <w:pPr>
        <w:pStyle w:val="2"/>
        <w:tabs>
          <w:tab w:val="left" w:pos="567"/>
        </w:tabs>
        <w:jc w:val="both"/>
        <w:rPr>
          <w:rFonts w:hint="eastAsia" w:ascii="仿宋" w:hAnsi="仿宋" w:eastAsia="仿宋" w:cs="仿宋"/>
          <w:b w:val="0"/>
          <w:color w:val="auto"/>
          <w:sz w:val="28"/>
          <w:szCs w:val="28"/>
          <w:lang w:val="en-US" w:eastAsia="zh-CN" w:bidi="ar-SA"/>
        </w:rPr>
      </w:pPr>
      <w:bookmarkStart w:id="7" w:name="_Toc1588"/>
      <w:bookmarkStart w:id="8" w:name="_Toc25429"/>
      <w:bookmarkStart w:id="9" w:name="_Toc99065586"/>
      <w:bookmarkStart w:id="10" w:name="_Toc19643346"/>
      <w:bookmarkStart w:id="11" w:name="_Toc439940565"/>
      <w:bookmarkStart w:id="12" w:name="_Toc26074"/>
      <w:bookmarkStart w:id="13" w:name="_Toc13218"/>
      <w:r>
        <w:rPr>
          <w:rFonts w:hint="eastAsia" w:ascii="仿宋" w:hAnsi="仿宋" w:eastAsia="仿宋" w:cs="仿宋"/>
          <w:b w:val="0"/>
          <w:color w:val="auto"/>
          <w:sz w:val="28"/>
          <w:szCs w:val="28"/>
          <w:lang w:val="en-US" w:eastAsia="zh-CN" w:bidi="ar-SA"/>
        </w:rPr>
        <w:t xml:space="preserve"> 一、实施方案要求</w:t>
      </w:r>
      <w:bookmarkEnd w:id="7"/>
      <w:bookmarkEnd w:id="8"/>
      <w:bookmarkEnd w:id="9"/>
      <w:bookmarkEnd w:id="10"/>
    </w:p>
    <w:p>
      <w:pPr>
        <w:numPr>
          <w:ilvl w:val="0"/>
          <w:numId w:val="1"/>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投标人应充分考虑满足投标项目的建设要求，提出完整的项目管理及实施方案。</w:t>
      </w:r>
    </w:p>
    <w:p>
      <w:pPr>
        <w:numPr>
          <w:ilvl w:val="0"/>
          <w:numId w:val="1"/>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投标人应本着认真负责的态度组织项目团队，提供项目组主要成员名单，根据对项目的理解制定项目的人员配置管理计划，包括组织结构、项目负责人和技术负责人、组成人员及分工职责。</w:t>
      </w:r>
    </w:p>
    <w:p>
      <w:pPr>
        <w:numPr>
          <w:ilvl w:val="0"/>
          <w:numId w:val="1"/>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投标人需为本项目构建稳定的不少于3人的技术人员团队，其中项目经理至少有2年以上项目实施经验。</w:t>
      </w:r>
    </w:p>
    <w:p>
      <w:pPr>
        <w:pStyle w:val="2"/>
        <w:tabs>
          <w:tab w:val="left" w:pos="567"/>
        </w:tabs>
        <w:jc w:val="both"/>
        <w:rPr>
          <w:rFonts w:hint="eastAsia" w:ascii="仿宋" w:hAnsi="仿宋" w:eastAsia="仿宋" w:cs="仿宋"/>
          <w:b w:val="0"/>
          <w:color w:val="auto"/>
          <w:sz w:val="28"/>
          <w:szCs w:val="28"/>
          <w:lang w:val="en-US" w:eastAsia="zh-CN" w:bidi="ar-SA"/>
        </w:rPr>
      </w:pPr>
      <w:bookmarkStart w:id="14" w:name="_Toc261"/>
      <w:bookmarkStart w:id="15" w:name="_Toc99065587"/>
      <w:bookmarkStart w:id="16" w:name="_Toc4347"/>
      <w:bookmarkStart w:id="17" w:name="_Toc19643349"/>
      <w:r>
        <w:rPr>
          <w:rFonts w:hint="eastAsia" w:ascii="仿宋" w:hAnsi="仿宋" w:eastAsia="仿宋" w:cs="仿宋"/>
          <w:b w:val="0"/>
          <w:color w:val="auto"/>
          <w:sz w:val="28"/>
          <w:szCs w:val="28"/>
          <w:lang w:val="en-US" w:eastAsia="zh-CN" w:bidi="ar-SA"/>
        </w:rPr>
        <w:t>二、 验收要求</w:t>
      </w:r>
      <w:bookmarkEnd w:id="11"/>
      <w:bookmarkEnd w:id="12"/>
      <w:bookmarkEnd w:id="13"/>
      <w:bookmarkEnd w:id="14"/>
      <w:bookmarkEnd w:id="15"/>
      <w:bookmarkEnd w:id="16"/>
      <w:bookmarkEnd w:id="17"/>
      <w:bookmarkStart w:id="18" w:name="_Toc439940567"/>
      <w:bookmarkStart w:id="19" w:name="_Toc19643350"/>
      <w:bookmarkStart w:id="20" w:name="_Toc29310"/>
      <w:bookmarkStart w:id="21" w:name="_Toc16406"/>
      <w:bookmarkStart w:id="22" w:name="_Toc99065588"/>
      <w:bookmarkStart w:id="23" w:name="_Toc6545"/>
      <w:bookmarkStart w:id="24" w:name="_Toc17249"/>
    </w:p>
    <w:p>
      <w:pPr>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系统应在规定时间内建设完成后，投入试运行。运行过程中需确保系统功能，运行效果符合要求。由中标公司提供验收申请和验收材料，医院进行项目的全面审核后同意项目终验。</w:t>
      </w:r>
    </w:p>
    <w:p>
      <w:pPr>
        <w:pStyle w:val="2"/>
        <w:tabs>
          <w:tab w:val="left" w:pos="567"/>
        </w:tabs>
        <w:jc w:val="both"/>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三、培训要求</w:t>
      </w:r>
      <w:bookmarkEnd w:id="18"/>
      <w:bookmarkEnd w:id="19"/>
      <w:bookmarkEnd w:id="20"/>
      <w:bookmarkEnd w:id="21"/>
      <w:bookmarkEnd w:id="22"/>
      <w:bookmarkEnd w:id="23"/>
      <w:bookmarkEnd w:id="24"/>
      <w:bookmarkStart w:id="25" w:name="_Toc19643351"/>
      <w:bookmarkStart w:id="26" w:name="_Toc19680"/>
      <w:bookmarkStart w:id="27" w:name="_Toc30345"/>
      <w:bookmarkStart w:id="28" w:name="_Toc99065589"/>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投标人须提出详细的项目培训计划，具体如下：</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对系统使用人员、系统运行维护管理人员等不同对象的培训计划；</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培训课程安排、培训方式及时间；地点场所由采购人提供;</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提供系统操作培训：主要面向医院内部工作人员和系统管理员等，并提供对应的操作培训及相应培训资料。</w:t>
      </w:r>
    </w:p>
    <w:p>
      <w:pPr>
        <w:pStyle w:val="2"/>
        <w:tabs>
          <w:tab w:val="left" w:pos="567"/>
        </w:tabs>
        <w:jc w:val="both"/>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四、 运维服务要求</w:t>
      </w:r>
      <w:bookmarkEnd w:id="25"/>
      <w:bookmarkEnd w:id="26"/>
      <w:bookmarkEnd w:id="27"/>
      <w:bookmarkEnd w:id="28"/>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项目验收通过后提供一年的免费运行维护服务。</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提供7×24小时技术支持服务，对客户的反映的任何问题响应时限为2小时内，如需现场维护，响应服务6小时内，特殊情况在24小时内无法修复的，须提供备用方案，保证项目的稳定运行。</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能够提供5*8小时日常技术咨询服务。</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pPr>
        <w:numPr>
          <w:ilvl w:val="0"/>
          <w:numId w:val="2"/>
        </w:numPr>
        <w:tabs>
          <w:tab w:val="left" w:pos="840"/>
        </w:tabs>
        <w:spacing w:line="360" w:lineRule="auto"/>
        <w:ind w:firstLine="560" w:firstLineChars="200"/>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投标人必须保证解决项目所涉及的技术问题，如因技术原因无法满足采购人需求，由此产生的风险由投标人承担。</w:t>
      </w:r>
    </w:p>
    <w:p>
      <w:pPr>
        <w:spacing w:after="0" w:line="360" w:lineRule="auto"/>
        <w:rPr>
          <w:rFonts w:hint="eastAsia" w:ascii="仿宋" w:hAnsi="仿宋" w:eastAsia="仿宋" w:cs="仿宋"/>
          <w:b w:val="0"/>
          <w:color w:val="auto"/>
          <w:sz w:val="28"/>
          <w:szCs w:val="28"/>
          <w:lang w:val="en-US" w:eastAsia="zh-CN" w:bidi="ar-SA"/>
        </w:rPr>
      </w:pPr>
      <w:r>
        <w:rPr>
          <w:rFonts w:hint="eastAsia" w:ascii="仿宋" w:hAnsi="仿宋" w:eastAsia="仿宋" w:cs="仿宋"/>
          <w:b w:val="0"/>
          <w:color w:val="auto"/>
          <w:sz w:val="28"/>
          <w:szCs w:val="28"/>
          <w:lang w:val="en-US" w:eastAsia="zh-CN" w:bidi="ar-SA"/>
        </w:rPr>
        <w:t>当投标人若无力继续承担售后服务时，招标人可索取本项目有关的所有软件源码用于维持平台运行工作，投标人应无偿提供。</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3"/>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yellow"/>
          <w:lang w:val="en-US" w:eastAsia="zh-CN" w:bidi="ar-SA"/>
        </w:rPr>
        <w:t>9月27日9：00时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3"/>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3"/>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9：00</w:t>
      </w:r>
      <w:r>
        <w:rPr>
          <w:rFonts w:hint="eastAsia" w:ascii="仿宋" w:hAnsi="仿宋" w:eastAsia="仿宋" w:cs="仿宋"/>
          <w:color w:val="3F3F3F"/>
          <w:sz w:val="28"/>
          <w:szCs w:val="28"/>
          <w:highlight w:val="none"/>
        </w:rPr>
        <w:t>。</w:t>
      </w:r>
      <w:bookmarkStart w:id="29" w:name="_GoBack"/>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bookmarkEnd w:id="29"/>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27</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二楼评标</w:t>
      </w:r>
      <w:r>
        <w:rPr>
          <w:rFonts w:hint="eastAsia" w:ascii="仿宋" w:hAnsi="仿宋" w:eastAsia="仿宋" w:cs="仿宋"/>
          <w:color w:val="3F3F3F"/>
          <w:sz w:val="28"/>
          <w:szCs w:val="28"/>
          <w:highlight w:val="none"/>
        </w:rPr>
        <w:t>室</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abstractNum w:abstractNumId="1">
    <w:nsid w:val="2D805360"/>
    <w:multiLevelType w:val="multilevel"/>
    <w:tmpl w:val="2D80536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5BF71A8"/>
    <w:multiLevelType w:val="multilevel"/>
    <w:tmpl w:val="45BF71A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5YjI0NGU1OTIyNGExOWIwYmFjOGY0YTViYzBiY2QifQ=="/>
  </w:docVars>
  <w:rsids>
    <w:rsidRoot w:val="00AA702E"/>
    <w:rsid w:val="005E42C2"/>
    <w:rsid w:val="00AA702E"/>
    <w:rsid w:val="00AD03A2"/>
    <w:rsid w:val="00B55519"/>
    <w:rsid w:val="02FD3643"/>
    <w:rsid w:val="0F3F2C8A"/>
    <w:rsid w:val="104E6254"/>
    <w:rsid w:val="10810142"/>
    <w:rsid w:val="13373673"/>
    <w:rsid w:val="1C4E410E"/>
    <w:rsid w:val="29EB1216"/>
    <w:rsid w:val="65293EFC"/>
    <w:rsid w:val="6CC40F41"/>
    <w:rsid w:val="6FA62963"/>
    <w:rsid w:val="73C15B4B"/>
    <w:rsid w:val="76F6353C"/>
    <w:rsid w:val="78FD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 w:type="character" w:customStyle="1" w:styleId="15">
    <w:name w:val="font11"/>
    <w:basedOn w:val="9"/>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13</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Administrator</cp:lastModifiedBy>
  <dcterms:modified xsi:type="dcterms:W3CDTF">2023-09-20T03:20:17Z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