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 xml:space="preserve">绍兴市中医院关节镜系统及腹腔镜系统保修服务项目 </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bookmarkStart w:id="173" w:name="_GoBack"/>
      <w:bookmarkEnd w:id="173"/>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TYJZ2023</w:t>
      </w:r>
    </w:p>
    <w:tbl>
      <w:tblPr>
        <w:tblStyle w:val="4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w:t>
            </w:r>
            <w:r>
              <w:rPr>
                <w:rFonts w:hint="eastAsia" w:ascii="仿宋" w:hAnsi="仿宋" w:eastAsia="仿宋" w:cs="仿宋"/>
                <w:color w:val="auto"/>
                <w:sz w:val="28"/>
                <w:szCs w:val="28"/>
                <w:highlight w:val="none"/>
                <w:lang w:eastAsia="zh-CN"/>
              </w:rPr>
              <w:t>八</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556" w:hRule="atLeast"/>
        </w:trPr>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 xml:space="preserve">绍兴市中医院关节镜系统及腹腔镜系统保修服务项目 </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获取招标文件，并于2023年月日 09:00（北京时间）前递交投标文件。</w:t>
                  </w:r>
                </w:p>
              </w:tc>
            </w:tr>
          </w:tbl>
          <w:p>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 xml:space="preserve"> TYJZ2023</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 xml:space="preserve">绍兴市中医院关节镜系统及腹腔镜系统保修服务项目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780000</w:t>
            </w:r>
          </w:p>
          <w:p>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390000,390000</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 xml:space="preserve">关节镜系统保修服务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390000</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 xml:space="preserve">腹腔镜系统保修服务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390000</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2"/>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2"/>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2"/>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2"/>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pPr>
              <w:pStyle w:val="72"/>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提交投标文件截止时间：2023年月日 09:00（北京时间）</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绍兴市越城区朝皇路58号正大综合楼601泰宇咨询会议室</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开标时间：2023年月日 09:00</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绍兴市越城区朝皇路58号正大综合楼601会议室（泰宇咨询）</w:t>
            </w:r>
            <w:r>
              <w:rPr>
                <w:rFonts w:hint="eastAsia" w:ascii="仿宋" w:hAnsi="仿宋" w:eastAsia="仿宋" w:cs="仿宋"/>
                <w:color w:val="auto"/>
                <w:szCs w:val="24"/>
                <w:highlight w:val="none"/>
              </w:rPr>
              <w:t>。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绍兴市越城区人民中路641号</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王鑫卫</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项目联系方式（询问）：0575-89109951</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沈勇</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质疑联系方式：0575-89107189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eastAsia="zh-CN"/>
              </w:rPr>
              <w:t>张婷婷</w:t>
            </w:r>
            <w:r>
              <w:rPr>
                <w:rFonts w:hint="eastAsia" w:ascii="仿宋" w:hAnsi="仿宋" w:eastAsia="仿宋" w:cs="仿宋"/>
                <w:color w:val="auto"/>
                <w:szCs w:val="24"/>
                <w:highlight w:val="none"/>
              </w:rPr>
              <w:t xml:space="preserve">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xml:space="preserve">       </w:t>
            </w:r>
          </w:p>
        </w:tc>
      </w:tr>
      <w:tr>
        <w:tblPrEx>
          <w:tblCellMar>
            <w:top w:w="0" w:type="dxa"/>
            <w:left w:w="0" w:type="dxa"/>
            <w:bottom w:w="0" w:type="dxa"/>
            <w:right w:w="0" w:type="dxa"/>
          </w:tblCellMar>
        </w:tblPrEx>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numPr>
                <w:ilvl w:val="0"/>
                <w:numId w:val="7"/>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其他未列明行业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hint="eastAsia" w:ascii="仿宋" w:hAnsi="仿宋" w:eastAsia="仿宋" w:cs="仿宋"/>
                <w:color w:val="auto"/>
                <w:sz w:val="24"/>
                <w:highlight w:val="none"/>
              </w:rPr>
            </w:pPr>
          </w:p>
        </w:tc>
        <w:tc>
          <w:tcPr>
            <w:tcW w:w="8370" w:type="dxa"/>
            <w:gridSpan w:val="2"/>
            <w:vAlign w:val="center"/>
          </w:tcPr>
          <w:p>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62%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7"/>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5"/>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4"/>
        <w:snapToGrid w:val="0"/>
        <w:spacing w:line="440" w:lineRule="exact"/>
        <w:rPr>
          <w:rFonts w:hint="eastAsia" w:ascii="仿宋" w:hAnsi="仿宋" w:eastAsia="仿宋" w:cs="仿宋"/>
          <w:color w:val="auto"/>
          <w:sz w:val="24"/>
          <w:highlight w:val="none"/>
          <w:lang w:val="zh-CN"/>
        </w:rPr>
      </w:pPr>
      <w:bookmarkStart w:id="1" w:name="_Hlt68073093"/>
      <w:bookmarkEnd w:id="1"/>
      <w:bookmarkStart w:id="2" w:name="_Hlt68072998"/>
      <w:bookmarkEnd w:id="2"/>
      <w:bookmarkStart w:id="3" w:name="_Hlt68403820"/>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5"/>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5"/>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4"/>
        <w:snapToGrid w:val="0"/>
        <w:spacing w:line="440" w:lineRule="exact"/>
        <w:jc w:val="left"/>
        <w:rPr>
          <w:rFonts w:hint="eastAsia" w:ascii="仿宋" w:hAnsi="仿宋" w:eastAsia="仿宋" w:cs="仿宋"/>
          <w:b/>
          <w:color w:val="auto"/>
          <w:sz w:val="24"/>
          <w:szCs w:val="24"/>
          <w:highlight w:val="none"/>
        </w:rPr>
      </w:pPr>
      <w:bookmarkStart w:id="4" w:name="_Toc84325929"/>
      <w:bookmarkStart w:id="5" w:name="_Toc81372953"/>
      <w:bookmarkStart w:id="6" w:name="_Toc81372776"/>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pPr>
        <w:pStyle w:val="15"/>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tabs>
          <w:tab w:val="left" w:pos="4320"/>
        </w:tabs>
        <w:spacing w:line="360" w:lineRule="auto"/>
        <w:jc w:val="left"/>
        <w:rPr>
          <w:rFonts w:hint="eastAsia" w:ascii="仿宋" w:hAnsi="仿宋" w:eastAsia="仿宋" w:cs="仿宋"/>
          <w:b/>
          <w:bCs/>
          <w:color w:val="000000"/>
          <w:sz w:val="24"/>
          <w:szCs w:val="24"/>
          <w:highlight w:val="none"/>
        </w:rPr>
      </w:pPr>
      <w:bookmarkStart w:id="7" w:name="_Toc81372964"/>
      <w:bookmarkStart w:id="8" w:name="_Toc81372787"/>
      <w:bookmarkStart w:id="9" w:name="_Toc84325981"/>
      <w:bookmarkStart w:id="10" w:name="_Toc80157775"/>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color w:val="auto"/>
          <w:sz w:val="24"/>
          <w:szCs w:val="24"/>
          <w:highlight w:val="none"/>
          <w:lang w:val="en-US" w:eastAsia="zh-CN"/>
        </w:rPr>
        <w:t>关节镜系统保修服务</w:t>
      </w:r>
      <w:r>
        <w:rPr>
          <w:rFonts w:hint="eastAsia" w:ascii="仿宋" w:hAnsi="仿宋" w:eastAsia="仿宋" w:cs="仿宋"/>
          <w:b/>
          <w:color w:val="auto"/>
          <w:sz w:val="24"/>
          <w:szCs w:val="24"/>
          <w:highlight w:val="none"/>
          <w:lang w:eastAsia="zh-CN"/>
        </w:rPr>
        <w:t>，预算：</w:t>
      </w:r>
      <w:r>
        <w:rPr>
          <w:rFonts w:hint="eastAsia" w:ascii="仿宋" w:hAnsi="仿宋" w:eastAsia="仿宋" w:cs="仿宋"/>
          <w:b/>
          <w:color w:val="auto"/>
          <w:sz w:val="24"/>
          <w:szCs w:val="24"/>
          <w:highlight w:val="none"/>
          <w:lang w:val="en-US" w:eastAsia="zh-CN"/>
        </w:rPr>
        <w:t>390000元。</w:t>
      </w:r>
    </w:p>
    <w:p>
      <w:pPr>
        <w:ind w:firstLine="482" w:firstLineChars="200"/>
        <w:jc w:val="left"/>
        <w:outlineLvl w:val="0"/>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val="en-US" w:eastAsia="zh-CN"/>
        </w:rPr>
        <w:t>1.关节镜系统保修服务</w:t>
      </w:r>
      <w:r>
        <w:rPr>
          <w:rFonts w:hint="eastAsia" w:ascii="仿宋" w:hAnsi="仿宋" w:eastAsia="仿宋" w:cs="仿宋"/>
          <w:b/>
          <w:sz w:val="24"/>
          <w:szCs w:val="24"/>
          <w:highlight w:val="none"/>
        </w:rPr>
        <w:t>，上限价：</w:t>
      </w:r>
      <w:r>
        <w:rPr>
          <w:rFonts w:hint="eastAsia" w:ascii="仿宋" w:hAnsi="仿宋" w:eastAsia="仿宋" w:cs="仿宋"/>
          <w:b/>
          <w:sz w:val="24"/>
          <w:szCs w:val="24"/>
          <w:highlight w:val="none"/>
          <w:lang w:val="en-US" w:eastAsia="zh-CN"/>
        </w:rPr>
        <w:t>39</w:t>
      </w:r>
      <w:r>
        <w:rPr>
          <w:rFonts w:hint="eastAsia" w:ascii="仿宋" w:hAnsi="仿宋" w:eastAsia="仿宋" w:cs="仿宋"/>
          <w:b/>
          <w:sz w:val="24"/>
          <w:szCs w:val="24"/>
          <w:highlight w:val="none"/>
        </w:rPr>
        <w:t>万元</w:t>
      </w:r>
      <w:bookmarkStart w:id="11" w:name="_Toc523038542"/>
      <w:bookmarkStart w:id="12" w:name="_Toc50348104"/>
      <w:bookmarkStart w:id="13" w:name="_Toc519934413"/>
      <w:bookmarkStart w:id="14" w:name="_Toc20727508"/>
      <w:r>
        <w:rPr>
          <w:rFonts w:hint="eastAsia" w:ascii="仿宋" w:hAnsi="仿宋" w:eastAsia="仿宋" w:cs="仿宋"/>
          <w:b/>
          <w:sz w:val="24"/>
          <w:szCs w:val="24"/>
          <w:highlight w:val="none"/>
          <w:lang w:eastAsia="zh-CN"/>
        </w:rPr>
        <w:t>。</w:t>
      </w:r>
      <w:bookmarkEnd w:id="11"/>
      <w:bookmarkEnd w:id="12"/>
      <w:bookmarkEnd w:id="13"/>
      <w:bookmarkEnd w:id="14"/>
      <w:bookmarkStart w:id="15" w:name="_Toc137008688"/>
      <w:bookmarkEnd w:id="15"/>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6"/>
        <w:gridCol w:w="1716"/>
        <w:gridCol w:w="2320"/>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项目</w:t>
            </w:r>
          </w:p>
        </w:tc>
        <w:tc>
          <w:tcPr>
            <w:tcW w:w="924"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单位</w:t>
            </w:r>
          </w:p>
        </w:tc>
        <w:tc>
          <w:tcPr>
            <w:tcW w:w="1249"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color w:val="000000"/>
                <w:kern w:val="0"/>
                <w:sz w:val="24"/>
                <w:szCs w:val="24"/>
                <w:highlight w:val="none"/>
                <w:lang w:eastAsia="zh-CN" w:bidi="ar"/>
              </w:rPr>
            </w:pPr>
            <w:r>
              <w:rPr>
                <w:rFonts w:hint="eastAsia" w:ascii="仿宋" w:hAnsi="仿宋" w:eastAsia="仿宋" w:cs="仿宋"/>
                <w:color w:val="000000"/>
                <w:kern w:val="0"/>
                <w:sz w:val="24"/>
                <w:szCs w:val="24"/>
                <w:highlight w:val="none"/>
                <w:lang w:eastAsia="zh-CN" w:bidi="ar"/>
              </w:rPr>
              <w:t>数量</w:t>
            </w:r>
          </w:p>
        </w:tc>
        <w:tc>
          <w:tcPr>
            <w:tcW w:w="1007"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color w:val="000000"/>
                <w:kern w:val="0"/>
                <w:sz w:val="24"/>
                <w:szCs w:val="24"/>
                <w:highlight w:val="none"/>
                <w:lang w:eastAsia="zh-CN" w:bidi="ar"/>
              </w:rPr>
            </w:pPr>
            <w:r>
              <w:rPr>
                <w:rFonts w:hint="eastAsia" w:ascii="仿宋" w:hAnsi="仿宋" w:eastAsia="仿宋" w:cs="仿宋"/>
                <w:color w:val="000000"/>
                <w:kern w:val="0"/>
                <w:sz w:val="24"/>
                <w:szCs w:val="24"/>
                <w:highlight w:val="none"/>
                <w:lang w:eastAsia="zh-CN" w:bidi="ar"/>
              </w:rPr>
              <w:t>预算</w:t>
            </w:r>
            <w:r>
              <w:rPr>
                <w:rFonts w:hint="eastAsia" w:ascii="仿宋" w:hAnsi="仿宋" w:eastAsia="仿宋" w:cs="仿宋"/>
                <w:color w:val="000000"/>
                <w:kern w:val="0"/>
                <w:sz w:val="24"/>
                <w:szCs w:val="24"/>
                <w:highlight w:val="none"/>
                <w:lang w:bidi="ar"/>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rPr>
            </w:pPr>
            <w:r>
              <w:rPr>
                <w:rFonts w:hint="eastAsia" w:ascii="仿宋" w:hAnsi="仿宋" w:eastAsia="仿宋" w:cs="仿宋"/>
                <w:kern w:val="0"/>
                <w:sz w:val="24"/>
                <w:szCs w:val="24"/>
                <w:highlight w:val="none"/>
                <w:lang w:val="en-US" w:eastAsia="zh-CN"/>
              </w:rPr>
              <w:t>关节镜系统保修服务</w:t>
            </w:r>
          </w:p>
        </w:tc>
        <w:tc>
          <w:tcPr>
            <w:tcW w:w="924"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年</w:t>
            </w:r>
          </w:p>
        </w:tc>
        <w:tc>
          <w:tcPr>
            <w:tcW w:w="1249"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3</w:t>
            </w:r>
          </w:p>
        </w:tc>
        <w:tc>
          <w:tcPr>
            <w:tcW w:w="1007"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13万元/年</w:t>
            </w:r>
          </w:p>
        </w:tc>
      </w:tr>
    </w:tbl>
    <w:p>
      <w:pPr>
        <w:pStyle w:val="24"/>
        <w:rPr>
          <w:rFonts w:hint="eastAsia" w:ascii="仿宋" w:hAnsi="仿宋" w:eastAsia="仿宋" w:cs="仿宋"/>
          <w:sz w:val="24"/>
          <w:szCs w:val="24"/>
          <w:highlight w:val="none"/>
        </w:rPr>
      </w:pPr>
    </w:p>
    <w:p>
      <w:pPr>
        <w:ind w:firstLine="482" w:firstLineChars="200"/>
        <w:jc w:val="left"/>
        <w:outlineLvl w:val="0"/>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2.招标项目范围及要求</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8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4437" w:type="pct"/>
            <w:noWrap w:val="0"/>
            <w:vAlign w:val="center"/>
          </w:tcPr>
          <w:p>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1</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保修内容：施乐辉关节镜机组保修（显示器1只，摄像头1只，摄像主机1个，动力主机1只，射频主机1只，动力手柄1只，</w:t>
            </w:r>
            <w:r>
              <w:rPr>
                <w:rFonts w:hint="eastAsia" w:ascii="仿宋" w:hAnsi="仿宋" w:eastAsia="仿宋" w:cs="仿宋"/>
                <w:sz w:val="24"/>
                <w:szCs w:val="24"/>
                <w:highlight w:val="none"/>
                <w:lang w:eastAsia="zh-CN"/>
              </w:rPr>
              <w:t>冷光源</w:t>
            </w:r>
            <w:r>
              <w:rPr>
                <w:rFonts w:hint="eastAsia" w:ascii="仿宋" w:hAnsi="仿宋" w:eastAsia="仿宋" w:cs="仿宋"/>
                <w:sz w:val="24"/>
                <w:szCs w:val="24"/>
                <w:highlight w:val="none"/>
                <w:lang w:val="en-US" w:eastAsia="zh-CN"/>
              </w:rPr>
              <w:t>1台、</w:t>
            </w:r>
            <w:r>
              <w:rPr>
                <w:rFonts w:hint="eastAsia" w:ascii="仿宋" w:hAnsi="仿宋" w:eastAsia="仿宋" w:cs="仿宋"/>
                <w:sz w:val="24"/>
                <w:szCs w:val="24"/>
                <w:highlight w:val="none"/>
              </w:rPr>
              <w:t>关节镜</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只）。</w:t>
            </w:r>
            <w:r>
              <w:rPr>
                <w:rFonts w:hint="eastAsia" w:ascii="仿宋" w:hAnsi="仿宋" w:eastAsia="仿宋" w:cs="仿宋"/>
                <w:sz w:val="24"/>
                <w:szCs w:val="24"/>
                <w:highlight w:val="none"/>
                <w:lang w:eastAsia="zh-CN"/>
              </w:rPr>
              <w:t>整机全保。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▲2</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小时内报修响应，</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小时内到达现场</w:t>
            </w:r>
            <w:r>
              <w:rPr>
                <w:rFonts w:hint="eastAsia" w:ascii="仿宋" w:hAnsi="仿宋" w:eastAsia="仿宋" w:cs="仿宋"/>
                <w:sz w:val="24"/>
                <w:szCs w:val="24"/>
                <w:highlight w:val="none"/>
                <w:vertAlign w:val="baseline"/>
                <w:lang w:val="en-US" w:eastAsia="zh-CN"/>
              </w:rPr>
              <w:t>，</w:t>
            </w:r>
            <w:r>
              <w:rPr>
                <w:rFonts w:hint="eastAsia" w:ascii="仿宋" w:hAnsi="仿宋" w:eastAsia="仿宋" w:cs="仿宋"/>
                <w:sz w:val="24"/>
                <w:szCs w:val="24"/>
                <w:highlight w:val="none"/>
              </w:rPr>
              <w:t>要求保证48小时内完成小维修，14个工作日内完成大维修</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大维修时</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需及时向医院提供备用品</w:t>
            </w:r>
            <w:r>
              <w:rPr>
                <w:rFonts w:hint="eastAsia" w:ascii="仿宋" w:hAnsi="仿宋" w:eastAsia="仿宋" w:cs="仿宋"/>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▲3</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sz w:val="24"/>
                <w:szCs w:val="24"/>
                <w:highlight w:val="none"/>
                <w:lang w:eastAsia="zh-CN"/>
              </w:rPr>
              <w:t>提供设备整机</w:t>
            </w:r>
            <w:r>
              <w:rPr>
                <w:rFonts w:hint="eastAsia" w:ascii="仿宋" w:hAnsi="仿宋" w:eastAsia="仿宋" w:cs="仿宋"/>
                <w:sz w:val="24"/>
                <w:szCs w:val="24"/>
                <w:highlight w:val="none"/>
                <w:lang w:val="en-US" w:eastAsia="zh-CN"/>
              </w:rPr>
              <w:t>保修</w:t>
            </w:r>
            <w:r>
              <w:rPr>
                <w:rFonts w:hint="eastAsia" w:ascii="仿宋" w:hAnsi="仿宋" w:eastAsia="仿宋" w:cs="仿宋"/>
                <w:sz w:val="24"/>
                <w:szCs w:val="24"/>
                <w:highlight w:val="none"/>
                <w:lang w:eastAsia="zh-CN"/>
              </w:rPr>
              <w:t>，提供配件必须为设备原厂配件。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▲4</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工程师需每3个月进行一次巡检，巡检结果和每次维修保养结果以书面形式提交报告给医院存档</w:t>
            </w:r>
            <w:r>
              <w:rPr>
                <w:rFonts w:hint="eastAsia" w:ascii="仿宋" w:hAnsi="仿宋" w:eastAsia="仿宋" w:cs="仿宋"/>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bidi="ar-SA"/>
              </w:rPr>
              <w:t>5</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保障开机率95%以上（含节假日，若不能达到规定开机天数，按超出部分两倍顺延保修期）。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rPr>
              <w:t>6</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lang w:val="en-US" w:eastAsia="zh-CN" w:bidi="ar-SA"/>
              </w:rPr>
            </w:pPr>
            <w:r>
              <w:rPr>
                <w:rFonts w:hint="eastAsia" w:ascii="仿宋" w:hAnsi="仿宋" w:eastAsia="仿宋" w:cs="仿宋"/>
                <w:sz w:val="24"/>
                <w:szCs w:val="24"/>
                <w:highlight w:val="none"/>
              </w:rPr>
              <w:t>免费提供</w:t>
            </w:r>
            <w:r>
              <w:rPr>
                <w:rFonts w:hint="eastAsia" w:ascii="仿宋" w:hAnsi="仿宋" w:eastAsia="仿宋" w:cs="仿宋"/>
                <w:sz w:val="24"/>
                <w:szCs w:val="24"/>
                <w:highlight w:val="none"/>
                <w:lang w:eastAsia="zh-CN"/>
              </w:rPr>
              <w:t>原厂或者原厂授权的</w:t>
            </w:r>
            <w:r>
              <w:rPr>
                <w:rFonts w:hint="eastAsia" w:ascii="仿宋" w:hAnsi="仿宋" w:eastAsia="仿宋" w:cs="仿宋"/>
                <w:sz w:val="24"/>
                <w:szCs w:val="24"/>
                <w:highlight w:val="none"/>
              </w:rPr>
              <w:t>系统安全升级</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免费提供</w:t>
            </w:r>
            <w:r>
              <w:rPr>
                <w:rFonts w:hint="eastAsia" w:ascii="仿宋" w:hAnsi="仿宋" w:eastAsia="仿宋" w:cs="仿宋"/>
                <w:sz w:val="24"/>
                <w:szCs w:val="24"/>
                <w:highlight w:val="none"/>
                <w:lang w:eastAsia="zh-CN"/>
              </w:rPr>
              <w:t>原厂或者原厂授权的</w:t>
            </w:r>
            <w:r>
              <w:rPr>
                <w:rFonts w:hint="eastAsia" w:ascii="仿宋" w:hAnsi="仿宋" w:eastAsia="仿宋" w:cs="仿宋"/>
                <w:sz w:val="24"/>
                <w:szCs w:val="24"/>
                <w:highlight w:val="none"/>
              </w:rPr>
              <w:t>系统软件补丁。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rPr>
              <w:t>7</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lang w:val="en-US" w:eastAsia="zh-CN" w:bidi="ar-SA"/>
              </w:rPr>
            </w:pPr>
            <w:r>
              <w:rPr>
                <w:rFonts w:hint="eastAsia" w:ascii="仿宋" w:hAnsi="仿宋" w:eastAsia="仿宋" w:cs="仿宋"/>
                <w:sz w:val="24"/>
                <w:szCs w:val="24"/>
                <w:highlight w:val="none"/>
                <w:lang w:eastAsia="zh-CN"/>
              </w:rPr>
              <w:t>具有</w:t>
            </w:r>
            <w:r>
              <w:rPr>
                <w:rFonts w:hint="eastAsia" w:ascii="仿宋" w:hAnsi="仿宋" w:eastAsia="仿宋" w:cs="仿宋"/>
                <w:sz w:val="24"/>
                <w:szCs w:val="24"/>
                <w:highlight w:val="none"/>
              </w:rPr>
              <w:t>原设备厂家或具有原厂授权资质经销商</w:t>
            </w:r>
            <w:r>
              <w:rPr>
                <w:rFonts w:hint="eastAsia" w:ascii="仿宋" w:hAnsi="仿宋" w:eastAsia="仿宋" w:cs="仿宋"/>
                <w:sz w:val="24"/>
                <w:szCs w:val="24"/>
                <w:highlight w:val="none"/>
                <w:lang w:eastAsia="zh-CN"/>
              </w:rPr>
              <w:t>授权维修</w:t>
            </w:r>
            <w:r>
              <w:rPr>
                <w:rFonts w:hint="eastAsia" w:ascii="仿宋" w:hAnsi="仿宋" w:eastAsia="仿宋" w:cs="仿宋"/>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rPr>
              <w:t>8</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在保修服务期内提供24小时技术电话支持（</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4小时</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365天），</w:t>
            </w:r>
            <w:r>
              <w:rPr>
                <w:rFonts w:hint="eastAsia" w:ascii="仿宋" w:hAnsi="仿宋" w:eastAsia="仿宋" w:cs="仿宋"/>
                <w:sz w:val="24"/>
                <w:szCs w:val="24"/>
                <w:highlight w:val="none"/>
              </w:rPr>
              <w:t>技术支持专家支持工程师≥</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人，并提供维修资质证明文件及社保缴纳证明。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bidi="ar-SA"/>
              </w:rPr>
              <w:t>9</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保修期内</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指定</w:t>
            </w:r>
            <w:r>
              <w:rPr>
                <w:rFonts w:hint="eastAsia" w:ascii="仿宋" w:hAnsi="仿宋" w:eastAsia="仿宋" w:cs="仿宋"/>
                <w:sz w:val="24"/>
                <w:szCs w:val="24"/>
                <w:highlight w:val="none"/>
                <w:lang w:eastAsia="zh-CN"/>
              </w:rPr>
              <w:t>专职</w:t>
            </w:r>
            <w:r>
              <w:rPr>
                <w:rFonts w:hint="eastAsia" w:ascii="仿宋" w:hAnsi="仿宋" w:eastAsia="仿宋" w:cs="仿宋"/>
                <w:sz w:val="24"/>
                <w:szCs w:val="24"/>
                <w:highlight w:val="none"/>
              </w:rPr>
              <w:t>工程师负责医院关节镜维修和保养培训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专职维修工程师数量≥</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人，并提供维修资质证明文件及社保缴纳证明</w:t>
            </w:r>
            <w:r>
              <w:rPr>
                <w:rFonts w:hint="eastAsia" w:ascii="仿宋" w:hAnsi="仿宋" w:eastAsia="仿宋" w:cs="仿宋"/>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562" w:type="pct"/>
            <w:noWrap w:val="0"/>
            <w:vAlign w:val="center"/>
          </w:tcPr>
          <w:p>
            <w:pPr>
              <w:spacing w:after="0" w:line="240" w:lineRule="auto"/>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10</w:t>
            </w:r>
          </w:p>
        </w:tc>
        <w:tc>
          <w:tcPr>
            <w:tcW w:w="443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付款方式：</w:t>
            </w:r>
            <w:r>
              <w:rPr>
                <w:rFonts w:hint="eastAsia" w:ascii="仿宋" w:hAnsi="仿宋" w:eastAsia="仿宋" w:cs="仿宋"/>
                <w:sz w:val="24"/>
                <w:szCs w:val="24"/>
                <w:highlight w:val="none"/>
                <w:lang w:eastAsia="zh-CN"/>
              </w:rPr>
              <w:t>合同</w:t>
            </w:r>
            <w:r>
              <w:rPr>
                <w:rFonts w:hint="eastAsia" w:ascii="仿宋" w:hAnsi="仿宋" w:eastAsia="仿宋" w:cs="仿宋"/>
                <w:sz w:val="24"/>
                <w:szCs w:val="24"/>
                <w:highlight w:val="none"/>
                <w:lang w:val="en-US" w:eastAsia="zh-CN"/>
              </w:rPr>
              <w:t>开始履行后60天</w:t>
            </w:r>
            <w:r>
              <w:rPr>
                <w:rFonts w:hint="eastAsia" w:ascii="仿宋" w:hAnsi="仿宋" w:eastAsia="仿宋" w:cs="仿宋"/>
                <w:sz w:val="24"/>
                <w:szCs w:val="24"/>
                <w:highlight w:val="none"/>
                <w:lang w:eastAsia="zh-CN"/>
              </w:rPr>
              <w:t>支付本年度保修费用的</w:t>
            </w:r>
            <w:r>
              <w:rPr>
                <w:rFonts w:hint="eastAsia" w:ascii="仿宋" w:hAnsi="仿宋" w:eastAsia="仿宋" w:cs="仿宋"/>
                <w:sz w:val="24"/>
                <w:szCs w:val="24"/>
                <w:highlight w:val="none"/>
                <w:lang w:val="en-US" w:eastAsia="zh-CN"/>
              </w:rPr>
              <w:t>50%，本年度保修服务结束后，根据医院的考核结果支付剩余</w:t>
            </w:r>
            <w:r>
              <w:rPr>
                <w:rFonts w:hint="eastAsia" w:ascii="仿宋" w:hAnsi="仿宋" w:eastAsia="仿宋" w:cs="仿宋"/>
                <w:sz w:val="24"/>
                <w:szCs w:val="24"/>
                <w:highlight w:val="none"/>
                <w:lang w:eastAsia="zh-CN"/>
              </w:rPr>
              <w:t>保修费用的</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lang w:eastAsia="zh-CN"/>
              </w:rPr>
              <w:t>。</w:t>
            </w:r>
          </w:p>
        </w:tc>
      </w:tr>
    </w:tbl>
    <w:p>
      <w:pPr>
        <w:numPr>
          <w:ilvl w:val="0"/>
          <w:numId w:val="0"/>
        </w:numPr>
        <w:spacing w:line="360" w:lineRule="auto"/>
        <w:ind w:leftChars="0"/>
        <w:outlineLvl w:val="0"/>
        <w:rPr>
          <w:rFonts w:hint="eastAsia" w:ascii="仿宋" w:hAnsi="仿宋" w:eastAsia="仿宋" w:cs="仿宋"/>
          <w:sz w:val="24"/>
          <w:szCs w:val="24"/>
          <w:highlight w:val="none"/>
          <w:lang w:val="en-US" w:eastAsia="zh-CN"/>
        </w:rPr>
      </w:pPr>
    </w:p>
    <w:p>
      <w:pPr>
        <w:numPr>
          <w:ilvl w:val="0"/>
          <w:numId w:val="0"/>
        </w:numPr>
        <w:spacing w:line="360" w:lineRule="auto"/>
        <w:ind w:leftChars="0"/>
        <w:outlineLvl w:val="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val="en-US"/>
        </w:rPr>
        <w:t>考核：</w:t>
      </w:r>
      <w:r>
        <w:rPr>
          <w:rFonts w:hint="eastAsia" w:ascii="仿宋" w:hAnsi="仿宋" w:eastAsia="仿宋" w:cs="仿宋"/>
          <w:sz w:val="24"/>
          <w:szCs w:val="24"/>
          <w:highlight w:val="none"/>
        </w:rPr>
        <w:t>采购人应对中标方提供的</w:t>
      </w:r>
      <w:r>
        <w:rPr>
          <w:rFonts w:hint="eastAsia" w:ascii="仿宋" w:hAnsi="仿宋" w:eastAsia="仿宋" w:cs="仿宋"/>
          <w:sz w:val="24"/>
          <w:szCs w:val="24"/>
          <w:highlight w:val="none"/>
          <w:lang w:val="en-US"/>
        </w:rPr>
        <w:t>维保</w:t>
      </w:r>
      <w:r>
        <w:rPr>
          <w:rFonts w:hint="eastAsia" w:ascii="仿宋" w:hAnsi="仿宋" w:eastAsia="仿宋" w:cs="仿宋"/>
          <w:sz w:val="24"/>
          <w:szCs w:val="24"/>
          <w:highlight w:val="none"/>
        </w:rPr>
        <w:t>服务质量，服度态度进行全面考核，考核合格方可支付服务费用，考核标准参照附件：《绍兴市</w:t>
      </w:r>
      <w:r>
        <w:rPr>
          <w:rFonts w:hint="eastAsia" w:ascii="仿宋" w:hAnsi="仿宋" w:eastAsia="仿宋" w:cs="仿宋"/>
          <w:sz w:val="24"/>
          <w:szCs w:val="24"/>
          <w:highlight w:val="none"/>
          <w:lang w:eastAsia="zh-CN"/>
        </w:rPr>
        <w:t>中</w:t>
      </w:r>
      <w:r>
        <w:rPr>
          <w:rFonts w:hint="eastAsia" w:ascii="仿宋" w:hAnsi="仿宋" w:eastAsia="仿宋" w:cs="仿宋"/>
          <w:sz w:val="24"/>
          <w:szCs w:val="24"/>
          <w:highlight w:val="none"/>
        </w:rPr>
        <w:t>医院</w:t>
      </w:r>
      <w:r>
        <w:rPr>
          <w:rFonts w:hint="eastAsia" w:ascii="仿宋" w:hAnsi="仿宋" w:eastAsia="仿宋" w:cs="仿宋"/>
          <w:sz w:val="24"/>
          <w:szCs w:val="24"/>
          <w:highlight w:val="none"/>
          <w:lang w:val="en-US"/>
        </w:rPr>
        <w:t>医疗设备维保</w:t>
      </w:r>
      <w:r>
        <w:rPr>
          <w:rFonts w:hint="eastAsia" w:ascii="仿宋" w:hAnsi="仿宋" w:eastAsia="仿宋" w:cs="仿宋"/>
          <w:sz w:val="24"/>
          <w:szCs w:val="24"/>
          <w:highlight w:val="none"/>
        </w:rPr>
        <w:t>服务考核管理办法》。</w:t>
      </w:r>
    </w:p>
    <w:p>
      <w:pPr>
        <w:pStyle w:val="53"/>
        <w:numPr>
          <w:ilvl w:val="0"/>
          <w:numId w:val="0"/>
        </w:numPr>
        <w:ind w:leftChars="0"/>
        <w:rPr>
          <w:rFonts w:hint="eastAsia" w:ascii="仿宋" w:hAnsi="仿宋" w:eastAsia="仿宋" w:cs="仿宋"/>
          <w:b/>
          <w:color w:val="auto"/>
          <w:sz w:val="24"/>
          <w:szCs w:val="24"/>
          <w:highlight w:val="none"/>
          <w:lang w:val="en-US" w:eastAsia="zh-CN"/>
        </w:rPr>
      </w:pPr>
      <w:r>
        <w:rPr>
          <w:rFonts w:hint="eastAsia" w:ascii="仿宋" w:hAnsi="仿宋" w:eastAsia="仿宋" w:cs="仿宋"/>
          <w:b/>
          <w:bCs/>
          <w:color w:val="auto"/>
          <w:sz w:val="24"/>
          <w:szCs w:val="24"/>
          <w:highlight w:val="none"/>
          <w:bdr w:val="single" w:color="auto" w:sz="4" w:space="0"/>
        </w:rPr>
        <w:t>0</w:t>
      </w:r>
      <w:r>
        <w:rPr>
          <w:rFonts w:hint="eastAsia" w:ascii="仿宋" w:hAnsi="仿宋" w:eastAsia="仿宋" w:cs="仿宋"/>
          <w:b/>
          <w:bCs/>
          <w:color w:val="auto"/>
          <w:sz w:val="24"/>
          <w:szCs w:val="24"/>
          <w:highlight w:val="none"/>
          <w:bdr w:val="single" w:color="auto" w:sz="4" w:space="0"/>
          <w:lang w:val="en-US" w:eastAsia="zh-CN"/>
        </w:rPr>
        <w:t>2</w:t>
      </w:r>
      <w:r>
        <w:rPr>
          <w:rFonts w:hint="eastAsia" w:ascii="仿宋" w:hAnsi="仿宋" w:eastAsia="仿宋" w:cs="仿宋"/>
          <w:b/>
          <w:bCs/>
          <w:color w:val="auto"/>
          <w:sz w:val="24"/>
          <w:szCs w:val="24"/>
          <w:highlight w:val="none"/>
          <w:bdr w:val="single" w:color="auto" w:sz="4" w:space="0"/>
        </w:rPr>
        <w:t>标</w:t>
      </w:r>
      <w:r>
        <w:rPr>
          <w:rFonts w:hint="eastAsia" w:ascii="仿宋" w:hAnsi="仿宋" w:eastAsia="仿宋" w:cs="仿宋"/>
          <w:b/>
          <w:color w:val="auto"/>
          <w:sz w:val="24"/>
          <w:szCs w:val="24"/>
          <w:highlight w:val="none"/>
          <w:lang w:val="en-US" w:eastAsia="zh-CN"/>
        </w:rPr>
        <w:t>腹腔镜系统保修服务</w:t>
      </w:r>
      <w:r>
        <w:rPr>
          <w:rFonts w:hint="eastAsia" w:ascii="仿宋" w:hAnsi="仿宋" w:eastAsia="仿宋" w:cs="仿宋"/>
          <w:b/>
          <w:color w:val="auto"/>
          <w:sz w:val="24"/>
          <w:szCs w:val="24"/>
          <w:highlight w:val="none"/>
          <w:lang w:eastAsia="zh-CN"/>
        </w:rPr>
        <w:t>，预算：</w:t>
      </w:r>
      <w:r>
        <w:rPr>
          <w:rFonts w:hint="eastAsia" w:ascii="仿宋" w:hAnsi="仿宋" w:eastAsia="仿宋" w:cs="仿宋"/>
          <w:b/>
          <w:color w:val="auto"/>
          <w:sz w:val="24"/>
          <w:szCs w:val="24"/>
          <w:highlight w:val="none"/>
          <w:lang w:val="en-US" w:eastAsia="zh-CN"/>
        </w:rPr>
        <w:t>390000元。</w:t>
      </w:r>
    </w:p>
    <w:p>
      <w:pPr>
        <w:ind w:firstLine="482" w:firstLineChars="200"/>
        <w:jc w:val="left"/>
        <w:outlineLvl w:val="0"/>
        <w:rPr>
          <w:rFonts w:hint="eastAsia" w:ascii="仿宋" w:hAnsi="仿宋" w:eastAsia="仿宋" w:cs="仿宋"/>
          <w:b/>
          <w:bCs/>
          <w:sz w:val="24"/>
          <w:szCs w:val="24"/>
          <w:highlight w:val="none"/>
          <w:lang w:val="en-US" w:eastAsia="zh-CN"/>
        </w:rPr>
      </w:pPr>
    </w:p>
    <w:p>
      <w:pPr>
        <w:jc w:val="left"/>
        <w:outlineLvl w:val="0"/>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val="en-US" w:eastAsia="zh-CN"/>
        </w:rPr>
        <w:t>1.腹腔镜系统保修服务</w:t>
      </w: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eastAsia="zh-CN"/>
        </w:rPr>
        <w:t>本项目</w:t>
      </w:r>
      <w:r>
        <w:rPr>
          <w:rFonts w:hint="eastAsia" w:ascii="仿宋" w:hAnsi="仿宋" w:eastAsia="仿宋" w:cs="仿宋"/>
          <w:b/>
          <w:sz w:val="24"/>
          <w:szCs w:val="24"/>
          <w:highlight w:val="none"/>
        </w:rPr>
        <w:t>上限价：</w:t>
      </w:r>
      <w:r>
        <w:rPr>
          <w:rFonts w:hint="eastAsia" w:ascii="仿宋" w:hAnsi="仿宋" w:eastAsia="仿宋" w:cs="仿宋"/>
          <w:b/>
          <w:sz w:val="24"/>
          <w:szCs w:val="24"/>
          <w:highlight w:val="none"/>
          <w:lang w:val="en-US" w:eastAsia="zh-CN"/>
        </w:rPr>
        <w:t>39</w:t>
      </w:r>
      <w:r>
        <w:rPr>
          <w:rFonts w:hint="eastAsia" w:ascii="仿宋" w:hAnsi="仿宋" w:eastAsia="仿宋" w:cs="仿宋"/>
          <w:b/>
          <w:sz w:val="24"/>
          <w:szCs w:val="24"/>
          <w:highlight w:val="none"/>
        </w:rPr>
        <w:t>万元</w:t>
      </w:r>
      <w:r>
        <w:rPr>
          <w:rFonts w:hint="eastAsia" w:ascii="仿宋" w:hAnsi="仿宋" w:eastAsia="仿宋" w:cs="仿宋"/>
          <w:b/>
          <w:sz w:val="24"/>
          <w:szCs w:val="24"/>
          <w:highlight w:val="none"/>
          <w:lang w:eastAsia="zh-CN"/>
        </w:rPr>
        <w:t>。</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3"/>
        <w:gridCol w:w="2230"/>
        <w:gridCol w:w="1577"/>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59"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项目</w:t>
            </w:r>
          </w:p>
        </w:tc>
        <w:tc>
          <w:tcPr>
            <w:tcW w:w="1201"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color w:val="000000"/>
                <w:kern w:val="0"/>
                <w:sz w:val="24"/>
                <w:szCs w:val="24"/>
                <w:highlight w:val="none"/>
                <w:lang w:eastAsia="zh-CN" w:bidi="ar"/>
              </w:rPr>
            </w:pPr>
            <w:r>
              <w:rPr>
                <w:rFonts w:hint="eastAsia" w:ascii="仿宋" w:hAnsi="仿宋" w:eastAsia="仿宋" w:cs="仿宋"/>
                <w:color w:val="000000"/>
                <w:kern w:val="0"/>
                <w:sz w:val="24"/>
                <w:szCs w:val="24"/>
                <w:highlight w:val="none"/>
                <w:lang w:eastAsia="zh-CN" w:bidi="ar"/>
              </w:rPr>
              <w:t>单位</w:t>
            </w:r>
          </w:p>
        </w:tc>
        <w:tc>
          <w:tcPr>
            <w:tcW w:w="849" w:type="pct"/>
            <w:noWrap w:val="0"/>
            <w:vAlign w:val="center"/>
          </w:tcPr>
          <w:p>
            <w:pPr>
              <w:keepNext w:val="0"/>
              <w:keepLines w:val="0"/>
              <w:pageBreakBefore w:val="0"/>
              <w:tabs>
                <w:tab w:val="left" w:pos="275"/>
              </w:tabs>
              <w:kinsoku/>
              <w:wordWrap/>
              <w:overflowPunct/>
              <w:topLinePunct w:val="0"/>
              <w:bidi w:val="0"/>
              <w:adjustRightInd/>
              <w:spacing w:line="360" w:lineRule="auto"/>
              <w:jc w:val="left"/>
              <w:rPr>
                <w:rFonts w:hint="eastAsia" w:ascii="仿宋" w:hAnsi="仿宋" w:eastAsia="仿宋" w:cs="仿宋"/>
                <w:color w:val="000000"/>
                <w:kern w:val="0"/>
                <w:sz w:val="24"/>
                <w:szCs w:val="24"/>
                <w:highlight w:val="none"/>
                <w:lang w:eastAsia="zh-CN" w:bidi="ar"/>
              </w:rPr>
            </w:pPr>
            <w:r>
              <w:rPr>
                <w:rFonts w:hint="eastAsia" w:ascii="仿宋" w:hAnsi="仿宋" w:eastAsia="仿宋" w:cs="仿宋"/>
                <w:color w:val="000000"/>
                <w:kern w:val="0"/>
                <w:sz w:val="24"/>
                <w:szCs w:val="24"/>
                <w:highlight w:val="none"/>
                <w:lang w:eastAsia="zh-CN" w:bidi="ar"/>
              </w:rPr>
              <w:tab/>
            </w:r>
            <w:r>
              <w:rPr>
                <w:rFonts w:hint="eastAsia" w:ascii="仿宋" w:hAnsi="仿宋" w:eastAsia="仿宋" w:cs="仿宋"/>
                <w:color w:val="000000"/>
                <w:kern w:val="0"/>
                <w:sz w:val="24"/>
                <w:szCs w:val="24"/>
                <w:highlight w:val="none"/>
                <w:lang w:val="en-US" w:eastAsia="zh-CN" w:bidi="ar"/>
              </w:rPr>
              <w:t xml:space="preserve">  </w:t>
            </w:r>
            <w:r>
              <w:rPr>
                <w:rFonts w:hint="eastAsia" w:ascii="仿宋" w:hAnsi="仿宋" w:eastAsia="仿宋" w:cs="仿宋"/>
                <w:color w:val="000000"/>
                <w:kern w:val="0"/>
                <w:sz w:val="24"/>
                <w:szCs w:val="24"/>
                <w:highlight w:val="none"/>
                <w:lang w:eastAsia="zh-CN" w:bidi="ar"/>
              </w:rPr>
              <w:t>数量</w:t>
            </w:r>
          </w:p>
        </w:tc>
        <w:tc>
          <w:tcPr>
            <w:tcW w:w="1089"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color w:val="000000"/>
                <w:kern w:val="0"/>
                <w:sz w:val="24"/>
                <w:szCs w:val="24"/>
                <w:highlight w:val="none"/>
                <w:lang w:eastAsia="zh-CN" w:bidi="ar"/>
              </w:rPr>
            </w:pPr>
            <w:r>
              <w:rPr>
                <w:rFonts w:hint="eastAsia" w:ascii="仿宋" w:hAnsi="仿宋" w:eastAsia="仿宋" w:cs="仿宋"/>
                <w:color w:val="000000"/>
                <w:kern w:val="0"/>
                <w:sz w:val="24"/>
                <w:szCs w:val="24"/>
                <w:highlight w:val="none"/>
                <w:lang w:eastAsia="zh-CN" w:bidi="ar"/>
              </w:rPr>
              <w:t>预算</w:t>
            </w:r>
            <w:r>
              <w:rPr>
                <w:rFonts w:hint="eastAsia" w:ascii="仿宋" w:hAnsi="仿宋" w:eastAsia="仿宋" w:cs="仿宋"/>
                <w:color w:val="000000"/>
                <w:kern w:val="0"/>
                <w:sz w:val="24"/>
                <w:szCs w:val="24"/>
                <w:highlight w:val="none"/>
                <w:lang w:bidi="ar"/>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9"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rPr>
            </w:pPr>
            <w:r>
              <w:rPr>
                <w:rFonts w:hint="eastAsia" w:ascii="仿宋" w:hAnsi="仿宋" w:eastAsia="仿宋" w:cs="仿宋"/>
                <w:kern w:val="0"/>
                <w:sz w:val="24"/>
                <w:szCs w:val="24"/>
                <w:highlight w:val="none"/>
              </w:rPr>
              <w:t>腹腔镜系统保修服务</w:t>
            </w:r>
          </w:p>
        </w:tc>
        <w:tc>
          <w:tcPr>
            <w:tcW w:w="1201"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年</w:t>
            </w:r>
          </w:p>
        </w:tc>
        <w:tc>
          <w:tcPr>
            <w:tcW w:w="849"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3</w:t>
            </w:r>
          </w:p>
        </w:tc>
        <w:tc>
          <w:tcPr>
            <w:tcW w:w="1089"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kern w:val="0"/>
                <w:sz w:val="24"/>
                <w:szCs w:val="24"/>
                <w:highlight w:val="none"/>
              </w:rPr>
              <w:t>13万元</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年</w:t>
            </w:r>
          </w:p>
        </w:tc>
      </w:tr>
    </w:tbl>
    <w:p>
      <w:pPr>
        <w:pStyle w:val="24"/>
        <w:rPr>
          <w:rFonts w:hint="eastAsia" w:ascii="仿宋" w:hAnsi="仿宋" w:eastAsia="仿宋" w:cs="仿宋"/>
          <w:sz w:val="24"/>
          <w:szCs w:val="24"/>
          <w:highlight w:val="none"/>
        </w:rPr>
      </w:pPr>
    </w:p>
    <w:p>
      <w:pPr>
        <w:tabs>
          <w:tab w:val="left" w:pos="4320"/>
        </w:tabs>
        <w:spacing w:line="360" w:lineRule="auto"/>
        <w:jc w:val="both"/>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color w:val="auto"/>
          <w:kern w:val="0"/>
          <w:sz w:val="24"/>
          <w:szCs w:val="24"/>
          <w:highlight w:val="none"/>
          <w:lang w:val="en-US" w:eastAsia="zh-CN" w:bidi="ar-SA"/>
        </w:rPr>
        <w:t>2.招标项目范围及要求</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7563" w:type="dxa"/>
            <w:noWrap w:val="0"/>
            <w:vAlign w:val="center"/>
          </w:tcPr>
          <w:p>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1</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保修内容：storz</w:t>
            </w:r>
            <w:r>
              <w:rPr>
                <w:rFonts w:hint="eastAsia" w:ascii="仿宋" w:hAnsi="仿宋" w:eastAsia="仿宋" w:cs="仿宋"/>
                <w:sz w:val="24"/>
                <w:szCs w:val="24"/>
                <w:highlight w:val="none"/>
                <w:lang w:eastAsia="zh-CN"/>
              </w:rPr>
              <w:t>腹腔</w:t>
            </w:r>
            <w:r>
              <w:rPr>
                <w:rFonts w:hint="eastAsia" w:ascii="仿宋" w:hAnsi="仿宋" w:eastAsia="仿宋" w:cs="仿宋"/>
                <w:sz w:val="24"/>
                <w:szCs w:val="24"/>
                <w:highlight w:val="none"/>
              </w:rPr>
              <w:t>镜机组保修（</w:t>
            </w:r>
            <w:r>
              <w:rPr>
                <w:rFonts w:hint="eastAsia" w:ascii="仿宋" w:hAnsi="仿宋" w:eastAsia="仿宋" w:cs="仿宋"/>
                <w:sz w:val="24"/>
                <w:szCs w:val="24"/>
                <w:highlight w:val="none"/>
                <w:lang w:eastAsia="zh-CN"/>
              </w:rPr>
              <w:t>腹腔</w:t>
            </w:r>
            <w:r>
              <w:rPr>
                <w:rFonts w:hint="eastAsia" w:ascii="仿宋" w:hAnsi="仿宋" w:eastAsia="仿宋" w:cs="仿宋"/>
                <w:sz w:val="24"/>
                <w:szCs w:val="24"/>
                <w:highlight w:val="none"/>
              </w:rPr>
              <w:t>镜</w:t>
            </w:r>
            <w:r>
              <w:rPr>
                <w:rFonts w:hint="eastAsia" w:ascii="仿宋" w:hAnsi="仿宋" w:eastAsia="仿宋" w:cs="仿宋"/>
                <w:sz w:val="24"/>
                <w:szCs w:val="24"/>
                <w:highlight w:val="none"/>
                <w:lang w:eastAsia="zh-CN"/>
              </w:rPr>
              <w:t>主机</w:t>
            </w:r>
            <w:r>
              <w:rPr>
                <w:rFonts w:hint="eastAsia" w:ascii="仿宋" w:hAnsi="仿宋" w:eastAsia="仿宋" w:cs="仿宋"/>
                <w:sz w:val="24"/>
                <w:szCs w:val="24"/>
                <w:highlight w:val="none"/>
                <w:lang w:val="en-US" w:eastAsia="zh-CN"/>
              </w:rPr>
              <w:t>1台，</w:t>
            </w:r>
            <w:r>
              <w:rPr>
                <w:rFonts w:hint="eastAsia" w:ascii="仿宋" w:hAnsi="仿宋" w:eastAsia="仿宋" w:cs="仿宋"/>
                <w:sz w:val="24"/>
                <w:szCs w:val="24"/>
                <w:highlight w:val="none"/>
              </w:rPr>
              <w:t>摄像主机1个，摄像头1只，显示器1只，</w:t>
            </w:r>
            <w:r>
              <w:rPr>
                <w:rFonts w:hint="eastAsia" w:ascii="仿宋" w:hAnsi="仿宋" w:eastAsia="仿宋" w:cs="仿宋"/>
                <w:sz w:val="24"/>
                <w:szCs w:val="24"/>
                <w:highlight w:val="none"/>
                <w:lang w:eastAsia="zh-CN"/>
              </w:rPr>
              <w:t>冷光源</w:t>
            </w: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台</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气腹肌</w:t>
            </w: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台</w:t>
            </w:r>
            <w:r>
              <w:rPr>
                <w:rFonts w:hint="eastAsia" w:ascii="仿宋" w:hAnsi="仿宋" w:eastAsia="仿宋" w:cs="仿宋"/>
                <w:sz w:val="24"/>
                <w:szCs w:val="24"/>
                <w:highlight w:val="none"/>
              </w:rPr>
              <w:t>，镜</w:t>
            </w:r>
            <w:r>
              <w:rPr>
                <w:rFonts w:hint="eastAsia" w:ascii="仿宋" w:hAnsi="仿宋" w:eastAsia="仿宋" w:cs="仿宋"/>
                <w:sz w:val="24"/>
                <w:szCs w:val="24"/>
                <w:highlight w:val="none"/>
                <w:lang w:eastAsia="zh-CN"/>
              </w:rPr>
              <w:t>子</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只）。</w:t>
            </w:r>
            <w:r>
              <w:rPr>
                <w:rFonts w:hint="eastAsia" w:ascii="仿宋" w:hAnsi="仿宋" w:eastAsia="仿宋" w:cs="仿宋"/>
                <w:sz w:val="24"/>
                <w:szCs w:val="24"/>
                <w:highlight w:val="none"/>
                <w:lang w:eastAsia="zh-CN"/>
              </w:rPr>
              <w:t>整机全保。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▲2</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小时内报修响应，</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小时内到达现场</w:t>
            </w:r>
            <w:r>
              <w:rPr>
                <w:rFonts w:hint="eastAsia" w:ascii="仿宋" w:hAnsi="仿宋" w:eastAsia="仿宋" w:cs="仿宋"/>
                <w:sz w:val="24"/>
                <w:szCs w:val="24"/>
                <w:highlight w:val="none"/>
                <w:vertAlign w:val="baseline"/>
                <w:lang w:val="en-US" w:eastAsia="zh-CN"/>
              </w:rPr>
              <w:t>，</w:t>
            </w:r>
            <w:r>
              <w:rPr>
                <w:rFonts w:hint="eastAsia" w:ascii="仿宋" w:hAnsi="仿宋" w:eastAsia="仿宋" w:cs="仿宋"/>
                <w:sz w:val="24"/>
                <w:szCs w:val="24"/>
                <w:highlight w:val="none"/>
              </w:rPr>
              <w:t>要求保证48小时内完成小维修，14个工作日内完成大维修</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大维修时</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需及时向医院提供备用品</w:t>
            </w:r>
            <w:r>
              <w:rPr>
                <w:rFonts w:hint="eastAsia" w:ascii="仿宋" w:hAnsi="仿宋" w:eastAsia="仿宋" w:cs="仿宋"/>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▲3</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sz w:val="24"/>
                <w:szCs w:val="24"/>
                <w:highlight w:val="none"/>
                <w:lang w:eastAsia="zh-CN"/>
              </w:rPr>
              <w:t>提供设备整机</w:t>
            </w:r>
            <w:r>
              <w:rPr>
                <w:rFonts w:hint="eastAsia" w:ascii="仿宋" w:hAnsi="仿宋" w:eastAsia="仿宋" w:cs="仿宋"/>
                <w:sz w:val="24"/>
                <w:szCs w:val="24"/>
                <w:highlight w:val="none"/>
                <w:lang w:val="en-US" w:eastAsia="zh-CN"/>
              </w:rPr>
              <w:t>保修</w:t>
            </w:r>
            <w:r>
              <w:rPr>
                <w:rFonts w:hint="eastAsia" w:ascii="仿宋" w:hAnsi="仿宋" w:eastAsia="仿宋" w:cs="仿宋"/>
                <w:sz w:val="24"/>
                <w:szCs w:val="24"/>
                <w:highlight w:val="none"/>
                <w:lang w:eastAsia="zh-CN"/>
              </w:rPr>
              <w:t>，提供配件必须为设备原厂配件。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▲4</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工程师需每3个月进行一次巡检，巡检结果和每次维修保养结果以书面形式提交报告给医院存档</w:t>
            </w:r>
            <w:r>
              <w:rPr>
                <w:rFonts w:hint="eastAsia" w:ascii="仿宋" w:hAnsi="仿宋" w:eastAsia="仿宋" w:cs="仿宋"/>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bidi="ar-SA"/>
              </w:rPr>
              <w:t>5</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保障开机率95%以上（含节假日，若不能达到规定开机天数，按超出部分两倍顺延保修期）。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rPr>
              <w:t>6</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lang w:val="en-US" w:eastAsia="zh-CN" w:bidi="ar-SA"/>
              </w:rPr>
            </w:pPr>
            <w:r>
              <w:rPr>
                <w:rFonts w:hint="eastAsia" w:ascii="仿宋" w:hAnsi="仿宋" w:eastAsia="仿宋" w:cs="仿宋"/>
                <w:sz w:val="24"/>
                <w:szCs w:val="24"/>
                <w:highlight w:val="none"/>
              </w:rPr>
              <w:t>免费提供</w:t>
            </w:r>
            <w:r>
              <w:rPr>
                <w:rFonts w:hint="eastAsia" w:ascii="仿宋" w:hAnsi="仿宋" w:eastAsia="仿宋" w:cs="仿宋"/>
                <w:sz w:val="24"/>
                <w:szCs w:val="24"/>
                <w:highlight w:val="none"/>
                <w:lang w:eastAsia="zh-CN"/>
              </w:rPr>
              <w:t>原厂或原厂授权的</w:t>
            </w:r>
            <w:r>
              <w:rPr>
                <w:rFonts w:hint="eastAsia" w:ascii="仿宋" w:hAnsi="仿宋" w:eastAsia="仿宋" w:cs="仿宋"/>
                <w:sz w:val="24"/>
                <w:szCs w:val="24"/>
                <w:highlight w:val="none"/>
              </w:rPr>
              <w:t>系统安全升级</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免费提供</w:t>
            </w:r>
            <w:r>
              <w:rPr>
                <w:rFonts w:hint="eastAsia" w:ascii="仿宋" w:hAnsi="仿宋" w:eastAsia="仿宋" w:cs="仿宋"/>
                <w:sz w:val="24"/>
                <w:szCs w:val="24"/>
                <w:highlight w:val="none"/>
                <w:lang w:eastAsia="zh-CN"/>
              </w:rPr>
              <w:t>原厂或原厂授权的</w:t>
            </w:r>
            <w:r>
              <w:rPr>
                <w:rFonts w:hint="eastAsia" w:ascii="仿宋" w:hAnsi="仿宋" w:eastAsia="仿宋" w:cs="仿宋"/>
                <w:sz w:val="24"/>
                <w:szCs w:val="24"/>
                <w:highlight w:val="none"/>
              </w:rPr>
              <w:t>系统软件补丁。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rPr>
              <w:t>7</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lang w:val="en-US" w:eastAsia="zh-CN" w:bidi="ar-SA"/>
              </w:rPr>
            </w:pPr>
            <w:r>
              <w:rPr>
                <w:rFonts w:hint="eastAsia" w:ascii="仿宋" w:hAnsi="仿宋" w:eastAsia="仿宋" w:cs="仿宋"/>
                <w:sz w:val="24"/>
                <w:szCs w:val="24"/>
                <w:highlight w:val="none"/>
                <w:lang w:eastAsia="zh-CN"/>
              </w:rPr>
              <w:t>具有</w:t>
            </w:r>
            <w:r>
              <w:rPr>
                <w:rFonts w:hint="eastAsia" w:ascii="仿宋" w:hAnsi="仿宋" w:eastAsia="仿宋" w:cs="仿宋"/>
                <w:sz w:val="24"/>
                <w:szCs w:val="24"/>
                <w:highlight w:val="none"/>
              </w:rPr>
              <w:t>原设备厂家或具有原厂授权资质经销商</w:t>
            </w:r>
            <w:r>
              <w:rPr>
                <w:rFonts w:hint="eastAsia" w:ascii="仿宋" w:hAnsi="仿宋" w:eastAsia="仿宋" w:cs="仿宋"/>
                <w:sz w:val="24"/>
                <w:szCs w:val="24"/>
                <w:highlight w:val="none"/>
                <w:lang w:eastAsia="zh-CN"/>
              </w:rPr>
              <w:t>授权维修</w:t>
            </w:r>
            <w:r>
              <w:rPr>
                <w:rFonts w:hint="eastAsia" w:ascii="仿宋" w:hAnsi="仿宋" w:eastAsia="仿宋" w:cs="仿宋"/>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rPr>
              <w:t>8</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在保修服务期内提供24小时技术电话支持（</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4小时</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365天），</w:t>
            </w:r>
            <w:r>
              <w:rPr>
                <w:rFonts w:hint="eastAsia" w:ascii="仿宋" w:hAnsi="仿宋" w:eastAsia="仿宋" w:cs="仿宋"/>
                <w:sz w:val="24"/>
                <w:szCs w:val="24"/>
                <w:highlight w:val="none"/>
              </w:rPr>
              <w:t>技术支持</w:t>
            </w:r>
            <w:r>
              <w:rPr>
                <w:rFonts w:hint="eastAsia" w:ascii="仿宋" w:hAnsi="仿宋" w:eastAsia="仿宋" w:cs="仿宋"/>
                <w:sz w:val="24"/>
                <w:szCs w:val="24"/>
                <w:highlight w:val="none"/>
              </w:rPr>
              <w:t>专家支持工程师≥</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人，并提供维修资质证明文件及社保缴纳证明。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bidi="ar-SA"/>
              </w:rPr>
              <w:t>9</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保修期内</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指定</w:t>
            </w:r>
            <w:r>
              <w:rPr>
                <w:rFonts w:hint="eastAsia" w:ascii="仿宋" w:hAnsi="仿宋" w:eastAsia="仿宋" w:cs="仿宋"/>
                <w:sz w:val="24"/>
                <w:szCs w:val="24"/>
                <w:highlight w:val="none"/>
                <w:lang w:eastAsia="zh-CN"/>
              </w:rPr>
              <w:t>专职</w:t>
            </w:r>
            <w:r>
              <w:rPr>
                <w:rFonts w:hint="eastAsia" w:ascii="仿宋" w:hAnsi="仿宋" w:eastAsia="仿宋" w:cs="仿宋"/>
                <w:sz w:val="24"/>
                <w:szCs w:val="24"/>
                <w:highlight w:val="none"/>
              </w:rPr>
              <w:t>工程师负责医院关节镜维修和保养培训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专职维修工程师数量≥</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人，并提供维修资质证明文件及社保缴纳证明</w:t>
            </w:r>
            <w:r>
              <w:rPr>
                <w:rFonts w:hint="eastAsia" w:ascii="仿宋" w:hAnsi="仿宋" w:eastAsia="仿宋" w:cs="仿宋"/>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59" w:type="dxa"/>
            <w:noWrap w:val="0"/>
            <w:vAlign w:val="center"/>
          </w:tcPr>
          <w:p>
            <w:pPr>
              <w:spacing w:after="0" w:line="240" w:lineRule="auto"/>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10</w:t>
            </w:r>
          </w:p>
        </w:tc>
        <w:tc>
          <w:tcPr>
            <w:tcW w:w="7563"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付款方式</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eastAsia="zh-CN"/>
              </w:rPr>
              <w:t>合同</w:t>
            </w:r>
            <w:r>
              <w:rPr>
                <w:rFonts w:hint="eastAsia" w:ascii="仿宋" w:hAnsi="仿宋" w:eastAsia="仿宋" w:cs="仿宋"/>
                <w:sz w:val="24"/>
                <w:szCs w:val="24"/>
                <w:highlight w:val="none"/>
                <w:lang w:val="en-US" w:eastAsia="zh-CN"/>
              </w:rPr>
              <w:t>开始履行后60天</w:t>
            </w:r>
            <w:r>
              <w:rPr>
                <w:rFonts w:hint="eastAsia" w:ascii="仿宋" w:hAnsi="仿宋" w:eastAsia="仿宋" w:cs="仿宋"/>
                <w:sz w:val="24"/>
                <w:szCs w:val="24"/>
                <w:highlight w:val="none"/>
                <w:lang w:eastAsia="zh-CN"/>
              </w:rPr>
              <w:t>支付本年度保修费用的</w:t>
            </w:r>
            <w:r>
              <w:rPr>
                <w:rFonts w:hint="eastAsia" w:ascii="仿宋" w:hAnsi="仿宋" w:eastAsia="仿宋" w:cs="仿宋"/>
                <w:sz w:val="24"/>
                <w:szCs w:val="24"/>
                <w:highlight w:val="none"/>
                <w:lang w:val="en-US" w:eastAsia="zh-CN"/>
              </w:rPr>
              <w:t>50%，本年度保修服务结束后，根据医院的考核结果支付剩余</w:t>
            </w:r>
            <w:r>
              <w:rPr>
                <w:rFonts w:hint="eastAsia" w:ascii="仿宋" w:hAnsi="仿宋" w:eastAsia="仿宋" w:cs="仿宋"/>
                <w:sz w:val="24"/>
                <w:szCs w:val="24"/>
                <w:highlight w:val="none"/>
                <w:lang w:eastAsia="zh-CN"/>
              </w:rPr>
              <w:t>保修费用的</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rPr>
              <w:t>。</w:t>
            </w:r>
          </w:p>
        </w:tc>
      </w:tr>
    </w:tbl>
    <w:p>
      <w:pPr>
        <w:pStyle w:val="2"/>
        <w:numPr>
          <w:ilvl w:val="0"/>
          <w:numId w:val="0"/>
        </w:numPr>
        <w:rPr>
          <w:rFonts w:ascii="仿宋" w:hAnsi="仿宋" w:eastAsia="仿宋" w:cs="仿宋"/>
          <w:sz w:val="24"/>
          <w:szCs w:val="24"/>
          <w:highlight w:val="none"/>
          <w:lang w:val="en-US"/>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sz w:val="24"/>
          <w:szCs w:val="24"/>
          <w:highlight w:val="none"/>
          <w:lang w:val="en-US"/>
        </w:rPr>
        <w:t>考核：</w:t>
      </w:r>
      <w:r>
        <w:rPr>
          <w:rFonts w:hint="eastAsia" w:ascii="仿宋" w:hAnsi="仿宋" w:eastAsia="仿宋" w:cs="仿宋"/>
          <w:sz w:val="24"/>
          <w:szCs w:val="24"/>
          <w:highlight w:val="none"/>
        </w:rPr>
        <w:t>采购人应对中标方提供的</w:t>
      </w:r>
      <w:r>
        <w:rPr>
          <w:rFonts w:hint="eastAsia" w:ascii="仿宋" w:hAnsi="仿宋" w:eastAsia="仿宋" w:cs="仿宋"/>
          <w:sz w:val="24"/>
          <w:szCs w:val="24"/>
          <w:highlight w:val="none"/>
          <w:lang w:val="en-US"/>
        </w:rPr>
        <w:t>维保</w:t>
      </w:r>
      <w:r>
        <w:rPr>
          <w:rFonts w:hint="eastAsia" w:ascii="仿宋" w:hAnsi="仿宋" w:eastAsia="仿宋" w:cs="仿宋"/>
          <w:sz w:val="24"/>
          <w:szCs w:val="24"/>
          <w:highlight w:val="none"/>
        </w:rPr>
        <w:t>服务质量，服度态度进行全面考核，考核合格方可支付服务费用，考核标准参照附件：《绍兴市</w:t>
      </w:r>
      <w:r>
        <w:rPr>
          <w:rFonts w:hint="eastAsia" w:ascii="仿宋" w:hAnsi="仿宋" w:eastAsia="仿宋" w:cs="仿宋"/>
          <w:sz w:val="24"/>
          <w:szCs w:val="24"/>
          <w:highlight w:val="none"/>
          <w:lang w:eastAsia="zh-CN"/>
        </w:rPr>
        <w:t>中</w:t>
      </w:r>
      <w:r>
        <w:rPr>
          <w:rFonts w:hint="eastAsia" w:ascii="仿宋" w:hAnsi="仿宋" w:eastAsia="仿宋" w:cs="仿宋"/>
          <w:sz w:val="24"/>
          <w:szCs w:val="24"/>
          <w:highlight w:val="none"/>
        </w:rPr>
        <w:t>医院</w:t>
      </w:r>
      <w:r>
        <w:rPr>
          <w:rFonts w:hint="eastAsia" w:ascii="仿宋" w:hAnsi="仿宋" w:eastAsia="仿宋" w:cs="仿宋"/>
          <w:sz w:val="24"/>
          <w:szCs w:val="24"/>
          <w:highlight w:val="none"/>
          <w:lang w:val="en-US"/>
        </w:rPr>
        <w:t>医疗设备维保</w:t>
      </w:r>
      <w:r>
        <w:rPr>
          <w:rFonts w:hint="eastAsia" w:ascii="仿宋" w:hAnsi="仿宋" w:eastAsia="仿宋" w:cs="仿宋"/>
          <w:sz w:val="24"/>
          <w:szCs w:val="24"/>
          <w:highlight w:val="none"/>
        </w:rPr>
        <w:t>服务考核管理办法》。</w:t>
      </w:r>
    </w:p>
    <w:p>
      <w:pPr>
        <w:jc w:val="center"/>
        <w:rPr>
          <w:rFonts w:hint="eastAsia" w:ascii="仿宋" w:hAnsi="仿宋" w:eastAsia="仿宋" w:cs="仿宋"/>
          <w:b/>
          <w:bCs/>
          <w:sz w:val="36"/>
          <w:szCs w:val="36"/>
          <w:highlight w:val="none"/>
        </w:rPr>
      </w:pPr>
    </w:p>
    <w:p>
      <w:pPr>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绍兴市</w:t>
      </w:r>
      <w:r>
        <w:rPr>
          <w:rFonts w:hint="eastAsia" w:ascii="仿宋" w:hAnsi="仿宋" w:eastAsia="仿宋" w:cs="仿宋"/>
          <w:b/>
          <w:bCs/>
          <w:sz w:val="36"/>
          <w:szCs w:val="36"/>
          <w:highlight w:val="none"/>
          <w:lang w:eastAsia="zh-CN"/>
        </w:rPr>
        <w:t>中</w:t>
      </w:r>
      <w:r>
        <w:rPr>
          <w:rFonts w:hint="eastAsia" w:ascii="仿宋" w:hAnsi="仿宋" w:eastAsia="仿宋" w:cs="仿宋"/>
          <w:b/>
          <w:bCs/>
          <w:sz w:val="36"/>
          <w:szCs w:val="36"/>
          <w:highlight w:val="none"/>
        </w:rPr>
        <w:t>医院医疗设备维保服务考核管理办法</w:t>
      </w:r>
    </w:p>
    <w:p>
      <w:pPr>
        <w:pStyle w:val="24"/>
        <w:spacing w:line="360" w:lineRule="auto"/>
        <w:ind w:firstLine="480" w:firstLineChars="200"/>
        <w:rPr>
          <w:rFonts w:ascii="仿宋" w:hAnsi="仿宋" w:eastAsia="仿宋" w:cs="仿宋"/>
          <w:sz w:val="24"/>
          <w:highlight w:val="none"/>
        </w:rPr>
      </w:pP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为加强管理，提升维保服务质量，确保维保服务规范化运作，保障临床工作的顺利开展，特制定如下考核细则： </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医疗设备维保服务工作，由绍兴市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医院设备</w:t>
      </w:r>
      <w:r>
        <w:rPr>
          <w:rFonts w:hint="eastAsia" w:ascii="仿宋" w:hAnsi="仿宋" w:eastAsia="仿宋" w:cs="仿宋"/>
          <w:sz w:val="24"/>
          <w:highlight w:val="none"/>
          <w:lang w:eastAsia="zh-CN"/>
        </w:rPr>
        <w:t>科</w:t>
      </w:r>
      <w:r>
        <w:rPr>
          <w:rFonts w:hint="eastAsia" w:ascii="仿宋" w:hAnsi="仿宋" w:eastAsia="仿宋" w:cs="仿宋"/>
          <w:sz w:val="24"/>
          <w:highlight w:val="none"/>
        </w:rPr>
        <w:t>负责监管，考核小组负责日常管理，各涉及科室配合、协助监管。</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考核小组：设备</w:t>
      </w:r>
      <w:r>
        <w:rPr>
          <w:rFonts w:hint="eastAsia" w:ascii="仿宋" w:hAnsi="仿宋" w:eastAsia="仿宋" w:cs="仿宋"/>
          <w:sz w:val="24"/>
          <w:highlight w:val="none"/>
          <w:lang w:eastAsia="zh-CN"/>
        </w:rPr>
        <w:t>科</w:t>
      </w:r>
      <w:r>
        <w:rPr>
          <w:rFonts w:hint="eastAsia" w:ascii="仿宋" w:hAnsi="仿宋" w:eastAsia="仿宋" w:cs="仿宋"/>
          <w:sz w:val="24"/>
          <w:highlight w:val="none"/>
        </w:rPr>
        <w:t>成立维保服务考核小组，设备</w:t>
      </w:r>
      <w:r>
        <w:rPr>
          <w:rFonts w:hint="eastAsia" w:ascii="仿宋" w:hAnsi="仿宋" w:eastAsia="仿宋" w:cs="仿宋"/>
          <w:sz w:val="24"/>
          <w:highlight w:val="none"/>
          <w:lang w:eastAsia="zh-CN"/>
        </w:rPr>
        <w:t>科</w:t>
      </w:r>
      <w:r>
        <w:rPr>
          <w:rFonts w:hint="eastAsia" w:ascii="仿宋" w:hAnsi="仿宋" w:eastAsia="仿宋" w:cs="仿宋"/>
          <w:sz w:val="24"/>
          <w:highlight w:val="none"/>
        </w:rPr>
        <w:t>长任组长，小组成员由全体工程师担任，考核小组负责日常监管和年度考核。</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考核采用百分制，对服务质量和满意度进行年度考核，设备处考核小组打分，详见附表。</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考核的最终结果作为医院向维保服务公司支付费用依据，具体如下：综合考核结果9</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分以上（含9</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分）的按合同全额支付；综合考核结果低于9</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分，每下降1分，扣款</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000元，直至80分；综合考核结果低于80分，下降1分，扣款</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000元，直至60分，并予以书面警告；综合考核评价低于60分，终止合同，并承担相应违约责任。</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考核内容详见《绍兴市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zh-CN"/>
        </w:rPr>
        <w:t>医疗设备</w:t>
      </w:r>
      <w:r>
        <w:rPr>
          <w:rFonts w:hint="eastAsia" w:ascii="仿宋" w:hAnsi="仿宋" w:eastAsia="仿宋" w:cs="仿宋"/>
          <w:sz w:val="24"/>
          <w:highlight w:val="none"/>
        </w:rPr>
        <w:t>维保服务考核表》，本考核事宜解释权为设备</w:t>
      </w:r>
      <w:r>
        <w:rPr>
          <w:rFonts w:hint="eastAsia" w:ascii="仿宋" w:hAnsi="仿宋" w:eastAsia="仿宋" w:cs="仿宋"/>
          <w:sz w:val="24"/>
          <w:highlight w:val="none"/>
          <w:lang w:eastAsia="zh-CN"/>
        </w:rPr>
        <w:t>科</w:t>
      </w:r>
      <w:r>
        <w:rPr>
          <w:rFonts w:hint="eastAsia" w:ascii="仿宋" w:hAnsi="仿宋" w:eastAsia="仿宋" w:cs="仿宋"/>
          <w:sz w:val="24"/>
          <w:highlight w:val="none"/>
        </w:rPr>
        <w:t>。</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其他分项考核（除考核表规定内容外）：</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1)维保服务公司在服务过程中未按标准执行而引起临床科室或病人投诉的，经调查情况属实的，每发生1起扣除1000元；</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2)维保服务公司在服务过程未按标准执行而引起医疗纠纷及事故的，每发生1起扣除</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000元，并承担相应赔偿责任；</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3)在上级部门检查中，因维保服务公司原因受到书面通报批评或被新闻媒体曝光批评的，每发生1起扣除</w:t>
      </w:r>
      <w:r>
        <w:rPr>
          <w:rFonts w:hint="eastAsia" w:ascii="仿宋" w:hAnsi="仿宋" w:eastAsia="仿宋" w:cs="仿宋"/>
          <w:sz w:val="24"/>
          <w:highlight w:val="none"/>
          <w:lang w:val="en-US" w:eastAsia="zh-CN"/>
        </w:rPr>
        <w:t>5000</w:t>
      </w:r>
      <w:r>
        <w:rPr>
          <w:rFonts w:hint="eastAsia" w:ascii="仿宋" w:hAnsi="仿宋" w:eastAsia="仿宋" w:cs="仿宋"/>
          <w:sz w:val="24"/>
          <w:highlight w:val="none"/>
        </w:rPr>
        <w:t>元，医院可单方面终止合同；</w:t>
      </w:r>
    </w:p>
    <w:p>
      <w:pPr>
        <w:spacing w:line="360" w:lineRule="auto"/>
        <w:rPr>
          <w:rFonts w:ascii="仿宋" w:hAnsi="仿宋" w:eastAsia="仿宋" w:cs="仿宋"/>
          <w:b/>
          <w:bCs/>
          <w:sz w:val="36"/>
          <w:szCs w:val="36"/>
          <w:highlight w:val="none"/>
        </w:rPr>
      </w:pPr>
    </w:p>
    <w:p>
      <w:pPr>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br w:type="page"/>
      </w:r>
    </w:p>
    <w:p>
      <w:pPr>
        <w:spacing w:line="360" w:lineRule="auto"/>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绍兴市</w:t>
      </w:r>
      <w:r>
        <w:rPr>
          <w:rFonts w:hint="eastAsia" w:ascii="仿宋" w:hAnsi="仿宋" w:eastAsia="仿宋" w:cs="仿宋"/>
          <w:b/>
          <w:bCs/>
          <w:sz w:val="36"/>
          <w:szCs w:val="36"/>
          <w:highlight w:val="none"/>
          <w:lang w:eastAsia="zh-CN"/>
        </w:rPr>
        <w:t>中</w:t>
      </w:r>
      <w:r>
        <w:rPr>
          <w:rFonts w:hint="eastAsia" w:ascii="仿宋" w:hAnsi="仿宋" w:eastAsia="仿宋" w:cs="仿宋"/>
          <w:b/>
          <w:bCs/>
          <w:sz w:val="36"/>
          <w:szCs w:val="36"/>
          <w:highlight w:val="none"/>
        </w:rPr>
        <w:t>医院</w:t>
      </w:r>
      <w:r>
        <w:rPr>
          <w:rFonts w:hint="eastAsia" w:ascii="仿宋" w:hAnsi="仿宋" w:eastAsia="仿宋" w:cs="仿宋"/>
          <w:b/>
          <w:bCs/>
          <w:sz w:val="36"/>
          <w:szCs w:val="36"/>
          <w:highlight w:val="none"/>
          <w:lang w:val="en-US" w:eastAsia="zh-CN"/>
        </w:rPr>
        <w:t xml:space="preserve">  </w:t>
      </w:r>
      <w:r>
        <w:rPr>
          <w:rFonts w:hint="eastAsia" w:ascii="仿宋" w:hAnsi="仿宋" w:eastAsia="仿宋" w:cs="仿宋"/>
          <w:b/>
          <w:bCs/>
          <w:sz w:val="36"/>
          <w:szCs w:val="36"/>
          <w:highlight w:val="none"/>
          <w:lang w:val="zh-CN"/>
        </w:rPr>
        <w:t>医疗设备</w:t>
      </w:r>
      <w:r>
        <w:rPr>
          <w:rFonts w:hint="eastAsia" w:ascii="仿宋" w:hAnsi="仿宋" w:eastAsia="仿宋" w:cs="仿宋"/>
          <w:b/>
          <w:bCs/>
          <w:sz w:val="36"/>
          <w:szCs w:val="36"/>
          <w:highlight w:val="none"/>
        </w:rPr>
        <w:t>维保服务考核表</w:t>
      </w:r>
    </w:p>
    <w:p>
      <w:pPr>
        <w:rPr>
          <w:rFonts w:ascii="仿宋" w:hAnsi="仿宋" w:eastAsia="仿宋" w:cs="仿宋"/>
          <w:sz w:val="24"/>
          <w:highlight w:val="none"/>
        </w:rPr>
      </w:pPr>
    </w:p>
    <w:p>
      <w:pPr>
        <w:jc w:val="left"/>
        <w:rPr>
          <w:rFonts w:ascii="仿宋" w:hAnsi="仿宋" w:eastAsia="仿宋" w:cs="仿宋"/>
          <w:sz w:val="24"/>
          <w:highlight w:val="none"/>
        </w:rPr>
      </w:pPr>
    </w:p>
    <w:tbl>
      <w:tblPr>
        <w:tblStyle w:val="44"/>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合同编号</w:t>
            </w:r>
          </w:p>
        </w:tc>
        <w:tc>
          <w:tcPr>
            <w:tcW w:w="3826" w:type="dxa"/>
            <w:noWrap w:val="0"/>
            <w:vAlign w:val="center"/>
          </w:tcPr>
          <w:p>
            <w:pPr>
              <w:jc w:val="left"/>
              <w:rPr>
                <w:rFonts w:ascii="仿宋" w:hAnsi="仿宋" w:eastAsia="仿宋" w:cs="仿宋"/>
                <w:b/>
                <w:szCs w:val="21"/>
                <w:highlight w:val="none"/>
              </w:rPr>
            </w:pPr>
          </w:p>
        </w:tc>
        <w:tc>
          <w:tcPr>
            <w:tcW w:w="2175"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科室</w:t>
            </w:r>
          </w:p>
        </w:tc>
        <w:tc>
          <w:tcPr>
            <w:tcW w:w="1674" w:type="dxa"/>
            <w:noWrap w:val="0"/>
            <w:vAlign w:val="center"/>
          </w:tcPr>
          <w:p>
            <w:pPr>
              <w:jc w:val="left"/>
              <w:rPr>
                <w:rFonts w:ascii="仿宋" w:hAnsi="仿宋" w:eastAsia="仿宋" w:cs="仿宋"/>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服务公司</w:t>
            </w:r>
          </w:p>
        </w:tc>
        <w:tc>
          <w:tcPr>
            <w:tcW w:w="3826" w:type="dxa"/>
            <w:noWrap w:val="0"/>
            <w:vAlign w:val="center"/>
          </w:tcPr>
          <w:p>
            <w:pPr>
              <w:jc w:val="left"/>
              <w:rPr>
                <w:rFonts w:ascii="仿宋" w:hAnsi="仿宋" w:eastAsia="仿宋" w:cs="仿宋"/>
                <w:b/>
                <w:szCs w:val="21"/>
                <w:highlight w:val="none"/>
              </w:rPr>
            </w:pPr>
          </w:p>
        </w:tc>
        <w:tc>
          <w:tcPr>
            <w:tcW w:w="2175"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联系人及联系方式</w:t>
            </w:r>
          </w:p>
        </w:tc>
        <w:tc>
          <w:tcPr>
            <w:tcW w:w="1674" w:type="dxa"/>
            <w:noWrap w:val="0"/>
            <w:vAlign w:val="center"/>
          </w:tcPr>
          <w:p>
            <w:pPr>
              <w:jc w:val="left"/>
              <w:rPr>
                <w:rFonts w:ascii="仿宋" w:hAnsi="仿宋" w:eastAsia="仿宋" w:cs="仿宋"/>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考核周期</w:t>
            </w:r>
          </w:p>
        </w:tc>
        <w:tc>
          <w:tcPr>
            <w:tcW w:w="7675" w:type="dxa"/>
            <w:gridSpan w:val="3"/>
            <w:noWrap w:val="0"/>
            <w:vAlign w:val="center"/>
          </w:tcPr>
          <w:p>
            <w:pPr>
              <w:jc w:val="left"/>
              <w:rPr>
                <w:rFonts w:ascii="仿宋" w:hAnsi="仿宋" w:eastAsia="仿宋" w:cs="仿宋"/>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pPr>
              <w:rPr>
                <w:rFonts w:ascii="仿宋" w:hAnsi="仿宋" w:eastAsia="仿宋" w:cs="仿宋"/>
                <w:szCs w:val="21"/>
                <w:highlight w:val="none"/>
              </w:rPr>
            </w:pPr>
            <w:r>
              <w:rPr>
                <w:rFonts w:hint="eastAsia" w:ascii="仿宋" w:hAnsi="仿宋" w:eastAsia="仿宋" w:cs="仿宋"/>
                <w:szCs w:val="21"/>
                <w:highlight w:val="none"/>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pPr>
              <w:jc w:val="center"/>
              <w:rPr>
                <w:rFonts w:ascii="仿宋" w:hAnsi="仿宋" w:eastAsia="仿宋" w:cs="仿宋"/>
                <w:b/>
                <w:szCs w:val="21"/>
                <w:highlight w:val="none"/>
              </w:rPr>
            </w:pPr>
            <w:r>
              <w:rPr>
                <w:rFonts w:hint="eastAsia" w:ascii="仿宋" w:hAnsi="仿宋" w:eastAsia="仿宋" w:cs="仿宋"/>
                <w:b/>
                <w:szCs w:val="21"/>
                <w:highlight w:val="none"/>
              </w:rPr>
              <w:t>序号</w:t>
            </w:r>
          </w:p>
        </w:tc>
        <w:tc>
          <w:tcPr>
            <w:tcW w:w="3826" w:type="dxa"/>
            <w:noWrap w:val="0"/>
            <w:vAlign w:val="center"/>
          </w:tcPr>
          <w:p>
            <w:pPr>
              <w:jc w:val="center"/>
              <w:rPr>
                <w:rFonts w:ascii="仿宋" w:hAnsi="仿宋" w:eastAsia="仿宋" w:cs="仿宋"/>
                <w:b/>
                <w:szCs w:val="21"/>
                <w:highlight w:val="none"/>
              </w:rPr>
            </w:pPr>
            <w:r>
              <w:rPr>
                <w:rFonts w:hint="eastAsia" w:ascii="仿宋" w:hAnsi="仿宋" w:eastAsia="仿宋" w:cs="仿宋"/>
                <w:b/>
                <w:szCs w:val="21"/>
                <w:highlight w:val="none"/>
              </w:rPr>
              <w:t>评价内容（总分100分）</w:t>
            </w:r>
          </w:p>
        </w:tc>
        <w:tc>
          <w:tcPr>
            <w:tcW w:w="3849" w:type="dxa"/>
            <w:gridSpan w:val="2"/>
            <w:noWrap w:val="0"/>
            <w:vAlign w:val="center"/>
          </w:tcPr>
          <w:p>
            <w:pPr>
              <w:jc w:val="cente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设备维修服务响应速度（15分）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2</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定期维护（PM等）服务完成率</w:t>
            </w:r>
          </w:p>
          <w:p>
            <w:pPr>
              <w:rPr>
                <w:rFonts w:ascii="仿宋" w:hAnsi="仿宋" w:eastAsia="仿宋" w:cs="仿宋"/>
                <w:szCs w:val="21"/>
                <w:highlight w:val="none"/>
              </w:rPr>
            </w:pPr>
            <w:r>
              <w:rPr>
                <w:rFonts w:hint="eastAsia" w:ascii="仿宋" w:hAnsi="仿宋" w:eastAsia="仿宋" w:cs="仿宋"/>
                <w:szCs w:val="21"/>
                <w:highlight w:val="none"/>
              </w:rPr>
              <w:t>（10分）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配件质量与供应能力（15分）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4</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完好率保障情况（10分）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5</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单次维修报告提供情况（10分）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6</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维保年度总结报告质量（10分）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7</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维修人员操作规范化程度（10分）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8</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维修服务满意度（20分）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综合考评结果</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pPr>
              <w:rPr>
                <w:rFonts w:ascii="仿宋" w:hAnsi="仿宋" w:eastAsia="仿宋" w:cs="仿宋"/>
                <w:szCs w:val="21"/>
                <w:highlight w:val="none"/>
              </w:rPr>
            </w:pPr>
            <w:r>
              <w:rPr>
                <w:rFonts w:hint="eastAsia" w:ascii="仿宋" w:hAnsi="仿宋" w:eastAsia="仿宋" w:cs="仿宋"/>
                <w:b/>
                <w:szCs w:val="21"/>
                <w:highlight w:val="none"/>
              </w:rPr>
              <w:t>改进意见及建议：</w:t>
            </w:r>
          </w:p>
        </w:tc>
      </w:tr>
    </w:tbl>
    <w:p>
      <w:pPr>
        <w:jc w:val="left"/>
        <w:rPr>
          <w:rFonts w:ascii="仿宋" w:hAnsi="仿宋" w:eastAsia="仿宋" w:cs="仿宋"/>
          <w:sz w:val="24"/>
          <w:highlight w:val="none"/>
        </w:rPr>
      </w:pPr>
    </w:p>
    <w:p>
      <w:pPr>
        <w:jc w:val="left"/>
        <w:rPr>
          <w:rFonts w:ascii="仿宋" w:hAnsi="仿宋" w:eastAsia="仿宋" w:cs="仿宋"/>
          <w:sz w:val="24"/>
          <w:highlight w:val="none"/>
        </w:rPr>
      </w:pPr>
    </w:p>
    <w:p>
      <w:pPr>
        <w:jc w:val="left"/>
        <w:rPr>
          <w:rFonts w:hint="eastAsia" w:ascii="仿宋" w:hAnsi="仿宋" w:eastAsia="仿宋" w:cs="仿宋"/>
          <w:sz w:val="24"/>
          <w:highlight w:val="none"/>
        </w:rPr>
      </w:pPr>
    </w:p>
    <w:p>
      <w:pPr>
        <w:jc w:val="left"/>
        <w:rPr>
          <w:rFonts w:hint="eastAsia" w:ascii="仿宋" w:hAnsi="仿宋" w:eastAsia="仿宋" w:cs="仿宋"/>
          <w:sz w:val="24"/>
          <w:highlight w:val="none"/>
        </w:rPr>
      </w:pPr>
    </w:p>
    <w:p>
      <w:pPr>
        <w:jc w:val="left"/>
        <w:rPr>
          <w:rFonts w:ascii="仿宋" w:hAnsi="仿宋" w:eastAsia="仿宋" w:cs="仿宋"/>
          <w:sz w:val="24"/>
          <w:highlight w:val="none"/>
        </w:rPr>
      </w:pPr>
      <w:r>
        <w:rPr>
          <w:rFonts w:hint="eastAsia" w:ascii="仿宋" w:hAnsi="仿宋" w:eastAsia="仿宋" w:cs="仿宋"/>
          <w:sz w:val="24"/>
          <w:highlight w:val="none"/>
        </w:rPr>
        <w:t>考评组员：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日期：</w:t>
      </w:r>
      <w:r>
        <w:rPr>
          <w:rFonts w:hint="eastAsia" w:ascii="仿宋" w:hAnsi="仿宋" w:eastAsia="仿宋" w:cs="仿宋"/>
          <w:sz w:val="24"/>
          <w:highlight w:val="none"/>
          <w:u w:val="single"/>
        </w:rPr>
        <w:t xml:space="preserve">              </w:t>
      </w:r>
    </w:p>
    <w:p>
      <w:pPr>
        <w:rPr>
          <w:rFonts w:ascii="仿宋" w:hAnsi="仿宋" w:eastAsia="仿宋" w:cs="仿宋"/>
          <w:sz w:val="24"/>
          <w:highlight w:val="none"/>
        </w:rPr>
      </w:pPr>
    </w:p>
    <w:p>
      <w:pPr>
        <w:rPr>
          <w:rFonts w:hint="eastAsia" w:ascii="仿宋" w:hAnsi="仿宋" w:eastAsia="仿宋" w:cs="仿宋"/>
          <w:sz w:val="24"/>
          <w:highlight w:val="none"/>
        </w:rPr>
      </w:pPr>
    </w:p>
    <w:p>
      <w:pPr>
        <w:rPr>
          <w:rFonts w:ascii="仿宋" w:hAnsi="仿宋" w:eastAsia="仿宋" w:cs="仿宋"/>
          <w:sz w:val="24"/>
          <w:highlight w:val="none"/>
        </w:rPr>
      </w:pPr>
      <w:r>
        <w:rPr>
          <w:rFonts w:hint="eastAsia" w:ascii="仿宋" w:hAnsi="仿宋" w:eastAsia="仿宋" w:cs="仿宋"/>
          <w:sz w:val="24"/>
          <w:highlight w:val="none"/>
        </w:rPr>
        <w:t>审核人：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pPr>
        <w:rPr>
          <w:highlight w:val="none"/>
        </w:rPr>
      </w:pPr>
    </w:p>
    <w:p>
      <w:pPr>
        <w:pStyle w:val="53"/>
        <w:numPr>
          <w:ilvl w:val="0"/>
          <w:numId w:val="0"/>
        </w:numPr>
        <w:ind w:leftChars="0"/>
        <w:rPr>
          <w:rFonts w:hint="default" w:ascii="仿宋" w:hAnsi="仿宋" w:eastAsia="仿宋" w:cs="仿宋"/>
          <w:b/>
          <w:color w:val="auto"/>
          <w:sz w:val="24"/>
          <w:szCs w:val="24"/>
          <w:highlight w:val="none"/>
          <w:lang w:val="en-US" w:eastAsia="zh-CN"/>
        </w:rPr>
      </w:pPr>
    </w:p>
    <w:p>
      <w:pPr>
        <w:pStyle w:val="24"/>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政府采购合同参考范本</w:t>
      </w:r>
    </w:p>
    <w:p>
      <w:pPr>
        <w:rPr>
          <w:rFonts w:hint="eastAsia" w:ascii="仿宋" w:hAnsi="仿宋" w:eastAsia="仿宋" w:cs="仿宋"/>
          <w:sz w:val="24"/>
          <w:highlight w:val="none"/>
        </w:rPr>
      </w:pP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6"/>
        <w:rPr>
          <w:rFonts w:hint="eastAsia" w:ascii="仿宋" w:hAnsi="仿宋" w:eastAsia="仿宋" w:cs="仿宋"/>
          <w:highlight w:val="none"/>
        </w:rPr>
      </w:pPr>
    </w:p>
    <w:p>
      <w:pPr>
        <w:pStyle w:val="6"/>
        <w:rPr>
          <w:rFonts w:hint="eastAsia" w:ascii="仿宋" w:hAnsi="仿宋" w:eastAsia="仿宋" w:cs="仿宋"/>
          <w:highlight w:val="none"/>
        </w:rPr>
      </w:pPr>
    </w:p>
    <w:p>
      <w:pPr>
        <w:pStyle w:val="6"/>
        <w:ind w:firstLine="562"/>
        <w:jc w:val="center"/>
        <w:rPr>
          <w:rFonts w:hint="eastAsia" w:ascii="仿宋" w:hAnsi="仿宋" w:eastAsia="仿宋" w:cs="仿宋"/>
          <w:b/>
          <w:sz w:val="28"/>
          <w:highlight w:val="none"/>
        </w:rPr>
      </w:pPr>
      <w:r>
        <w:rPr>
          <w:rFonts w:hint="eastAsia" w:ascii="仿宋" w:hAnsi="仿宋" w:eastAsia="仿宋" w:cs="仿宋"/>
          <w:b/>
          <w:sz w:val="28"/>
          <w:highlight w:val="none"/>
        </w:rPr>
        <w:t>第一部分  合同书</w:t>
      </w:r>
    </w:p>
    <w:p>
      <w:pPr>
        <w:pStyle w:val="6"/>
        <w:rPr>
          <w:rFonts w:hint="eastAsia" w:ascii="仿宋" w:hAnsi="仿宋" w:eastAsia="仿宋" w:cs="仿宋"/>
          <w:highlight w:val="none"/>
        </w:rPr>
      </w:pPr>
    </w:p>
    <w:p>
      <w:pPr>
        <w:pStyle w:val="6"/>
        <w:rPr>
          <w:rFonts w:hint="eastAsia" w:ascii="仿宋" w:hAnsi="仿宋" w:eastAsia="仿宋" w:cs="仿宋"/>
          <w:highlight w:val="none"/>
        </w:rPr>
      </w:pP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rPr>
      </w:pPr>
      <w:r>
        <w:rPr>
          <w:rFonts w:hint="eastAsia" w:ascii="仿宋" w:hAnsi="仿宋" w:eastAsia="仿宋" w:cs="仿宋"/>
          <w:sz w:val="24"/>
          <w:highlight w:val="none"/>
        </w:rPr>
        <w:t>项目名称：</w:t>
      </w:r>
    </w:p>
    <w:p>
      <w:pPr>
        <w:pStyle w:val="283"/>
        <w:spacing w:before="120" w:line="22" w:lineRule="atLeast"/>
        <w:rPr>
          <w:rFonts w:hint="eastAsia" w:ascii="仿宋" w:hAnsi="仿宋" w:eastAsia="仿宋" w:cs="仿宋"/>
          <w:szCs w:val="24"/>
          <w:highlight w:val="none"/>
        </w:rPr>
      </w:pPr>
    </w:p>
    <w:p>
      <w:pPr>
        <w:pStyle w:val="283"/>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甲方：</w:t>
      </w: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乙方：</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签订地：</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签订日期：年月日</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年月日</w:t>
      </w:r>
      <w:r>
        <w:rPr>
          <w:rFonts w:hint="eastAsia" w:ascii="仿宋" w:hAnsi="仿宋" w:eastAsia="仿宋" w:cs="仿宋"/>
          <w:sz w:val="24"/>
          <w:highlight w:val="none"/>
        </w:rPr>
        <w:t>，</w:t>
      </w:r>
      <w:r>
        <w:rPr>
          <w:rFonts w:hint="eastAsia" w:ascii="仿宋" w:hAnsi="仿宋" w:eastAsia="仿宋" w:cs="仿宋"/>
          <w:sz w:val="24"/>
          <w:highlight w:val="none"/>
          <w:u w:val="single"/>
        </w:rPr>
        <w:t>（采购人）</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（同前页项目名称）</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（中标供应商名称）</w:t>
      </w:r>
      <w:r>
        <w:rPr>
          <w:rFonts w:hint="eastAsia" w:ascii="仿宋" w:hAnsi="仿宋" w:eastAsia="仿宋" w:cs="仿宋"/>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（采购人）</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hint="eastAsia" w:ascii="仿宋" w:hAnsi="仿宋" w:eastAsia="仿宋" w:cs="仿宋"/>
          <w:b/>
          <w:sz w:val="24"/>
          <w:highlight w:val="none"/>
        </w:rPr>
      </w:pPr>
      <w:bookmarkStart w:id="16" w:name="_Toc24059"/>
      <w:bookmarkStart w:id="17" w:name="_Toc3029"/>
      <w:bookmarkStart w:id="18" w:name="_Toc2232"/>
      <w:r>
        <w:rPr>
          <w:rFonts w:hint="eastAsia" w:ascii="仿宋" w:hAnsi="仿宋" w:eastAsia="仿宋" w:cs="仿宋"/>
          <w:b/>
          <w:sz w:val="24"/>
          <w:highlight w:val="none"/>
        </w:rPr>
        <w:t>1.1 合同组成部分</w:t>
      </w:r>
      <w:bookmarkEnd w:id="16"/>
      <w:bookmarkEnd w:id="17"/>
      <w:bookmarkEnd w:id="1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中标通知书；</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投标文件（含澄清或者说明文件）；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招标文件（含澄清或者修改文件）；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hint="eastAsia" w:ascii="仿宋" w:hAnsi="仿宋" w:eastAsia="仿宋" w:cs="仿宋"/>
          <w:b/>
          <w:sz w:val="24"/>
          <w:highlight w:val="none"/>
        </w:rPr>
      </w:pPr>
      <w:bookmarkStart w:id="19" w:name="_Toc21295"/>
      <w:bookmarkStart w:id="20" w:name="_Toc24300"/>
      <w:bookmarkStart w:id="21" w:name="_Toc27126"/>
      <w:r>
        <w:rPr>
          <w:rFonts w:hint="eastAsia" w:ascii="仿宋" w:hAnsi="仿宋" w:eastAsia="仿宋" w:cs="仿宋"/>
          <w:b/>
          <w:sz w:val="24"/>
          <w:highlight w:val="none"/>
        </w:rPr>
        <w:t xml:space="preserve">1.2 </w:t>
      </w:r>
      <w:bookmarkEnd w:id="19"/>
      <w:bookmarkEnd w:id="20"/>
      <w:bookmarkEnd w:id="21"/>
      <w:r>
        <w:rPr>
          <w:rFonts w:hint="eastAsia" w:ascii="仿宋" w:hAnsi="仿宋" w:eastAsia="仿宋" w:cs="仿宋"/>
          <w:b/>
          <w:sz w:val="24"/>
          <w:highlight w:val="none"/>
        </w:rPr>
        <w:t>服务</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服务名称：；</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服务期限和内容：；</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 服务提供地点及方式：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22" w:name="_Toc21631"/>
      <w:bookmarkStart w:id="23" w:name="_Toc23292"/>
      <w:bookmarkStart w:id="24" w:name="_Toc21551"/>
      <w:r>
        <w:rPr>
          <w:rFonts w:hint="eastAsia" w:ascii="仿宋" w:hAnsi="仿宋" w:eastAsia="仿宋" w:cs="仿宋"/>
          <w:b/>
          <w:sz w:val="24"/>
          <w:highlight w:val="none"/>
        </w:rPr>
        <w:t>1.3 价款</w:t>
      </w:r>
      <w:bookmarkEnd w:id="22"/>
      <w:bookmarkEnd w:id="23"/>
      <w:bookmarkEnd w:id="2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本合同总价为：￥元（大写：元人民币）。</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bl>
    <w:p>
      <w:pPr>
        <w:spacing w:line="440" w:lineRule="exact"/>
        <w:ind w:firstLine="482" w:firstLineChars="200"/>
        <w:outlineLvl w:val="0"/>
        <w:rPr>
          <w:rFonts w:hint="eastAsia" w:ascii="仿宋" w:hAnsi="仿宋" w:eastAsia="仿宋" w:cs="仿宋"/>
          <w:b/>
          <w:sz w:val="24"/>
          <w:highlight w:val="none"/>
        </w:rPr>
      </w:pPr>
      <w:bookmarkStart w:id="25" w:name="_Toc10340"/>
      <w:bookmarkStart w:id="26" w:name="_Toc1814"/>
      <w:bookmarkStart w:id="27" w:name="_Toc22618"/>
      <w:bookmarkStart w:id="28" w:name="_Toc19304"/>
      <w:bookmarkStart w:id="29" w:name="_Toc2846"/>
      <w:bookmarkStart w:id="30" w:name="_Toc32071"/>
      <w:r>
        <w:rPr>
          <w:rFonts w:hint="eastAsia" w:ascii="仿宋" w:hAnsi="仿宋" w:eastAsia="仿宋" w:cs="仿宋"/>
          <w:b/>
          <w:sz w:val="24"/>
          <w:highlight w:val="none"/>
        </w:rPr>
        <w:t>1.4 付款</w:t>
      </w:r>
      <w:bookmarkEnd w:id="25"/>
      <w:bookmarkEnd w:id="26"/>
      <w:bookmarkEnd w:id="27"/>
      <w:r>
        <w:rPr>
          <w:rFonts w:hint="eastAsia" w:ascii="仿宋" w:hAnsi="仿宋" w:eastAsia="仿宋" w:cs="仿宋"/>
          <w:b/>
          <w:sz w:val="24"/>
          <w:highlight w:val="none"/>
        </w:rPr>
        <w:t>方式、时间和条件</w:t>
      </w:r>
    </w:p>
    <w:p>
      <w:pPr>
        <w:pStyle w:val="285"/>
        <w:spacing w:before="0" w:beforeAutospacing="0" w:after="0" w:afterAutospacing="0" w:line="440" w:lineRule="exact"/>
        <w:ind w:firstLine="480"/>
        <w:rPr>
          <w:rFonts w:hint="eastAsia" w:ascii="仿宋" w:hAnsi="仿宋" w:eastAsia="仿宋" w:cs="仿宋"/>
          <w:highlight w:val="none"/>
        </w:rPr>
      </w:pPr>
      <w:r>
        <w:rPr>
          <w:rFonts w:hint="eastAsia" w:ascii="仿宋" w:hAnsi="仿宋" w:eastAsia="仿宋" w:cs="仿宋"/>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1.4.2付款方式按《浙江省财政厅关于进一步发挥政府采购政策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1.4.4资金支付的方式、时间和条件详见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28"/>
      <w:bookmarkEnd w:id="29"/>
      <w:bookmarkEnd w:id="30"/>
      <w:bookmarkStart w:id="31" w:name="_Toc19554"/>
      <w:bookmarkStart w:id="32" w:name="_Toc27250"/>
      <w:bookmarkStart w:id="33" w:name="_Toc21423"/>
      <w:r>
        <w:rPr>
          <w:rFonts w:hint="eastAsia" w:ascii="仿宋" w:hAnsi="仿宋" w:eastAsia="仿宋" w:cs="仿宋"/>
          <w:b/>
          <w:sz w:val="24"/>
          <w:highlight w:val="none"/>
        </w:rPr>
        <w:t>违约责任</w:t>
      </w:r>
      <w:bookmarkEnd w:id="31"/>
      <w:bookmarkEnd w:id="32"/>
      <w:bookmarkEnd w:id="3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1.5.7违约责任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hint="eastAsia" w:ascii="仿宋" w:hAnsi="仿宋" w:eastAsia="仿宋" w:cs="仿宋"/>
          <w:b/>
          <w:sz w:val="24"/>
          <w:highlight w:val="none"/>
        </w:rPr>
      </w:pPr>
      <w:bookmarkStart w:id="34" w:name="_Toc28375"/>
      <w:bookmarkStart w:id="35" w:name="_Toc15583"/>
      <w:bookmarkStart w:id="36" w:name="_Toc16021"/>
      <w:r>
        <w:rPr>
          <w:rFonts w:hint="eastAsia" w:ascii="仿宋" w:hAnsi="仿宋" w:eastAsia="仿宋" w:cs="仿宋"/>
          <w:b/>
          <w:sz w:val="24"/>
          <w:highlight w:val="none"/>
        </w:rPr>
        <w:t>1.6合同争议的解决</w:t>
      </w:r>
      <w:bookmarkEnd w:id="34"/>
      <w:bookmarkEnd w:id="35"/>
      <w:bookmarkEnd w:id="36"/>
    </w:p>
    <w:p>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合同专用条款  </w:t>
      </w:r>
      <w:r>
        <w:rPr>
          <w:rFonts w:hint="eastAsia" w:ascii="仿宋" w:hAnsi="仿宋" w:eastAsia="仿宋" w:cs="仿宋"/>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1.6.1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1.6.2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hint="eastAsia" w:ascii="仿宋" w:hAnsi="仿宋" w:eastAsia="仿宋" w:cs="仿宋"/>
          <w:b/>
          <w:sz w:val="24"/>
          <w:highlight w:val="none"/>
        </w:rPr>
      </w:pPr>
      <w:bookmarkStart w:id="37" w:name="_Toc7245"/>
      <w:bookmarkStart w:id="38" w:name="_Toc15322"/>
      <w:bookmarkStart w:id="39" w:name="_Toc11173"/>
      <w:r>
        <w:rPr>
          <w:rFonts w:hint="eastAsia" w:ascii="仿宋" w:hAnsi="仿宋" w:eastAsia="仿宋" w:cs="仿宋"/>
          <w:b/>
          <w:sz w:val="24"/>
          <w:highlight w:val="none"/>
        </w:rPr>
        <w:t>1.7合同生效</w:t>
      </w:r>
      <w:bookmarkEnd w:id="37"/>
      <w:bookmarkEnd w:id="38"/>
      <w:bookmarkEnd w:id="39"/>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本合同自双方当事人盖章或者签字时生效。</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统一社会信用代码：统一社会信用代码或身份证号码：</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住所：住所：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法定代表人或法定代表人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联系人：联系人：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约定送达地址：约定送达地址：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邮政编码：邮政编码：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电子邮箱：电子邮箱：</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开户账号：开户账号：</w:t>
      </w:r>
    </w:p>
    <w:p>
      <w:pPr>
        <w:autoSpaceDE w:val="0"/>
        <w:autoSpaceDN w:val="0"/>
        <w:spacing w:line="560" w:lineRule="exact"/>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p>
    <w:p>
      <w:pPr>
        <w:pStyle w:val="284"/>
        <w:pageBreakBefore/>
        <w:spacing w:line="560" w:lineRule="exact"/>
        <w:ind w:firstLine="723"/>
        <w:jc w:val="center"/>
        <w:rPr>
          <w:rFonts w:hint="eastAsia" w:ascii="仿宋" w:hAnsi="仿宋" w:eastAsia="仿宋" w:cs="仿宋"/>
          <w:b/>
          <w:color w:val="auto"/>
          <w:sz w:val="36"/>
          <w:szCs w:val="36"/>
          <w:highlight w:val="none"/>
        </w:rPr>
      </w:pPr>
      <w:bookmarkStart w:id="40" w:name="_Toc331685783"/>
      <w:r>
        <w:rPr>
          <w:rFonts w:hint="eastAsia" w:ascii="仿宋" w:hAnsi="仿宋" w:eastAsia="仿宋" w:cs="仿宋"/>
          <w:b/>
          <w:color w:val="auto"/>
          <w:sz w:val="36"/>
          <w:szCs w:val="36"/>
          <w:highlight w:val="none"/>
        </w:rPr>
        <w:t>第二部分合同一般条款</w:t>
      </w:r>
      <w:bookmarkEnd w:id="40"/>
    </w:p>
    <w:p>
      <w:pPr>
        <w:spacing w:line="560" w:lineRule="exact"/>
        <w:ind w:firstLine="482" w:firstLineChars="200"/>
        <w:outlineLvl w:val="0"/>
        <w:rPr>
          <w:rFonts w:hint="eastAsia" w:ascii="仿宋" w:hAnsi="仿宋" w:eastAsia="仿宋" w:cs="仿宋"/>
          <w:b/>
          <w:color w:val="auto"/>
          <w:sz w:val="24"/>
          <w:highlight w:val="none"/>
        </w:rPr>
      </w:pPr>
      <w:bookmarkStart w:id="41" w:name="_Ref467378404"/>
      <w:bookmarkStart w:id="42" w:name="_Ref467379205"/>
      <w:bookmarkStart w:id="43" w:name="_Ref467379109"/>
      <w:bookmarkStart w:id="44" w:name="_Ref467379101"/>
      <w:bookmarkStart w:id="45" w:name="_Toc259093669"/>
      <w:bookmarkStart w:id="46" w:name="_Toc16917"/>
      <w:bookmarkStart w:id="47" w:name="_Ref467379094"/>
      <w:bookmarkStart w:id="48" w:name="_Toc28763"/>
      <w:bookmarkStart w:id="49" w:name="_Ref467379225"/>
      <w:bookmarkStart w:id="50" w:name="_Ref467379195"/>
      <w:bookmarkStart w:id="51" w:name="_Ref467378499"/>
      <w:bookmarkStart w:id="52" w:name="_Toc19614"/>
      <w:bookmarkStart w:id="53" w:name="_Ref467379214"/>
      <w:bookmarkStart w:id="54" w:name="_Ref467378463"/>
      <w:bookmarkStart w:id="55" w:name="_Toc279701240"/>
      <w:bookmarkStart w:id="56" w:name="_Toc487900349"/>
      <w:r>
        <w:rPr>
          <w:rFonts w:hint="eastAsia" w:ascii="仿宋" w:hAnsi="仿宋" w:eastAsia="仿宋" w:cs="仿宋"/>
          <w:b/>
          <w:color w:val="auto"/>
          <w:sz w:val="24"/>
          <w:highlight w:val="none"/>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7" w:name="_Ref467378840"/>
      <w:r>
        <w:rPr>
          <w:rFonts w:hint="eastAsia" w:ascii="仿宋" w:hAnsi="仿宋" w:eastAsia="仿宋" w:cs="仿宋"/>
          <w:color w:val="auto"/>
          <w:sz w:val="24"/>
          <w:highlight w:val="none"/>
        </w:rPr>
        <w:t>2.1.4 “甲方”系指与中标供应商签署合同的采购人</w:t>
      </w:r>
      <w:bookmarkEnd w:id="57"/>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8" w:name="_Ref467379400"/>
      <w:r>
        <w:rPr>
          <w:rFonts w:hint="eastAsia" w:ascii="仿宋" w:hAnsi="仿宋" w:eastAsia="仿宋" w:cs="仿宋"/>
          <w:color w:val="auto"/>
          <w:sz w:val="24"/>
          <w:highlight w:val="none"/>
        </w:rPr>
        <w:t>2.1.5 “乙方”系指根据合同约定交付货物的中标供应商</w:t>
      </w:r>
      <w:bookmarkEnd w:id="58"/>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9" w:name="_Ref467379436"/>
      <w:r>
        <w:rPr>
          <w:rFonts w:hint="eastAsia" w:ascii="仿宋" w:hAnsi="仿宋" w:eastAsia="仿宋" w:cs="仿宋"/>
          <w:color w:val="auto"/>
          <w:sz w:val="24"/>
          <w:highlight w:val="none"/>
        </w:rPr>
        <w:t>2.1.6 “现场”系指合同约定货物将要运至或者安装的地点。</w:t>
      </w:r>
      <w:bookmarkEnd w:id="59"/>
    </w:p>
    <w:p>
      <w:pPr>
        <w:spacing w:line="560" w:lineRule="exact"/>
        <w:ind w:firstLine="482" w:firstLineChars="200"/>
        <w:outlineLvl w:val="0"/>
        <w:rPr>
          <w:rFonts w:hint="eastAsia" w:ascii="仿宋" w:hAnsi="仿宋" w:eastAsia="仿宋" w:cs="仿宋"/>
          <w:b/>
          <w:color w:val="auto"/>
          <w:sz w:val="24"/>
          <w:highlight w:val="none"/>
        </w:rPr>
      </w:pPr>
      <w:bookmarkStart w:id="60" w:name="_Toc27635"/>
      <w:bookmarkStart w:id="61" w:name="_Toc487900350"/>
      <w:bookmarkStart w:id="62" w:name="_Toc13336"/>
      <w:bookmarkStart w:id="63" w:name="_Toc279701241"/>
      <w:bookmarkStart w:id="64" w:name="_Toc259093670"/>
      <w:bookmarkStart w:id="65" w:name="_Toc32504"/>
      <w:r>
        <w:rPr>
          <w:rFonts w:hint="eastAsia" w:ascii="仿宋" w:hAnsi="仿宋" w:eastAsia="仿宋" w:cs="仿宋"/>
          <w:b/>
          <w:color w:val="auto"/>
          <w:sz w:val="24"/>
          <w:highlight w:val="none"/>
        </w:rPr>
        <w:t>2.2 技术规范</w:t>
      </w:r>
      <w:bookmarkEnd w:id="60"/>
      <w:bookmarkEnd w:id="61"/>
      <w:bookmarkEnd w:id="62"/>
      <w:bookmarkEnd w:id="63"/>
      <w:bookmarkEnd w:id="64"/>
      <w:bookmarkEnd w:id="6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6" w:name="_Toc279701242"/>
      <w:bookmarkStart w:id="67" w:name="_Toc9829"/>
      <w:bookmarkStart w:id="68" w:name="_Toc27853"/>
      <w:bookmarkStart w:id="69" w:name="_Toc259093671"/>
      <w:bookmarkStart w:id="70" w:name="_Toc31634"/>
      <w:bookmarkStart w:id="71" w:name="_Toc487900351"/>
      <w:r>
        <w:rPr>
          <w:rFonts w:hint="eastAsia" w:ascii="仿宋" w:hAnsi="仿宋" w:eastAsia="仿宋" w:cs="仿宋"/>
          <w:b/>
          <w:color w:val="auto"/>
          <w:sz w:val="24"/>
          <w:highlight w:val="none"/>
        </w:rPr>
        <w:t>2.3 知识产权</w:t>
      </w:r>
      <w:bookmarkEnd w:id="66"/>
      <w:bookmarkEnd w:id="67"/>
      <w:bookmarkEnd w:id="68"/>
      <w:bookmarkEnd w:id="69"/>
      <w:bookmarkEnd w:id="70"/>
      <w:bookmarkEnd w:id="7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2" w:name="_Toc11932"/>
      <w:bookmarkStart w:id="73" w:name="_Toc29149"/>
      <w:bookmarkStart w:id="74" w:name="_Toc4194"/>
      <w:r>
        <w:rPr>
          <w:rFonts w:hint="eastAsia" w:ascii="仿宋" w:hAnsi="仿宋" w:eastAsia="仿宋" w:cs="仿宋"/>
          <w:b/>
          <w:color w:val="auto"/>
          <w:sz w:val="24"/>
          <w:highlight w:val="none"/>
        </w:rPr>
        <w:t>2.4 包装和装运</w:t>
      </w:r>
      <w:bookmarkEnd w:id="72"/>
      <w:bookmarkEnd w:id="73"/>
      <w:bookmarkEnd w:id="7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5" w:name="_Ref467379542"/>
      <w:bookmarkStart w:id="76" w:name="_Ref467378541"/>
      <w:bookmarkStart w:id="77" w:name="_Ref467378591"/>
      <w:bookmarkStart w:id="78" w:name="_Toc487900354"/>
      <w:bookmarkStart w:id="79" w:name="_Ref467379536"/>
      <w:bookmarkStart w:id="80" w:name="_Ref467379527"/>
      <w:bookmarkStart w:id="81" w:name="_Toc259093674"/>
      <w:bookmarkStart w:id="82" w:name="_Toc279701245"/>
      <w:bookmarkStart w:id="83" w:name="_Toc19074"/>
      <w:bookmarkStart w:id="84" w:name="_Toc30272"/>
      <w:bookmarkStart w:id="85" w:name="_Toc26182"/>
      <w:r>
        <w:rPr>
          <w:rFonts w:hint="eastAsia" w:ascii="仿宋" w:hAnsi="仿宋" w:eastAsia="仿宋" w:cs="仿宋"/>
          <w:b/>
          <w:color w:val="auto"/>
          <w:sz w:val="24"/>
          <w:highlight w:val="none"/>
        </w:rPr>
        <w:t>2.</w:t>
      </w:r>
      <w:bookmarkEnd w:id="75"/>
      <w:bookmarkEnd w:id="76"/>
      <w:bookmarkEnd w:id="77"/>
      <w:bookmarkEnd w:id="78"/>
      <w:bookmarkEnd w:id="79"/>
      <w:bookmarkEnd w:id="80"/>
      <w:bookmarkEnd w:id="81"/>
      <w:bookmarkEnd w:id="82"/>
      <w:r>
        <w:rPr>
          <w:rFonts w:hint="eastAsia" w:ascii="仿宋" w:hAnsi="仿宋" w:eastAsia="仿宋" w:cs="仿宋"/>
          <w:b/>
          <w:color w:val="auto"/>
          <w:sz w:val="24"/>
          <w:highlight w:val="none"/>
        </w:rPr>
        <w:t>5 履约检查和问题反馈</w:t>
      </w:r>
      <w:bookmarkEnd w:id="83"/>
      <w:bookmarkEnd w:id="84"/>
      <w:bookmarkEnd w:id="85"/>
    </w:p>
    <w:p>
      <w:pPr>
        <w:spacing w:line="560" w:lineRule="exact"/>
        <w:ind w:firstLine="480" w:firstLineChars="200"/>
        <w:rPr>
          <w:rFonts w:hint="eastAsia" w:ascii="仿宋" w:hAnsi="仿宋" w:eastAsia="仿宋" w:cs="仿宋"/>
          <w:color w:val="auto"/>
          <w:sz w:val="24"/>
          <w:highlight w:val="none"/>
        </w:rPr>
      </w:pPr>
      <w:bookmarkStart w:id="86" w:name="_Ref467379657"/>
      <w:r>
        <w:rPr>
          <w:rFonts w:hint="eastAsia" w:ascii="仿宋" w:hAnsi="仿宋" w:eastAsia="仿宋" w:cs="仿宋"/>
          <w:color w:val="auto"/>
          <w:sz w:val="24"/>
          <w:highlight w:val="none"/>
        </w:rPr>
        <w:t>2.5.1</w:t>
      </w:r>
      <w:bookmarkEnd w:id="86"/>
      <w:bookmarkStart w:id="87" w:name="_Toc186431854"/>
      <w:bookmarkStart w:id="88" w:name="_Toc259093676"/>
      <w:bookmarkStart w:id="89" w:name="_Toc279701247"/>
      <w:bookmarkStart w:id="90" w:name="_Ref467379793"/>
      <w:bookmarkStart w:id="91" w:name="_Ref467379807"/>
      <w:bookmarkStart w:id="92"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cs="仿宋"/>
          <w:color w:val="auto"/>
          <w:sz w:val="24"/>
          <w:highlight w:val="none"/>
        </w:rPr>
        <w:t>。</w:t>
      </w:r>
    </w:p>
    <w:bookmarkEnd w:id="88"/>
    <w:bookmarkEnd w:id="89"/>
    <w:bookmarkEnd w:id="90"/>
    <w:bookmarkEnd w:id="91"/>
    <w:bookmarkEnd w:id="92"/>
    <w:bookmarkEnd w:id="93"/>
    <w:p>
      <w:pPr>
        <w:spacing w:line="560" w:lineRule="exact"/>
        <w:ind w:firstLine="482" w:firstLineChars="200"/>
        <w:outlineLvl w:val="0"/>
        <w:rPr>
          <w:rFonts w:hint="eastAsia" w:ascii="仿宋" w:hAnsi="仿宋" w:eastAsia="仿宋" w:cs="仿宋"/>
          <w:b/>
          <w:color w:val="auto"/>
          <w:sz w:val="24"/>
          <w:highlight w:val="none"/>
        </w:rPr>
      </w:pPr>
      <w:bookmarkStart w:id="94" w:name="_Toc279701248"/>
      <w:bookmarkStart w:id="95" w:name="_Toc487900358"/>
      <w:bookmarkStart w:id="96" w:name="_Ref467379923"/>
      <w:bookmarkStart w:id="97" w:name="_Toc259093677"/>
      <w:bookmarkStart w:id="98" w:name="_Ref467379852"/>
      <w:bookmarkStart w:id="99" w:name="_Ref467379863"/>
      <w:bookmarkStart w:id="100" w:name="_Toc16110"/>
      <w:bookmarkStart w:id="101" w:name="_Toc774"/>
      <w:bookmarkStart w:id="102" w:name="_Toc3225"/>
      <w:r>
        <w:rPr>
          <w:rFonts w:hint="eastAsia" w:ascii="仿宋" w:hAnsi="仿宋" w:eastAsia="仿宋" w:cs="仿宋"/>
          <w:b/>
          <w:color w:val="auto"/>
          <w:sz w:val="24"/>
          <w:highlight w:val="none"/>
        </w:rPr>
        <w:t>2.6 技术资料</w:t>
      </w:r>
      <w:bookmarkEnd w:id="94"/>
      <w:bookmarkEnd w:id="95"/>
      <w:bookmarkEnd w:id="96"/>
      <w:bookmarkEnd w:id="97"/>
      <w:bookmarkEnd w:id="98"/>
      <w:bookmarkEnd w:id="99"/>
      <w:r>
        <w:rPr>
          <w:rFonts w:hint="eastAsia" w:ascii="仿宋" w:hAnsi="仿宋" w:eastAsia="仿宋" w:cs="仿宋"/>
          <w:b/>
          <w:color w:val="auto"/>
          <w:sz w:val="24"/>
          <w:highlight w:val="none"/>
        </w:rPr>
        <w:t>和保密义务</w:t>
      </w:r>
      <w:bookmarkEnd w:id="100"/>
      <w:bookmarkEnd w:id="101"/>
      <w:bookmarkEnd w:id="10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3" w:name="_Toc7860"/>
      <w:r>
        <w:rPr>
          <w:rFonts w:hint="eastAsia" w:ascii="仿宋" w:hAnsi="仿宋" w:eastAsia="仿宋" w:cs="仿宋"/>
          <w:b/>
          <w:color w:val="auto"/>
          <w:sz w:val="24"/>
          <w:highlight w:val="none"/>
        </w:rPr>
        <w:t>2.7 质量保证</w:t>
      </w:r>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4" w:name="_Toc17244"/>
      <w:bookmarkStart w:id="105" w:name="_Toc279701252"/>
      <w:bookmarkStart w:id="106" w:name="_Toc487900362"/>
      <w:bookmarkStart w:id="107" w:name="_Toc259093681"/>
      <w:r>
        <w:rPr>
          <w:rFonts w:hint="eastAsia" w:ascii="仿宋" w:hAnsi="仿宋" w:eastAsia="仿宋" w:cs="仿宋"/>
          <w:b/>
          <w:color w:val="auto"/>
          <w:sz w:val="24"/>
          <w:highlight w:val="none"/>
        </w:rPr>
        <w:t>2.8 货物的风险负担</w:t>
      </w:r>
      <w:bookmarkEnd w:id="104"/>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8" w:name="_Toc14055"/>
      <w:r>
        <w:rPr>
          <w:rFonts w:hint="eastAsia" w:ascii="仿宋" w:hAnsi="仿宋" w:eastAsia="仿宋" w:cs="仿宋"/>
          <w:b/>
          <w:color w:val="auto"/>
          <w:sz w:val="24"/>
          <w:highlight w:val="none"/>
        </w:rPr>
        <w:t>2.9 延迟交货</w:t>
      </w:r>
      <w:bookmarkEnd w:id="105"/>
      <w:bookmarkEnd w:id="106"/>
      <w:bookmarkEnd w:id="107"/>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9" w:name="_Toc7502"/>
      <w:bookmarkStart w:id="110" w:name="_Toc259093683"/>
      <w:bookmarkStart w:id="111" w:name="_Toc279701254"/>
      <w:bookmarkStart w:id="112" w:name="_Toc487900364"/>
      <w:bookmarkStart w:id="113" w:name="_Ref467378121"/>
      <w:r>
        <w:rPr>
          <w:rFonts w:hint="eastAsia" w:ascii="仿宋" w:hAnsi="仿宋" w:eastAsia="仿宋" w:cs="仿宋"/>
          <w:b/>
          <w:color w:val="auto"/>
          <w:sz w:val="24"/>
          <w:highlight w:val="none"/>
        </w:rPr>
        <w:t>2.10 合同变更</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4" w:name="_Toc259093688"/>
      <w:bookmarkStart w:id="115" w:name="_Toc279701259"/>
      <w:bookmarkStart w:id="116" w:name="_Toc487900369"/>
    </w:p>
    <w:p>
      <w:pPr>
        <w:spacing w:line="560" w:lineRule="exact"/>
        <w:ind w:firstLine="482" w:firstLineChars="200"/>
        <w:outlineLvl w:val="0"/>
        <w:rPr>
          <w:rFonts w:hint="eastAsia" w:ascii="仿宋" w:hAnsi="仿宋" w:eastAsia="仿宋" w:cs="仿宋"/>
          <w:b/>
          <w:color w:val="auto"/>
          <w:sz w:val="24"/>
          <w:highlight w:val="none"/>
        </w:rPr>
      </w:pPr>
      <w:bookmarkStart w:id="117" w:name="_Toc22955"/>
      <w:bookmarkStart w:id="118" w:name="_Toc15237"/>
      <w:bookmarkStart w:id="119" w:name="_Toc10366"/>
      <w:r>
        <w:rPr>
          <w:rFonts w:hint="eastAsia" w:ascii="仿宋" w:hAnsi="仿宋" w:eastAsia="仿宋" w:cs="仿宋"/>
          <w:b/>
          <w:color w:val="auto"/>
          <w:sz w:val="24"/>
          <w:highlight w:val="none"/>
        </w:rPr>
        <w:t>2.11 合同转让</w:t>
      </w:r>
      <w:bookmarkEnd w:id="114"/>
      <w:bookmarkEnd w:id="115"/>
      <w:bookmarkEnd w:id="116"/>
      <w:r>
        <w:rPr>
          <w:rFonts w:hint="eastAsia" w:ascii="仿宋" w:hAnsi="仿宋" w:eastAsia="仿宋" w:cs="仿宋"/>
          <w:b/>
          <w:color w:val="auto"/>
          <w:sz w:val="24"/>
          <w:highlight w:val="none"/>
        </w:rPr>
        <w:t>和分包</w:t>
      </w:r>
      <w:bookmarkEnd w:id="117"/>
      <w:bookmarkEnd w:id="118"/>
      <w:bookmarkEnd w:id="119"/>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20" w:name="_Toc13566"/>
      <w:bookmarkStart w:id="121" w:name="_Toc14066"/>
      <w:bookmarkStart w:id="122" w:name="_Toc16508"/>
      <w:r>
        <w:rPr>
          <w:rFonts w:hint="eastAsia" w:ascii="仿宋" w:hAnsi="仿宋" w:eastAsia="仿宋" w:cs="仿宋"/>
          <w:b/>
          <w:color w:val="auto"/>
          <w:sz w:val="24"/>
          <w:highlight w:val="none"/>
        </w:rPr>
        <w:t>2.12 不可抗力</w:t>
      </w:r>
      <w:bookmarkEnd w:id="120"/>
      <w:bookmarkEnd w:id="121"/>
      <w:bookmarkEnd w:id="12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3" w:name="_Toc689"/>
      <w:bookmarkStart w:id="124" w:name="_Toc487900365"/>
      <w:bookmarkStart w:id="125" w:name="_Toc259093684"/>
      <w:bookmarkStart w:id="126" w:name="_Toc30676"/>
      <w:bookmarkStart w:id="127" w:name="_Toc279701255"/>
      <w:bookmarkStart w:id="128" w:name="_Toc6969"/>
      <w:r>
        <w:rPr>
          <w:rFonts w:hint="eastAsia" w:ascii="仿宋" w:hAnsi="仿宋" w:eastAsia="仿宋" w:cs="仿宋"/>
          <w:b/>
          <w:color w:val="auto"/>
          <w:sz w:val="24"/>
          <w:highlight w:val="none"/>
        </w:rPr>
        <w:t>2.13 税费</w:t>
      </w:r>
      <w:bookmarkEnd w:id="123"/>
      <w:bookmarkEnd w:id="124"/>
      <w:bookmarkEnd w:id="125"/>
      <w:bookmarkEnd w:id="126"/>
      <w:bookmarkEnd w:id="127"/>
      <w:bookmarkEnd w:id="12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9" w:name="_Toc16959"/>
      <w:bookmarkStart w:id="130" w:name="_Toc8298"/>
      <w:bookmarkStart w:id="131" w:name="_Toc487900368"/>
      <w:bookmarkStart w:id="132" w:name="_Toc279701258"/>
      <w:bookmarkStart w:id="133" w:name="_Toc7102"/>
      <w:bookmarkStart w:id="134" w:name="_Toc259093687"/>
      <w:r>
        <w:rPr>
          <w:rFonts w:hint="eastAsia" w:ascii="仿宋" w:hAnsi="仿宋" w:eastAsia="仿宋" w:cs="仿宋"/>
          <w:b/>
          <w:color w:val="auto"/>
          <w:sz w:val="24"/>
          <w:highlight w:val="none"/>
        </w:rPr>
        <w:t>2.14乙方破产</w:t>
      </w:r>
      <w:bookmarkEnd w:id="129"/>
      <w:bookmarkEnd w:id="130"/>
      <w:bookmarkEnd w:id="131"/>
      <w:bookmarkEnd w:id="132"/>
      <w:bookmarkEnd w:id="133"/>
      <w:bookmarkEnd w:id="13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5" w:name="_Toc15387"/>
      <w:bookmarkStart w:id="136" w:name="_Toc29333"/>
      <w:bookmarkStart w:id="137" w:name="_Toc6134"/>
      <w:r>
        <w:rPr>
          <w:rFonts w:hint="eastAsia" w:ascii="仿宋" w:hAnsi="仿宋" w:eastAsia="仿宋" w:cs="仿宋"/>
          <w:b/>
          <w:color w:val="auto"/>
          <w:sz w:val="24"/>
          <w:highlight w:val="none"/>
        </w:rPr>
        <w:t>2.15 合同中止、终止</w:t>
      </w:r>
      <w:bookmarkEnd w:id="135"/>
      <w:bookmarkEnd w:id="136"/>
      <w:bookmarkEnd w:id="13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8" w:name="_Toc1125"/>
      <w:bookmarkStart w:id="139" w:name="_Toc6596"/>
      <w:bookmarkStart w:id="140" w:name="_Toc14563"/>
      <w:r>
        <w:rPr>
          <w:rFonts w:hint="eastAsia" w:ascii="仿宋" w:hAnsi="仿宋" w:eastAsia="仿宋" w:cs="仿宋"/>
          <w:b/>
          <w:color w:val="auto"/>
          <w:sz w:val="24"/>
          <w:highlight w:val="none"/>
        </w:rPr>
        <w:t>2.16检验和验收</w:t>
      </w:r>
      <w:bookmarkEnd w:id="138"/>
      <w:bookmarkEnd w:id="139"/>
      <w:bookmarkEnd w:id="140"/>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10"/>
    <w:bookmarkEnd w:id="111"/>
    <w:bookmarkEnd w:id="112"/>
    <w:bookmarkEnd w:id="113"/>
    <w:p>
      <w:pPr>
        <w:spacing w:line="560" w:lineRule="exact"/>
        <w:ind w:firstLine="482" w:firstLineChars="200"/>
        <w:outlineLvl w:val="0"/>
        <w:rPr>
          <w:rFonts w:hint="eastAsia" w:ascii="仿宋" w:hAnsi="仿宋" w:eastAsia="仿宋" w:cs="仿宋"/>
          <w:b/>
          <w:color w:val="auto"/>
          <w:sz w:val="24"/>
          <w:highlight w:val="none"/>
        </w:rPr>
      </w:pPr>
      <w:bookmarkStart w:id="141" w:name="_Toc279701261"/>
      <w:bookmarkStart w:id="142" w:name="_Toc487900371"/>
      <w:bookmarkStart w:id="143" w:name="_Toc259093690"/>
      <w:bookmarkStart w:id="144" w:name="_Toc25182"/>
      <w:bookmarkStart w:id="145" w:name="_Toc19604"/>
      <w:bookmarkStart w:id="146" w:name="_Toc11284"/>
      <w:r>
        <w:rPr>
          <w:rFonts w:hint="eastAsia" w:ascii="仿宋" w:hAnsi="仿宋" w:eastAsia="仿宋" w:cs="仿宋"/>
          <w:b/>
          <w:color w:val="auto"/>
          <w:sz w:val="24"/>
          <w:highlight w:val="none"/>
        </w:rPr>
        <w:t>2.17 通知</w:t>
      </w:r>
      <w:bookmarkEnd w:id="141"/>
      <w:bookmarkEnd w:id="142"/>
      <w:bookmarkEnd w:id="143"/>
      <w:r>
        <w:rPr>
          <w:rFonts w:hint="eastAsia" w:ascii="仿宋" w:hAnsi="仿宋" w:eastAsia="仿宋" w:cs="仿宋"/>
          <w:b/>
          <w:color w:val="auto"/>
          <w:sz w:val="24"/>
          <w:highlight w:val="none"/>
        </w:rPr>
        <w:t>和送达</w:t>
      </w:r>
      <w:bookmarkEnd w:id="144"/>
      <w:bookmarkEnd w:id="145"/>
      <w:bookmarkEnd w:id="146"/>
    </w:p>
    <w:p>
      <w:pPr>
        <w:spacing w:line="560" w:lineRule="exact"/>
        <w:ind w:firstLine="480" w:firstLineChars="200"/>
        <w:rPr>
          <w:rFonts w:hint="eastAsia" w:ascii="仿宋" w:hAnsi="仿宋" w:eastAsia="仿宋" w:cs="仿宋"/>
          <w:color w:val="auto"/>
          <w:sz w:val="24"/>
          <w:highlight w:val="none"/>
        </w:rPr>
      </w:pPr>
      <w:bookmarkStart w:id="147" w:name="_Toc6698"/>
      <w:bookmarkStart w:id="148" w:name="_Toc3135"/>
      <w:bookmarkStart w:id="149" w:name="_Toc487900372"/>
      <w:bookmarkStart w:id="150" w:name="_Toc279701262"/>
      <w:bookmarkStart w:id="151" w:name="_Toc259093691"/>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hint="eastAsia" w:ascii="仿宋" w:hAnsi="仿宋" w:eastAsia="仿宋" w:cs="仿宋"/>
          <w:color w:val="auto"/>
          <w:sz w:val="24"/>
          <w:highlight w:val="none"/>
        </w:rPr>
      </w:pPr>
      <w:bookmarkStart w:id="152" w:name="_Toc23128"/>
      <w:bookmarkStart w:id="153"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hint="eastAsia" w:ascii="仿宋" w:hAnsi="仿宋" w:eastAsia="仿宋" w:cs="仿宋"/>
          <w:b/>
          <w:color w:val="auto"/>
          <w:sz w:val="24"/>
          <w:highlight w:val="none"/>
        </w:rPr>
      </w:pPr>
      <w:bookmarkStart w:id="154" w:name="_Toc18540"/>
      <w:bookmarkStart w:id="155" w:name="_Toc4355"/>
      <w:bookmarkStart w:id="156" w:name="_Toc30599"/>
      <w:r>
        <w:rPr>
          <w:rFonts w:hint="eastAsia" w:ascii="仿宋" w:hAnsi="仿宋" w:eastAsia="仿宋" w:cs="仿宋"/>
          <w:b/>
          <w:color w:val="auto"/>
          <w:sz w:val="24"/>
          <w:highlight w:val="none"/>
        </w:rPr>
        <w:t>2.18 计量单位</w:t>
      </w:r>
      <w:bookmarkEnd w:id="149"/>
      <w:bookmarkEnd w:id="150"/>
      <w:bookmarkEnd w:id="151"/>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7" w:name="_Toc12773"/>
      <w:bookmarkStart w:id="158" w:name="_Toc10330"/>
      <w:bookmarkStart w:id="159" w:name="_Toc18567"/>
      <w:bookmarkStart w:id="160" w:name="_Toc259093692"/>
      <w:bookmarkStart w:id="161" w:name="_Toc279701263"/>
      <w:bookmarkStart w:id="162" w:name="_Toc487900373"/>
      <w:r>
        <w:rPr>
          <w:rFonts w:hint="eastAsia" w:ascii="仿宋" w:hAnsi="仿宋" w:eastAsia="仿宋" w:cs="仿宋"/>
          <w:b/>
          <w:color w:val="auto"/>
          <w:sz w:val="24"/>
          <w:highlight w:val="none"/>
        </w:rPr>
        <w:t>2.19 合同使用的文字和适用的法律</w:t>
      </w:r>
      <w:bookmarkEnd w:id="157"/>
      <w:bookmarkEnd w:id="158"/>
      <w:bookmarkEnd w:id="159"/>
      <w:bookmarkEnd w:id="160"/>
      <w:bookmarkEnd w:id="161"/>
      <w:bookmarkEnd w:id="16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63" w:name="_Toc259093693"/>
      <w:bookmarkStart w:id="164" w:name="_Toc12004"/>
      <w:bookmarkStart w:id="165" w:name="_Toc279701264"/>
      <w:bookmarkStart w:id="166" w:name="_Toc3148"/>
      <w:bookmarkStart w:id="167" w:name="_Toc16673"/>
      <w:bookmarkStart w:id="168" w:name="_Toc487900374"/>
      <w:r>
        <w:rPr>
          <w:rFonts w:hint="eastAsia" w:ascii="仿宋" w:hAnsi="仿宋" w:eastAsia="仿宋" w:cs="仿宋"/>
          <w:b/>
          <w:color w:val="auto"/>
          <w:sz w:val="24"/>
          <w:highlight w:val="none"/>
        </w:rPr>
        <w:t>2.20 履约保证金</w:t>
      </w:r>
      <w:bookmarkEnd w:id="163"/>
      <w:bookmarkEnd w:id="164"/>
      <w:bookmarkEnd w:id="165"/>
      <w:bookmarkEnd w:id="166"/>
      <w:bookmarkEnd w:id="167"/>
    </w:p>
    <w:p>
      <w:pPr>
        <w:pStyle w:val="285"/>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hint="eastAsia" w:ascii="仿宋" w:hAnsi="仿宋" w:eastAsia="仿宋" w:cs="仿宋"/>
          <w:b/>
          <w:color w:val="auto"/>
          <w:sz w:val="24"/>
          <w:highlight w:val="none"/>
        </w:rPr>
      </w:pPr>
      <w:bookmarkStart w:id="169" w:name="_Toc14001"/>
      <w:bookmarkStart w:id="170" w:name="_Toc6885"/>
      <w:bookmarkStart w:id="171" w:name="_Toc19890"/>
      <w:r>
        <w:rPr>
          <w:rFonts w:hint="eastAsia" w:ascii="仿宋" w:hAnsi="仿宋" w:eastAsia="仿宋" w:cs="仿宋"/>
          <w:b/>
          <w:color w:val="auto"/>
          <w:sz w:val="24"/>
          <w:highlight w:val="none"/>
        </w:rPr>
        <w:t>2.22合同份数</w:t>
      </w:r>
      <w:bookmarkEnd w:id="169"/>
      <w:bookmarkEnd w:id="170"/>
      <w:bookmarkEnd w:id="17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72" w:name="_Toc331685784"/>
      <w:bookmarkEnd w:id="172"/>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44"/>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315"/>
        <w:gridCol w:w="6750"/>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pPr>
              <w:spacing w:line="360" w:lineRule="auto"/>
              <w:jc w:val="center"/>
              <w:rPr>
                <w:rFonts w:hint="eastAsia" w:ascii="仿宋" w:hAnsi="仿宋" w:eastAsia="仿宋" w:cs="仿宋"/>
                <w:b/>
                <w:sz w:val="21"/>
                <w:szCs w:val="21"/>
                <w:highlight w:val="none"/>
                <w:lang w:eastAsia="zh-CN"/>
              </w:rPr>
            </w:pPr>
            <w:r>
              <w:rPr>
                <w:rFonts w:hint="eastAsia" w:ascii="仿宋" w:hAnsi="仿宋" w:eastAsia="仿宋" w:cs="仿宋"/>
                <w:b/>
                <w:sz w:val="21"/>
                <w:szCs w:val="21"/>
                <w:highlight w:val="none"/>
                <w:lang w:eastAsia="zh-CN"/>
              </w:rPr>
              <w:t>序号</w:t>
            </w:r>
          </w:p>
        </w:tc>
        <w:tc>
          <w:tcPr>
            <w:tcW w:w="700" w:type="pct"/>
            <w:noWrap w:val="0"/>
            <w:vAlign w:val="center"/>
          </w:tcPr>
          <w:p>
            <w:pPr>
              <w:spacing w:line="360" w:lineRule="auto"/>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3592" w:type="pct"/>
            <w:noWrap w:val="0"/>
            <w:vAlign w:val="top"/>
          </w:tcPr>
          <w:p>
            <w:pPr>
              <w:spacing w:line="36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297" w:type="pct"/>
            <w:noWrap w:val="0"/>
            <w:vAlign w:val="center"/>
          </w:tcPr>
          <w:p>
            <w:pPr>
              <w:spacing w:line="36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700" w:type="pc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主要技术参数响应性</w:t>
            </w:r>
          </w:p>
        </w:tc>
        <w:tc>
          <w:tcPr>
            <w:tcW w:w="359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1.满足招标文件要求的得</w:t>
            </w:r>
            <w:r>
              <w:rPr>
                <w:rFonts w:hint="eastAsia" w:ascii="仿宋" w:hAnsi="仿宋" w:eastAsia="仿宋" w:cs="仿宋"/>
                <w:sz w:val="21"/>
                <w:szCs w:val="21"/>
                <w:highlight w:val="none"/>
                <w:lang w:val="en-US" w:eastAsia="zh-CN"/>
              </w:rPr>
              <w:t>30</w:t>
            </w:r>
            <w:r>
              <w:rPr>
                <w:rFonts w:hint="eastAsia" w:ascii="仿宋" w:hAnsi="仿宋" w:eastAsia="仿宋" w:cs="仿宋"/>
                <w:sz w:val="21"/>
                <w:szCs w:val="21"/>
                <w:highlight w:val="none"/>
              </w:rPr>
              <w:t>分，打“▲”号的指标为主要功能、配置，如出现负偏离每项扣4分；其他一般性指标每有一项负偏离的扣2分，扣完为止。</w:t>
            </w:r>
          </w:p>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2．若负偏离达到5个及以上的，且经评标小组认定为实质性不响应招标文件要求的，做无效投标处理。</w:t>
            </w:r>
          </w:p>
        </w:tc>
        <w:tc>
          <w:tcPr>
            <w:tcW w:w="297" w:type="pct"/>
            <w:noWrap w:val="0"/>
            <w:vAlign w:val="center"/>
          </w:tcPr>
          <w:p>
            <w:pPr>
              <w:spacing w:line="360" w:lineRule="auto"/>
              <w:ind w:left="-115" w:leftChars="-55" w:right="-115" w:rightChars="-55"/>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pPr>
              <w:spacing w:line="400" w:lineRule="exact"/>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700" w:type="pct"/>
            <w:noWrap w:val="0"/>
            <w:vAlign w:val="center"/>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厂家授权</w:t>
            </w:r>
          </w:p>
        </w:tc>
        <w:tc>
          <w:tcPr>
            <w:tcW w:w="359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能提供厂家授权资质的得</w:t>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rPr>
              <w:t>分，提供</w:t>
            </w:r>
            <w:r>
              <w:rPr>
                <w:rFonts w:hint="eastAsia" w:ascii="仿宋" w:hAnsi="仿宋" w:eastAsia="仿宋" w:cs="仿宋"/>
                <w:sz w:val="21"/>
                <w:szCs w:val="21"/>
                <w:highlight w:val="none"/>
                <w:lang w:eastAsia="zh-CN"/>
              </w:rPr>
              <w:t>厂家</w:t>
            </w:r>
            <w:r>
              <w:rPr>
                <w:rFonts w:hint="eastAsia" w:ascii="仿宋" w:hAnsi="仿宋" w:eastAsia="仿宋" w:cs="仿宋"/>
                <w:sz w:val="21"/>
                <w:szCs w:val="21"/>
                <w:highlight w:val="none"/>
              </w:rPr>
              <w:t>授权资质经销商</w:t>
            </w:r>
            <w:r>
              <w:rPr>
                <w:rFonts w:hint="eastAsia" w:ascii="仿宋" w:hAnsi="仿宋" w:eastAsia="仿宋" w:cs="仿宋"/>
                <w:sz w:val="21"/>
                <w:szCs w:val="21"/>
                <w:highlight w:val="none"/>
                <w:lang w:eastAsia="zh-CN"/>
              </w:rPr>
              <w:t>授权的得</w:t>
            </w:r>
            <w:r>
              <w:rPr>
                <w:rFonts w:hint="eastAsia" w:ascii="仿宋" w:hAnsi="仿宋" w:eastAsia="仿宋" w:cs="仿宋"/>
                <w:sz w:val="21"/>
                <w:szCs w:val="21"/>
                <w:highlight w:val="none"/>
                <w:lang w:val="en-US" w:eastAsia="zh-CN"/>
              </w:rPr>
              <w:t>5分，</w:t>
            </w:r>
            <w:r>
              <w:rPr>
                <w:rFonts w:hint="eastAsia" w:ascii="仿宋" w:hAnsi="仿宋" w:eastAsia="仿宋" w:cs="仿宋"/>
                <w:sz w:val="21"/>
                <w:szCs w:val="21"/>
                <w:highlight w:val="none"/>
              </w:rPr>
              <w:t>否则得0分。</w:t>
            </w:r>
          </w:p>
        </w:tc>
        <w:tc>
          <w:tcPr>
            <w:tcW w:w="297" w:type="pct"/>
            <w:noWrap w:val="0"/>
            <w:vAlign w:val="center"/>
          </w:tcPr>
          <w:p>
            <w:pPr>
              <w:spacing w:line="400" w:lineRule="exact"/>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pPr>
              <w:spacing w:line="400" w:lineRule="exact"/>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700" w:type="pct"/>
            <w:noWrap w:val="0"/>
            <w:vAlign w:val="center"/>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企业实力</w:t>
            </w:r>
          </w:p>
        </w:tc>
        <w:tc>
          <w:tcPr>
            <w:tcW w:w="359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根据投标单位供货能力、信誉度、服务承诺、响应承诺等情况，由专家酌情打分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0-5分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297" w:type="pct"/>
            <w:noWrap w:val="0"/>
            <w:vAlign w:val="center"/>
          </w:tcPr>
          <w:p>
            <w:pPr>
              <w:spacing w:line="400" w:lineRule="exact"/>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pPr>
              <w:spacing w:line="440" w:lineRule="exact"/>
              <w:ind w:left="-13" w:leftChars="-6" w:right="42" w:rightChars="20" w:firstLine="12" w:firstLineChars="6"/>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700" w:type="pct"/>
            <w:noWrap w:val="0"/>
            <w:vAlign w:val="center"/>
          </w:tcPr>
          <w:p>
            <w:pPr>
              <w:spacing w:line="440" w:lineRule="exact"/>
              <w:ind w:left="-13" w:leftChars="-6" w:right="42" w:rightChars="20" w:firstLine="12" w:firstLineChars="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保修、保养服务方案</w:t>
            </w:r>
          </w:p>
        </w:tc>
        <w:tc>
          <w:tcPr>
            <w:tcW w:w="359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w:t>
            </w:r>
            <w:r>
              <w:rPr>
                <w:rFonts w:hint="eastAsia" w:ascii="仿宋" w:hAnsi="仿宋" w:eastAsia="仿宋" w:cs="仿宋"/>
                <w:sz w:val="21"/>
                <w:szCs w:val="21"/>
                <w:highlight w:val="none"/>
                <w:lang w:eastAsia="zh-CN"/>
              </w:rPr>
              <w:t>人</w:t>
            </w:r>
            <w:r>
              <w:rPr>
                <w:rFonts w:hint="eastAsia" w:ascii="仿宋" w:hAnsi="仿宋" w:eastAsia="仿宋" w:cs="仿宋"/>
                <w:sz w:val="21"/>
                <w:szCs w:val="21"/>
                <w:highlight w:val="none"/>
              </w:rPr>
              <w:t>提供的保修服务内容、保养服务方案；提供远程服务和远程监控方案，客户服务专线电话服务内容和方案；是否具有较强的专业技术队伍，能提供快速的售后服务响应等综合</w:t>
            </w:r>
            <w:r>
              <w:rPr>
                <w:rFonts w:hint="eastAsia" w:ascii="仿宋" w:hAnsi="仿宋" w:eastAsia="仿宋" w:cs="仿宋"/>
                <w:sz w:val="21"/>
                <w:szCs w:val="21"/>
                <w:highlight w:val="none"/>
                <w:lang w:eastAsia="zh-CN"/>
              </w:rPr>
              <w:t>评审</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0-9分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297" w:type="pct"/>
            <w:noWrap w:val="0"/>
            <w:vAlign w:val="center"/>
          </w:tcPr>
          <w:p>
            <w:pPr>
              <w:spacing w:line="440" w:lineRule="exact"/>
              <w:ind w:left="-13" w:leftChars="-6" w:right="42" w:rightChars="20" w:firstLine="12" w:firstLineChars="6"/>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700" w:type="pc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投标人业绩</w:t>
            </w:r>
          </w:p>
        </w:tc>
        <w:tc>
          <w:tcPr>
            <w:tcW w:w="359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20</w:t>
            </w:r>
            <w:r>
              <w:rPr>
                <w:rFonts w:hint="eastAsia" w:ascii="仿宋" w:hAnsi="仿宋" w:eastAsia="仿宋" w:cs="仿宋"/>
                <w:sz w:val="21"/>
                <w:szCs w:val="21"/>
                <w:highlight w:val="none"/>
                <w:lang w:val="en-US" w:eastAsia="zh-CN"/>
              </w:rPr>
              <w:t>20</w:t>
            </w:r>
            <w:r>
              <w:rPr>
                <w:rFonts w:hint="eastAsia" w:ascii="仿宋" w:hAnsi="仿宋" w:eastAsia="仿宋" w:cs="仿宋"/>
                <w:sz w:val="21"/>
                <w:szCs w:val="21"/>
                <w:highlight w:val="none"/>
              </w:rPr>
              <w:t>年1月至今案例合同。根据投标人所提供的同类产品案例合同，经评标小组认定为符合要求：每有一份得</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分；最高得</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分。</w:t>
            </w:r>
          </w:p>
        </w:tc>
        <w:tc>
          <w:tcPr>
            <w:tcW w:w="297" w:type="pct"/>
            <w:noWrap w:val="0"/>
            <w:vAlign w:val="center"/>
          </w:tcPr>
          <w:p>
            <w:pPr>
              <w:spacing w:line="360" w:lineRule="auto"/>
              <w:ind w:left="-115" w:leftChars="-55" w:right="-115" w:rightChars="-55"/>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vMerge w:val="restart"/>
            <w:noWrap w:val="0"/>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700" w:type="pct"/>
            <w:vMerge w:val="restar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售后服务</w:t>
            </w:r>
          </w:p>
        </w:tc>
        <w:tc>
          <w:tcPr>
            <w:tcW w:w="359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维修技术力量：技术支持工程师≥1人,每增加1人得1分，最多得1分；专职维修工程师≥1人,每增加1人得1分，最多得2分。上述人员须提供近三个月的社保缴纳证明资料加盖投标人公章。</w:t>
            </w:r>
          </w:p>
        </w:tc>
        <w:tc>
          <w:tcPr>
            <w:tcW w:w="297" w:type="pct"/>
            <w:noWrap w:val="0"/>
            <w:vAlign w:val="center"/>
          </w:tcPr>
          <w:p>
            <w:pPr>
              <w:spacing w:line="360" w:lineRule="auto"/>
              <w:ind w:left="-115" w:leftChars="-55" w:right="-115" w:rightChars="-5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vMerge w:val="continue"/>
            <w:noWrap w:val="0"/>
            <w:vAlign w:val="center"/>
          </w:tcPr>
          <w:p>
            <w:pPr>
              <w:spacing w:line="360" w:lineRule="auto"/>
              <w:jc w:val="center"/>
              <w:rPr>
                <w:rFonts w:hint="eastAsia" w:ascii="仿宋" w:hAnsi="仿宋" w:eastAsia="仿宋" w:cs="仿宋"/>
                <w:sz w:val="21"/>
                <w:szCs w:val="21"/>
                <w:highlight w:val="none"/>
              </w:rPr>
            </w:pPr>
          </w:p>
        </w:tc>
        <w:tc>
          <w:tcPr>
            <w:tcW w:w="700" w:type="pct"/>
            <w:vMerge w:val="continue"/>
            <w:noWrap w:val="0"/>
            <w:vAlign w:val="center"/>
          </w:tcPr>
          <w:p>
            <w:pPr>
              <w:spacing w:line="360" w:lineRule="auto"/>
              <w:jc w:val="center"/>
              <w:rPr>
                <w:rFonts w:hint="eastAsia" w:ascii="仿宋" w:hAnsi="仿宋" w:eastAsia="仿宋" w:cs="仿宋"/>
                <w:sz w:val="21"/>
                <w:szCs w:val="21"/>
                <w:highlight w:val="none"/>
              </w:rPr>
            </w:pPr>
          </w:p>
        </w:tc>
        <w:tc>
          <w:tcPr>
            <w:tcW w:w="359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售后服务保修期限及内容（详细完整的“三包” ）、售后服务响应时间、措施和方案。根据服务响应、质保期限、维修成本、质保过期后售后服务收费标准等</w:t>
            </w:r>
            <w:r>
              <w:rPr>
                <w:rFonts w:hint="eastAsia" w:ascii="仿宋" w:hAnsi="仿宋" w:eastAsia="仿宋" w:cs="仿宋"/>
                <w:sz w:val="21"/>
                <w:szCs w:val="21"/>
                <w:highlight w:val="none"/>
                <w:lang w:eastAsia="zh-CN"/>
              </w:rPr>
              <w:t>方面进行评</w:t>
            </w:r>
            <w:r>
              <w:rPr>
                <w:rFonts w:hint="eastAsia" w:ascii="仿宋" w:hAnsi="仿宋" w:eastAsia="仿宋" w:cs="仿宋"/>
                <w:sz w:val="21"/>
                <w:szCs w:val="21"/>
                <w:highlight w:val="none"/>
                <w:lang w:eastAsia="zh-CN"/>
              </w:rPr>
              <w:t>审（</w:t>
            </w:r>
            <w:r>
              <w:rPr>
                <w:rFonts w:hint="eastAsia" w:ascii="仿宋" w:hAnsi="仿宋" w:eastAsia="仿宋" w:cs="仿宋"/>
                <w:sz w:val="21"/>
                <w:szCs w:val="21"/>
                <w:highlight w:val="none"/>
                <w:lang w:val="en-US" w:eastAsia="zh-CN"/>
              </w:rPr>
              <w:t>0-4分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297" w:type="pct"/>
            <w:noWrap w:val="0"/>
            <w:vAlign w:val="center"/>
          </w:tcPr>
          <w:p>
            <w:pPr>
              <w:spacing w:line="360" w:lineRule="auto"/>
              <w:ind w:left="-115" w:leftChars="-55" w:right="-115" w:rightChars="-5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vMerge w:val="continue"/>
            <w:noWrap w:val="0"/>
            <w:vAlign w:val="center"/>
          </w:tcPr>
          <w:p>
            <w:pPr>
              <w:spacing w:line="360" w:lineRule="auto"/>
              <w:jc w:val="center"/>
              <w:rPr>
                <w:rFonts w:hint="eastAsia" w:ascii="仿宋" w:hAnsi="仿宋" w:eastAsia="仿宋" w:cs="仿宋"/>
                <w:sz w:val="21"/>
                <w:szCs w:val="21"/>
                <w:highlight w:val="none"/>
              </w:rPr>
            </w:pPr>
          </w:p>
        </w:tc>
        <w:tc>
          <w:tcPr>
            <w:tcW w:w="700" w:type="pct"/>
            <w:vMerge w:val="continue"/>
            <w:noWrap w:val="0"/>
            <w:vAlign w:val="center"/>
          </w:tcPr>
          <w:p>
            <w:pPr>
              <w:spacing w:line="360" w:lineRule="auto"/>
              <w:jc w:val="center"/>
              <w:rPr>
                <w:rFonts w:hint="eastAsia" w:ascii="仿宋" w:hAnsi="仿宋" w:eastAsia="仿宋" w:cs="仿宋"/>
                <w:sz w:val="21"/>
                <w:szCs w:val="21"/>
                <w:highlight w:val="none"/>
              </w:rPr>
            </w:pPr>
          </w:p>
        </w:tc>
        <w:tc>
          <w:tcPr>
            <w:tcW w:w="359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在</w:t>
            </w:r>
            <w:r>
              <w:rPr>
                <w:rFonts w:hint="eastAsia" w:ascii="仿宋" w:hAnsi="仿宋" w:eastAsia="仿宋" w:cs="仿宋"/>
                <w:sz w:val="21"/>
                <w:szCs w:val="21"/>
                <w:highlight w:val="none"/>
                <w:lang w:eastAsia="zh-CN"/>
              </w:rPr>
              <w:t>本</w:t>
            </w:r>
            <w:r>
              <w:rPr>
                <w:rFonts w:hint="eastAsia" w:ascii="仿宋" w:hAnsi="仿宋" w:eastAsia="仿宋" w:cs="仿宋"/>
                <w:sz w:val="21"/>
                <w:szCs w:val="21"/>
                <w:highlight w:val="none"/>
              </w:rPr>
              <w:t>地区有备货仓库</w:t>
            </w:r>
            <w:r>
              <w:rPr>
                <w:rFonts w:hint="eastAsia" w:ascii="仿宋" w:hAnsi="仿宋" w:eastAsia="仿宋" w:cs="仿宋"/>
                <w:sz w:val="21"/>
                <w:szCs w:val="21"/>
                <w:highlight w:val="none"/>
              </w:rPr>
              <w:t>（</w:t>
            </w:r>
            <w:r>
              <w:rPr>
                <w:rFonts w:hint="eastAsia" w:ascii="仿宋" w:hAnsi="仿宋" w:eastAsia="仿宋" w:cs="仿宋"/>
                <w:sz w:val="21"/>
                <w:szCs w:val="21"/>
                <w:highlight w:val="none"/>
                <w:lang w:eastAsia="zh-CN"/>
              </w:rPr>
              <w:t>须</w:t>
            </w:r>
            <w:r>
              <w:rPr>
                <w:rFonts w:hint="eastAsia" w:ascii="仿宋" w:hAnsi="仿宋" w:eastAsia="仿宋" w:cs="仿宋"/>
                <w:sz w:val="21"/>
                <w:szCs w:val="21"/>
                <w:highlight w:val="none"/>
              </w:rPr>
              <w:t>提供相关证明材料）</w:t>
            </w:r>
            <w:r>
              <w:rPr>
                <w:rFonts w:hint="eastAsia" w:ascii="仿宋" w:hAnsi="仿宋" w:eastAsia="仿宋" w:cs="仿宋"/>
                <w:sz w:val="21"/>
                <w:szCs w:val="21"/>
                <w:highlight w:val="none"/>
                <w:lang w:eastAsia="zh-CN"/>
              </w:rPr>
              <w:t>得</w:t>
            </w:r>
            <w:r>
              <w:rPr>
                <w:rFonts w:hint="eastAsia" w:ascii="仿宋" w:hAnsi="仿宋" w:eastAsia="仿宋" w:cs="仿宋"/>
                <w:sz w:val="21"/>
                <w:szCs w:val="21"/>
                <w:highlight w:val="none"/>
              </w:rPr>
              <w:t>3分，</w:t>
            </w:r>
            <w:r>
              <w:rPr>
                <w:rFonts w:hint="eastAsia" w:ascii="仿宋" w:hAnsi="仿宋" w:eastAsia="仿宋" w:cs="仿宋"/>
                <w:sz w:val="21"/>
                <w:szCs w:val="21"/>
                <w:highlight w:val="none"/>
                <w:lang w:eastAsia="zh-CN"/>
              </w:rPr>
              <w:t>投标人承诺在中标后设立备货仓库得</w:t>
            </w:r>
            <w:r>
              <w:rPr>
                <w:rFonts w:hint="eastAsia" w:ascii="仿宋" w:hAnsi="仿宋" w:eastAsia="仿宋" w:cs="仿宋"/>
                <w:sz w:val="21"/>
                <w:szCs w:val="21"/>
                <w:highlight w:val="none"/>
                <w:lang w:val="en-US" w:eastAsia="zh-CN"/>
              </w:rPr>
              <w:t>1分，</w:t>
            </w:r>
            <w:r>
              <w:rPr>
                <w:rFonts w:hint="eastAsia" w:ascii="仿宋" w:hAnsi="仿宋" w:eastAsia="仿宋" w:cs="仿宋"/>
                <w:sz w:val="21"/>
                <w:szCs w:val="21"/>
                <w:highlight w:val="none"/>
                <w:lang w:eastAsia="zh-CN"/>
              </w:rPr>
              <w:t>没有或未提供相关证明材料不得</w:t>
            </w:r>
            <w:r>
              <w:rPr>
                <w:rFonts w:hint="eastAsia" w:ascii="仿宋" w:hAnsi="仿宋" w:eastAsia="仿宋" w:cs="仿宋"/>
                <w:sz w:val="21"/>
                <w:szCs w:val="21"/>
                <w:highlight w:val="none"/>
              </w:rPr>
              <w:t>分。</w:t>
            </w:r>
          </w:p>
        </w:tc>
        <w:tc>
          <w:tcPr>
            <w:tcW w:w="297" w:type="pct"/>
            <w:noWrap w:val="0"/>
            <w:vAlign w:val="center"/>
          </w:tcPr>
          <w:p>
            <w:pPr>
              <w:spacing w:line="360" w:lineRule="auto"/>
              <w:ind w:left="-115" w:leftChars="-55" w:right="-115" w:rightChars="-5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700" w:type="pc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其他优惠承诺</w:t>
            </w:r>
          </w:p>
        </w:tc>
        <w:tc>
          <w:tcPr>
            <w:tcW w:w="359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投标</w:t>
            </w:r>
            <w:r>
              <w:rPr>
                <w:rFonts w:hint="eastAsia" w:ascii="仿宋" w:hAnsi="仿宋" w:eastAsia="仿宋" w:cs="仿宋"/>
                <w:sz w:val="21"/>
                <w:szCs w:val="21"/>
                <w:highlight w:val="none"/>
                <w:lang w:eastAsia="zh-CN"/>
              </w:rPr>
              <w:t>人</w:t>
            </w:r>
            <w:r>
              <w:rPr>
                <w:rFonts w:hint="eastAsia" w:ascii="仿宋" w:hAnsi="仿宋" w:eastAsia="仿宋" w:cs="仿宋"/>
                <w:sz w:val="21"/>
                <w:szCs w:val="21"/>
                <w:highlight w:val="none"/>
              </w:rPr>
              <w:t>根据自身的能力，提供各种服务</w:t>
            </w:r>
            <w:r>
              <w:rPr>
                <w:rFonts w:hint="eastAsia" w:ascii="仿宋" w:hAnsi="仿宋" w:eastAsia="仿宋" w:cs="仿宋"/>
                <w:sz w:val="21"/>
                <w:szCs w:val="21"/>
                <w:highlight w:val="none"/>
                <w:lang w:eastAsia="zh-CN"/>
              </w:rPr>
              <w:t>承诺（</w:t>
            </w:r>
            <w:r>
              <w:rPr>
                <w:rFonts w:hint="eastAsia" w:ascii="仿宋" w:hAnsi="仿宋" w:eastAsia="仿宋" w:cs="仿宋"/>
                <w:sz w:val="21"/>
                <w:szCs w:val="21"/>
                <w:highlight w:val="none"/>
                <w:lang w:val="en-US" w:eastAsia="zh-CN"/>
              </w:rPr>
              <w:t>0-3分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297" w:type="pct"/>
            <w:noWrap w:val="0"/>
            <w:vAlign w:val="center"/>
          </w:tcPr>
          <w:p>
            <w:pPr>
              <w:spacing w:line="360" w:lineRule="auto"/>
              <w:ind w:left="-115" w:leftChars="-55" w:right="-115" w:rightChars="-5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bookmarkEnd w:id="7"/>
      <w:bookmarkEnd w:id="8"/>
      <w:bookmarkEnd w:id="9"/>
      <w:bookmarkEnd w:id="10"/>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7"/>
        <w:spacing w:line="800" w:lineRule="atLeast"/>
        <w:ind w:left="0" w:leftChars="0"/>
        <w:rPr>
          <w:rFonts w:hint="eastAsia" w:ascii="仿宋" w:hAnsi="仿宋" w:eastAsia="仿宋" w:cs="仿宋"/>
          <w:b/>
          <w:color w:val="auto"/>
          <w:sz w:val="36"/>
          <w:szCs w:val="36"/>
          <w:highlight w:val="none"/>
        </w:rPr>
      </w:pPr>
    </w:p>
    <w:p>
      <w:pPr>
        <w:pStyle w:val="7"/>
        <w:spacing w:line="800" w:lineRule="atLeast"/>
        <w:ind w:left="0" w:leftChars="0"/>
        <w:rPr>
          <w:rFonts w:hint="eastAsia" w:ascii="仿宋" w:hAnsi="仿宋" w:eastAsia="仿宋" w:cs="仿宋"/>
          <w:b/>
          <w:color w:val="auto"/>
          <w:sz w:val="36"/>
          <w:szCs w:val="36"/>
          <w:highlight w:val="none"/>
        </w:rPr>
      </w:pPr>
    </w:p>
    <w:p>
      <w:pPr>
        <w:pStyle w:val="7"/>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2"/>
        <w:spacing w:afterLines="0" w:line="440" w:lineRule="exact"/>
        <w:ind w:firstLine="0" w:firstLineChars="0"/>
        <w:rPr>
          <w:rFonts w:hint="eastAsia" w:ascii="仿宋" w:hAnsi="仿宋" w:eastAsia="仿宋" w:cs="仿宋"/>
          <w:color w:val="auto"/>
          <w:szCs w:val="24"/>
          <w:highlight w:val="none"/>
        </w:rPr>
      </w:pPr>
    </w:p>
    <w:p>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2"/>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highlight w:val="none"/>
              </w:rPr>
            </w:pPr>
            <w:r>
              <w:rPr>
                <w:rFonts w:hint="eastAsia" w:ascii="宋体" w:hAnsi="宋体"/>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型号和规格</w:t>
            </w:r>
            <w:r>
              <w:rPr>
                <w:rFonts w:hint="eastAsia" w:ascii="宋体" w:hAnsi="宋体"/>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关节镜系统及腹腔镜系统保修服务项目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关节镜系统及腹腔镜系统保修服务项目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 xml:space="preserve">绍兴市中医院关节镜系统及腹腔镜系统保修服务项目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 TYJZ2023</w:t>
      </w:r>
      <w:r>
        <w:rPr>
          <w:rFonts w:hint="eastAsia" w:ascii="仿宋" w:hAnsi="仿宋" w:eastAsia="仿宋" w:cs="仿宋"/>
          <w:color w:val="auto"/>
          <w:sz w:val="24"/>
          <w:highlight w:val="none"/>
        </w:rPr>
        <w:t>）招标文件中关于申请人资格要求的下列条件：</w:t>
      </w:r>
    </w:p>
    <w:p>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both"/>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2"/>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footerReference r:id="rId5" w:type="first"/>
          <w:headerReference r:id="rId3" w:type="default"/>
          <w:footerReference r:id="rId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headerReference r:id="rId6" w:type="default"/>
      <w:footerReference r:id="rId7" w:type="default"/>
      <w:footerReference r:id="rId8"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CA2E2C0"/>
    <w:multiLevelType w:val="singleLevel"/>
    <w:tmpl w:val="FCA2E2C0"/>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7"/>
  </w:num>
  <w:num w:numId="5">
    <w:abstractNumId w:val="5"/>
  </w:num>
  <w:num w:numId="6">
    <w:abstractNumId w:val="0"/>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3FC0AFB"/>
    <w:rsid w:val="0446241E"/>
    <w:rsid w:val="05043575"/>
    <w:rsid w:val="06AB31FB"/>
    <w:rsid w:val="08A8158B"/>
    <w:rsid w:val="0B4D1F94"/>
    <w:rsid w:val="0C5609D3"/>
    <w:rsid w:val="0FE33993"/>
    <w:rsid w:val="10B828F8"/>
    <w:rsid w:val="11504E7B"/>
    <w:rsid w:val="11804AA7"/>
    <w:rsid w:val="137A20FF"/>
    <w:rsid w:val="142305FE"/>
    <w:rsid w:val="1618304E"/>
    <w:rsid w:val="20FF1092"/>
    <w:rsid w:val="214E1D04"/>
    <w:rsid w:val="22D50A60"/>
    <w:rsid w:val="252B7970"/>
    <w:rsid w:val="26125BA4"/>
    <w:rsid w:val="281A2C55"/>
    <w:rsid w:val="28A569C3"/>
    <w:rsid w:val="2B0A0BD5"/>
    <w:rsid w:val="2B431456"/>
    <w:rsid w:val="32297A9B"/>
    <w:rsid w:val="373F7F37"/>
    <w:rsid w:val="382168F2"/>
    <w:rsid w:val="39EE2D34"/>
    <w:rsid w:val="3C854832"/>
    <w:rsid w:val="3E6F2C13"/>
    <w:rsid w:val="3FDC222E"/>
    <w:rsid w:val="45CC7564"/>
    <w:rsid w:val="46B04891"/>
    <w:rsid w:val="49463453"/>
    <w:rsid w:val="49C8030C"/>
    <w:rsid w:val="49D2118A"/>
    <w:rsid w:val="4A963F66"/>
    <w:rsid w:val="4BDC6D24"/>
    <w:rsid w:val="4BFA5BC7"/>
    <w:rsid w:val="53596425"/>
    <w:rsid w:val="53830D36"/>
    <w:rsid w:val="53FA1DF9"/>
    <w:rsid w:val="553A48A9"/>
    <w:rsid w:val="558E2409"/>
    <w:rsid w:val="565B10BC"/>
    <w:rsid w:val="57A71560"/>
    <w:rsid w:val="580179B6"/>
    <w:rsid w:val="58477EF5"/>
    <w:rsid w:val="58B17641"/>
    <w:rsid w:val="59D00B42"/>
    <w:rsid w:val="5ACD4AC6"/>
    <w:rsid w:val="5DD047C5"/>
    <w:rsid w:val="5F9C4824"/>
    <w:rsid w:val="600A6C32"/>
    <w:rsid w:val="60936B26"/>
    <w:rsid w:val="68A909AF"/>
    <w:rsid w:val="694B0523"/>
    <w:rsid w:val="6E611302"/>
    <w:rsid w:val="72E87C49"/>
    <w:rsid w:val="74253AE1"/>
    <w:rsid w:val="74B752B6"/>
    <w:rsid w:val="75673B65"/>
    <w:rsid w:val="75DF67C1"/>
    <w:rsid w:val="76FE49DA"/>
    <w:rsid w:val="79D25219"/>
    <w:rsid w:val="7AF96FC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8"/>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1"/>
    <w:link w:val="6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61"/>
    <w:qFormat/>
    <w:uiPriority w:val="0"/>
    <w:pPr>
      <w:keepNext/>
      <w:widowControl/>
      <w:numPr>
        <w:ilvl w:val="0"/>
        <w:numId w:val="4"/>
      </w:numPr>
      <w:jc w:val="left"/>
      <w:outlineLvl w:val="4"/>
    </w:pPr>
    <w:rPr>
      <w:kern w:val="0"/>
      <w:sz w:val="24"/>
      <w:szCs w:val="20"/>
    </w:rPr>
  </w:style>
  <w:style w:type="paragraph" w:styleId="10">
    <w:name w:val="heading 6"/>
    <w:basedOn w:val="1"/>
    <w:next w:val="1"/>
    <w:link w:val="62"/>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1"/>
    <w:qFormat/>
    <w:uiPriority w:val="0"/>
    <w:pPr>
      <w:adjustRightInd w:val="0"/>
      <w:spacing w:line="360" w:lineRule="auto"/>
      <w:ind w:firstLine="480" w:firstLineChars="200"/>
    </w:pPr>
    <w:rPr>
      <w:sz w:val="24"/>
      <w:szCs w:val="20"/>
      <w:lang w:val="zh-CN"/>
    </w:rPr>
  </w:style>
  <w:style w:type="paragraph" w:styleId="6">
    <w:name w:val="Normal Indent"/>
    <w:basedOn w:val="1"/>
    <w:next w:val="7"/>
    <w:link w:val="56"/>
    <w:qFormat/>
    <w:uiPriority w:val="0"/>
    <w:pPr>
      <w:ind w:firstLine="420" w:firstLineChars="200"/>
    </w:pPr>
  </w:style>
  <w:style w:type="paragraph" w:styleId="7">
    <w:name w:val="Body Text Indent"/>
    <w:basedOn w:val="1"/>
    <w:next w:val="1"/>
    <w:link w:val="68"/>
    <w:qFormat/>
    <w:uiPriority w:val="0"/>
    <w:pPr>
      <w:spacing w:after="120"/>
      <w:ind w:left="420" w:left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2"/>
    <w:qFormat/>
    <w:uiPriority w:val="0"/>
    <w:pPr>
      <w:spacing w:line="360" w:lineRule="auto"/>
      <w:jc w:val="center"/>
    </w:pPr>
    <w:rPr>
      <w:rFonts w:ascii="Calibri" w:hAnsi="Calibri"/>
      <w:sz w:val="20"/>
      <w:szCs w:val="20"/>
    </w:rPr>
  </w:style>
  <w:style w:type="paragraph" w:styleId="17">
    <w:name w:val="Document Map"/>
    <w:basedOn w:val="1"/>
    <w:link w:val="121"/>
    <w:semiHidden/>
    <w:qFormat/>
    <w:uiPriority w:val="0"/>
    <w:pPr>
      <w:shd w:val="clear" w:color="auto" w:fill="000080"/>
    </w:pPr>
  </w:style>
  <w:style w:type="paragraph" w:styleId="18">
    <w:name w:val="annotation text"/>
    <w:basedOn w:val="1"/>
    <w:link w:val="74"/>
    <w:qFormat/>
    <w:uiPriority w:val="0"/>
    <w:pPr>
      <w:jc w:val="left"/>
    </w:pPr>
  </w:style>
  <w:style w:type="paragraph" w:styleId="19">
    <w:name w:val="Body Text"/>
    <w:basedOn w:val="1"/>
    <w:next w:val="8"/>
    <w:link w:val="87"/>
    <w:qFormat/>
    <w:uiPriority w:val="0"/>
    <w:pPr>
      <w:spacing w:line="360" w:lineRule="auto"/>
    </w:pPr>
    <w:rPr>
      <w:rFonts w:eastAsia="仿宋_GB2312"/>
      <w:sz w:val="28"/>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6"/>
    <w:qFormat/>
    <w:uiPriority w:val="0"/>
    <w:rPr>
      <w:rFonts w:ascii="宋体" w:hAnsi="Courier New"/>
      <w:szCs w:val="20"/>
    </w:rPr>
  </w:style>
  <w:style w:type="paragraph" w:styleId="25">
    <w:name w:val="Date"/>
    <w:basedOn w:val="1"/>
    <w:next w:val="1"/>
    <w:link w:val="69"/>
    <w:qFormat/>
    <w:uiPriority w:val="0"/>
    <w:rPr>
      <w:rFonts w:ascii="楷体_GB2312" w:eastAsia="楷体_GB2312"/>
      <w:b/>
      <w:sz w:val="28"/>
      <w:szCs w:val="20"/>
    </w:rPr>
  </w:style>
  <w:style w:type="paragraph" w:styleId="26">
    <w:name w:val="Body Text Indent 2"/>
    <w:basedOn w:val="1"/>
    <w:link w:val="83"/>
    <w:qFormat/>
    <w:uiPriority w:val="0"/>
    <w:pPr>
      <w:spacing w:after="120" w:line="480" w:lineRule="auto"/>
      <w:ind w:left="420" w:leftChars="200"/>
    </w:pPr>
  </w:style>
  <w:style w:type="paragraph" w:styleId="27">
    <w:name w:val="Balloon Text"/>
    <w:basedOn w:val="1"/>
    <w:link w:val="200"/>
    <w:qFormat/>
    <w:uiPriority w:val="0"/>
    <w:rPr>
      <w:sz w:val="18"/>
      <w:szCs w:val="18"/>
    </w:rPr>
  </w:style>
  <w:style w:type="paragraph" w:styleId="28">
    <w:name w:val="footer"/>
    <w:basedOn w:val="1"/>
    <w:link w:val="71"/>
    <w:qFormat/>
    <w:uiPriority w:val="0"/>
    <w:pPr>
      <w:tabs>
        <w:tab w:val="center" w:pos="4153"/>
        <w:tab w:val="right" w:pos="8306"/>
      </w:tabs>
      <w:snapToGrid w:val="0"/>
      <w:jc w:val="left"/>
    </w:pPr>
    <w:rPr>
      <w:sz w:val="18"/>
      <w:szCs w:val="18"/>
    </w:rPr>
  </w:style>
  <w:style w:type="paragraph" w:styleId="29">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5"/>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203"/>
    <w:qFormat/>
    <w:uiPriority w:val="0"/>
    <w:pPr>
      <w:widowControl/>
      <w:spacing w:afterLines="50"/>
    </w:pPr>
    <w:rPr>
      <w:b/>
      <w:bCs/>
      <w:kern w:val="0"/>
      <w:sz w:val="24"/>
      <w:szCs w:val="20"/>
    </w:rPr>
  </w:style>
  <w:style w:type="paragraph" w:styleId="42">
    <w:name w:val="Body Text First Indent"/>
    <w:basedOn w:val="19"/>
    <w:link w:val="204"/>
    <w:qFormat/>
    <w:uiPriority w:val="0"/>
    <w:pPr>
      <w:spacing w:after="120" w:line="240" w:lineRule="auto"/>
      <w:ind w:firstLine="420" w:firstLineChars="100"/>
    </w:pPr>
    <w:rPr>
      <w:rFonts w:eastAsia="宋体"/>
      <w:sz w:val="21"/>
    </w:rPr>
  </w:style>
  <w:style w:type="paragraph" w:styleId="43">
    <w:name w:val="Body Text First Indent 2"/>
    <w:basedOn w:val="7"/>
    <w:next w:val="42"/>
    <w:link w:val="205"/>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paragraph" w:customStyle="1" w:styleId="5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3"/>
    <w:qFormat/>
    <w:uiPriority w:val="0"/>
    <w:rPr>
      <w:rFonts w:eastAsia="仿宋_GB2312"/>
      <w:b/>
      <w:kern w:val="44"/>
      <w:sz w:val="44"/>
      <w:lang w:val="en-US" w:eastAsia="zh-CN" w:bidi="ar-SA"/>
    </w:rPr>
  </w:style>
  <w:style w:type="character" w:customStyle="1" w:styleId="56">
    <w:name w:val="正文缩进 Char"/>
    <w:link w:val="6"/>
    <w:qFormat/>
    <w:uiPriority w:val="0"/>
    <w:rPr>
      <w:rFonts w:eastAsia="宋体"/>
      <w:kern w:val="2"/>
      <w:sz w:val="21"/>
      <w:szCs w:val="24"/>
      <w:lang w:val="en-US" w:eastAsia="zh-CN" w:bidi="ar-SA"/>
    </w:rPr>
  </w:style>
  <w:style w:type="paragraph" w:customStyle="1" w:styleId="57">
    <w:name w:val="_Style 15"/>
    <w:basedOn w:val="1"/>
    <w:qFormat/>
    <w:uiPriority w:val="0"/>
    <w:rPr>
      <w:rFonts w:ascii="Tahoma" w:hAnsi="Tahoma"/>
      <w:sz w:val="24"/>
      <w:szCs w:val="20"/>
    </w:rPr>
  </w:style>
  <w:style w:type="character" w:customStyle="1" w:styleId="58">
    <w:name w:val="标题 2 Char"/>
    <w:link w:val="4"/>
    <w:qFormat/>
    <w:uiPriority w:val="0"/>
    <w:rPr>
      <w:rFonts w:ascii="Arial" w:hAnsi="Arial" w:eastAsia="黑体"/>
      <w:b/>
      <w:kern w:val="2"/>
      <w:sz w:val="32"/>
      <w:lang w:val="en-US" w:eastAsia="zh-CN" w:bidi="ar-SA"/>
    </w:rPr>
  </w:style>
  <w:style w:type="character" w:customStyle="1" w:styleId="59">
    <w:name w:val="标题 3 Char"/>
    <w:link w:val="5"/>
    <w:qFormat/>
    <w:uiPriority w:val="0"/>
    <w:rPr>
      <w:rFonts w:eastAsia="仿宋_GB2312"/>
      <w:b/>
      <w:kern w:val="2"/>
      <w:sz w:val="32"/>
      <w:lang w:val="en-US" w:eastAsia="zh-CN" w:bidi="ar-SA"/>
    </w:rPr>
  </w:style>
  <w:style w:type="character" w:customStyle="1" w:styleId="60">
    <w:name w:val="标题 4 Char1"/>
    <w:link w:val="8"/>
    <w:qFormat/>
    <w:uiPriority w:val="0"/>
    <w:rPr>
      <w:rFonts w:ascii="Arial" w:hAnsi="Arial" w:eastAsia="黑体"/>
      <w:b/>
      <w:kern w:val="2"/>
      <w:sz w:val="28"/>
      <w:lang w:val="en-US" w:eastAsia="zh-CN" w:bidi="ar-SA"/>
    </w:rPr>
  </w:style>
  <w:style w:type="character" w:customStyle="1" w:styleId="61">
    <w:name w:val="标题 5 Char1"/>
    <w:link w:val="9"/>
    <w:qFormat/>
    <w:uiPriority w:val="0"/>
    <w:rPr>
      <w:sz w:val="24"/>
    </w:rPr>
  </w:style>
  <w:style w:type="character" w:customStyle="1" w:styleId="62">
    <w:name w:val="标题 6 Char1"/>
    <w:link w:val="10"/>
    <w:qFormat/>
    <w:uiPriority w:val="0"/>
    <w:rPr>
      <w:rFonts w:ascii="宋体" w:hAnsi="Arial" w:eastAsia="宋体"/>
      <w:sz w:val="24"/>
      <w:lang w:val="en-US" w:eastAsia="zh-CN" w:bidi="ar-SA"/>
    </w:rPr>
  </w:style>
  <w:style w:type="character" w:customStyle="1" w:styleId="63">
    <w:name w:val="标题 7 Char1"/>
    <w:link w:val="11"/>
    <w:qFormat/>
    <w:uiPriority w:val="0"/>
    <w:rPr>
      <w:rFonts w:ascii="宋体" w:hAnsi="Arial" w:eastAsia="宋体"/>
      <w:b/>
      <w:sz w:val="24"/>
      <w:lang w:val="en-US" w:eastAsia="zh-CN" w:bidi="ar-SA"/>
    </w:rPr>
  </w:style>
  <w:style w:type="character" w:customStyle="1" w:styleId="64">
    <w:name w:val="标题 8 Char1"/>
    <w:link w:val="12"/>
    <w:qFormat/>
    <w:uiPriority w:val="0"/>
    <w:rPr>
      <w:rFonts w:ascii="Arial" w:hAnsi="Arial" w:eastAsia="黑体"/>
      <w:sz w:val="24"/>
      <w:lang w:val="en-US" w:eastAsia="zh-CN" w:bidi="ar-SA"/>
    </w:rPr>
  </w:style>
  <w:style w:type="character" w:customStyle="1" w:styleId="65">
    <w:name w:val="标题 9 Char1"/>
    <w:link w:val="13"/>
    <w:qFormat/>
    <w:uiPriority w:val="0"/>
    <w:rPr>
      <w:rFonts w:ascii="Arial" w:hAnsi="Arial" w:eastAsia="黑体"/>
      <w:sz w:val="24"/>
      <w:lang w:val="en-US" w:eastAsia="zh-CN" w:bidi="ar-SA"/>
    </w:rPr>
  </w:style>
  <w:style w:type="character" w:customStyle="1" w:styleId="66">
    <w:name w:val="纯文本 Char"/>
    <w:link w:val="24"/>
    <w:qFormat/>
    <w:uiPriority w:val="0"/>
    <w:rPr>
      <w:rFonts w:ascii="宋体" w:hAnsi="Courier New" w:eastAsia="宋体"/>
      <w:kern w:val="2"/>
      <w:sz w:val="21"/>
      <w:lang w:val="en-US" w:eastAsia="zh-CN" w:bidi="ar-SA"/>
    </w:rPr>
  </w:style>
  <w:style w:type="paragraph" w:customStyle="1" w:styleId="67">
    <w:name w:val="表正文"/>
    <w:basedOn w:val="1"/>
    <w:next w:val="24"/>
    <w:qFormat/>
    <w:uiPriority w:val="0"/>
    <w:rPr>
      <w:rFonts w:ascii="宋体" w:hAnsi="Courier New"/>
      <w:szCs w:val="20"/>
    </w:rPr>
  </w:style>
  <w:style w:type="character" w:customStyle="1" w:styleId="68">
    <w:name w:val="正文文本缩进 Char"/>
    <w:link w:val="7"/>
    <w:qFormat/>
    <w:uiPriority w:val="0"/>
    <w:rPr>
      <w:rFonts w:eastAsia="宋体"/>
      <w:kern w:val="2"/>
      <w:sz w:val="21"/>
      <w:szCs w:val="24"/>
      <w:lang w:val="en-US" w:eastAsia="zh-CN" w:bidi="ar-SA"/>
    </w:rPr>
  </w:style>
  <w:style w:type="character" w:customStyle="1" w:styleId="69">
    <w:name w:val="日期 Char2"/>
    <w:link w:val="25"/>
    <w:qFormat/>
    <w:uiPriority w:val="0"/>
    <w:rPr>
      <w:rFonts w:ascii="楷体_GB2312" w:eastAsia="楷体_GB2312"/>
      <w:b/>
      <w:kern w:val="2"/>
      <w:sz w:val="28"/>
      <w:lang w:val="en-US" w:eastAsia="zh-CN" w:bidi="ar-SA"/>
    </w:rPr>
  </w:style>
  <w:style w:type="character" w:customStyle="1" w:styleId="70">
    <w:name w:val="页眉 Char1"/>
    <w:link w:val="29"/>
    <w:qFormat/>
    <w:uiPriority w:val="0"/>
    <w:rPr>
      <w:rFonts w:eastAsia="宋体"/>
      <w:kern w:val="2"/>
      <w:sz w:val="18"/>
      <w:szCs w:val="18"/>
      <w:lang w:val="en-US" w:eastAsia="zh-CN" w:bidi="ar-SA"/>
    </w:rPr>
  </w:style>
  <w:style w:type="character" w:customStyle="1" w:styleId="71">
    <w:name w:val="页脚 Char"/>
    <w:link w:val="28"/>
    <w:qFormat/>
    <w:locked/>
    <w:uiPriority w:val="0"/>
    <w:rPr>
      <w:rFonts w:eastAsia="宋体"/>
      <w:kern w:val="2"/>
      <w:sz w:val="18"/>
      <w:szCs w:val="18"/>
      <w:lang w:val="en-US" w:eastAsia="zh-CN" w:bidi="ar-SA"/>
    </w:rPr>
  </w:style>
  <w:style w:type="paragraph" w:customStyle="1" w:styleId="72">
    <w:name w:val="正文段"/>
    <w:basedOn w:val="1"/>
    <w:link w:val="73"/>
    <w:qFormat/>
    <w:uiPriority w:val="0"/>
    <w:pPr>
      <w:widowControl/>
      <w:snapToGrid w:val="0"/>
      <w:spacing w:afterLines="50"/>
      <w:ind w:firstLine="200" w:firstLineChars="200"/>
    </w:pPr>
    <w:rPr>
      <w:kern w:val="0"/>
      <w:sz w:val="24"/>
      <w:szCs w:val="20"/>
    </w:rPr>
  </w:style>
  <w:style w:type="character" w:customStyle="1" w:styleId="73">
    <w:name w:val="正文段 Char"/>
    <w:link w:val="72"/>
    <w:qFormat/>
    <w:uiPriority w:val="0"/>
    <w:rPr>
      <w:rFonts w:eastAsia="宋体"/>
      <w:sz w:val="24"/>
      <w:lang w:val="en-US" w:eastAsia="zh-CN" w:bidi="ar-SA"/>
    </w:rPr>
  </w:style>
  <w:style w:type="character" w:customStyle="1" w:styleId="74">
    <w:name w:val="批注文字 Char1"/>
    <w:link w:val="18"/>
    <w:qFormat/>
    <w:uiPriority w:val="0"/>
    <w:rPr>
      <w:rFonts w:eastAsia="宋体"/>
      <w:kern w:val="2"/>
      <w:sz w:val="21"/>
      <w:szCs w:val="24"/>
      <w:lang w:val="en-US" w:eastAsia="zh-CN" w:bidi="ar-SA"/>
    </w:rPr>
  </w:style>
  <w:style w:type="character" w:customStyle="1" w:styleId="75">
    <w:name w:val="正文文本 2 Char1"/>
    <w:link w:val="35"/>
    <w:qFormat/>
    <w:uiPriority w:val="0"/>
    <w:rPr>
      <w:rFonts w:ascii="隶书" w:eastAsia="隶书"/>
      <w:bCs/>
      <w:sz w:val="72"/>
      <w:szCs w:val="84"/>
      <w:lang w:val="en-US" w:eastAsia="zh-CN" w:bidi="ar-SA"/>
    </w:rPr>
  </w:style>
  <w:style w:type="paragraph" w:customStyle="1" w:styleId="76">
    <w:name w:val="Char"/>
    <w:basedOn w:val="1"/>
    <w:qFormat/>
    <w:uiPriority w:val="0"/>
    <w:rPr>
      <w:rFonts w:ascii="仿宋_GB2312" w:eastAsia="仿宋_GB2312"/>
      <w:b/>
      <w:sz w:val="32"/>
      <w:szCs w:val="32"/>
    </w:rPr>
  </w:style>
  <w:style w:type="paragraph" w:customStyle="1" w:styleId="77">
    <w:name w:val="Table Text"/>
    <w:link w:val="78"/>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qFormat/>
    <w:uiPriority w:val="0"/>
    <w:rPr>
      <w:rFonts w:ascii="Arial" w:hAnsi="Arial"/>
      <w:sz w:val="18"/>
      <w:lang w:val="en-US" w:eastAsia="zh-CN" w:bidi="ar-SA"/>
    </w:rPr>
  </w:style>
  <w:style w:type="character" w:customStyle="1" w:styleId="79">
    <w:name w:val="正文（缩进2汉字） Char"/>
    <w:link w:val="80"/>
    <w:qFormat/>
    <w:uiPriority w:val="0"/>
    <w:rPr>
      <w:rFonts w:ascii="宋体"/>
      <w:kern w:val="2"/>
      <w:sz w:val="21"/>
      <w:lang w:bidi="ar-SA"/>
    </w:rPr>
  </w:style>
  <w:style w:type="paragraph" w:customStyle="1" w:styleId="80">
    <w:name w:val="正文（缩进2汉字）"/>
    <w:basedOn w:val="1"/>
    <w:link w:val="79"/>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qFormat/>
    <w:uiPriority w:val="0"/>
    <w:pPr>
      <w:tabs>
        <w:tab w:val="left" w:pos="432"/>
      </w:tabs>
      <w:spacing w:beforeLines="50" w:afterLines="50"/>
      <w:ind w:left="432" w:hanging="432"/>
      <w:jc w:val="center"/>
    </w:pPr>
    <w:rPr>
      <w:sz w:val="24"/>
    </w:rPr>
  </w:style>
  <w:style w:type="paragraph" w:customStyle="1" w:styleId="82">
    <w:name w:val="模板普通正文"/>
    <w:basedOn w:val="7"/>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6"/>
    <w:qFormat/>
    <w:locked/>
    <w:uiPriority w:val="0"/>
    <w:rPr>
      <w:rFonts w:eastAsia="宋体"/>
      <w:kern w:val="2"/>
      <w:sz w:val="21"/>
      <w:szCs w:val="24"/>
      <w:lang w:val="en-US" w:eastAsia="zh-CN" w:bidi="ar-SA"/>
    </w:rPr>
  </w:style>
  <w:style w:type="paragraph" w:customStyle="1" w:styleId="84">
    <w:name w:val="缺省文本"/>
    <w:basedOn w:val="1"/>
    <w:qFormat/>
    <w:uiPriority w:val="0"/>
    <w:pPr>
      <w:autoSpaceDE w:val="0"/>
      <w:autoSpaceDN w:val="0"/>
      <w:adjustRightInd w:val="0"/>
      <w:jc w:val="left"/>
    </w:pPr>
    <w:rPr>
      <w:kern w:val="0"/>
      <w:sz w:val="24"/>
    </w:rPr>
  </w:style>
  <w:style w:type="paragraph" w:customStyle="1" w:styleId="85">
    <w:name w:val="WW-正文文字缩进 2"/>
    <w:basedOn w:val="1"/>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qFormat/>
    <w:uiPriority w:val="0"/>
    <w:rPr>
      <w:rFonts w:ascii="Tahoma" w:hAnsi="Tahoma"/>
      <w:sz w:val="24"/>
      <w:szCs w:val="20"/>
    </w:rPr>
  </w:style>
  <w:style w:type="character" w:customStyle="1" w:styleId="87">
    <w:name w:val="正文文本 Char1"/>
    <w:link w:val="19"/>
    <w:qFormat/>
    <w:locked/>
    <w:uiPriority w:val="0"/>
    <w:rPr>
      <w:rFonts w:eastAsia="仿宋_GB2312"/>
      <w:kern w:val="2"/>
      <w:sz w:val="28"/>
      <w:szCs w:val="24"/>
      <w:lang w:val="en-US" w:eastAsia="zh-CN" w:bidi="ar-SA"/>
    </w:rPr>
  </w:style>
  <w:style w:type="paragraph" w:customStyle="1" w:styleId="88">
    <w:name w:val="项目排列"/>
    <w:basedOn w:val="1"/>
    <w:link w:val="89"/>
    <w:qFormat/>
    <w:uiPriority w:val="0"/>
    <w:pPr>
      <w:tabs>
        <w:tab w:val="left" w:pos="900"/>
      </w:tabs>
      <w:spacing w:beforeLines="50" w:afterLines="50" w:line="300" w:lineRule="auto"/>
      <w:ind w:left="900" w:hanging="420"/>
    </w:pPr>
    <w:rPr>
      <w:sz w:val="24"/>
    </w:rPr>
  </w:style>
  <w:style w:type="character" w:customStyle="1" w:styleId="89">
    <w:name w:val="项目排列 Char"/>
    <w:link w:val="88"/>
    <w:qFormat/>
    <w:uiPriority w:val="0"/>
    <w:rPr>
      <w:kern w:val="2"/>
      <w:sz w:val="24"/>
      <w:szCs w:val="24"/>
    </w:rPr>
  </w:style>
  <w:style w:type="character" w:customStyle="1" w:styleId="90">
    <w:name w:val="style21"/>
    <w:qFormat/>
    <w:uiPriority w:val="0"/>
    <w:rPr>
      <w:sz w:val="15"/>
      <w:szCs w:val="15"/>
    </w:rPr>
  </w:style>
  <w:style w:type="paragraph" w:customStyle="1" w:styleId="9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qFormat/>
    <w:uiPriority w:val="0"/>
    <w:rPr>
      <w:szCs w:val="20"/>
    </w:rPr>
  </w:style>
  <w:style w:type="paragraph" w:customStyle="1" w:styleId="94">
    <w:name w:val="列出段落1"/>
    <w:basedOn w:val="1"/>
    <w:next w:val="1"/>
    <w:qFormat/>
    <w:uiPriority w:val="0"/>
    <w:pPr>
      <w:ind w:firstLine="420" w:firstLineChars="200"/>
    </w:pPr>
    <w:rPr>
      <w:rFonts w:ascii="Calibri" w:hAnsi="Calibri"/>
      <w:szCs w:val="22"/>
    </w:rPr>
  </w:style>
  <w:style w:type="paragraph" w:customStyle="1" w:styleId="95">
    <w:name w:val="默认段落字体 Para Char Char Char Char"/>
    <w:basedOn w:val="1"/>
    <w:qFormat/>
    <w:uiPriority w:val="0"/>
  </w:style>
  <w:style w:type="paragraph" w:customStyle="1" w:styleId="96">
    <w:name w:val="Char Char Char1 Char Char Char1 Char Char Char Char"/>
    <w:basedOn w:val="1"/>
    <w:qFormat/>
    <w:uiPriority w:val="0"/>
  </w:style>
  <w:style w:type="character" w:customStyle="1" w:styleId="97">
    <w:name w:val="font1"/>
    <w:qFormat/>
    <w:uiPriority w:val="0"/>
    <w:rPr>
      <w:color w:val="999999"/>
      <w:sz w:val="18"/>
      <w:szCs w:val="18"/>
      <w:u w:val="none"/>
    </w:rPr>
  </w:style>
  <w:style w:type="paragraph" w:customStyle="1" w:styleId="9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qFormat/>
    <w:uiPriority w:val="0"/>
    <w:rPr>
      <w:rFonts w:ascii="Tahoma" w:hAnsi="Tahoma"/>
      <w:sz w:val="24"/>
      <w:szCs w:val="20"/>
    </w:rPr>
  </w:style>
  <w:style w:type="character" w:customStyle="1" w:styleId="100">
    <w:name w:val="apple-style-span"/>
    <w:basedOn w:val="46"/>
    <w:qFormat/>
    <w:uiPriority w:val="0"/>
  </w:style>
  <w:style w:type="paragraph" w:customStyle="1" w:styleId="101">
    <w:name w:val="正文无缩进"/>
    <w:basedOn w:val="1"/>
    <w:link w:val="102"/>
    <w:qFormat/>
    <w:uiPriority w:val="0"/>
    <w:pPr>
      <w:spacing w:line="360" w:lineRule="auto"/>
    </w:pPr>
    <w:rPr>
      <w:rFonts w:ascii="宋体"/>
      <w:color w:val="000000"/>
      <w:sz w:val="24"/>
    </w:rPr>
  </w:style>
  <w:style w:type="character" w:customStyle="1" w:styleId="102">
    <w:name w:val="正文无缩进 Char"/>
    <w:link w:val="101"/>
    <w:qFormat/>
    <w:uiPriority w:val="0"/>
    <w:rPr>
      <w:rFonts w:ascii="宋体" w:eastAsia="宋体"/>
      <w:color w:val="000000"/>
      <w:kern w:val="2"/>
      <w:sz w:val="24"/>
      <w:szCs w:val="24"/>
      <w:lang w:val="en-US" w:eastAsia="zh-CN" w:bidi="ar-SA"/>
    </w:rPr>
  </w:style>
  <w:style w:type="paragraph" w:customStyle="1" w:styleId="10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6"/>
    <w:qFormat/>
    <w:uiPriority w:val="0"/>
  </w:style>
  <w:style w:type="paragraph" w:customStyle="1" w:styleId="10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6">
    <w:name w:val="表格 Char Char"/>
    <w:link w:val="107"/>
    <w:qFormat/>
    <w:locked/>
    <w:uiPriority w:val="0"/>
    <w:rPr>
      <w:rFonts w:ascii="宋体" w:hAnsi="宋体" w:eastAsia="宋体"/>
      <w:lang w:val="en-US" w:eastAsia="zh-CN" w:bidi="ar-SA"/>
    </w:rPr>
  </w:style>
  <w:style w:type="paragraph" w:customStyle="1" w:styleId="107">
    <w:name w:val="表格"/>
    <w:basedOn w:val="1"/>
    <w:link w:val="106"/>
    <w:qFormat/>
    <w:uiPriority w:val="0"/>
    <w:pPr>
      <w:snapToGrid w:val="0"/>
      <w:ind w:firstLine="42" w:firstLineChars="21"/>
    </w:pPr>
    <w:rPr>
      <w:rFonts w:ascii="宋体" w:hAnsi="宋体"/>
      <w:kern w:val="0"/>
      <w:sz w:val="20"/>
      <w:szCs w:val="20"/>
    </w:rPr>
  </w:style>
  <w:style w:type="paragraph" w:customStyle="1" w:styleId="10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qFormat/>
    <w:uiPriority w:val="0"/>
    <w:pPr>
      <w:widowControl/>
      <w:spacing w:after="160" w:line="240" w:lineRule="exact"/>
      <w:jc w:val="left"/>
    </w:pPr>
  </w:style>
  <w:style w:type="character" w:customStyle="1" w:styleId="110">
    <w:name w:val="Char Char"/>
    <w:qFormat/>
    <w:uiPriority w:val="0"/>
    <w:rPr>
      <w:rFonts w:hint="eastAsia" w:ascii="宋体" w:hAnsi="Courier New" w:eastAsia="宋体"/>
      <w:kern w:val="2"/>
      <w:sz w:val="21"/>
      <w:lang w:val="en-US" w:eastAsia="zh-CN" w:bidi="ar-SA"/>
    </w:rPr>
  </w:style>
  <w:style w:type="character" w:customStyle="1" w:styleId="111">
    <w:name w:val="style51"/>
    <w:qFormat/>
    <w:uiPriority w:val="0"/>
    <w:rPr>
      <w:sz w:val="21"/>
      <w:szCs w:val="21"/>
    </w:rPr>
  </w:style>
  <w:style w:type="paragraph" w:customStyle="1" w:styleId="11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qFormat/>
    <w:uiPriority w:val="0"/>
    <w:pPr>
      <w:spacing w:line="360" w:lineRule="auto"/>
      <w:ind w:firstLine="480" w:firstLineChars="200"/>
    </w:pPr>
    <w:rPr>
      <w:rFonts w:cs="宋体"/>
      <w:sz w:val="24"/>
      <w:szCs w:val="20"/>
    </w:rPr>
  </w:style>
  <w:style w:type="character" w:customStyle="1" w:styleId="114">
    <w:name w:val="标准文本 Char"/>
    <w:link w:val="113"/>
    <w:qFormat/>
    <w:uiPriority w:val="0"/>
    <w:rPr>
      <w:rFonts w:eastAsia="宋体" w:cs="宋体"/>
      <w:kern w:val="2"/>
      <w:sz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7"/>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7"/>
    <w:qFormat/>
    <w:uiPriority w:val="0"/>
    <w:rPr>
      <w:rFonts w:ascii="Tahoma" w:hAnsi="Tahoma"/>
      <w:sz w:val="24"/>
    </w:rPr>
  </w:style>
  <w:style w:type="paragraph" w:customStyle="1" w:styleId="141">
    <w:name w:val="Char Char Char"/>
    <w:basedOn w:val="17"/>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6"/>
    <w:qFormat/>
    <w:uiPriority w:val="0"/>
  </w:style>
  <w:style w:type="paragraph" w:customStyle="1" w:styleId="153">
    <w:name w:val="样式 正文缩进 + 首行缩进:  2 字符"/>
    <w:basedOn w:val="6"/>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6"/>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5"/>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6"/>
    <w:link w:val="27"/>
    <w:qFormat/>
    <w:uiPriority w:val="0"/>
    <w:rPr>
      <w:kern w:val="2"/>
      <w:sz w:val="18"/>
      <w:szCs w:val="18"/>
    </w:rPr>
  </w:style>
  <w:style w:type="character" w:customStyle="1" w:styleId="201">
    <w:name w:val="正文文本缩进 3 Char"/>
    <w:basedOn w:val="46"/>
    <w:link w:val="33"/>
    <w:qFormat/>
    <w:uiPriority w:val="0"/>
    <w:rPr>
      <w:kern w:val="2"/>
      <w:sz w:val="16"/>
      <w:szCs w:val="16"/>
    </w:rPr>
  </w:style>
  <w:style w:type="character" w:customStyle="1" w:styleId="202">
    <w:name w:val="HTML 预设格式 Char"/>
    <w:basedOn w:val="46"/>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42"/>
    <w:qFormat/>
    <w:uiPriority w:val="0"/>
    <w:rPr>
      <w:rFonts w:eastAsia="仿宋_GB2312"/>
      <w:kern w:val="2"/>
      <w:sz w:val="21"/>
      <w:szCs w:val="24"/>
      <w:lang w:val="en-US" w:eastAsia="zh-CN" w:bidi="ar-SA"/>
    </w:rPr>
  </w:style>
  <w:style w:type="character" w:customStyle="1" w:styleId="205">
    <w:name w:val="正文首行缩进 2 Char"/>
    <w:basedOn w:val="68"/>
    <w:link w:val="43"/>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qFormat/>
    <w:uiPriority w:val="0"/>
    <w:rPr>
      <w:rFonts w:hint="default" w:ascii="等线" w:hAnsi="等线" w:eastAsia="等线" w:cs="等线"/>
      <w:color w:val="000000"/>
      <w:sz w:val="22"/>
      <w:szCs w:val="22"/>
      <w:u w:val="none"/>
    </w:rPr>
  </w:style>
  <w:style w:type="character" w:customStyle="1" w:styleId="271">
    <w:name w:val="font51"/>
    <w:basedOn w:val="46"/>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6"/>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4"/>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6"/>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qFormat/>
    <w:uiPriority w:val="34"/>
    <w:pPr>
      <w:ind w:firstLine="420" w:firstLineChars="200"/>
    </w:pPr>
  </w:style>
  <w:style w:type="paragraph" w:customStyle="1" w:styleId="302">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Pages>80</Pages>
  <Words>42127</Words>
  <Characters>44693</Characters>
  <Lines>490</Lines>
  <Paragraphs>138</Paragraphs>
  <TotalTime>1</TotalTime>
  <ScaleCrop>false</ScaleCrop>
  <LinksUpToDate>false</LinksUpToDate>
  <CharactersWithSpaces>50888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無珂鲰玳k&amp;o_O</cp:lastModifiedBy>
  <cp:lastPrinted>2022-11-15T17:02:00Z</cp:lastPrinted>
  <dcterms:modified xsi:type="dcterms:W3CDTF">2023-08-23T08:56:51Z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