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绍兴市中医院医疗设备计量服务项目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both"/>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2"/>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234" w:type="dxa"/>
                </w:tcPr>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绍兴市中医院医疗设备计量服务项目</w:t>
                  </w:r>
                  <w:r>
                    <w:rPr>
                      <w:rFonts w:hint="eastAsia" w:ascii="仿宋" w:hAnsi="仿宋" w:eastAsia="仿宋" w:cs="仿宋"/>
                      <w:color w:val="auto"/>
                      <w:szCs w:val="24"/>
                      <w:highlight w:val="none"/>
                    </w:rPr>
                    <w:t>的潜在投标人应在</w:t>
                  </w:r>
                  <w:r>
                    <w:rPr>
                      <w:rStyle w:val="278"/>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获取（下载）招标文件，并于202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年月日 09:00（北京时间）前递交（上传）投标文件。</w:t>
                  </w:r>
                </w:p>
              </w:tc>
            </w:tr>
          </w:tbl>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绍兴市中医院医疗设备计量服务项目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600000</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eastAsia="zh-CN"/>
              </w:rPr>
              <w:t>600000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医疗设备计量服务项目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预算金额（元）: </w:t>
            </w:r>
            <w:r>
              <w:rPr>
                <w:rFonts w:hint="eastAsia" w:ascii="仿宋" w:hAnsi="仿宋" w:eastAsia="仿宋" w:cs="仿宋"/>
                <w:color w:val="auto"/>
                <w:szCs w:val="24"/>
                <w:highlight w:val="none"/>
                <w:lang w:eastAsia="zh-CN"/>
              </w:rPr>
              <w:t>600000</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简要规格描述或项目基本概况介绍、用途：详见采购文件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备注：无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69"/>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993" w:firstLineChars="473"/>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时间：/至202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年月日，每天上午00:00至12:00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年月日 09:00（北京时间）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年月日 09:00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绍兴市中医院</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绍兴市越城区人民中路651号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王鑫卫</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w:t>
            </w:r>
            <w:r>
              <w:rPr>
                <w:rFonts w:hint="eastAsia" w:ascii="仿宋" w:hAnsi="仿宋" w:eastAsia="仿宋" w:cs="仿宋"/>
                <w:kern w:val="0"/>
                <w:sz w:val="24"/>
                <w:highlight w:val="none"/>
              </w:rPr>
              <w:t>0575-89109951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pStyle w:val="69"/>
              <w:spacing w:afterLines="0" w:line="440" w:lineRule="exact"/>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eastAsia="zh-CN"/>
              </w:rPr>
              <w:t>张婷婷</w:t>
            </w:r>
            <w:r>
              <w:rPr>
                <w:rFonts w:hint="eastAsia" w:ascii="仿宋" w:hAnsi="仿宋" w:eastAsia="仿宋" w:cs="仿宋"/>
                <w:color w:val="auto"/>
                <w:szCs w:val="24"/>
                <w:highlight w:val="none"/>
              </w:rPr>
              <w:t xml:space="preserve">      </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szCs w:val="21"/>
                  <w:highlight w:val="none"/>
                </w:rPr>
                <w:id w:val="-74078883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2" w:char="0052"/>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详见配置需求和评标办法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年  月日 09:00（北京时间）前（开标当天送达）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20" w:lineRule="exact"/>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ind w:left="-18" w:leftChars="-9" w:right="-50" w:rightChars="-24"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yellow"/>
              </w:rPr>
              <w:t>：</w:t>
            </w:r>
            <w:r>
              <w:rPr>
                <w:rFonts w:hint="eastAsia" w:ascii="仿宋" w:hAnsi="仿宋" w:eastAsia="仿宋" w:cs="仿宋"/>
                <w:color w:val="auto"/>
                <w:kern w:val="0"/>
                <w:sz w:val="24"/>
                <w:highlight w:val="yellow"/>
                <w:u w:val="single"/>
              </w:rPr>
              <w:t xml:space="preserve">  01标  </w:t>
            </w:r>
            <w:r>
              <w:rPr>
                <w:rFonts w:hint="eastAsia" w:ascii="仿宋" w:hAnsi="仿宋" w:eastAsia="仿宋" w:cs="仿宋"/>
                <w:color w:val="auto"/>
                <w:kern w:val="0"/>
                <w:sz w:val="24"/>
                <w:highlight w:val="yellow"/>
              </w:rPr>
              <w:t>，属于</w:t>
            </w:r>
            <w:r>
              <w:rPr>
                <w:rFonts w:hint="eastAsia" w:ascii="仿宋" w:hAnsi="仿宋" w:eastAsia="仿宋" w:cs="仿宋"/>
                <w:color w:val="auto"/>
                <w:kern w:val="0"/>
                <w:sz w:val="24"/>
                <w:highlight w:val="yellow"/>
                <w:u w:val="single"/>
              </w:rPr>
              <w:t xml:space="preserve">    </w:t>
            </w:r>
            <w:r>
              <w:rPr>
                <w:rFonts w:hint="eastAsia" w:ascii="仿宋" w:hAnsi="仿宋" w:eastAsia="仿宋" w:cs="仿宋"/>
                <w:color w:val="auto"/>
                <w:kern w:val="0"/>
                <w:sz w:val="24"/>
                <w:highlight w:val="yellow"/>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w:t>
      </w:r>
      <w:r>
        <w:rPr>
          <w:rFonts w:hint="eastAsia" w:ascii="仿宋" w:hAnsi="仿宋" w:eastAsia="仿宋" w:cs="仿宋"/>
          <w:color w:val="auto"/>
          <w:sz w:val="24"/>
          <w:highlight w:val="none"/>
          <w:lang w:eastAsia="zh-CN"/>
        </w:rPr>
        <w:t>代理</w:t>
      </w:r>
      <w:r>
        <w:rPr>
          <w:rFonts w:hint="eastAsia" w:ascii="仿宋" w:hAnsi="仿宋" w:eastAsia="仿宋" w:cs="仿宋"/>
          <w:color w:val="auto"/>
          <w:sz w:val="24"/>
          <w:highlight w:val="none"/>
        </w:rPr>
        <w:t>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5"/>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3"/>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403820"/>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bookmarkStart w:id="4" w:name="_Toc81372776"/>
      <w:bookmarkStart w:id="5" w:name="_Toc81372953"/>
      <w:bookmarkStart w:id="6" w:name="_Toc84325929"/>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3"/>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7"/>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7" w:name="_Toc151354173"/>
      <w:bookmarkStart w:id="8" w:name="_Toc81372787"/>
      <w:bookmarkStart w:id="9" w:name="_Toc84325981"/>
      <w:bookmarkStart w:id="10" w:name="_Toc81372964"/>
      <w:bookmarkStart w:id="11" w:name="_Toc80157775"/>
      <w:r>
        <w:rPr>
          <w:rFonts w:hint="eastAsia" w:ascii="仿宋" w:hAnsi="仿宋" w:eastAsia="仿宋" w:cs="仿宋"/>
          <w:b/>
          <w:color w:val="auto"/>
          <w:sz w:val="24"/>
          <w:highlight w:val="none"/>
        </w:rPr>
        <w:t>8.招标项目设备名称及数量：</w:t>
      </w:r>
    </w:p>
    <w:bookmarkEnd w:id="7"/>
    <w:p>
      <w:pPr>
        <w:pStyle w:val="69"/>
        <w:widowControl w:val="0"/>
        <w:spacing w:afterLines="0" w:line="440" w:lineRule="exact"/>
        <w:ind w:firstLine="422" w:firstLineChars="200"/>
        <w:rPr>
          <w:rFonts w:hint="eastAsia" w:ascii="仿宋" w:hAnsi="仿宋" w:eastAsia="仿宋" w:cs="仿宋"/>
          <w:b/>
          <w:bCs/>
          <w:kern w:val="2"/>
          <w:sz w:val="21"/>
          <w:szCs w:val="20"/>
          <w:highlight w:val="none"/>
          <w:lang w:val="en-US" w:eastAsia="zh-CN" w:bidi="ar-SA"/>
        </w:rPr>
      </w:pPr>
      <w:r>
        <w:rPr>
          <w:rFonts w:hint="eastAsia" w:ascii="仿宋" w:hAnsi="仿宋" w:eastAsia="仿宋" w:cs="仿宋"/>
          <w:b/>
          <w:bCs/>
          <w:kern w:val="2"/>
          <w:sz w:val="21"/>
          <w:szCs w:val="20"/>
          <w:highlight w:val="none"/>
          <w:lang w:val="en-US" w:eastAsia="zh-CN" w:bidi="ar-SA"/>
        </w:rPr>
        <w:t>一、主要技术参数</w:t>
      </w:r>
    </w:p>
    <w:p>
      <w:pPr>
        <w:jc w:val="left"/>
        <w:outlineLvl w:val="0"/>
        <w:rPr>
          <w:rFonts w:hint="eastAsia" w:ascii="仿宋" w:hAnsi="仿宋" w:eastAsia="仿宋" w:cs="仿宋"/>
          <w:sz w:val="24"/>
          <w:highlight w:val="none"/>
          <w:lang w:eastAsia="zh-CN"/>
        </w:rPr>
      </w:pPr>
      <w:r>
        <w:rPr>
          <w:rFonts w:hint="eastAsia" w:ascii="仿宋" w:hAnsi="仿宋" w:eastAsia="仿宋" w:cs="仿宋"/>
          <w:b/>
          <w:bCs/>
          <w:szCs w:val="21"/>
          <w:highlight w:val="none"/>
          <w:lang w:val="en-US" w:eastAsia="zh-CN"/>
        </w:rPr>
        <w:t>1.1.</w:t>
      </w:r>
      <w:r>
        <w:rPr>
          <w:rFonts w:hint="eastAsia" w:ascii="仿宋" w:hAnsi="仿宋" w:eastAsia="仿宋" w:cs="仿宋"/>
          <w:b/>
          <w:sz w:val="24"/>
          <w:szCs w:val="24"/>
          <w:highlight w:val="none"/>
          <w:lang w:val="en-US" w:eastAsia="zh-CN"/>
        </w:rPr>
        <w:t>绍兴市中医院医疗设备计量服务项目</w:t>
      </w:r>
      <w:r>
        <w:rPr>
          <w:rFonts w:hint="eastAsia" w:ascii="仿宋" w:hAnsi="仿宋" w:eastAsia="仿宋" w:cs="仿宋"/>
          <w:b/>
          <w:sz w:val="24"/>
          <w:szCs w:val="24"/>
          <w:highlight w:val="none"/>
        </w:rPr>
        <w:t>，</w:t>
      </w:r>
      <w:r>
        <w:rPr>
          <w:rFonts w:hint="eastAsia" w:ascii="仿宋" w:hAnsi="仿宋" w:eastAsia="仿宋" w:cs="仿宋"/>
          <w:b/>
          <w:sz w:val="24"/>
          <w:szCs w:val="24"/>
          <w:highlight w:val="none"/>
          <w:lang w:eastAsia="zh-CN"/>
        </w:rPr>
        <w:t>本项目</w:t>
      </w:r>
      <w:r>
        <w:rPr>
          <w:rFonts w:hint="eastAsia" w:ascii="仿宋" w:hAnsi="仿宋" w:eastAsia="仿宋" w:cs="仿宋"/>
          <w:b/>
          <w:sz w:val="24"/>
          <w:szCs w:val="24"/>
          <w:highlight w:val="none"/>
        </w:rPr>
        <w:t>上限价：</w:t>
      </w:r>
      <w:r>
        <w:rPr>
          <w:rFonts w:hint="eastAsia" w:ascii="仿宋" w:hAnsi="仿宋" w:eastAsia="仿宋" w:cs="仿宋"/>
          <w:b/>
          <w:sz w:val="24"/>
          <w:szCs w:val="24"/>
          <w:highlight w:val="none"/>
          <w:lang w:val="en-US" w:eastAsia="zh-CN"/>
        </w:rPr>
        <w:t>60</w:t>
      </w:r>
      <w:r>
        <w:rPr>
          <w:rFonts w:hint="eastAsia" w:ascii="仿宋" w:hAnsi="仿宋" w:eastAsia="仿宋" w:cs="仿宋"/>
          <w:b/>
          <w:sz w:val="24"/>
          <w:szCs w:val="24"/>
          <w:highlight w:val="none"/>
        </w:rPr>
        <w:t>万元</w:t>
      </w:r>
      <w:r>
        <w:rPr>
          <w:rFonts w:hint="eastAsia" w:ascii="仿宋" w:hAnsi="仿宋" w:eastAsia="仿宋" w:cs="仿宋"/>
          <w:b/>
          <w:sz w:val="24"/>
          <w:szCs w:val="24"/>
          <w:highlight w:val="none"/>
          <w:lang w:val="en-US" w:eastAsia="zh-CN"/>
        </w:rPr>
        <w:t>/2年</w:t>
      </w:r>
      <w:r>
        <w:rPr>
          <w:rFonts w:hint="eastAsia" w:ascii="仿宋" w:hAnsi="仿宋" w:eastAsia="仿宋" w:cs="仿宋"/>
          <w:b/>
          <w:sz w:val="24"/>
          <w:szCs w:val="24"/>
          <w:highlight w:val="none"/>
          <w:lang w:eastAsia="zh-CN"/>
        </w:rPr>
        <w:t>。</w:t>
      </w:r>
    </w:p>
    <w:p>
      <w:pPr>
        <w:jc w:val="left"/>
        <w:outlineLvl w:val="0"/>
        <w:rPr>
          <w:rFonts w:hint="eastAsia" w:ascii="仿宋" w:hAnsi="仿宋" w:eastAsia="仿宋" w:cs="仿宋"/>
          <w:b/>
          <w:bCs/>
          <w:sz w:val="24"/>
        </w:rPr>
      </w:pPr>
      <w:r>
        <w:rPr>
          <w:rFonts w:hint="eastAsia" w:ascii="仿宋" w:hAnsi="仿宋" w:eastAsia="仿宋" w:cs="仿宋"/>
          <w:b/>
          <w:bCs/>
          <w:sz w:val="24"/>
        </w:rPr>
        <w:t>1.2项目概况</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1.2.1采购人基本情况：绍兴市中医院是一家三级甲等综合性中医医院，担负着医疗、教学、科研、急救、保健、康复等多重任务，是绍兴市中医医疗、护理和院感的质控中心，承担着绍兴地区490余万群众的医疗保健服务任务。医院开放床位</w:t>
      </w:r>
      <w:r>
        <w:rPr>
          <w:rFonts w:hint="eastAsia" w:ascii="仿宋" w:hAnsi="仿宋" w:eastAsia="仿宋" w:cs="仿宋"/>
          <w:bCs/>
          <w:sz w:val="24"/>
          <w:lang w:val="en-US" w:eastAsia="zh-CN"/>
        </w:rPr>
        <w:t>800</w:t>
      </w:r>
      <w:r>
        <w:rPr>
          <w:rFonts w:hint="eastAsia" w:ascii="仿宋" w:hAnsi="仿宋" w:eastAsia="仿宋" w:cs="仿宋"/>
          <w:bCs/>
          <w:sz w:val="24"/>
        </w:rPr>
        <w:t>张，设有20个临床科室，11个医技科室，年门诊量60 万余人次，年出院病人1万余人次。</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1.2.2项目基本情况：本项目为采购人（绍兴市中医院）全院医疗设备计量服务商，设备资产约</w:t>
      </w:r>
      <w:r>
        <w:rPr>
          <w:rFonts w:hint="eastAsia" w:ascii="仿宋" w:hAnsi="仿宋" w:eastAsia="仿宋" w:cs="仿宋"/>
          <w:bCs/>
          <w:sz w:val="24"/>
          <w:lang w:val="en-US" w:eastAsia="zh-CN"/>
        </w:rPr>
        <w:t>2</w:t>
      </w:r>
      <w:r>
        <w:rPr>
          <w:rFonts w:hint="eastAsia" w:ascii="仿宋" w:hAnsi="仿宋" w:eastAsia="仿宋" w:cs="仿宋"/>
          <w:bCs/>
          <w:sz w:val="24"/>
        </w:rPr>
        <w:t>.5亿，计量设备数量约为</w:t>
      </w:r>
      <w:r>
        <w:rPr>
          <w:rFonts w:hint="eastAsia" w:ascii="仿宋" w:hAnsi="仿宋" w:eastAsia="仿宋" w:cs="仿宋"/>
          <w:bCs/>
          <w:sz w:val="24"/>
          <w:lang w:val="en-US" w:eastAsia="zh-CN"/>
        </w:rPr>
        <w:t>1100</w:t>
      </w:r>
      <w:r>
        <w:rPr>
          <w:rFonts w:hint="eastAsia" w:ascii="仿宋" w:hAnsi="仿宋" w:eastAsia="仿宋" w:cs="仿宋"/>
          <w:bCs/>
          <w:sz w:val="24"/>
        </w:rPr>
        <w:t>余台（套），设备类别见附表一《拟计量设备类别清单》，投标人应根据采购人业务规模充分预见计量设备的现状及动态变化。本次招标设备清单包括但不限于附表内容，允许招标前咨询或现场踏看，投标人根据服务内容和总量，报投标项目总价。</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1.2.3服务形式：包括但不限于上门检测，并负责送检服务。</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1.2.4服务目标：设标人应确保采购人拟定计量服务设备均在规定的效期之内。</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1.2.5服务期限：2年。</w:t>
      </w:r>
    </w:p>
    <w:p>
      <w:pPr>
        <w:jc w:val="left"/>
        <w:outlineLvl w:val="0"/>
        <w:rPr>
          <w:rFonts w:hint="eastAsia" w:ascii="仿宋" w:hAnsi="仿宋" w:eastAsia="仿宋" w:cs="仿宋"/>
          <w:b/>
          <w:bCs/>
          <w:sz w:val="24"/>
        </w:rPr>
      </w:pPr>
      <w:r>
        <w:rPr>
          <w:rFonts w:hint="eastAsia" w:ascii="仿宋" w:hAnsi="仿宋" w:eastAsia="仿宋" w:cs="仿宋"/>
          <w:b/>
          <w:bCs/>
          <w:sz w:val="24"/>
        </w:rPr>
        <w:t xml:space="preserve"> 1.3项目要求：</w:t>
      </w:r>
    </w:p>
    <w:p>
      <w:pPr>
        <w:jc w:val="left"/>
        <w:outlineLvl w:val="0"/>
        <w:rPr>
          <w:rFonts w:hint="eastAsia" w:ascii="仿宋" w:hAnsi="仿宋" w:eastAsia="仿宋" w:cs="仿宋"/>
          <w:bCs/>
          <w:sz w:val="24"/>
        </w:rPr>
      </w:pPr>
      <w:r>
        <w:rPr>
          <w:rFonts w:hint="eastAsia" w:ascii="仿宋" w:hAnsi="仿宋" w:eastAsia="仿宋" w:cs="仿宋"/>
          <w:bCs/>
          <w:sz w:val="24"/>
        </w:rPr>
        <w:t>（一）技术要求 ：</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检定项目应建立计量标准并获得市级及以上计量行政部门授权；校准项目应建立计量标准并通过国家实验室认可（CNAS）；检测项目应通过检验检测机构资质认定（CMA），计量设备与授权一致，投标人应提供有效的资质证明材料。</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2.计量器具要求：本项目计量所用设备应与CNAS或计量标准考核证书中所列设备一致，溯源合格，溯源证书在有效期内，设备参数符合计量检定规程或校准规范要求，投标人应提供有效证明材料。</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3.所有计量数据均可溯源至国家基准，出具的证书/报告均应获得市场监督管理计量行政部门认可，具有法律效力，投标人应提供有效证明材料。</w:t>
      </w:r>
    </w:p>
    <w:p>
      <w:pPr>
        <w:jc w:val="left"/>
        <w:outlineLvl w:val="0"/>
        <w:rPr>
          <w:rFonts w:hint="eastAsia" w:ascii="仿宋" w:hAnsi="仿宋" w:eastAsia="仿宋" w:cs="仿宋"/>
          <w:bCs/>
          <w:sz w:val="24"/>
        </w:rPr>
      </w:pPr>
      <w:r>
        <w:rPr>
          <w:rFonts w:hint="eastAsia" w:ascii="仿宋" w:hAnsi="仿宋" w:eastAsia="仿宋" w:cs="仿宋"/>
          <w:bCs/>
          <w:sz w:val="24"/>
        </w:rPr>
        <w:t>（二）服务要求 ：</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1.投标人需根据采购人设备使用情况制定年度及周期计量服务计划，严格按照计划进行计量工作，具体计量时工作时间服从采购人安排，确保各类设备在有效期之内。</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2.计量及时性要求：计量到期前1个月通知到采购人，到期前2周再次通知，到期前1周第三次通知，确保不超期；送检设备周期应尽可能短，减少对临床日常使用的影响；证书/报告应按照投标人承诺及时提供，以备各类检查。</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3.投标人应承诺代办采购人所有医疗用 “特种设备”的计量业务（如高压氧、灭菌器等压力容器）,包括预约、送检及返还，并确保设备能在最短时间内恢复正常使用，尽量减少对临床的影响，投标人应承担检测费及由此伴生的所有费用。</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4.投标人应承诺协助采购人完成所有强制管理设备的免费计量服务，相关服务包括但不限于事先预约、联系、现场检定、外出送检等服务，如投标人无相关计量能力，应负责联系法定计量技术机构对投标人强制管理设备实行计量服务，或代送强制管理设备至相关检测机构，获得合法、有效的计量证书，上述所有费用包含在投标总价内。</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5.投标人应承诺承担所有非强制管理设备的计量工作，做好相应的服务工作，确保相关设备在有效期之内。</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6.投标人在计量过程中如发现问题及时现场指导、纠正，工作结束后将计量结果告知采购人管理部门并填写计量确认单，对于不合格设备通知停用并要求及时维修，设备维修后尽快复检。投标人应承诺对首次计量不合格设备提供1次免费复检服务。</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7.投标人应承诺对采购人临时性紧急计量任务，要求2 个小时内做出回复，24 小时内人员到位，48 小时内出具报告。采购人如有特殊计量需求，投标人需予以配合。</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8.投标人应承诺提供新购设备入院验收计量服务：对非强制管理设备，首次计量由投标人与设备供应商取得联系后10个工作日内完成计量工作，并出具证书/报告，相关费用由投标人与设备供应商自行协商解决，采购人予以协作。</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9.投标人应承诺在完成计量服务之日起算15个工作日将完整的证书/报告送达采购人处，并提供详细的计量设备清单。</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10.投标人应协助采购人对信息系统（“图特”系统）中的计量台账进行维护。</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11.投标人应在完成周期计量服务后15个工作日内提供周期分析报告，分析报告包括计量设备台账、不合格计量设备清单等，并在每年12月底递交年度总结报告，总结、分析全年度的计量服务工作，并协助采购人健全医疗设备的计量管理制度。</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12.投标人应设计计量设备巡查表格，每季度对计量设备巡查，及时发现漏检设备，检查计量合格设备标签是否脱落等。</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13.投标人在提供计量和巡查服务时，应规范着装，佩戴工作证，文明用语，服务热情，行为得体，严格遵守采购人管理部门各项规章制度及规定。</w:t>
      </w:r>
    </w:p>
    <w:p>
      <w:pPr>
        <w:jc w:val="left"/>
        <w:outlineLvl w:val="0"/>
        <w:rPr>
          <w:rFonts w:hint="eastAsia" w:ascii="仿宋" w:hAnsi="仿宋" w:eastAsia="仿宋" w:cs="仿宋"/>
          <w:bCs/>
          <w:sz w:val="24"/>
        </w:rPr>
      </w:pPr>
      <w:r>
        <w:rPr>
          <w:rFonts w:hint="eastAsia" w:ascii="仿宋" w:hAnsi="仿宋" w:eastAsia="仿宋" w:cs="仿宋"/>
          <w:bCs/>
          <w:sz w:val="24"/>
        </w:rPr>
        <w:t>（三）实施方案</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投标人应根据采购人项目概况、项目要求出具详细、合理的实施方案，包括但不限于计量实施内容、质量及售后保证、计量周期、进度按排、年度总结等应予详细描述，以确保采购人年度计量工作得以按时、保质完成。</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1.投标人应依据采购人项目概况和项目要求制定全年的计量服务计划，并按计划分批次实施，要求及时、合理、不超期。</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2.投标人应在计量前做好相关计量器具、标准物质的确认工作，确保其准确、有效、可溯源，并准备好相应原始记录。</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3.投标人应对每批次计量项目制定详细应对方案，包括但不限于人员分配，临床科室对接工作，可能对临床、办公的影响，计量过程中的安全保障，计量后确认等内容。</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4.投标人应合理安排计量服务时间，每批次计量服务时间不超过10个工作日，对如手术室、血透室、放射科、DSA、超声科、直线加速器室等特殊科室的计量时间安排在晚上或周末，对其他白天使用率高的设备计量工作应安排在晚上或周末，尽量减少对临床工作的影响。</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5.投标人应拟定医疗用“特种设备”计量方案，包括但不限于“特种设备”相关配件的预约、联系、送检、获得证书等一条龙服务。</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6.投标人应拟定强制管理设备计量服务方案，包括但不限于强制检定能力及授权，提供强制管理设备台账维护、预约、联系、送检、获得证书等一条龙服务。</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7.投标人应拟定送检设备计量服务方案，包括但不限于运输工具的安排，送检与返回等服务并确保及时性，减少因送检对临床产生的影响。为保证送检设备运输安全，采购人不接受快递送检。</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8.投标人应拟定计量不合格的应对方案：计量完成后如有不合格设备，应汇总成表格，待采购人修复后立即安排复检。如有大型设备计量结果不合格，可与厂商工程师沟通，一起到采购人单位配合完成调修、复检。</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9.投标人应拟定计量服务后具体的工作方案，包括提供证书、计量设备台账、不合格计量设备清单、年度总结报告等。</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10.投标人应拟定应急响应方案，制定应急响应方案来应对采购人临时、突发的计量服务要求。</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11.投标人应拟定巡检服务方案，包括但不限于漏检处置，合格计量设备标签脱落处置。</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12.投标人应拟定后续服务方案，辅助采购人计量室建标工作的开展等。</w:t>
      </w:r>
    </w:p>
    <w:p>
      <w:pPr>
        <w:jc w:val="left"/>
        <w:outlineLvl w:val="0"/>
        <w:rPr>
          <w:rFonts w:hint="eastAsia" w:ascii="仿宋" w:hAnsi="仿宋" w:eastAsia="仿宋" w:cs="仿宋"/>
          <w:bCs/>
          <w:sz w:val="24"/>
        </w:rPr>
      </w:pPr>
      <w:r>
        <w:rPr>
          <w:rFonts w:hint="eastAsia" w:ascii="仿宋" w:hAnsi="仿宋" w:eastAsia="仿宋" w:cs="仿宋"/>
          <w:bCs/>
          <w:sz w:val="24"/>
        </w:rPr>
        <w:t>（四）质量保证</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投标人应提供质量保证方案，包括但不限于服务质量保证、周期保证、证书及时率保证等。</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1.投标人应确保及时、完整、有效的完成本计量服务项目，计量工作中碰到的所有技术问题均由投标人负责解决。</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2.投标人根据采购人计量设备清单，制定科学、合理的计量服务计划，安排技术精湛、经验丰富的工作人员，确保合理对接计量周期（不超过7个工作日）。</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3.证书的质量要求：投标人应出具市场监督管理计量行政部门认可的证书/报告。对要求计量检定规程的设备，应依据计量检定规程进行检定，并出具检定证书；对无计量检定规程但要求校准规范的设备，应依据校准规范进行校准，并出具校准证书；对无计量检定规程或校准规范的设备，应采用国家标准GB/T或行业标准YY等进行检测，并出具检测报告。对于强制管理设备，必须出具检定证书。</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4.证书及时性要求：投标人在每批次计量完成后15个工作日内提供完整的证书/报告，并提供详细的计量设备台账，含不合格计量设备清单。</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如设备在计量过程中遭遇意外情况造成损坏，影响临床使用，投标人应负责修复，对不能修复的设备应按原值进行赔偿。</w:t>
      </w:r>
    </w:p>
    <w:p>
      <w:pPr>
        <w:jc w:val="left"/>
        <w:outlineLvl w:val="0"/>
        <w:rPr>
          <w:rFonts w:hint="eastAsia" w:ascii="仿宋" w:hAnsi="仿宋" w:eastAsia="仿宋" w:cs="仿宋"/>
          <w:bCs/>
          <w:sz w:val="24"/>
        </w:rPr>
      </w:pPr>
      <w:r>
        <w:rPr>
          <w:rFonts w:hint="eastAsia" w:ascii="仿宋" w:hAnsi="仿宋" w:eastAsia="仿宋" w:cs="仿宋"/>
          <w:bCs/>
          <w:sz w:val="24"/>
        </w:rPr>
        <w:t>（五）人员保证</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投标人应出具完成本项目所需人员资质，包括负责人的资质、计量服务人员资质等。</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投标人服务机构总体人员要求：投标人应具有专业技术人员≥30人；其中高级职称≥5人，中级职称≥10人，可解决计量服务中碰到的问题，确保本项目能顺利完成。投标人应提供人员的职称证书、单位聘用合同、社保证明等相关材料。</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2.对本项目负责人的要求：1名，项目负责人应具有一级注册计量师执业资格，中级及以上职称，有从事医疗器具计量的工作经验。全面负责本项目的所有工作，应具有较强的专业知识、丰富的计量服务经验，及较强的沟通能力、协调能力，保证本项目合理、有序的完成。投标人应提供项目负责人的资格证书、职称证书、单位聘用合同、社保证明及从业证明等相关材料。</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3.对本项目计量服务人员要求：≥8人，其中具有一级注册计量师≥2人，二级注册计量师≥6人，初级及以上职称。具有市级及以上计量行政部门、省质量技术监督培训中心的专业考试合格证明≥5人。投标人应提供计量服务人员的资格证书、职称证书、单位聘用合同、社保证明及从业证明等相关材料。</w:t>
      </w:r>
    </w:p>
    <w:p>
      <w:pPr>
        <w:jc w:val="left"/>
        <w:outlineLvl w:val="0"/>
        <w:rPr>
          <w:rFonts w:hint="eastAsia" w:ascii="仿宋" w:hAnsi="仿宋" w:eastAsia="仿宋" w:cs="仿宋"/>
          <w:bCs/>
          <w:sz w:val="24"/>
        </w:rPr>
      </w:pPr>
      <w:r>
        <w:rPr>
          <w:rFonts w:hint="eastAsia" w:ascii="仿宋" w:hAnsi="仿宋" w:eastAsia="仿宋" w:cs="仿宋"/>
          <w:bCs/>
          <w:sz w:val="24"/>
        </w:rPr>
        <w:t>（六）合理化建议</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投标人应根据采购人的招标服务要求，对本项目的重点、难点进行分析，从计量及时性、计量有效性、计量进度、不合格设备复检、新购设备验收计量及时性、强制管理设备等方面，提出应对措施、实施进度、质量控制等方面的合理化建议。</w:t>
      </w:r>
    </w:p>
    <w:p>
      <w:pPr>
        <w:jc w:val="left"/>
        <w:outlineLvl w:val="0"/>
        <w:rPr>
          <w:rFonts w:hint="eastAsia" w:ascii="仿宋" w:hAnsi="仿宋" w:eastAsia="仿宋" w:cs="仿宋"/>
          <w:bCs/>
          <w:sz w:val="24"/>
        </w:rPr>
      </w:pPr>
      <w:r>
        <w:rPr>
          <w:rFonts w:hint="eastAsia" w:ascii="仿宋" w:hAnsi="仿宋" w:eastAsia="仿宋" w:cs="仿宋"/>
          <w:bCs/>
          <w:sz w:val="24"/>
        </w:rPr>
        <w:t>（七）硬件配置</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投标人为确保采购人计量项目及时、有效得到完成，须提供办公、实验场地、计量器具等硬件配置：</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1.场地要求：投标人应在采购人所在地具有独立办公场地，并拥有独立实验室，办公场地及实验室合计面积≥500 m2 ，出具建筑平面布置图，提供有效的房产证明文件或房屋租赁合同，实验室需获得CNAS或CMA资质。</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2.计量器具：投标人应配置检定规程或校准规范所要求的标准器具，包括但不限于以下设备：生命体征检测仪、注射泵质量检测仪、血液透析机质量检测仪、CR、DR性能检测模体、X辐射剂量计、CT性能检测模体、X辐射剂量计、核磁共振性能检测模体、场强度计、高频电刀质量检测仪、除颤器分析仪、麻醉/呼吸机综合检测仪等。投标人应提供相关设备清单、照片及购置合同或发票、校验合格等证明材料。</w:t>
      </w:r>
    </w:p>
    <w:p>
      <w:pPr>
        <w:jc w:val="left"/>
        <w:outlineLvl w:val="0"/>
        <w:rPr>
          <w:rFonts w:hint="eastAsia" w:ascii="仿宋" w:hAnsi="仿宋" w:eastAsia="仿宋" w:cs="仿宋"/>
          <w:b/>
          <w:bCs/>
          <w:sz w:val="24"/>
        </w:rPr>
      </w:pPr>
      <w:r>
        <w:rPr>
          <w:rFonts w:hint="eastAsia" w:ascii="仿宋" w:hAnsi="仿宋" w:eastAsia="仿宋" w:cs="仿宋"/>
          <w:b/>
          <w:bCs/>
          <w:sz w:val="24"/>
        </w:rPr>
        <w:t>1.4考核：</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采购人应对中标人提供的计量服务质量，服度态度进行全面考核，考核合格方可支付服务费用，考核标准参照附表二：《绍兴市中医院医疗设备计量服务考核管理办法》。</w:t>
      </w:r>
    </w:p>
    <w:p>
      <w:pPr>
        <w:jc w:val="left"/>
        <w:outlineLvl w:val="0"/>
        <w:rPr>
          <w:rFonts w:hint="eastAsia" w:ascii="仿宋" w:hAnsi="仿宋" w:eastAsia="仿宋" w:cs="仿宋"/>
          <w:b/>
          <w:bCs/>
          <w:sz w:val="24"/>
        </w:rPr>
      </w:pPr>
      <w:r>
        <w:rPr>
          <w:rFonts w:hint="eastAsia" w:ascii="仿宋" w:hAnsi="仿宋" w:eastAsia="仿宋" w:cs="仿宋"/>
          <w:b/>
          <w:bCs/>
          <w:sz w:val="24"/>
        </w:rPr>
        <w:t>1.5费用结算：</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1.本项目为总体报价，包括计量服务期间产生的所有计量费、人工费、差旅费等所有费用。</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2.本计量服务项目付款方式：分2期支付，</w:t>
      </w:r>
      <w:r>
        <w:rPr>
          <w:rFonts w:hint="eastAsia" w:ascii="仿宋" w:hAnsi="仿宋" w:eastAsia="仿宋" w:cs="仿宋"/>
          <w:bCs/>
          <w:sz w:val="24"/>
          <w:lang w:eastAsia="zh-CN"/>
        </w:rPr>
        <w:t>第一年度</w:t>
      </w:r>
      <w:r>
        <w:rPr>
          <w:rFonts w:hint="eastAsia" w:ascii="仿宋" w:hAnsi="仿宋" w:eastAsia="仿宋" w:cs="仿宋"/>
          <w:bCs/>
          <w:sz w:val="24"/>
        </w:rPr>
        <w:t>最后1个月，采购人对中标人的第一年度的服务</w:t>
      </w:r>
      <w:r>
        <w:rPr>
          <w:rFonts w:hint="eastAsia" w:ascii="仿宋" w:hAnsi="仿宋" w:eastAsia="仿宋" w:cs="仿宋"/>
          <w:bCs/>
          <w:sz w:val="24"/>
          <w:lang w:eastAsia="zh-CN"/>
        </w:rPr>
        <w:t>项目</w:t>
      </w:r>
      <w:r>
        <w:rPr>
          <w:rFonts w:hint="eastAsia" w:ascii="仿宋" w:hAnsi="仿宋" w:eastAsia="仿宋" w:cs="仿宋"/>
          <w:bCs/>
          <w:sz w:val="24"/>
        </w:rPr>
        <w:t>进行</w:t>
      </w:r>
      <w:r>
        <w:rPr>
          <w:rFonts w:hint="eastAsia" w:ascii="仿宋" w:hAnsi="仿宋" w:eastAsia="仿宋" w:cs="仿宋"/>
          <w:bCs/>
          <w:sz w:val="24"/>
          <w:lang w:eastAsia="zh-CN"/>
        </w:rPr>
        <w:t>核定、考核</w:t>
      </w:r>
      <w:r>
        <w:rPr>
          <w:rFonts w:hint="eastAsia" w:ascii="仿宋" w:hAnsi="仿宋" w:eastAsia="仿宋" w:cs="仿宋"/>
          <w:bCs/>
          <w:sz w:val="24"/>
        </w:rPr>
        <w:t>，</w:t>
      </w:r>
      <w:r>
        <w:rPr>
          <w:rFonts w:hint="eastAsia" w:ascii="仿宋" w:hAnsi="仿宋" w:eastAsia="仿宋" w:cs="仿宋"/>
          <w:bCs/>
          <w:sz w:val="24"/>
          <w:lang w:eastAsia="zh-CN"/>
        </w:rPr>
        <w:t>核定</w:t>
      </w:r>
      <w:r>
        <w:rPr>
          <w:rFonts w:hint="eastAsia" w:ascii="仿宋" w:hAnsi="仿宋" w:eastAsia="仿宋" w:cs="仿宋"/>
          <w:bCs/>
          <w:sz w:val="24"/>
        </w:rPr>
        <w:t>后支付第一年度的100%服务费；第二年度依次类推。</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t>3.中标人承担参加本次投标所涉及的一切费用，包含招标代理费。</w:t>
      </w:r>
    </w:p>
    <w:p>
      <w:pPr>
        <w:ind w:firstLine="424" w:firstLineChars="177"/>
        <w:jc w:val="left"/>
        <w:outlineLvl w:val="0"/>
        <w:rPr>
          <w:rFonts w:hint="eastAsia" w:ascii="仿宋" w:hAnsi="仿宋" w:eastAsia="仿宋" w:cs="仿宋"/>
          <w:bCs/>
          <w:sz w:val="24"/>
        </w:rPr>
      </w:pPr>
      <w:r>
        <w:rPr>
          <w:rFonts w:hint="eastAsia" w:ascii="仿宋" w:hAnsi="仿宋" w:eastAsia="仿宋" w:cs="仿宋"/>
          <w:bCs/>
          <w:sz w:val="24"/>
        </w:rPr>
        <w:br w:type="page"/>
      </w:r>
      <w:r>
        <w:rPr>
          <w:rFonts w:hint="eastAsia" w:ascii="仿宋" w:hAnsi="仿宋" w:eastAsia="仿宋" w:cs="仿宋"/>
          <w:bCs/>
          <w:sz w:val="24"/>
        </w:rPr>
        <w:t>附表一：</w:t>
      </w:r>
    </w:p>
    <w:p>
      <w:pPr>
        <w:widowControl/>
        <w:spacing w:before="60" w:after="60" w:line="360" w:lineRule="auto"/>
        <w:ind w:left="420" w:right="60"/>
        <w:jc w:val="center"/>
        <w:rPr>
          <w:rFonts w:hint="eastAsia" w:ascii="仿宋" w:hAnsi="仿宋" w:eastAsia="仿宋" w:cs="仿宋"/>
          <w:b/>
          <w:kern w:val="0"/>
          <w:sz w:val="24"/>
        </w:rPr>
      </w:pPr>
      <w:r>
        <w:rPr>
          <w:rFonts w:hint="eastAsia" w:ascii="仿宋" w:hAnsi="仿宋" w:eastAsia="仿宋" w:cs="仿宋"/>
          <w:b/>
          <w:kern w:val="0"/>
          <w:sz w:val="24"/>
        </w:rPr>
        <w:t>拟计量设备类别清单</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5462"/>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序号</w:t>
            </w:r>
          </w:p>
        </w:tc>
        <w:tc>
          <w:tcPr>
            <w:tcW w:w="546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设备名称</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是否强检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多参数监护仪</w:t>
            </w:r>
          </w:p>
        </w:tc>
        <w:tc>
          <w:tcPr>
            <w:tcW w:w="1488" w:type="dxa"/>
            <w:noWrap w:val="0"/>
            <w:vAlign w:val="center"/>
          </w:tcPr>
          <w:p>
            <w:pPr>
              <w:widowControl/>
              <w:jc w:val="center"/>
              <w:textAlignment w:val="center"/>
              <w:rPr>
                <w:rFonts w:hint="eastAsia" w:ascii="仿宋" w:hAnsi="仿宋" w:eastAsia="仿宋" w:cs="仿宋"/>
                <w:bCs/>
                <w:sz w:val="24"/>
                <w:lang w:eastAsia="zh-CN"/>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水银血压计</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无创自动测量血压计</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4</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数字心电图机</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5</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医用诊断螺旋计算机断层摄影装置（</w:t>
            </w:r>
            <w:r>
              <w:rPr>
                <w:rStyle w:val="265"/>
                <w:rFonts w:hint="eastAsia" w:ascii="仿宋" w:hAnsi="仿宋" w:eastAsia="仿宋" w:cs="仿宋"/>
                <w:lang w:val="en-US" w:eastAsia="zh-CN" w:bidi="ar"/>
              </w:rPr>
              <w:t>CT</w:t>
            </w:r>
            <w:r>
              <w:rPr>
                <w:rStyle w:val="268"/>
                <w:rFonts w:hint="eastAsia" w:ascii="仿宋" w:hAnsi="仿宋" w:eastAsia="仿宋" w:cs="仿宋"/>
                <w:lang w:val="en-US" w:eastAsia="zh-CN" w:bidi="ar"/>
              </w:rPr>
              <w:t>）</w:t>
            </w:r>
            <w:r>
              <w:rPr>
                <w:rStyle w:val="265"/>
                <w:rFonts w:hint="eastAsia" w:ascii="仿宋" w:hAnsi="仿宋" w:eastAsia="仿宋" w:cs="仿宋"/>
                <w:lang w:val="en-US" w:eastAsia="zh-CN" w:bidi="ar"/>
              </w:rPr>
              <w:t>X</w:t>
            </w:r>
            <w:r>
              <w:rPr>
                <w:rStyle w:val="268"/>
                <w:rFonts w:hint="eastAsia" w:ascii="仿宋" w:hAnsi="仿宋" w:eastAsia="仿宋" w:cs="仿宋"/>
                <w:lang w:val="en-US" w:eastAsia="zh-CN" w:bidi="ar"/>
              </w:rPr>
              <w:t>射线辐射源</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6</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医用诊断全景牙科</w:t>
            </w:r>
            <w:r>
              <w:rPr>
                <w:rStyle w:val="265"/>
                <w:rFonts w:hint="eastAsia" w:ascii="仿宋" w:hAnsi="仿宋" w:eastAsia="仿宋" w:cs="仿宋"/>
                <w:lang w:val="en-US" w:eastAsia="zh-CN" w:bidi="ar"/>
              </w:rPr>
              <w:t>X</w:t>
            </w:r>
            <w:r>
              <w:rPr>
                <w:rStyle w:val="268"/>
                <w:rFonts w:hint="eastAsia" w:ascii="仿宋" w:hAnsi="仿宋" w:eastAsia="仿宋" w:cs="仿宋"/>
                <w:lang w:val="en-US" w:eastAsia="zh-CN" w:bidi="ar"/>
              </w:rPr>
              <w:t>射线辐射源</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7</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医用数字摄影</w:t>
            </w:r>
            <w:r>
              <w:rPr>
                <w:rStyle w:val="265"/>
                <w:rFonts w:hint="eastAsia" w:ascii="仿宋" w:hAnsi="仿宋" w:eastAsia="仿宋" w:cs="仿宋"/>
                <w:lang w:val="en-US" w:eastAsia="zh-CN" w:bidi="ar"/>
              </w:rPr>
              <w:t>(CR</w:t>
            </w:r>
            <w:r>
              <w:rPr>
                <w:rStyle w:val="268"/>
                <w:rFonts w:hint="eastAsia" w:ascii="仿宋" w:hAnsi="仿宋" w:eastAsia="仿宋" w:cs="仿宋"/>
                <w:lang w:val="en-US" w:eastAsia="zh-CN" w:bidi="ar"/>
              </w:rPr>
              <w:t>、</w:t>
            </w:r>
            <w:r>
              <w:rPr>
                <w:rStyle w:val="265"/>
                <w:rFonts w:hint="eastAsia" w:ascii="仿宋" w:hAnsi="仿宋" w:eastAsia="仿宋" w:cs="仿宋"/>
                <w:lang w:val="en-US" w:eastAsia="zh-CN" w:bidi="ar"/>
              </w:rPr>
              <w:t>DR)</w:t>
            </w:r>
            <w:r>
              <w:rPr>
                <w:rStyle w:val="268"/>
                <w:rFonts w:hint="eastAsia" w:ascii="仿宋" w:hAnsi="仿宋" w:eastAsia="仿宋" w:cs="仿宋"/>
                <w:lang w:val="en-US" w:eastAsia="zh-CN" w:bidi="ar"/>
              </w:rPr>
              <w:t>系统</w:t>
            </w:r>
            <w:r>
              <w:rPr>
                <w:rStyle w:val="265"/>
                <w:rFonts w:hint="eastAsia" w:ascii="仿宋" w:hAnsi="仿宋" w:eastAsia="仿宋" w:cs="仿宋"/>
                <w:lang w:val="en-US" w:eastAsia="zh-CN" w:bidi="ar"/>
              </w:rPr>
              <w:t>X</w:t>
            </w:r>
            <w:r>
              <w:rPr>
                <w:rStyle w:val="268"/>
                <w:rFonts w:hint="eastAsia" w:ascii="仿宋" w:hAnsi="仿宋" w:eastAsia="仿宋" w:cs="仿宋"/>
                <w:lang w:val="en-US" w:eastAsia="zh-CN" w:bidi="ar"/>
              </w:rPr>
              <w:t>射线辐射源</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8</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Style w:val="266"/>
                <w:rFonts w:hint="eastAsia" w:ascii="仿宋" w:hAnsi="仿宋" w:eastAsia="仿宋" w:cs="仿宋"/>
                <w:lang w:val="en-US" w:eastAsia="zh-CN" w:bidi="ar"/>
              </w:rPr>
              <w:t>医用诊断X射线辐射源</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9</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Style w:val="266"/>
                <w:rFonts w:hint="eastAsia" w:ascii="仿宋" w:hAnsi="仿宋" w:eastAsia="仿宋" w:cs="仿宋"/>
                <w:lang w:val="en-US" w:eastAsia="zh-CN" w:bidi="ar"/>
              </w:rPr>
              <w:t>红外耳温计</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10</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压力表</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11</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生物安全柜</w:t>
            </w:r>
          </w:p>
        </w:tc>
        <w:tc>
          <w:tcPr>
            <w:tcW w:w="1488" w:type="dxa"/>
            <w:noWrap w:val="0"/>
            <w:vAlign w:val="center"/>
          </w:tcPr>
          <w:p>
            <w:pPr>
              <w:widowControl/>
              <w:jc w:val="center"/>
              <w:textAlignment w:val="center"/>
              <w:rPr>
                <w:rFonts w:hint="eastAsia" w:ascii="仿宋" w:hAnsi="仿宋" w:eastAsia="仿宋" w:cs="仿宋"/>
                <w:bCs/>
                <w:sz w:val="24"/>
                <w:lang w:eastAsia="zh-CN"/>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12</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高压灭菌器</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13</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酶标分析仪</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14</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医用磁共振成像系统（MRI）</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15</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血氧测定仪</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16</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血液透析机</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17</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除颤器</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18</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高频电刀</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19</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呼吸机</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20</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医用麻醉机</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21</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浮标式氧气吸入器</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22</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医用超声诊断仪超声源</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23</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医用注射泵（单通道）</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24</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医用注射泵（双通道）</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25</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医用注射泵（六通道）</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26</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医用输液泵</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27</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移液器</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28</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八通道移液器</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29</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温湿度计</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30</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温湿度记录仪</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31</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数字温度计</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32</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玻璃温度计</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33</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医用冷藏箱</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34</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二氧化碳培养箱</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35</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恒温恒湿培养箱</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rPr>
              <w:t>36</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4"/>
              </w:rPr>
            </w:pPr>
            <w:r>
              <w:rPr>
                <w:rFonts w:hint="eastAsia" w:ascii="仿宋" w:hAnsi="仿宋" w:eastAsia="仿宋" w:cs="仿宋"/>
                <w:i w:val="0"/>
                <w:iCs w:val="0"/>
                <w:color w:val="000000"/>
                <w:kern w:val="0"/>
                <w:sz w:val="22"/>
                <w:szCs w:val="22"/>
                <w:u w:val="none"/>
                <w:lang w:val="en-US" w:eastAsia="zh-CN" w:bidi="ar"/>
              </w:rPr>
              <w:t>离心机</w:t>
            </w:r>
          </w:p>
        </w:tc>
        <w:tc>
          <w:tcPr>
            <w:tcW w:w="1488" w:type="dxa"/>
            <w:noWrap w:val="0"/>
            <w:vAlign w:val="center"/>
          </w:tcPr>
          <w:p>
            <w:pPr>
              <w:widowControl/>
              <w:jc w:val="center"/>
              <w:textAlignment w:val="center"/>
              <w:rPr>
                <w:rFonts w:hint="eastAsia" w:ascii="仿宋" w:hAnsi="仿宋" w:eastAsia="仿宋" w:cs="仿宋"/>
                <w:bCs/>
                <w:sz w:val="24"/>
              </w:rPr>
            </w:pPr>
            <w:r>
              <w:rPr>
                <w:rFonts w:hint="eastAsia" w:ascii="仿宋" w:hAnsi="仿宋" w:eastAsia="仿宋" w:cs="仿宋"/>
                <w:bCs/>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rPr>
            </w:pPr>
            <w:r>
              <w:rPr>
                <w:rFonts w:hint="eastAsia" w:ascii="仿宋" w:hAnsi="仿宋" w:eastAsia="仿宋" w:cs="仿宋"/>
                <w:bCs/>
                <w:sz w:val="22"/>
                <w:szCs w:val="22"/>
              </w:rPr>
              <w:t>37</w:t>
            </w:r>
          </w:p>
        </w:tc>
        <w:tc>
          <w:tcPr>
            <w:tcW w:w="5462" w:type="dxa"/>
            <w:noWrap w:val="0"/>
            <w:vAlign w:val="center"/>
          </w:tcPr>
          <w:p>
            <w:pPr>
              <w:keepNext w:val="0"/>
              <w:keepLines w:val="0"/>
              <w:widowControl/>
              <w:suppressLineNumbers w:val="0"/>
              <w:jc w:val="center"/>
              <w:textAlignment w:val="center"/>
              <w:rPr>
                <w:rFonts w:hint="eastAsia" w:ascii="仿宋" w:hAnsi="仿宋" w:eastAsia="仿宋" w:cs="仿宋"/>
                <w:bCs/>
                <w:sz w:val="22"/>
                <w:szCs w:val="22"/>
              </w:rPr>
            </w:pPr>
            <w:r>
              <w:rPr>
                <w:rFonts w:hint="eastAsia" w:ascii="仿宋" w:hAnsi="仿宋" w:eastAsia="仿宋" w:cs="仿宋"/>
                <w:i w:val="0"/>
                <w:iCs w:val="0"/>
                <w:color w:val="000000"/>
                <w:kern w:val="0"/>
                <w:sz w:val="22"/>
                <w:szCs w:val="22"/>
                <w:u w:val="none"/>
                <w:lang w:val="en-US" w:eastAsia="zh-CN" w:bidi="ar"/>
              </w:rPr>
              <w:t>电子天平</w:t>
            </w:r>
          </w:p>
        </w:tc>
        <w:tc>
          <w:tcPr>
            <w:tcW w:w="1488" w:type="dxa"/>
            <w:noWrap w:val="0"/>
            <w:vAlign w:val="center"/>
          </w:tcPr>
          <w:p>
            <w:pPr>
              <w:widowControl/>
              <w:jc w:val="center"/>
              <w:textAlignment w:val="center"/>
              <w:rPr>
                <w:rFonts w:hint="eastAsia" w:ascii="仿宋" w:hAnsi="仿宋" w:eastAsia="仿宋" w:cs="仿宋"/>
                <w:bCs/>
                <w:sz w:val="22"/>
                <w:szCs w:val="22"/>
              </w:rPr>
            </w:pPr>
            <w:r>
              <w:rPr>
                <w:rFonts w:hint="eastAsia" w:ascii="仿宋" w:hAnsi="仿宋" w:eastAsia="仿宋" w:cs="仿宋"/>
                <w:bCs/>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38</w:t>
            </w:r>
          </w:p>
        </w:tc>
        <w:tc>
          <w:tcPr>
            <w:tcW w:w="546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rPr>
              <w:t>二氧化碳激光治疗仪</w:t>
            </w:r>
          </w:p>
        </w:tc>
        <w:tc>
          <w:tcPr>
            <w:tcW w:w="1488" w:type="dxa"/>
            <w:noWrap w:val="0"/>
            <w:vAlign w:val="center"/>
          </w:tcPr>
          <w:p>
            <w:pPr>
              <w:widowControl/>
              <w:jc w:val="center"/>
              <w:textAlignment w:val="center"/>
              <w:rPr>
                <w:rFonts w:hint="eastAsia" w:ascii="仿宋" w:hAnsi="仿宋" w:eastAsia="仿宋" w:cs="仿宋"/>
                <w:bCs/>
                <w:sz w:val="22"/>
                <w:szCs w:val="22"/>
                <w:lang w:eastAsia="zh-CN"/>
              </w:rPr>
            </w:pPr>
            <w:r>
              <w:rPr>
                <w:rFonts w:hint="eastAsia" w:ascii="仿宋" w:hAnsi="仿宋" w:eastAsia="仿宋" w:cs="仿宋"/>
                <w:bCs/>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39</w:t>
            </w:r>
          </w:p>
        </w:tc>
        <w:tc>
          <w:tcPr>
            <w:tcW w:w="546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rPr>
              <w:t>血氧测定仪</w:t>
            </w:r>
          </w:p>
        </w:tc>
        <w:tc>
          <w:tcPr>
            <w:tcW w:w="1488" w:type="dxa"/>
            <w:noWrap w:val="0"/>
            <w:vAlign w:val="center"/>
          </w:tcPr>
          <w:p>
            <w:pPr>
              <w:widowControl/>
              <w:jc w:val="center"/>
              <w:textAlignment w:val="center"/>
              <w:rPr>
                <w:rFonts w:hint="eastAsia" w:ascii="仿宋" w:hAnsi="仿宋" w:eastAsia="仿宋" w:cs="仿宋"/>
                <w:bCs/>
                <w:sz w:val="22"/>
                <w:szCs w:val="22"/>
                <w:lang w:eastAsia="zh-CN"/>
              </w:rPr>
            </w:pPr>
            <w:r>
              <w:rPr>
                <w:rFonts w:hint="eastAsia" w:ascii="仿宋" w:hAnsi="仿宋" w:eastAsia="仿宋" w:cs="仿宋"/>
                <w:bCs/>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40</w:t>
            </w:r>
          </w:p>
        </w:tc>
        <w:tc>
          <w:tcPr>
            <w:tcW w:w="546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rPr>
              <w:t>可见分光光度计</w:t>
            </w:r>
          </w:p>
        </w:tc>
        <w:tc>
          <w:tcPr>
            <w:tcW w:w="1488" w:type="dxa"/>
            <w:noWrap w:val="0"/>
            <w:vAlign w:val="center"/>
          </w:tcPr>
          <w:p>
            <w:pPr>
              <w:widowControl/>
              <w:jc w:val="center"/>
              <w:textAlignment w:val="center"/>
              <w:rPr>
                <w:rFonts w:hint="eastAsia" w:ascii="仿宋" w:hAnsi="仿宋" w:eastAsia="仿宋" w:cs="仿宋"/>
                <w:bCs/>
                <w:sz w:val="22"/>
                <w:szCs w:val="22"/>
                <w:lang w:eastAsia="zh-CN"/>
              </w:rPr>
            </w:pPr>
            <w:r>
              <w:rPr>
                <w:rFonts w:hint="eastAsia" w:ascii="仿宋" w:hAnsi="仿宋" w:eastAsia="仿宋" w:cs="仿宋"/>
                <w:bCs/>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41</w:t>
            </w:r>
          </w:p>
        </w:tc>
        <w:tc>
          <w:tcPr>
            <w:tcW w:w="546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rPr>
              <w:t>骨密度仪</w:t>
            </w:r>
          </w:p>
        </w:tc>
        <w:tc>
          <w:tcPr>
            <w:tcW w:w="1488" w:type="dxa"/>
            <w:noWrap w:val="0"/>
            <w:vAlign w:val="center"/>
          </w:tcPr>
          <w:p>
            <w:pPr>
              <w:widowControl/>
              <w:jc w:val="center"/>
              <w:textAlignment w:val="center"/>
              <w:rPr>
                <w:rFonts w:hint="eastAsia" w:ascii="仿宋" w:hAnsi="仿宋" w:eastAsia="仿宋" w:cs="仿宋"/>
                <w:bCs/>
                <w:sz w:val="22"/>
                <w:szCs w:val="22"/>
                <w:lang w:eastAsia="zh-CN"/>
              </w:rPr>
            </w:pPr>
            <w:r>
              <w:rPr>
                <w:rFonts w:hint="eastAsia" w:ascii="仿宋" w:hAnsi="仿宋" w:eastAsia="仿宋" w:cs="仿宋"/>
                <w:bCs/>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42</w:t>
            </w:r>
          </w:p>
        </w:tc>
        <w:tc>
          <w:tcPr>
            <w:tcW w:w="546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rPr>
              <w:t>碎石机</w:t>
            </w:r>
          </w:p>
        </w:tc>
        <w:tc>
          <w:tcPr>
            <w:tcW w:w="1488" w:type="dxa"/>
            <w:noWrap w:val="0"/>
            <w:vAlign w:val="center"/>
          </w:tcPr>
          <w:p>
            <w:pPr>
              <w:widowControl/>
              <w:jc w:val="center"/>
              <w:textAlignment w:val="center"/>
              <w:rPr>
                <w:rFonts w:hint="eastAsia" w:ascii="仿宋" w:hAnsi="仿宋" w:eastAsia="仿宋" w:cs="仿宋"/>
                <w:bCs/>
                <w:sz w:val="22"/>
                <w:szCs w:val="22"/>
                <w:lang w:eastAsia="zh-CN"/>
              </w:rPr>
            </w:pPr>
            <w:r>
              <w:rPr>
                <w:rFonts w:hint="eastAsia" w:ascii="仿宋" w:hAnsi="仿宋" w:eastAsia="仿宋" w:cs="仿宋"/>
                <w:bCs/>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43</w:t>
            </w:r>
          </w:p>
        </w:tc>
        <w:tc>
          <w:tcPr>
            <w:tcW w:w="546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rPr>
              <w:t>血管造影机</w:t>
            </w:r>
          </w:p>
        </w:tc>
        <w:tc>
          <w:tcPr>
            <w:tcW w:w="1488" w:type="dxa"/>
            <w:noWrap w:val="0"/>
            <w:vAlign w:val="center"/>
          </w:tcPr>
          <w:p>
            <w:pPr>
              <w:widowControl/>
              <w:jc w:val="center"/>
              <w:textAlignment w:val="center"/>
              <w:rPr>
                <w:rFonts w:hint="eastAsia" w:ascii="仿宋" w:hAnsi="仿宋" w:eastAsia="仿宋" w:cs="仿宋"/>
                <w:bCs/>
                <w:sz w:val="22"/>
                <w:szCs w:val="22"/>
                <w:lang w:eastAsia="zh-CN"/>
              </w:rPr>
            </w:pPr>
            <w:r>
              <w:rPr>
                <w:rFonts w:hint="eastAsia" w:ascii="仿宋" w:hAnsi="仿宋" w:eastAsia="仿宋" w:cs="仿宋"/>
                <w:bCs/>
                <w:sz w:val="22"/>
                <w:szCs w:val="22"/>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lang w:val="en-US" w:eastAsia="zh-CN"/>
              </w:rPr>
              <w:t>44</w:t>
            </w:r>
          </w:p>
        </w:tc>
        <w:tc>
          <w:tcPr>
            <w:tcW w:w="5462" w:type="dxa"/>
            <w:noWrap w:val="0"/>
            <w:vAlign w:val="center"/>
          </w:tcPr>
          <w:p>
            <w:pPr>
              <w:widowControl/>
              <w:jc w:val="center"/>
              <w:textAlignment w:val="center"/>
              <w:rPr>
                <w:rFonts w:hint="eastAsia" w:ascii="仿宋" w:hAnsi="仿宋" w:eastAsia="仿宋" w:cs="仿宋"/>
                <w:bCs/>
                <w:sz w:val="22"/>
                <w:szCs w:val="22"/>
                <w:lang w:val="en-US" w:eastAsia="zh-CN"/>
              </w:rPr>
            </w:pPr>
            <w:r>
              <w:rPr>
                <w:rFonts w:hint="eastAsia" w:ascii="仿宋" w:hAnsi="仿宋" w:eastAsia="仿宋" w:cs="仿宋"/>
                <w:bCs/>
                <w:sz w:val="22"/>
                <w:szCs w:val="22"/>
              </w:rPr>
              <w:t>秤（包括电脑人体秤、超声波体检秤、电子计价秤、电子台秤、轮椅秤、台秤、体重秤等）</w:t>
            </w:r>
          </w:p>
        </w:tc>
        <w:tc>
          <w:tcPr>
            <w:tcW w:w="1488" w:type="dxa"/>
            <w:noWrap w:val="0"/>
            <w:vAlign w:val="center"/>
          </w:tcPr>
          <w:p>
            <w:pPr>
              <w:widowControl/>
              <w:jc w:val="center"/>
              <w:textAlignment w:val="center"/>
              <w:rPr>
                <w:rFonts w:hint="eastAsia" w:ascii="仿宋" w:hAnsi="仿宋" w:eastAsia="仿宋" w:cs="仿宋"/>
                <w:bCs/>
                <w:sz w:val="22"/>
                <w:szCs w:val="22"/>
                <w:lang w:eastAsia="zh-CN"/>
              </w:rPr>
            </w:pPr>
            <w:r>
              <w:rPr>
                <w:rFonts w:hint="eastAsia" w:ascii="仿宋" w:hAnsi="仿宋" w:eastAsia="仿宋" w:cs="仿宋"/>
                <w:bCs/>
                <w:sz w:val="22"/>
                <w:szCs w:val="22"/>
                <w:lang w:eastAsia="zh-CN"/>
              </w:rPr>
              <w:t>否</w:t>
            </w:r>
          </w:p>
        </w:tc>
      </w:tr>
    </w:tbl>
    <w:p>
      <w:pPr>
        <w:widowControl/>
        <w:spacing w:after="200" w:line="276" w:lineRule="auto"/>
        <w:jc w:val="left"/>
        <w:rPr>
          <w:rFonts w:hint="eastAsia" w:ascii="仿宋" w:hAnsi="仿宋" w:eastAsia="仿宋" w:cs="仿宋"/>
          <w:bCs/>
          <w:sz w:val="24"/>
        </w:rPr>
      </w:pPr>
      <w:r>
        <w:rPr>
          <w:rFonts w:hint="eastAsia" w:ascii="仿宋" w:hAnsi="仿宋" w:eastAsia="仿宋" w:cs="仿宋"/>
          <w:bCs/>
          <w:sz w:val="24"/>
        </w:rPr>
        <w:t>附表二</w:t>
      </w:r>
    </w:p>
    <w:p>
      <w:pPr>
        <w:jc w:val="center"/>
        <w:rPr>
          <w:rFonts w:hint="eastAsia" w:ascii="仿宋" w:hAnsi="仿宋" w:eastAsia="仿宋" w:cs="仿宋"/>
          <w:b/>
          <w:bCs/>
          <w:sz w:val="36"/>
          <w:szCs w:val="36"/>
        </w:rPr>
      </w:pPr>
      <w:r>
        <w:rPr>
          <w:rFonts w:hint="eastAsia" w:ascii="仿宋" w:hAnsi="仿宋" w:eastAsia="仿宋" w:cs="仿宋"/>
          <w:b/>
          <w:bCs/>
          <w:sz w:val="36"/>
          <w:szCs w:val="36"/>
        </w:rPr>
        <w:t>绍兴市中医院医疗设备计量服务考核管理办法</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为加强管理，提升计量服务质量，确保计量服务规范化运作，保障临床工作的顺利开展，特制定如下考核细则： </w:t>
      </w:r>
    </w:p>
    <w:p>
      <w:pPr>
        <w:spacing w:line="360" w:lineRule="auto"/>
        <w:ind w:firstLine="424" w:firstLineChars="177"/>
        <w:rPr>
          <w:rFonts w:hint="eastAsia" w:ascii="仿宋" w:hAnsi="仿宋" w:eastAsia="仿宋" w:cs="仿宋"/>
          <w:sz w:val="24"/>
        </w:rPr>
      </w:pPr>
      <w:r>
        <w:rPr>
          <w:rFonts w:hint="eastAsia" w:ascii="仿宋" w:hAnsi="仿宋" w:eastAsia="仿宋" w:cs="仿宋"/>
          <w:sz w:val="24"/>
        </w:rPr>
        <w:t>1.医疗设备计量服务工作，由绍兴市中医院设备科负责监管，考核小组负责日常管理，各涉及科室配合、协助监管。</w:t>
      </w:r>
    </w:p>
    <w:p>
      <w:pPr>
        <w:spacing w:line="360" w:lineRule="auto"/>
        <w:ind w:firstLine="424" w:firstLineChars="177"/>
        <w:rPr>
          <w:rFonts w:hint="eastAsia" w:ascii="仿宋" w:hAnsi="仿宋" w:eastAsia="仿宋" w:cs="仿宋"/>
          <w:sz w:val="24"/>
        </w:rPr>
      </w:pPr>
      <w:r>
        <w:rPr>
          <w:rFonts w:hint="eastAsia" w:ascii="仿宋" w:hAnsi="仿宋" w:eastAsia="仿宋" w:cs="仿宋"/>
          <w:sz w:val="24"/>
        </w:rPr>
        <w:t>2.考核小组：设备科成立计量服务考核小组，设备科长任组长，计量管理员任秘书，小组成员由全体工程师担任，考核小组负责日常监管和年度考核。</w:t>
      </w:r>
    </w:p>
    <w:p>
      <w:pPr>
        <w:spacing w:line="360" w:lineRule="auto"/>
        <w:ind w:firstLine="424" w:firstLineChars="177"/>
        <w:rPr>
          <w:rFonts w:hint="eastAsia" w:ascii="仿宋" w:hAnsi="仿宋" w:eastAsia="仿宋" w:cs="仿宋"/>
          <w:sz w:val="24"/>
        </w:rPr>
      </w:pPr>
      <w:r>
        <w:rPr>
          <w:rFonts w:hint="eastAsia" w:ascii="仿宋" w:hAnsi="仿宋" w:eastAsia="仿宋" w:cs="仿宋"/>
          <w:sz w:val="24"/>
        </w:rPr>
        <w:t>3.考核采用百分制，对服务质量和满意度进行年度考核，设备科考核小组打分，详见附表。</w:t>
      </w:r>
    </w:p>
    <w:p>
      <w:pPr>
        <w:spacing w:line="360" w:lineRule="auto"/>
        <w:ind w:firstLine="424" w:firstLineChars="177"/>
        <w:rPr>
          <w:rFonts w:hint="eastAsia" w:ascii="仿宋" w:hAnsi="仿宋" w:eastAsia="仿宋" w:cs="仿宋"/>
          <w:sz w:val="24"/>
        </w:rPr>
      </w:pPr>
      <w:r>
        <w:rPr>
          <w:rFonts w:hint="eastAsia" w:ascii="仿宋" w:hAnsi="仿宋" w:eastAsia="仿宋" w:cs="仿宋"/>
          <w:sz w:val="24"/>
        </w:rPr>
        <w:t>4.考核的最终结果作为医院向计量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pPr>
        <w:spacing w:line="360" w:lineRule="auto"/>
        <w:ind w:firstLine="424" w:firstLineChars="177"/>
        <w:rPr>
          <w:rFonts w:hint="eastAsia" w:ascii="仿宋" w:hAnsi="仿宋" w:eastAsia="仿宋" w:cs="仿宋"/>
          <w:sz w:val="24"/>
        </w:rPr>
      </w:pPr>
      <w:r>
        <w:rPr>
          <w:rFonts w:hint="eastAsia" w:ascii="仿宋" w:hAnsi="仿宋" w:eastAsia="仿宋" w:cs="仿宋"/>
          <w:sz w:val="24"/>
        </w:rPr>
        <w:t>5.其他分项考核：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1)计量服务公司在服务过程中未按标准执行而引起临床科室或病人投诉的，经调查情况属实的，每发生1起扣除1000元；</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2)计量服务公司未按要求完成突发性工作任务的，每发生1起扣除2000元；</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3)计量服务公司对日常检查中提出的改进要求未落实的，每发生1起扣除1000元；</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4)计量服务公司在服务过程未按标准执行而引起医疗纠纷及事故的，每发生1起扣除5000元，并承担相应赔偿责任；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5)在上级部门检查中，因计量服务公司原因受到书面通报批评或被新闻媒体曝光批评的，每发生1起扣除1万元，医院可单方面终止合同；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6)详见《绍兴市中医院医疗设备计量服务考核表》，本考核事宜解释权为设备科。</w:t>
      </w:r>
    </w:p>
    <w:p>
      <w:pPr>
        <w:spacing w:line="360" w:lineRule="auto"/>
        <w:ind w:firstLine="480" w:firstLineChars="200"/>
        <w:jc w:val="center"/>
        <w:rPr>
          <w:rFonts w:hint="eastAsia" w:ascii="仿宋" w:hAnsi="仿宋" w:eastAsia="仿宋" w:cs="仿宋"/>
          <w:b/>
          <w:bCs/>
          <w:sz w:val="36"/>
          <w:szCs w:val="36"/>
        </w:rPr>
      </w:pPr>
      <w:r>
        <w:rPr>
          <w:rFonts w:hint="eastAsia" w:ascii="仿宋" w:hAnsi="仿宋" w:eastAsia="仿宋" w:cs="仿宋"/>
          <w:sz w:val="24"/>
        </w:rPr>
        <w:br w:type="page"/>
      </w:r>
      <w:r>
        <w:rPr>
          <w:rFonts w:hint="eastAsia" w:ascii="仿宋" w:hAnsi="仿宋" w:eastAsia="仿宋" w:cs="仿宋"/>
          <w:b/>
          <w:bCs/>
          <w:sz w:val="36"/>
          <w:szCs w:val="36"/>
        </w:rPr>
        <w:t>绍兴市中医院医疗设备计量服务考核表</w:t>
      </w:r>
    </w:p>
    <w:p>
      <w:pPr>
        <w:rPr>
          <w:rFonts w:hint="eastAsia" w:ascii="仿宋" w:hAnsi="仿宋" w:eastAsia="仿宋" w:cs="仿宋"/>
          <w:sz w:val="24"/>
        </w:rPr>
      </w:pPr>
    </w:p>
    <w:tbl>
      <w:tblPr>
        <w:tblStyle w:val="42"/>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3706"/>
        <w:gridCol w:w="2040"/>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noWrap w:val="0"/>
            <w:vAlign w:val="center"/>
          </w:tcPr>
          <w:p>
            <w:pPr>
              <w:rPr>
                <w:rFonts w:hint="eastAsia" w:ascii="仿宋" w:hAnsi="仿宋" w:eastAsia="仿宋" w:cs="仿宋"/>
                <w:b/>
              </w:rPr>
            </w:pPr>
            <w:r>
              <w:rPr>
                <w:rFonts w:hint="eastAsia" w:ascii="仿宋" w:hAnsi="仿宋" w:eastAsia="仿宋" w:cs="仿宋"/>
                <w:b/>
              </w:rPr>
              <w:t>合同编号</w:t>
            </w:r>
          </w:p>
        </w:tc>
        <w:tc>
          <w:tcPr>
            <w:tcW w:w="3706" w:type="dxa"/>
            <w:noWrap w:val="0"/>
            <w:vAlign w:val="center"/>
          </w:tcPr>
          <w:p>
            <w:pPr>
              <w:rPr>
                <w:rFonts w:hint="eastAsia" w:ascii="仿宋" w:hAnsi="仿宋" w:eastAsia="仿宋" w:cs="仿宋"/>
                <w:b/>
              </w:rPr>
            </w:pPr>
          </w:p>
        </w:tc>
        <w:tc>
          <w:tcPr>
            <w:tcW w:w="2040" w:type="dxa"/>
            <w:noWrap w:val="0"/>
            <w:vAlign w:val="center"/>
          </w:tcPr>
          <w:p>
            <w:pPr>
              <w:rPr>
                <w:rFonts w:hint="eastAsia" w:ascii="仿宋" w:hAnsi="仿宋" w:eastAsia="仿宋" w:cs="仿宋"/>
                <w:b/>
              </w:rPr>
            </w:pPr>
            <w:r>
              <w:rPr>
                <w:rFonts w:hint="eastAsia" w:ascii="仿宋" w:hAnsi="仿宋" w:eastAsia="仿宋" w:cs="仿宋"/>
                <w:b/>
              </w:rPr>
              <w:t>科室</w:t>
            </w:r>
          </w:p>
        </w:tc>
        <w:tc>
          <w:tcPr>
            <w:tcW w:w="1929" w:type="dxa"/>
            <w:noWrap w:val="0"/>
            <w:vAlign w:val="center"/>
          </w:tcPr>
          <w:p>
            <w:pP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noWrap w:val="0"/>
            <w:vAlign w:val="center"/>
          </w:tcPr>
          <w:p>
            <w:pPr>
              <w:rPr>
                <w:rFonts w:hint="eastAsia" w:ascii="仿宋" w:hAnsi="仿宋" w:eastAsia="仿宋" w:cs="仿宋"/>
                <w:b/>
              </w:rPr>
            </w:pPr>
            <w:r>
              <w:rPr>
                <w:rFonts w:hint="eastAsia" w:ascii="仿宋" w:hAnsi="仿宋" w:eastAsia="仿宋" w:cs="仿宋"/>
                <w:b/>
              </w:rPr>
              <w:t>服务公司</w:t>
            </w:r>
          </w:p>
        </w:tc>
        <w:tc>
          <w:tcPr>
            <w:tcW w:w="3706" w:type="dxa"/>
            <w:noWrap w:val="0"/>
            <w:vAlign w:val="center"/>
          </w:tcPr>
          <w:p>
            <w:pPr>
              <w:rPr>
                <w:rFonts w:hint="eastAsia" w:ascii="仿宋" w:hAnsi="仿宋" w:eastAsia="仿宋" w:cs="仿宋"/>
                <w:b/>
              </w:rPr>
            </w:pPr>
          </w:p>
        </w:tc>
        <w:tc>
          <w:tcPr>
            <w:tcW w:w="2040" w:type="dxa"/>
            <w:noWrap w:val="0"/>
            <w:vAlign w:val="center"/>
          </w:tcPr>
          <w:p>
            <w:pPr>
              <w:rPr>
                <w:rFonts w:hint="eastAsia" w:ascii="仿宋" w:hAnsi="仿宋" w:eastAsia="仿宋" w:cs="仿宋"/>
                <w:b/>
              </w:rPr>
            </w:pPr>
            <w:r>
              <w:rPr>
                <w:rFonts w:hint="eastAsia" w:ascii="仿宋" w:hAnsi="仿宋" w:eastAsia="仿宋" w:cs="仿宋"/>
                <w:b/>
              </w:rPr>
              <w:t>联系人及联系方式</w:t>
            </w:r>
          </w:p>
        </w:tc>
        <w:tc>
          <w:tcPr>
            <w:tcW w:w="1929" w:type="dxa"/>
            <w:noWrap w:val="0"/>
            <w:vAlign w:val="center"/>
          </w:tcPr>
          <w:p>
            <w:pP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noWrap w:val="0"/>
            <w:vAlign w:val="center"/>
          </w:tcPr>
          <w:p>
            <w:pPr>
              <w:rPr>
                <w:rFonts w:hint="eastAsia" w:ascii="仿宋" w:hAnsi="仿宋" w:eastAsia="仿宋" w:cs="仿宋"/>
                <w:b/>
              </w:rPr>
            </w:pPr>
            <w:r>
              <w:rPr>
                <w:rFonts w:hint="eastAsia" w:ascii="仿宋" w:hAnsi="仿宋" w:eastAsia="仿宋" w:cs="仿宋"/>
                <w:b/>
              </w:rPr>
              <w:t>考核周期</w:t>
            </w:r>
          </w:p>
        </w:tc>
        <w:tc>
          <w:tcPr>
            <w:tcW w:w="7675" w:type="dxa"/>
            <w:gridSpan w:val="3"/>
            <w:noWrap w:val="0"/>
            <w:vAlign w:val="center"/>
          </w:tcPr>
          <w:p>
            <w:pPr>
              <w:rPr>
                <w:rFonts w:hint="eastAsia"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noWrap w:val="0"/>
            <w:vAlign w:val="center"/>
          </w:tcPr>
          <w:p>
            <w:pPr>
              <w:rPr>
                <w:rFonts w:hint="eastAsia" w:ascii="仿宋" w:hAnsi="仿宋" w:eastAsia="仿宋" w:cs="仿宋"/>
                <w:sz w:val="28"/>
                <w:szCs w:val="28"/>
              </w:rPr>
            </w:pPr>
            <w:r>
              <w:rPr>
                <w:rFonts w:hint="eastAsia" w:ascii="仿宋" w:hAnsi="仿宋" w:eastAsia="仿宋" w:cs="仿宋"/>
                <w:sz w:val="24"/>
              </w:rPr>
              <w:t>对照计量服务双方约定条款，实际履行情况（附计量记录）：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68" w:type="dxa"/>
            <w:noWrap w:val="0"/>
            <w:vAlign w:val="center"/>
          </w:tcPr>
          <w:p>
            <w:pPr>
              <w:jc w:val="center"/>
              <w:rPr>
                <w:rFonts w:hint="eastAsia" w:ascii="仿宋" w:hAnsi="仿宋" w:eastAsia="仿宋" w:cs="仿宋"/>
                <w:b/>
              </w:rPr>
            </w:pPr>
            <w:r>
              <w:rPr>
                <w:rFonts w:hint="eastAsia" w:ascii="仿宋" w:hAnsi="仿宋" w:eastAsia="仿宋" w:cs="仿宋"/>
                <w:b/>
              </w:rPr>
              <w:t>序号</w:t>
            </w:r>
          </w:p>
        </w:tc>
        <w:tc>
          <w:tcPr>
            <w:tcW w:w="3706" w:type="dxa"/>
            <w:noWrap w:val="0"/>
            <w:vAlign w:val="center"/>
          </w:tcPr>
          <w:p>
            <w:pPr>
              <w:jc w:val="center"/>
              <w:rPr>
                <w:rFonts w:hint="eastAsia" w:ascii="仿宋" w:hAnsi="仿宋" w:eastAsia="仿宋" w:cs="仿宋"/>
                <w:b/>
              </w:rPr>
            </w:pPr>
            <w:r>
              <w:rPr>
                <w:rFonts w:hint="eastAsia" w:ascii="仿宋" w:hAnsi="仿宋" w:eastAsia="仿宋" w:cs="仿宋"/>
                <w:b/>
              </w:rPr>
              <w:t>评价内容（总分100分）</w:t>
            </w:r>
          </w:p>
        </w:tc>
        <w:tc>
          <w:tcPr>
            <w:tcW w:w="3969" w:type="dxa"/>
            <w:gridSpan w:val="2"/>
            <w:noWrap w:val="0"/>
            <w:vAlign w:val="center"/>
          </w:tcPr>
          <w:p>
            <w:pPr>
              <w:jc w:val="center"/>
              <w:rPr>
                <w:rFonts w:hint="eastAsia" w:ascii="仿宋" w:hAnsi="仿宋" w:eastAsia="仿宋" w:cs="仿宋"/>
                <w:b/>
              </w:rPr>
            </w:pPr>
            <w:r>
              <w:rPr>
                <w:rFonts w:hint="eastAsia" w:ascii="仿宋" w:hAnsi="仿宋" w:eastAsia="仿宋" w:cs="仿宋"/>
                <w:b/>
              </w:rPr>
              <w:t>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计量检测服务及时率（10分）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计量检测服务覆盖率（10分）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强制管理计量服务质量（10分）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4</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特种设备计量服务质量（10分）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5</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非强制管理计量服务质量（10分）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6</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年度总结质量（10分）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7</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信息系统台账维护（10分）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8</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计量设备应急能力（10分）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9</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技术人员的专业技能（5分）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0"/>
            <w:vAlign w:val="center"/>
          </w:tcPr>
          <w:p>
            <w:pPr>
              <w:jc w:val="center"/>
              <w:rPr>
                <w:rFonts w:hint="eastAsia" w:ascii="仿宋" w:hAnsi="仿宋" w:eastAsia="仿宋" w:cs="仿宋"/>
                <w:sz w:val="24"/>
              </w:rPr>
            </w:pPr>
            <w:r>
              <w:rPr>
                <w:rFonts w:hint="eastAsia" w:ascii="仿宋" w:hAnsi="仿宋" w:eastAsia="仿宋" w:cs="仿宋"/>
                <w:sz w:val="24"/>
              </w:rPr>
              <w:t>10</w:t>
            </w: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技术人员的服务态度（15分）</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0"/>
            <w:vAlign w:val="center"/>
          </w:tcPr>
          <w:p>
            <w:pPr>
              <w:jc w:val="center"/>
              <w:rPr>
                <w:rFonts w:hint="eastAsia" w:ascii="仿宋" w:hAnsi="仿宋" w:eastAsia="仿宋" w:cs="仿宋"/>
                <w:sz w:val="24"/>
              </w:rPr>
            </w:pPr>
          </w:p>
        </w:tc>
        <w:tc>
          <w:tcPr>
            <w:tcW w:w="3706" w:type="dxa"/>
            <w:noWrap w:val="0"/>
            <w:vAlign w:val="center"/>
          </w:tcPr>
          <w:p>
            <w:pPr>
              <w:rPr>
                <w:rFonts w:hint="eastAsia" w:ascii="仿宋" w:hAnsi="仿宋" w:eastAsia="仿宋" w:cs="仿宋"/>
                <w:sz w:val="24"/>
              </w:rPr>
            </w:pPr>
            <w:r>
              <w:rPr>
                <w:rFonts w:hint="eastAsia" w:ascii="仿宋" w:hAnsi="仿宋" w:eastAsia="仿宋" w:cs="仿宋"/>
                <w:sz w:val="24"/>
              </w:rPr>
              <w:t>综合考评结果</w:t>
            </w:r>
          </w:p>
        </w:tc>
        <w:tc>
          <w:tcPr>
            <w:tcW w:w="3969" w:type="dxa"/>
            <w:gridSpan w:val="2"/>
            <w:noWrap w:val="0"/>
            <w:vAlign w:val="center"/>
          </w:tcPr>
          <w:p>
            <w:pPr>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743" w:type="dxa"/>
            <w:gridSpan w:val="4"/>
            <w:noWrap w:val="0"/>
            <w:vAlign w:val="top"/>
          </w:tcPr>
          <w:p>
            <w:pPr>
              <w:rPr>
                <w:rFonts w:hint="eastAsia" w:ascii="仿宋" w:hAnsi="仿宋" w:eastAsia="仿宋" w:cs="仿宋"/>
                <w:b/>
              </w:rPr>
            </w:pPr>
            <w:r>
              <w:rPr>
                <w:rFonts w:hint="eastAsia" w:ascii="仿宋" w:hAnsi="仿宋" w:eastAsia="仿宋" w:cs="仿宋"/>
                <w:b/>
              </w:rPr>
              <w:t>改进意见及建议：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8743" w:type="dxa"/>
            <w:gridSpan w:val="4"/>
            <w:noWrap w:val="0"/>
            <w:vAlign w:val="center"/>
          </w:tcPr>
          <w:p>
            <w:pPr>
              <w:jc w:val="left"/>
              <w:rPr>
                <w:rFonts w:hint="eastAsia" w:ascii="仿宋" w:hAnsi="仿宋" w:eastAsia="仿宋" w:cs="仿宋"/>
                <w:sz w:val="24"/>
                <w:u w:val="single"/>
              </w:rPr>
            </w:pPr>
            <w:r>
              <w:rPr>
                <w:rFonts w:hint="eastAsia" w:ascii="仿宋" w:hAnsi="仿宋" w:eastAsia="仿宋" w:cs="仿宋"/>
                <w:sz w:val="24"/>
              </w:rPr>
              <w:t>考评组员：                                      日期：</w:t>
            </w:r>
            <w:r>
              <w:rPr>
                <w:rFonts w:hint="eastAsia" w:ascii="仿宋" w:hAnsi="仿宋" w:eastAsia="仿宋" w:cs="仿宋"/>
                <w:sz w:val="24"/>
                <w:u w:val="single"/>
              </w:rPr>
              <w:t xml:space="preserve">              </w:t>
            </w:r>
          </w:p>
          <w:p>
            <w:pPr>
              <w:jc w:val="left"/>
              <w:rPr>
                <w:rFonts w:hint="eastAsia" w:ascii="仿宋" w:hAnsi="仿宋" w:eastAsia="仿宋" w:cs="仿宋"/>
                <w:sz w:val="24"/>
              </w:rPr>
            </w:pPr>
          </w:p>
          <w:p>
            <w:pPr>
              <w:jc w:val="left"/>
              <w:rPr>
                <w:rFonts w:hint="eastAsia" w:ascii="仿宋" w:hAnsi="仿宋" w:eastAsia="仿宋" w:cs="仿宋"/>
                <w:sz w:val="24"/>
              </w:rPr>
            </w:pPr>
          </w:p>
          <w:p>
            <w:pPr>
              <w:jc w:val="left"/>
              <w:rPr>
                <w:rFonts w:hint="eastAsia" w:ascii="仿宋" w:hAnsi="仿宋" w:eastAsia="仿宋" w:cs="仿宋"/>
                <w:sz w:val="24"/>
              </w:rPr>
            </w:pPr>
          </w:p>
          <w:p>
            <w:pPr>
              <w:rPr>
                <w:rFonts w:hint="eastAsia" w:ascii="仿宋" w:hAnsi="仿宋" w:eastAsia="仿宋" w:cs="仿宋"/>
                <w:sz w:val="24"/>
              </w:rPr>
            </w:pPr>
          </w:p>
          <w:p>
            <w:pPr>
              <w:jc w:val="left"/>
              <w:rPr>
                <w:rFonts w:hint="eastAsia" w:ascii="仿宋" w:hAnsi="仿宋" w:eastAsia="仿宋" w:cs="仿宋"/>
                <w:sz w:val="24"/>
              </w:rPr>
            </w:pPr>
            <w:r>
              <w:rPr>
                <w:rFonts w:hint="eastAsia" w:ascii="仿宋" w:hAnsi="仿宋" w:eastAsia="仿宋" w:cs="仿宋"/>
                <w:sz w:val="24"/>
              </w:rPr>
              <w:t xml:space="preserve">审核人：         　　　　　　　　　　　　　　   日期：              </w:t>
            </w:r>
          </w:p>
        </w:tc>
      </w:tr>
    </w:tbl>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政府采购合同参考范本</w:t>
      </w:r>
    </w:p>
    <w:p>
      <w:pPr>
        <w:rPr>
          <w:rFonts w:hint="eastAsia" w:ascii="仿宋" w:hAnsi="仿宋" w:eastAsia="仿宋" w:cs="仿宋"/>
          <w:sz w:val="24"/>
          <w:highlight w:val="none"/>
        </w:rPr>
      </w:pPr>
    </w:p>
    <w:p>
      <w:pPr>
        <w:rPr>
          <w:rFonts w:hint="eastAsia" w:ascii="仿宋" w:hAnsi="仿宋" w:eastAsia="仿宋" w:cs="仿宋"/>
          <w:sz w:val="24"/>
        </w:rPr>
      </w:pP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
        <w:rPr>
          <w:rFonts w:hint="eastAsia" w:ascii="仿宋" w:hAnsi="仿宋" w:eastAsia="仿宋" w:cs="仿宋"/>
        </w:rPr>
      </w:pPr>
    </w:p>
    <w:p>
      <w:pPr>
        <w:pStyle w:val="7"/>
        <w:rPr>
          <w:rFonts w:hint="eastAsia" w:ascii="仿宋" w:hAnsi="仿宋" w:eastAsia="仿宋" w:cs="仿宋"/>
        </w:rPr>
      </w:pPr>
    </w:p>
    <w:p>
      <w:pPr>
        <w:pStyle w:val="7"/>
        <w:ind w:firstLine="562"/>
        <w:jc w:val="center"/>
        <w:rPr>
          <w:rFonts w:hint="eastAsia" w:ascii="仿宋" w:hAnsi="仿宋" w:eastAsia="仿宋" w:cs="仿宋"/>
          <w:b/>
          <w:sz w:val="28"/>
        </w:rPr>
      </w:pPr>
      <w:r>
        <w:rPr>
          <w:rFonts w:hint="eastAsia" w:ascii="仿宋" w:hAnsi="仿宋" w:eastAsia="仿宋" w:cs="仿宋"/>
          <w:b/>
          <w:sz w:val="28"/>
        </w:rPr>
        <w:t>第一部分  合同书</w:t>
      </w:r>
    </w:p>
    <w:p>
      <w:pPr>
        <w:pStyle w:val="7"/>
        <w:rPr>
          <w:rFonts w:hint="eastAsia" w:ascii="仿宋" w:hAnsi="仿宋" w:eastAsia="仿宋" w:cs="仿宋"/>
        </w:rPr>
      </w:pPr>
    </w:p>
    <w:p>
      <w:pPr>
        <w:pStyle w:val="7"/>
        <w:rPr>
          <w:rFonts w:hint="eastAsia" w:ascii="仿宋" w:hAnsi="仿宋" w:eastAsia="仿宋" w:cs="仿宋"/>
        </w:rPr>
      </w:pP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p>
    <w:p>
      <w:pPr>
        <w:pStyle w:val="281"/>
        <w:spacing w:before="120" w:line="22" w:lineRule="atLeast"/>
        <w:rPr>
          <w:rFonts w:hint="eastAsia" w:ascii="仿宋" w:hAnsi="仿宋" w:eastAsia="仿宋" w:cs="仿宋"/>
          <w:szCs w:val="24"/>
        </w:rPr>
      </w:pPr>
    </w:p>
    <w:p>
      <w:pPr>
        <w:pStyle w:val="281"/>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签订日期：年月日</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（采购人）</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（采购人）</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12" w:name="_Toc24059"/>
      <w:bookmarkStart w:id="13" w:name="_Toc3029"/>
      <w:bookmarkStart w:id="14" w:name="_Toc2232"/>
      <w:r>
        <w:rPr>
          <w:rFonts w:hint="eastAsia" w:ascii="仿宋" w:hAnsi="仿宋" w:eastAsia="仿宋" w:cs="仿宋"/>
          <w:b/>
          <w:sz w:val="24"/>
          <w:highlight w:val="none"/>
        </w:rPr>
        <w:t>1.1 合同组成部分</w:t>
      </w:r>
      <w:bookmarkEnd w:id="12"/>
      <w:bookmarkEnd w:id="13"/>
      <w:bookmarkEnd w:id="1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15" w:name="_Toc24300"/>
      <w:bookmarkStart w:id="16" w:name="_Toc27126"/>
      <w:bookmarkStart w:id="17" w:name="_Toc21295"/>
      <w:r>
        <w:rPr>
          <w:rFonts w:hint="eastAsia" w:ascii="仿宋" w:hAnsi="仿宋" w:eastAsia="仿宋" w:cs="仿宋"/>
          <w:b/>
          <w:sz w:val="24"/>
          <w:highlight w:val="none"/>
        </w:rPr>
        <w:t xml:space="preserve">1.2 </w:t>
      </w:r>
      <w:bookmarkEnd w:id="15"/>
      <w:bookmarkEnd w:id="16"/>
      <w:bookmarkEnd w:id="17"/>
      <w:r>
        <w:rPr>
          <w:rFonts w:hint="eastAsia" w:ascii="仿宋" w:hAnsi="仿宋" w:eastAsia="仿宋" w:cs="仿宋"/>
          <w:b/>
          <w:sz w:val="24"/>
          <w:highlight w:val="none"/>
        </w:rPr>
        <w:t>服务</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服务名称：；</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服务期限和内容：；</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服务提供地点及方式：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8" w:name="_Toc21631"/>
      <w:bookmarkStart w:id="19" w:name="_Toc23292"/>
      <w:bookmarkStart w:id="20" w:name="_Toc21551"/>
      <w:r>
        <w:rPr>
          <w:rFonts w:hint="eastAsia" w:ascii="仿宋" w:hAnsi="仿宋" w:eastAsia="仿宋" w:cs="仿宋"/>
          <w:b/>
          <w:sz w:val="24"/>
          <w:highlight w:val="none"/>
        </w:rPr>
        <w:t>1.3 价款</w:t>
      </w:r>
      <w:bookmarkEnd w:id="18"/>
      <w:bookmarkEnd w:id="19"/>
      <w:bookmarkEnd w:id="2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本合同总价为：￥元（大写：元人民币）。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highlight w:val="none"/>
              </w:rPr>
            </w:pPr>
          </w:p>
        </w:tc>
      </w:tr>
    </w:tbl>
    <w:p>
      <w:pPr>
        <w:spacing w:line="440" w:lineRule="exact"/>
        <w:ind w:firstLine="482" w:firstLineChars="200"/>
        <w:outlineLvl w:val="0"/>
        <w:rPr>
          <w:rFonts w:hint="eastAsia" w:ascii="仿宋" w:hAnsi="仿宋" w:eastAsia="仿宋" w:cs="仿宋"/>
          <w:b/>
          <w:sz w:val="24"/>
          <w:highlight w:val="none"/>
        </w:rPr>
      </w:pPr>
      <w:bookmarkStart w:id="21" w:name="_Toc10340"/>
      <w:bookmarkStart w:id="22" w:name="_Toc22618"/>
      <w:bookmarkStart w:id="23" w:name="_Toc1814"/>
      <w:bookmarkStart w:id="24" w:name="_Toc19304"/>
      <w:bookmarkStart w:id="25" w:name="_Toc32071"/>
      <w:bookmarkStart w:id="26" w:name="_Toc2846"/>
      <w:r>
        <w:rPr>
          <w:rFonts w:hint="eastAsia" w:ascii="仿宋" w:hAnsi="仿宋" w:eastAsia="仿宋" w:cs="仿宋"/>
          <w:b/>
          <w:sz w:val="24"/>
          <w:highlight w:val="none"/>
        </w:rPr>
        <w:t>1.4 付款</w:t>
      </w:r>
      <w:bookmarkEnd w:id="21"/>
      <w:bookmarkEnd w:id="22"/>
      <w:bookmarkEnd w:id="23"/>
      <w:r>
        <w:rPr>
          <w:rFonts w:hint="eastAsia" w:ascii="仿宋" w:hAnsi="仿宋" w:eastAsia="仿宋" w:cs="仿宋"/>
          <w:b/>
          <w:sz w:val="24"/>
          <w:highlight w:val="none"/>
        </w:rPr>
        <w:t>方式、时间和条件</w:t>
      </w:r>
    </w:p>
    <w:p>
      <w:pPr>
        <w:pStyle w:val="283"/>
        <w:spacing w:before="0" w:beforeAutospacing="0" w:after="0" w:afterAutospacing="0" w:line="440" w:lineRule="exact"/>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24"/>
      <w:bookmarkEnd w:id="25"/>
      <w:bookmarkEnd w:id="26"/>
      <w:bookmarkStart w:id="27" w:name="_Toc21423"/>
      <w:bookmarkStart w:id="28" w:name="_Toc27250"/>
      <w:bookmarkStart w:id="29" w:name="_Toc19554"/>
      <w:r>
        <w:rPr>
          <w:rFonts w:hint="eastAsia" w:ascii="仿宋" w:hAnsi="仿宋" w:eastAsia="仿宋" w:cs="仿宋"/>
          <w:b/>
          <w:sz w:val="24"/>
          <w:highlight w:val="none"/>
        </w:rPr>
        <w:t>违约责任</w:t>
      </w:r>
      <w:bookmarkEnd w:id="27"/>
      <w:bookmarkEnd w:id="28"/>
      <w:bookmarkEnd w:id="2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1.5.7违约责任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30" w:name="_Toc15583"/>
      <w:bookmarkStart w:id="31" w:name="_Toc16021"/>
      <w:bookmarkStart w:id="32" w:name="_Toc28375"/>
      <w:r>
        <w:rPr>
          <w:rFonts w:hint="eastAsia" w:ascii="仿宋" w:hAnsi="仿宋" w:eastAsia="仿宋" w:cs="仿宋"/>
          <w:b/>
          <w:sz w:val="24"/>
          <w:highlight w:val="none"/>
        </w:rPr>
        <w:t>1.6合同争议的解决</w:t>
      </w:r>
      <w:bookmarkEnd w:id="30"/>
      <w:bookmarkEnd w:id="31"/>
      <w:bookmarkEnd w:id="32"/>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33" w:name="_Toc15322"/>
      <w:bookmarkStart w:id="34" w:name="_Toc11173"/>
      <w:bookmarkStart w:id="35" w:name="_Toc7245"/>
      <w:r>
        <w:rPr>
          <w:rFonts w:hint="eastAsia" w:ascii="仿宋" w:hAnsi="仿宋" w:eastAsia="仿宋" w:cs="仿宋"/>
          <w:b/>
          <w:sz w:val="24"/>
          <w:highlight w:val="none"/>
        </w:rPr>
        <w:t>1.7合同生效</w:t>
      </w:r>
      <w:bookmarkEnd w:id="33"/>
      <w:bookmarkEnd w:id="34"/>
      <w:bookmarkEnd w:id="35"/>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w:t>
      </w:r>
      <w:r>
        <w:rPr>
          <w:rFonts w:hint="eastAsia" w:ascii="仿宋" w:hAnsi="仿宋" w:eastAsia="仿宋" w:cs="仿宋"/>
          <w:b/>
          <w:sz w:val="24"/>
          <w:highlight w:val="none"/>
          <w:lang w:val="zh-CN"/>
        </w:rPr>
        <w:t xml:space="preserve">      </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lang w:val="zh-CN"/>
        </w:rPr>
        <w:t>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统一社会信用代码：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val="zh-CN"/>
        </w:rPr>
        <w:t>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开户账号：</w:t>
      </w:r>
    </w:p>
    <w:p>
      <w:pPr>
        <w:rPr>
          <w:rFonts w:hint="eastAsia" w:ascii="仿宋" w:hAnsi="仿宋" w:eastAsia="仿宋" w:cs="仿宋"/>
          <w:sz w:val="24"/>
          <w:highlight w:val="none"/>
          <w:u w:val="single"/>
        </w:rPr>
      </w:pPr>
    </w:p>
    <w:p>
      <w:pPr>
        <w:autoSpaceDE w:val="0"/>
        <w:autoSpaceDN w:val="0"/>
        <w:spacing w:line="560" w:lineRule="exact"/>
        <w:rPr>
          <w:rFonts w:hint="eastAsia" w:ascii="仿宋" w:hAnsi="仿宋" w:eastAsia="仿宋" w:cs="仿宋"/>
          <w:color w:val="auto"/>
          <w:sz w:val="24"/>
          <w:highlight w:val="none"/>
        </w:rPr>
      </w:pPr>
    </w:p>
    <w:p>
      <w:pPr>
        <w:widowControl/>
        <w:spacing w:line="560" w:lineRule="exact"/>
        <w:jc w:val="left"/>
        <w:rPr>
          <w:rFonts w:hint="eastAsia" w:ascii="仿宋" w:hAnsi="仿宋" w:eastAsia="仿宋" w:cs="仿宋"/>
          <w:b/>
          <w:color w:val="auto"/>
          <w:sz w:val="24"/>
          <w:highlight w:val="none"/>
        </w:rPr>
      </w:pPr>
      <w:bookmarkStart w:id="36" w:name="_Toc331685783"/>
    </w:p>
    <w:p>
      <w:pPr>
        <w:pStyle w:val="282"/>
        <w:pageBreakBefore/>
        <w:spacing w:line="560" w:lineRule="exact"/>
        <w:ind w:firstLine="723"/>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合同一般条款</w:t>
      </w:r>
      <w:bookmarkEnd w:id="36"/>
    </w:p>
    <w:p>
      <w:pPr>
        <w:spacing w:line="560" w:lineRule="exact"/>
        <w:ind w:firstLine="482" w:firstLineChars="200"/>
        <w:outlineLvl w:val="0"/>
        <w:rPr>
          <w:rFonts w:hint="eastAsia" w:ascii="仿宋" w:hAnsi="仿宋" w:eastAsia="仿宋" w:cs="仿宋"/>
          <w:b/>
          <w:color w:val="auto"/>
          <w:sz w:val="24"/>
          <w:highlight w:val="none"/>
        </w:rPr>
      </w:pPr>
      <w:bookmarkStart w:id="37" w:name="_Toc19614"/>
      <w:bookmarkStart w:id="38" w:name="_Toc28763"/>
      <w:bookmarkStart w:id="39" w:name="_Toc487900349"/>
      <w:bookmarkStart w:id="40" w:name="_Ref467379195"/>
      <w:bookmarkStart w:id="41" w:name="_Ref467379101"/>
      <w:bookmarkStart w:id="42" w:name="_Toc16917"/>
      <w:bookmarkStart w:id="43" w:name="_Ref467379109"/>
      <w:bookmarkStart w:id="44" w:name="_Toc259093669"/>
      <w:bookmarkStart w:id="45" w:name="_Ref467379205"/>
      <w:bookmarkStart w:id="46" w:name="_Ref467378404"/>
      <w:bookmarkStart w:id="47" w:name="_Ref467378499"/>
      <w:bookmarkStart w:id="48" w:name="_Ref467379214"/>
      <w:bookmarkStart w:id="49" w:name="_Ref467379094"/>
      <w:bookmarkStart w:id="50" w:name="_Ref467378463"/>
      <w:bookmarkStart w:id="51" w:name="_Ref467379225"/>
      <w:bookmarkStart w:id="52" w:name="_Toc279701240"/>
      <w:r>
        <w:rPr>
          <w:rFonts w:hint="eastAsia" w:ascii="仿宋" w:hAnsi="仿宋" w:eastAsia="仿宋" w:cs="仿宋"/>
          <w:b/>
          <w:color w:val="auto"/>
          <w:sz w:val="24"/>
          <w:highlight w:val="none"/>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3" w:name="_Ref467378840"/>
      <w:r>
        <w:rPr>
          <w:rFonts w:hint="eastAsia" w:ascii="仿宋" w:hAnsi="仿宋" w:eastAsia="仿宋" w:cs="仿宋"/>
          <w:color w:val="auto"/>
          <w:sz w:val="24"/>
          <w:highlight w:val="none"/>
        </w:rPr>
        <w:t>2.1.4 “甲方”系指与中标供应商签署合同的采购人</w:t>
      </w:r>
      <w:bookmarkEnd w:id="53"/>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4" w:name="_Ref467379400"/>
      <w:r>
        <w:rPr>
          <w:rFonts w:hint="eastAsia" w:ascii="仿宋" w:hAnsi="仿宋" w:eastAsia="仿宋" w:cs="仿宋"/>
          <w:color w:val="auto"/>
          <w:sz w:val="24"/>
          <w:highlight w:val="none"/>
        </w:rPr>
        <w:t>2.1.5 “乙方”系指根据合同约定交付货物的中标供应商</w:t>
      </w:r>
      <w:bookmarkEnd w:id="5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5" w:name="_Ref467379436"/>
      <w:r>
        <w:rPr>
          <w:rFonts w:hint="eastAsia" w:ascii="仿宋" w:hAnsi="仿宋" w:eastAsia="仿宋" w:cs="仿宋"/>
          <w:color w:val="auto"/>
          <w:sz w:val="24"/>
          <w:highlight w:val="none"/>
        </w:rPr>
        <w:t>2.1.6 “现场”系指合同约定货物将要运至或者安装的地点。</w:t>
      </w:r>
      <w:bookmarkEnd w:id="55"/>
    </w:p>
    <w:p>
      <w:pPr>
        <w:spacing w:line="560" w:lineRule="exact"/>
        <w:ind w:firstLine="482" w:firstLineChars="200"/>
        <w:outlineLvl w:val="0"/>
        <w:rPr>
          <w:rFonts w:hint="eastAsia" w:ascii="仿宋" w:hAnsi="仿宋" w:eastAsia="仿宋" w:cs="仿宋"/>
          <w:b/>
          <w:color w:val="auto"/>
          <w:sz w:val="24"/>
          <w:highlight w:val="none"/>
        </w:rPr>
      </w:pPr>
      <w:bookmarkStart w:id="56" w:name="_Toc32504"/>
      <w:bookmarkStart w:id="57" w:name="_Toc279701241"/>
      <w:bookmarkStart w:id="58" w:name="_Toc13336"/>
      <w:bookmarkStart w:id="59" w:name="_Toc487900350"/>
      <w:bookmarkStart w:id="60" w:name="_Toc27635"/>
      <w:bookmarkStart w:id="61" w:name="_Toc259093670"/>
      <w:r>
        <w:rPr>
          <w:rFonts w:hint="eastAsia" w:ascii="仿宋" w:hAnsi="仿宋" w:eastAsia="仿宋" w:cs="仿宋"/>
          <w:b/>
          <w:color w:val="auto"/>
          <w:sz w:val="24"/>
          <w:highlight w:val="none"/>
        </w:rPr>
        <w:t>2.2 技术规范</w:t>
      </w:r>
      <w:bookmarkEnd w:id="56"/>
      <w:bookmarkEnd w:id="57"/>
      <w:bookmarkEnd w:id="58"/>
      <w:bookmarkEnd w:id="59"/>
      <w:bookmarkEnd w:id="60"/>
      <w:bookmarkEnd w:id="6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2" w:name="_Toc31634"/>
      <w:bookmarkStart w:id="63" w:name="_Toc9829"/>
      <w:bookmarkStart w:id="64" w:name="_Toc259093671"/>
      <w:bookmarkStart w:id="65" w:name="_Toc487900351"/>
      <w:bookmarkStart w:id="66" w:name="_Toc27853"/>
      <w:bookmarkStart w:id="67" w:name="_Toc279701242"/>
      <w:r>
        <w:rPr>
          <w:rFonts w:hint="eastAsia" w:ascii="仿宋" w:hAnsi="仿宋" w:eastAsia="仿宋" w:cs="仿宋"/>
          <w:b/>
          <w:color w:val="auto"/>
          <w:sz w:val="24"/>
          <w:highlight w:val="none"/>
        </w:rPr>
        <w:t>2.3 知识产权</w:t>
      </w:r>
      <w:bookmarkEnd w:id="62"/>
      <w:bookmarkEnd w:id="63"/>
      <w:bookmarkEnd w:id="64"/>
      <w:bookmarkEnd w:id="65"/>
      <w:bookmarkEnd w:id="66"/>
      <w:bookmarkEnd w:id="6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8" w:name="_Toc4194"/>
      <w:bookmarkStart w:id="69" w:name="_Toc11932"/>
      <w:bookmarkStart w:id="70" w:name="_Toc29149"/>
      <w:r>
        <w:rPr>
          <w:rFonts w:hint="eastAsia" w:ascii="仿宋" w:hAnsi="仿宋" w:eastAsia="仿宋" w:cs="仿宋"/>
          <w:b/>
          <w:color w:val="auto"/>
          <w:sz w:val="24"/>
          <w:highlight w:val="none"/>
        </w:rPr>
        <w:t>2.4 包装和装运</w:t>
      </w:r>
      <w:bookmarkEnd w:id="68"/>
      <w:bookmarkEnd w:id="69"/>
      <w:bookmarkEnd w:id="7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1" w:name="_Ref467379536"/>
      <w:bookmarkStart w:id="72" w:name="_Ref467378541"/>
      <w:bookmarkStart w:id="73" w:name="_Ref467379527"/>
      <w:bookmarkStart w:id="74" w:name="_Toc487900354"/>
      <w:bookmarkStart w:id="75" w:name="_Toc259093674"/>
      <w:bookmarkStart w:id="76" w:name="_Ref467378591"/>
      <w:bookmarkStart w:id="77" w:name="_Ref467379542"/>
      <w:bookmarkStart w:id="78" w:name="_Toc279701245"/>
      <w:bookmarkStart w:id="79" w:name="_Toc26182"/>
      <w:bookmarkStart w:id="80" w:name="_Toc30272"/>
      <w:bookmarkStart w:id="81" w:name="_Toc19074"/>
      <w:r>
        <w:rPr>
          <w:rFonts w:hint="eastAsia" w:ascii="仿宋" w:hAnsi="仿宋" w:eastAsia="仿宋" w:cs="仿宋"/>
          <w:b/>
          <w:color w:val="auto"/>
          <w:sz w:val="24"/>
          <w:highlight w:val="none"/>
        </w:rPr>
        <w:t>2.</w:t>
      </w:r>
      <w:bookmarkEnd w:id="71"/>
      <w:bookmarkEnd w:id="72"/>
      <w:bookmarkEnd w:id="73"/>
      <w:bookmarkEnd w:id="74"/>
      <w:bookmarkEnd w:id="75"/>
      <w:bookmarkEnd w:id="76"/>
      <w:bookmarkEnd w:id="77"/>
      <w:bookmarkEnd w:id="78"/>
      <w:r>
        <w:rPr>
          <w:rFonts w:hint="eastAsia" w:ascii="仿宋" w:hAnsi="仿宋" w:eastAsia="仿宋" w:cs="仿宋"/>
          <w:b/>
          <w:color w:val="auto"/>
          <w:sz w:val="24"/>
          <w:highlight w:val="none"/>
        </w:rPr>
        <w:t>5 履约检查和问题反馈</w:t>
      </w:r>
      <w:bookmarkEnd w:id="79"/>
      <w:bookmarkEnd w:id="80"/>
      <w:bookmarkEnd w:id="81"/>
    </w:p>
    <w:p>
      <w:pPr>
        <w:spacing w:line="560" w:lineRule="exact"/>
        <w:ind w:firstLine="480" w:firstLineChars="200"/>
        <w:rPr>
          <w:rFonts w:hint="eastAsia" w:ascii="仿宋" w:hAnsi="仿宋" w:eastAsia="仿宋" w:cs="仿宋"/>
          <w:color w:val="auto"/>
          <w:sz w:val="24"/>
          <w:highlight w:val="none"/>
        </w:rPr>
      </w:pPr>
      <w:bookmarkStart w:id="82" w:name="_Ref467379657"/>
      <w:r>
        <w:rPr>
          <w:rFonts w:hint="eastAsia" w:ascii="仿宋" w:hAnsi="仿宋" w:eastAsia="仿宋" w:cs="仿宋"/>
          <w:color w:val="auto"/>
          <w:sz w:val="24"/>
          <w:highlight w:val="none"/>
        </w:rPr>
        <w:t>2.5.1</w:t>
      </w:r>
      <w:bookmarkEnd w:id="82"/>
      <w:bookmarkStart w:id="83" w:name="_Toc186431854"/>
      <w:bookmarkStart w:id="84" w:name="_Ref467379807"/>
      <w:bookmarkStart w:id="85" w:name="_Toc279701247"/>
      <w:bookmarkStart w:id="86" w:name="_Ref467379793"/>
      <w:bookmarkStart w:id="87" w:name="_Toc487900357"/>
      <w:bookmarkStart w:id="88"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color w:val="auto"/>
          <w:sz w:val="24"/>
          <w:highlight w:val="none"/>
        </w:rPr>
        <w:t>。</w:t>
      </w:r>
    </w:p>
    <w:bookmarkEnd w:id="84"/>
    <w:bookmarkEnd w:id="85"/>
    <w:bookmarkEnd w:id="86"/>
    <w:bookmarkEnd w:id="87"/>
    <w:bookmarkEnd w:id="88"/>
    <w:bookmarkEnd w:id="89"/>
    <w:p>
      <w:pPr>
        <w:spacing w:line="560" w:lineRule="exact"/>
        <w:ind w:firstLine="482" w:firstLineChars="200"/>
        <w:outlineLvl w:val="0"/>
        <w:rPr>
          <w:rFonts w:hint="eastAsia" w:ascii="仿宋" w:hAnsi="仿宋" w:eastAsia="仿宋" w:cs="仿宋"/>
          <w:b/>
          <w:color w:val="auto"/>
          <w:sz w:val="24"/>
          <w:highlight w:val="none"/>
        </w:rPr>
      </w:pPr>
      <w:bookmarkStart w:id="90" w:name="_Ref467379852"/>
      <w:bookmarkStart w:id="91" w:name="_Toc259093677"/>
      <w:bookmarkStart w:id="92" w:name="_Toc487900358"/>
      <w:bookmarkStart w:id="93" w:name="_Ref467379923"/>
      <w:bookmarkStart w:id="94" w:name="_Ref467379863"/>
      <w:bookmarkStart w:id="95" w:name="_Toc279701248"/>
      <w:bookmarkStart w:id="96" w:name="_Toc774"/>
      <w:bookmarkStart w:id="97" w:name="_Toc3225"/>
      <w:bookmarkStart w:id="98" w:name="_Toc16110"/>
      <w:r>
        <w:rPr>
          <w:rFonts w:hint="eastAsia" w:ascii="仿宋" w:hAnsi="仿宋" w:eastAsia="仿宋" w:cs="仿宋"/>
          <w:b/>
          <w:color w:val="auto"/>
          <w:sz w:val="24"/>
          <w:highlight w:val="none"/>
        </w:rPr>
        <w:t>2.6 技术资料</w:t>
      </w:r>
      <w:bookmarkEnd w:id="90"/>
      <w:bookmarkEnd w:id="91"/>
      <w:bookmarkEnd w:id="92"/>
      <w:bookmarkEnd w:id="93"/>
      <w:bookmarkEnd w:id="94"/>
      <w:bookmarkEnd w:id="95"/>
      <w:r>
        <w:rPr>
          <w:rFonts w:hint="eastAsia" w:ascii="仿宋" w:hAnsi="仿宋" w:eastAsia="仿宋" w:cs="仿宋"/>
          <w:b/>
          <w:color w:val="auto"/>
          <w:sz w:val="24"/>
          <w:highlight w:val="none"/>
        </w:rPr>
        <w:t>和保密义务</w:t>
      </w:r>
      <w:bookmarkEnd w:id="96"/>
      <w:bookmarkEnd w:id="97"/>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9" w:name="_Toc7860"/>
      <w:r>
        <w:rPr>
          <w:rFonts w:hint="eastAsia" w:ascii="仿宋" w:hAnsi="仿宋" w:eastAsia="仿宋" w:cs="仿宋"/>
          <w:b/>
          <w:color w:val="auto"/>
          <w:sz w:val="24"/>
          <w:highlight w:val="none"/>
        </w:rPr>
        <w:t>2.7 质量保证</w:t>
      </w:r>
      <w:bookmarkEnd w:id="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0" w:name="_Toc17244"/>
      <w:bookmarkStart w:id="101" w:name="_Toc259093681"/>
      <w:bookmarkStart w:id="102" w:name="_Toc487900362"/>
      <w:bookmarkStart w:id="103" w:name="_Toc279701252"/>
      <w:r>
        <w:rPr>
          <w:rFonts w:hint="eastAsia" w:ascii="仿宋" w:hAnsi="仿宋" w:eastAsia="仿宋" w:cs="仿宋"/>
          <w:b/>
          <w:color w:val="auto"/>
          <w:sz w:val="24"/>
          <w:highlight w:val="none"/>
        </w:rPr>
        <w:t>2.8 货物的风险负担</w:t>
      </w:r>
      <w:bookmarkEnd w:id="10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4" w:name="_Toc14055"/>
      <w:r>
        <w:rPr>
          <w:rFonts w:hint="eastAsia" w:ascii="仿宋" w:hAnsi="仿宋" w:eastAsia="仿宋" w:cs="仿宋"/>
          <w:b/>
          <w:color w:val="auto"/>
          <w:sz w:val="24"/>
          <w:highlight w:val="none"/>
        </w:rPr>
        <w:t>2.9 延迟交货</w:t>
      </w:r>
      <w:bookmarkEnd w:id="101"/>
      <w:bookmarkEnd w:id="102"/>
      <w:bookmarkEnd w:id="103"/>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5" w:name="_Toc7502"/>
      <w:bookmarkStart w:id="106" w:name="_Toc487900364"/>
      <w:bookmarkStart w:id="107" w:name="_Toc259093683"/>
      <w:bookmarkStart w:id="108" w:name="_Toc279701254"/>
      <w:bookmarkStart w:id="109" w:name="_Ref467378121"/>
      <w:r>
        <w:rPr>
          <w:rFonts w:hint="eastAsia" w:ascii="仿宋" w:hAnsi="仿宋" w:eastAsia="仿宋" w:cs="仿宋"/>
          <w:b/>
          <w:color w:val="auto"/>
          <w:sz w:val="24"/>
          <w:highlight w:val="none"/>
        </w:rPr>
        <w:t>2.10 合同变更</w:t>
      </w:r>
      <w:bookmarkEnd w:id="10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0" w:name="_Toc259093688"/>
      <w:bookmarkStart w:id="111" w:name="_Toc279701259"/>
      <w:bookmarkStart w:id="112" w:name="_Toc487900369"/>
    </w:p>
    <w:p>
      <w:pPr>
        <w:spacing w:line="560" w:lineRule="exact"/>
        <w:ind w:firstLine="482" w:firstLineChars="200"/>
        <w:outlineLvl w:val="0"/>
        <w:rPr>
          <w:rFonts w:hint="eastAsia" w:ascii="仿宋" w:hAnsi="仿宋" w:eastAsia="仿宋" w:cs="仿宋"/>
          <w:b/>
          <w:color w:val="auto"/>
          <w:sz w:val="24"/>
          <w:highlight w:val="none"/>
        </w:rPr>
      </w:pPr>
      <w:bookmarkStart w:id="113" w:name="_Toc10366"/>
      <w:bookmarkStart w:id="114" w:name="_Toc15237"/>
      <w:bookmarkStart w:id="115" w:name="_Toc22955"/>
      <w:r>
        <w:rPr>
          <w:rFonts w:hint="eastAsia" w:ascii="仿宋" w:hAnsi="仿宋" w:eastAsia="仿宋" w:cs="仿宋"/>
          <w:b/>
          <w:color w:val="auto"/>
          <w:sz w:val="24"/>
          <w:highlight w:val="none"/>
        </w:rPr>
        <w:t>2.11 合同转让</w:t>
      </w:r>
      <w:bookmarkEnd w:id="110"/>
      <w:bookmarkEnd w:id="111"/>
      <w:bookmarkEnd w:id="112"/>
      <w:r>
        <w:rPr>
          <w:rFonts w:hint="eastAsia" w:ascii="仿宋" w:hAnsi="仿宋" w:eastAsia="仿宋" w:cs="仿宋"/>
          <w:b/>
          <w:color w:val="auto"/>
          <w:sz w:val="24"/>
          <w:highlight w:val="none"/>
        </w:rPr>
        <w:t>和分包</w:t>
      </w:r>
      <w:bookmarkEnd w:id="113"/>
      <w:bookmarkEnd w:id="114"/>
      <w:bookmarkEnd w:id="115"/>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6" w:name="_Toc14066"/>
      <w:bookmarkStart w:id="117" w:name="_Toc13566"/>
      <w:bookmarkStart w:id="118" w:name="_Toc16508"/>
      <w:r>
        <w:rPr>
          <w:rFonts w:hint="eastAsia" w:ascii="仿宋" w:hAnsi="仿宋" w:eastAsia="仿宋" w:cs="仿宋"/>
          <w:b/>
          <w:color w:val="auto"/>
          <w:sz w:val="24"/>
          <w:highlight w:val="none"/>
        </w:rPr>
        <w:t>2.12 不可抗力</w:t>
      </w:r>
      <w:bookmarkEnd w:id="116"/>
      <w:bookmarkEnd w:id="117"/>
      <w:bookmarkEnd w:id="1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9" w:name="_Toc689"/>
      <w:bookmarkStart w:id="120" w:name="_Toc279701255"/>
      <w:bookmarkStart w:id="121" w:name="_Toc487900365"/>
      <w:bookmarkStart w:id="122" w:name="_Toc6969"/>
      <w:bookmarkStart w:id="123" w:name="_Toc259093684"/>
      <w:bookmarkStart w:id="124" w:name="_Toc30676"/>
      <w:r>
        <w:rPr>
          <w:rFonts w:hint="eastAsia" w:ascii="仿宋" w:hAnsi="仿宋" w:eastAsia="仿宋" w:cs="仿宋"/>
          <w:b/>
          <w:color w:val="auto"/>
          <w:sz w:val="24"/>
          <w:highlight w:val="none"/>
        </w:rPr>
        <w:t>2.13 税费</w:t>
      </w:r>
      <w:bookmarkEnd w:id="119"/>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5" w:name="_Toc279701258"/>
      <w:bookmarkStart w:id="126" w:name="_Toc16959"/>
      <w:bookmarkStart w:id="127" w:name="_Toc487900368"/>
      <w:bookmarkStart w:id="128" w:name="_Toc7102"/>
      <w:bookmarkStart w:id="129" w:name="_Toc259093687"/>
      <w:bookmarkStart w:id="130" w:name="_Toc8298"/>
      <w:r>
        <w:rPr>
          <w:rFonts w:hint="eastAsia" w:ascii="仿宋" w:hAnsi="仿宋" w:eastAsia="仿宋" w:cs="仿宋"/>
          <w:b/>
          <w:color w:val="auto"/>
          <w:sz w:val="24"/>
          <w:highlight w:val="none"/>
        </w:rPr>
        <w:t>2.14乙方破产</w:t>
      </w:r>
      <w:bookmarkEnd w:id="125"/>
      <w:bookmarkEnd w:id="126"/>
      <w:bookmarkEnd w:id="127"/>
      <w:bookmarkEnd w:id="128"/>
      <w:bookmarkEnd w:id="129"/>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1" w:name="_Toc15387"/>
      <w:bookmarkStart w:id="132" w:name="_Toc29333"/>
      <w:bookmarkStart w:id="133" w:name="_Toc6134"/>
      <w:r>
        <w:rPr>
          <w:rFonts w:hint="eastAsia" w:ascii="仿宋" w:hAnsi="仿宋" w:eastAsia="仿宋" w:cs="仿宋"/>
          <w:b/>
          <w:color w:val="auto"/>
          <w:sz w:val="24"/>
          <w:highlight w:val="none"/>
        </w:rPr>
        <w:t>2.15 合同中止、终止</w:t>
      </w:r>
      <w:bookmarkEnd w:id="131"/>
      <w:bookmarkEnd w:id="132"/>
      <w:bookmarkEnd w:id="13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4" w:name="_Toc1125"/>
      <w:bookmarkStart w:id="135" w:name="_Toc6596"/>
      <w:bookmarkStart w:id="136" w:name="_Toc14563"/>
      <w:r>
        <w:rPr>
          <w:rFonts w:hint="eastAsia" w:ascii="仿宋" w:hAnsi="仿宋" w:eastAsia="仿宋" w:cs="仿宋"/>
          <w:b/>
          <w:color w:val="auto"/>
          <w:sz w:val="24"/>
          <w:highlight w:val="none"/>
        </w:rPr>
        <w:t>2.16检验和验收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6"/>
    <w:bookmarkEnd w:id="107"/>
    <w:bookmarkEnd w:id="108"/>
    <w:bookmarkEnd w:id="109"/>
    <w:p>
      <w:pPr>
        <w:spacing w:line="560" w:lineRule="exact"/>
        <w:ind w:firstLine="482" w:firstLineChars="200"/>
        <w:outlineLvl w:val="0"/>
        <w:rPr>
          <w:rFonts w:hint="eastAsia" w:ascii="仿宋" w:hAnsi="仿宋" w:eastAsia="仿宋" w:cs="仿宋"/>
          <w:b/>
          <w:color w:val="auto"/>
          <w:sz w:val="24"/>
          <w:highlight w:val="none"/>
        </w:rPr>
      </w:pPr>
      <w:bookmarkStart w:id="137" w:name="_Toc279701261"/>
      <w:bookmarkStart w:id="138" w:name="_Toc259093690"/>
      <w:bookmarkStart w:id="139" w:name="_Toc487900371"/>
      <w:bookmarkStart w:id="140" w:name="_Toc11284"/>
      <w:bookmarkStart w:id="141" w:name="_Toc19604"/>
      <w:bookmarkStart w:id="142" w:name="_Toc25182"/>
      <w:r>
        <w:rPr>
          <w:rFonts w:hint="eastAsia" w:ascii="仿宋" w:hAnsi="仿宋" w:eastAsia="仿宋" w:cs="仿宋"/>
          <w:b/>
          <w:color w:val="auto"/>
          <w:sz w:val="24"/>
          <w:highlight w:val="none"/>
        </w:rPr>
        <w:t>2.17 通知</w:t>
      </w:r>
      <w:bookmarkEnd w:id="137"/>
      <w:bookmarkEnd w:id="138"/>
      <w:bookmarkEnd w:id="139"/>
      <w:r>
        <w:rPr>
          <w:rFonts w:hint="eastAsia" w:ascii="仿宋" w:hAnsi="仿宋" w:eastAsia="仿宋" w:cs="仿宋"/>
          <w:b/>
          <w:color w:val="auto"/>
          <w:sz w:val="24"/>
          <w:highlight w:val="none"/>
        </w:rPr>
        <w:t>和送达</w:t>
      </w:r>
      <w:bookmarkEnd w:id="140"/>
      <w:bookmarkEnd w:id="141"/>
      <w:bookmarkEnd w:id="142"/>
    </w:p>
    <w:p>
      <w:pPr>
        <w:spacing w:line="560" w:lineRule="exact"/>
        <w:ind w:firstLine="480" w:firstLineChars="200"/>
        <w:rPr>
          <w:rFonts w:hint="eastAsia" w:ascii="仿宋" w:hAnsi="仿宋" w:eastAsia="仿宋" w:cs="仿宋"/>
          <w:color w:val="auto"/>
          <w:sz w:val="24"/>
          <w:highlight w:val="none"/>
        </w:rPr>
      </w:pPr>
      <w:bookmarkStart w:id="143" w:name="_Toc3135"/>
      <w:bookmarkStart w:id="144" w:name="_Toc6698"/>
      <w:bookmarkStart w:id="145" w:name="_Toc487900372"/>
      <w:bookmarkStart w:id="146" w:name="_Toc279701262"/>
      <w:bookmarkStart w:id="147"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hint="eastAsia" w:ascii="仿宋" w:hAnsi="仿宋" w:eastAsia="仿宋" w:cs="仿宋"/>
          <w:color w:val="auto"/>
          <w:sz w:val="24"/>
          <w:highlight w:val="none"/>
        </w:rPr>
      </w:pPr>
      <w:bookmarkStart w:id="148" w:name="_Toc23294"/>
      <w:bookmarkStart w:id="149"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firstLine="482" w:firstLineChars="200"/>
        <w:outlineLvl w:val="0"/>
        <w:rPr>
          <w:rFonts w:hint="eastAsia" w:ascii="仿宋" w:hAnsi="仿宋" w:eastAsia="仿宋" w:cs="仿宋"/>
          <w:b/>
          <w:color w:val="auto"/>
          <w:sz w:val="24"/>
          <w:highlight w:val="none"/>
        </w:rPr>
      </w:pPr>
      <w:bookmarkStart w:id="150" w:name="_Toc18540"/>
      <w:bookmarkStart w:id="151" w:name="_Toc30599"/>
      <w:bookmarkStart w:id="152" w:name="_Toc4355"/>
      <w:r>
        <w:rPr>
          <w:rFonts w:hint="eastAsia" w:ascii="仿宋" w:hAnsi="仿宋" w:eastAsia="仿宋" w:cs="仿宋"/>
          <w:b/>
          <w:color w:val="auto"/>
          <w:sz w:val="24"/>
          <w:highlight w:val="none"/>
        </w:rPr>
        <w:t>2.18 计量单位</w:t>
      </w:r>
      <w:bookmarkEnd w:id="145"/>
      <w:bookmarkEnd w:id="146"/>
      <w:bookmarkEnd w:id="147"/>
      <w:bookmarkEnd w:id="150"/>
      <w:bookmarkEnd w:id="151"/>
      <w:bookmarkEnd w:id="1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3" w:name="_Toc259093692"/>
      <w:bookmarkStart w:id="154" w:name="_Toc18567"/>
      <w:bookmarkStart w:id="155" w:name="_Toc279701263"/>
      <w:bookmarkStart w:id="156" w:name="_Toc10330"/>
      <w:bookmarkStart w:id="157" w:name="_Toc12773"/>
      <w:bookmarkStart w:id="158" w:name="_Toc487900373"/>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9" w:name="_Toc12004"/>
      <w:bookmarkStart w:id="160" w:name="_Toc16673"/>
      <w:bookmarkStart w:id="161" w:name="_Toc279701264"/>
      <w:bookmarkStart w:id="162" w:name="_Toc3148"/>
      <w:bookmarkStart w:id="163" w:name="_Toc259093693"/>
      <w:bookmarkStart w:id="164" w:name="_Toc487900374"/>
      <w:r>
        <w:rPr>
          <w:rFonts w:hint="eastAsia" w:ascii="仿宋" w:hAnsi="仿宋" w:eastAsia="仿宋" w:cs="仿宋"/>
          <w:b/>
          <w:color w:val="auto"/>
          <w:sz w:val="24"/>
          <w:highlight w:val="none"/>
        </w:rPr>
        <w:t>2.20 履约保证金</w:t>
      </w:r>
      <w:bookmarkEnd w:id="159"/>
      <w:bookmarkEnd w:id="160"/>
      <w:bookmarkEnd w:id="161"/>
      <w:bookmarkEnd w:id="162"/>
      <w:bookmarkEnd w:id="163"/>
    </w:p>
    <w:p>
      <w:pPr>
        <w:pStyle w:val="283"/>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4"/>
    <w:p>
      <w:pPr>
        <w:spacing w:line="560" w:lineRule="exact"/>
        <w:ind w:firstLine="482" w:firstLineChars="200"/>
        <w:outlineLvl w:val="0"/>
        <w:rPr>
          <w:rFonts w:hint="eastAsia" w:ascii="仿宋" w:hAnsi="仿宋" w:eastAsia="仿宋" w:cs="仿宋"/>
          <w:b/>
          <w:color w:val="auto"/>
          <w:sz w:val="24"/>
          <w:highlight w:val="none"/>
        </w:rPr>
      </w:pPr>
      <w:bookmarkStart w:id="165" w:name="_Toc6885"/>
      <w:bookmarkStart w:id="166" w:name="_Toc19890"/>
      <w:bookmarkStart w:id="167" w:name="_Toc14001"/>
      <w:r>
        <w:rPr>
          <w:rFonts w:hint="eastAsia" w:ascii="仿宋" w:hAnsi="仿宋" w:eastAsia="仿宋" w:cs="仿宋"/>
          <w:b/>
          <w:color w:val="auto"/>
          <w:sz w:val="24"/>
          <w:highlight w:val="none"/>
        </w:rPr>
        <w:t>2.22合同份数</w:t>
      </w:r>
      <w:bookmarkEnd w:id="165"/>
      <w:bookmarkEnd w:id="166"/>
      <w:bookmarkEnd w:id="16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2.23本项目涉及柴油动力移动源的，该移动源应当符合低排放要求。</w:t>
      </w:r>
    </w:p>
    <w:p>
      <w:pPr>
        <w:pStyle w:val="282"/>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8" w:name="_Toc331685784"/>
      <w:r>
        <w:rPr>
          <w:rFonts w:hint="eastAsia" w:ascii="仿宋" w:hAnsi="仿宋" w:eastAsia="仿宋" w:cs="仿宋"/>
          <w:b/>
          <w:color w:val="auto"/>
          <w:szCs w:val="24"/>
          <w:highlight w:val="none"/>
        </w:rPr>
        <w:t xml:space="preserve"> </w:t>
      </w:r>
      <w:bookmarkEnd w:id="168"/>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3"/>
        <w:spacing w:line="800" w:lineRule="exact"/>
        <w:ind w:firstLine="723"/>
        <w:jc w:val="center"/>
        <w:rPr>
          <w:rFonts w:hint="eastAsia" w:ascii="仿宋" w:hAnsi="仿宋" w:eastAsia="仿宋" w:cs="仿宋"/>
          <w:b/>
          <w:color w:val="auto"/>
          <w:sz w:val="36"/>
          <w:szCs w:val="36"/>
          <w:highlight w:val="none"/>
        </w:rPr>
      </w:pP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numPr>
          <w:ilvl w:val="0"/>
          <w:numId w:val="5"/>
        </w:numPr>
        <w:spacing w:line="440" w:lineRule="exact"/>
        <w:ind w:left="360" w:leftChars="0" w:hanging="360" w:firstLine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0分。评分依下述所列为评标打分依据，分值如下（计算分值时，按其算术平均值保留小数2位）。</w:t>
      </w:r>
    </w:p>
    <w:p>
      <w:pPr>
        <w:numPr>
          <w:ilvl w:val="0"/>
          <w:numId w:val="0"/>
        </w:numPr>
        <w:spacing w:line="440" w:lineRule="exact"/>
        <w:ind w:leftChars="0"/>
        <w:rPr>
          <w:rFonts w:hint="eastAsia"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w:t>
      </w:r>
      <w:r>
        <w:rPr>
          <w:rFonts w:hint="eastAsia" w:ascii="仿宋" w:hAnsi="仿宋" w:eastAsia="仿宋" w:cs="仿宋"/>
          <w:b/>
          <w:bCs/>
          <w:iCs/>
          <w:color w:val="auto"/>
          <w:sz w:val="24"/>
          <w:highlight w:val="none"/>
        </w:rPr>
        <w:t>0分）</w:t>
      </w:r>
    </w:p>
    <w:tbl>
      <w:tblPr>
        <w:tblStyle w:val="42"/>
        <w:tblW w:w="8979"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5"/>
        <w:gridCol w:w="1178"/>
        <w:gridCol w:w="7036"/>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b/>
                <w:bCs/>
                <w:caps/>
                <w:sz w:val="24"/>
              </w:rPr>
            </w:pPr>
            <w:r>
              <w:rPr>
                <w:rFonts w:hint="eastAsia" w:ascii="仿宋" w:hAnsi="仿宋" w:eastAsia="仿宋" w:cs="仿宋"/>
                <w:b/>
                <w:bCs/>
                <w:caps/>
                <w:sz w:val="24"/>
              </w:rPr>
              <w:t>序号</w:t>
            </w:r>
          </w:p>
        </w:tc>
        <w:tc>
          <w:tcPr>
            <w:tcW w:w="1178" w:type="dxa"/>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b/>
                <w:bCs/>
                <w:caps/>
                <w:sz w:val="24"/>
              </w:rPr>
            </w:pPr>
            <w:r>
              <w:rPr>
                <w:rFonts w:hint="eastAsia" w:ascii="仿宋" w:hAnsi="仿宋" w:eastAsia="仿宋" w:cs="仿宋"/>
                <w:b/>
                <w:bCs/>
                <w:caps/>
                <w:sz w:val="24"/>
              </w:rPr>
              <w:t>评标内容</w:t>
            </w:r>
          </w:p>
        </w:tc>
        <w:tc>
          <w:tcPr>
            <w:tcW w:w="7036" w:type="dxa"/>
            <w:noWrap w:val="0"/>
            <w:vAlign w:val="top"/>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b/>
                <w:bCs/>
                <w:caps/>
                <w:sz w:val="24"/>
              </w:rPr>
            </w:pPr>
            <w:r>
              <w:rPr>
                <w:rFonts w:hint="eastAsia" w:ascii="仿宋" w:hAnsi="仿宋" w:eastAsia="仿宋" w:cs="仿宋"/>
                <w:b/>
                <w:bCs/>
                <w:caps/>
                <w:sz w:val="24"/>
              </w:rPr>
              <w:t>评分细则</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90" w:hRule="atLeast"/>
          <w:jc w:val="center"/>
        </w:trPr>
        <w:tc>
          <w:tcPr>
            <w:tcW w:w="765" w:type="dxa"/>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aps/>
                <w:szCs w:val="21"/>
              </w:rPr>
            </w:pPr>
            <w:r>
              <w:rPr>
                <w:rFonts w:hint="eastAsia" w:ascii="仿宋" w:hAnsi="仿宋" w:eastAsia="仿宋" w:cs="仿宋"/>
                <w:caps/>
                <w:szCs w:val="21"/>
              </w:rPr>
              <w:t>1</w:t>
            </w:r>
          </w:p>
        </w:tc>
        <w:tc>
          <w:tcPr>
            <w:tcW w:w="1178"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textAlignment w:val="auto"/>
              <w:rPr>
                <w:rFonts w:hint="eastAsia" w:ascii="仿宋" w:hAnsi="仿宋" w:eastAsia="仿宋" w:cs="仿宋"/>
                <w:sz w:val="21"/>
                <w:szCs w:val="21"/>
              </w:rPr>
            </w:pPr>
            <w:r>
              <w:rPr>
                <w:rFonts w:hint="eastAsia" w:ascii="仿宋" w:hAnsi="仿宋" w:eastAsia="仿宋" w:cs="仿宋"/>
                <w:sz w:val="21"/>
                <w:szCs w:val="21"/>
              </w:rPr>
              <w:t>技术要求(10分)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根据采购人提供的拟计量设备清单，投标人提供资质证明文件和计量器具有效证明文件。对资质证明文件和计量器具有效证明文件的完整、有效进行综合评定,满分 10 分；优：8.1-10.0 分；良：5.1-8.0分；中： 2.1-5.0 分；一般：0-2.0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98" w:hRule="atLeast"/>
          <w:jc w:val="center"/>
        </w:trPr>
        <w:tc>
          <w:tcPr>
            <w:tcW w:w="765" w:type="dxa"/>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aps/>
                <w:szCs w:val="21"/>
              </w:rPr>
            </w:pPr>
            <w:r>
              <w:rPr>
                <w:rFonts w:hint="eastAsia" w:ascii="仿宋" w:hAnsi="仿宋" w:eastAsia="仿宋" w:cs="仿宋"/>
                <w:caps/>
                <w:szCs w:val="21"/>
              </w:rPr>
              <w:t>2</w:t>
            </w:r>
          </w:p>
        </w:tc>
        <w:tc>
          <w:tcPr>
            <w:tcW w:w="1178"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textAlignment w:val="auto"/>
              <w:rPr>
                <w:rFonts w:hint="eastAsia" w:ascii="仿宋" w:hAnsi="仿宋" w:eastAsia="仿宋" w:cs="仿宋"/>
                <w:sz w:val="21"/>
                <w:szCs w:val="21"/>
              </w:rPr>
            </w:pPr>
            <w:r>
              <w:rPr>
                <w:rFonts w:hint="eastAsia" w:ascii="仿宋" w:hAnsi="仿宋" w:eastAsia="仿宋" w:cs="仿宋"/>
                <w:sz w:val="21"/>
                <w:szCs w:val="21"/>
              </w:rPr>
              <w:t>服务要求(20分)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根据投标人所提供的年度及周期计量服务计划的完整情况进行评审，满分 20 分；优：15.1－20.0 分；良：10.1- 15.0分；中：5.1- 10.0分；一般：0－5.0 分；注：需提供相关服务执行能力的证明文件作为评审依据，不提供评审依据本项不得分。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9" w:hRule="atLeast"/>
          <w:jc w:val="center"/>
        </w:trPr>
        <w:tc>
          <w:tcPr>
            <w:tcW w:w="765" w:type="dxa"/>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aps/>
                <w:szCs w:val="21"/>
              </w:rPr>
            </w:pPr>
            <w:r>
              <w:rPr>
                <w:rFonts w:hint="eastAsia" w:ascii="仿宋" w:hAnsi="仿宋" w:eastAsia="仿宋" w:cs="仿宋"/>
                <w:caps/>
                <w:szCs w:val="21"/>
              </w:rPr>
              <w:t>3</w:t>
            </w:r>
          </w:p>
        </w:tc>
        <w:tc>
          <w:tcPr>
            <w:tcW w:w="1178" w:type="dxa"/>
            <w:noWrap w:val="0"/>
            <w:vAlign w:val="center"/>
          </w:tcPr>
          <w:p>
            <w:pPr>
              <w:pStyle w:val="36"/>
              <w:keepNext w:val="0"/>
              <w:keepLines w:val="0"/>
              <w:pageBreakBefore w:val="0"/>
              <w:kinsoku/>
              <w:wordWrap/>
              <w:overflowPunct/>
              <w:topLinePunct w:val="0"/>
              <w:autoSpaceDE/>
              <w:autoSpaceDN/>
              <w:bidi w:val="0"/>
              <w:adjustRightInd/>
              <w:snapToGrid/>
              <w:spacing w:beforeAutospacing="0" w:afterAutospacing="0" w:line="280" w:lineRule="exact"/>
              <w:jc w:val="center"/>
              <w:textAlignment w:val="auto"/>
              <w:rPr>
                <w:rFonts w:hint="eastAsia" w:ascii="仿宋" w:hAnsi="仿宋" w:eastAsia="仿宋" w:cs="仿宋"/>
                <w:caps/>
                <w:kern w:val="2"/>
                <w:sz w:val="21"/>
                <w:szCs w:val="21"/>
              </w:rPr>
            </w:pPr>
            <w:r>
              <w:rPr>
                <w:rFonts w:hint="eastAsia" w:ascii="仿宋" w:hAnsi="仿宋" w:eastAsia="仿宋" w:cs="仿宋"/>
                <w:kern w:val="2"/>
                <w:sz w:val="21"/>
                <w:szCs w:val="21"/>
              </w:rPr>
              <w:t>实施方案（1</w:t>
            </w:r>
            <w:r>
              <w:rPr>
                <w:rFonts w:hint="eastAsia" w:ascii="仿宋" w:hAnsi="仿宋" w:eastAsia="仿宋" w:cs="仿宋"/>
                <w:kern w:val="2"/>
                <w:sz w:val="21"/>
                <w:szCs w:val="21"/>
                <w:lang w:val="en-US" w:eastAsia="zh-CN"/>
              </w:rPr>
              <w:t>3</w:t>
            </w:r>
            <w:r>
              <w:rPr>
                <w:rFonts w:hint="eastAsia" w:ascii="仿宋" w:hAnsi="仿宋" w:eastAsia="仿宋" w:cs="仿宋"/>
                <w:kern w:val="2"/>
                <w:sz w:val="21"/>
                <w:szCs w:val="21"/>
              </w:rPr>
              <w:t>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在满足招标文件详细要求的基础上，对投标人出具的详细、合理的实施方案评审，满分1</w:t>
            </w:r>
            <w:r>
              <w:rPr>
                <w:rFonts w:hint="eastAsia" w:ascii="仿宋" w:hAnsi="仿宋" w:eastAsia="仿宋" w:cs="仿宋"/>
                <w:sz w:val="21"/>
                <w:szCs w:val="21"/>
                <w:lang w:val="en-US" w:eastAsia="zh-CN"/>
              </w:rPr>
              <w:t>3</w:t>
            </w:r>
            <w:r>
              <w:rPr>
                <w:rFonts w:hint="eastAsia" w:ascii="仿宋" w:hAnsi="仿宋" w:eastAsia="仿宋" w:cs="仿宋"/>
                <w:sz w:val="21"/>
                <w:szCs w:val="21"/>
              </w:rPr>
              <w:t xml:space="preserve"> 分；优：</w:t>
            </w:r>
            <w:r>
              <w:rPr>
                <w:rFonts w:hint="eastAsia" w:ascii="仿宋" w:hAnsi="仿宋" w:eastAsia="仿宋" w:cs="仿宋"/>
                <w:sz w:val="21"/>
                <w:szCs w:val="21"/>
                <w:lang w:val="en-US" w:eastAsia="zh-CN"/>
              </w:rPr>
              <w:t>11</w:t>
            </w:r>
            <w:r>
              <w:rPr>
                <w:rFonts w:hint="eastAsia" w:ascii="仿宋" w:hAnsi="仿宋" w:eastAsia="仿宋" w:cs="仿宋"/>
                <w:sz w:val="21"/>
                <w:szCs w:val="21"/>
              </w:rPr>
              <w:t>.1－1</w:t>
            </w:r>
            <w:r>
              <w:rPr>
                <w:rFonts w:hint="eastAsia" w:ascii="仿宋" w:hAnsi="仿宋" w:eastAsia="仿宋" w:cs="仿宋"/>
                <w:sz w:val="21"/>
                <w:szCs w:val="21"/>
                <w:lang w:val="en-US" w:eastAsia="zh-CN"/>
              </w:rPr>
              <w:t>3</w:t>
            </w:r>
            <w:r>
              <w:rPr>
                <w:rFonts w:hint="eastAsia" w:ascii="仿宋" w:hAnsi="仿宋" w:eastAsia="仿宋" w:cs="仿宋"/>
                <w:sz w:val="21"/>
                <w:szCs w:val="21"/>
              </w:rPr>
              <w:t>.0 分；良：</w:t>
            </w:r>
            <w:r>
              <w:rPr>
                <w:rFonts w:hint="eastAsia" w:ascii="仿宋" w:hAnsi="仿宋" w:eastAsia="仿宋" w:cs="仿宋"/>
                <w:sz w:val="21"/>
                <w:szCs w:val="21"/>
                <w:lang w:val="en-US" w:eastAsia="zh-CN"/>
              </w:rPr>
              <w:t>8</w:t>
            </w:r>
            <w:r>
              <w:rPr>
                <w:rFonts w:hint="eastAsia" w:ascii="仿宋" w:hAnsi="仿宋" w:eastAsia="仿宋" w:cs="仿宋"/>
                <w:sz w:val="21"/>
                <w:szCs w:val="21"/>
              </w:rPr>
              <w:t>.1-</w:t>
            </w:r>
            <w:r>
              <w:rPr>
                <w:rFonts w:hint="eastAsia" w:ascii="仿宋" w:hAnsi="仿宋" w:eastAsia="仿宋" w:cs="仿宋"/>
                <w:sz w:val="21"/>
                <w:szCs w:val="21"/>
                <w:lang w:val="en-US" w:eastAsia="zh-CN"/>
              </w:rPr>
              <w:t>11</w:t>
            </w:r>
            <w:r>
              <w:rPr>
                <w:rFonts w:hint="eastAsia" w:ascii="仿宋" w:hAnsi="仿宋" w:eastAsia="仿宋" w:cs="仿宋"/>
                <w:sz w:val="21"/>
                <w:szCs w:val="21"/>
              </w:rPr>
              <w:t>.0分；中：</w:t>
            </w:r>
            <w:r>
              <w:rPr>
                <w:rFonts w:hint="eastAsia" w:ascii="仿宋" w:hAnsi="仿宋" w:eastAsia="仿宋" w:cs="仿宋"/>
                <w:sz w:val="21"/>
                <w:szCs w:val="21"/>
                <w:lang w:val="en-US" w:eastAsia="zh-CN"/>
              </w:rPr>
              <w:t>5</w:t>
            </w:r>
            <w:r>
              <w:rPr>
                <w:rFonts w:hint="eastAsia" w:ascii="仿宋" w:hAnsi="仿宋" w:eastAsia="仿宋" w:cs="仿宋"/>
                <w:sz w:val="21"/>
                <w:szCs w:val="21"/>
              </w:rPr>
              <w:t>.1-</w:t>
            </w:r>
            <w:r>
              <w:rPr>
                <w:rFonts w:hint="eastAsia" w:ascii="仿宋" w:hAnsi="仿宋" w:eastAsia="仿宋" w:cs="仿宋"/>
                <w:sz w:val="21"/>
                <w:szCs w:val="21"/>
                <w:lang w:val="en-US" w:eastAsia="zh-CN"/>
              </w:rPr>
              <w:t>8</w:t>
            </w:r>
            <w:r>
              <w:rPr>
                <w:rFonts w:hint="eastAsia" w:ascii="仿宋" w:hAnsi="仿宋" w:eastAsia="仿宋" w:cs="仿宋"/>
                <w:sz w:val="21"/>
                <w:szCs w:val="21"/>
              </w:rPr>
              <w:t>.0 分；一般：0－</w:t>
            </w:r>
            <w:r>
              <w:rPr>
                <w:rFonts w:hint="eastAsia" w:ascii="仿宋" w:hAnsi="仿宋" w:eastAsia="仿宋" w:cs="仿宋"/>
                <w:sz w:val="21"/>
                <w:szCs w:val="21"/>
                <w:lang w:val="en-US" w:eastAsia="zh-CN"/>
              </w:rPr>
              <w:t>5</w:t>
            </w:r>
            <w:r>
              <w:rPr>
                <w:rFonts w:hint="eastAsia" w:ascii="仿宋" w:hAnsi="仿宋" w:eastAsia="仿宋" w:cs="仿宋"/>
                <w:sz w:val="21"/>
                <w:szCs w:val="21"/>
              </w:rPr>
              <w:t>.0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aps/>
                <w:szCs w:val="21"/>
              </w:rPr>
            </w:pPr>
            <w:r>
              <w:rPr>
                <w:rFonts w:hint="eastAsia" w:ascii="仿宋" w:hAnsi="仿宋" w:eastAsia="仿宋" w:cs="仿宋"/>
                <w:caps/>
                <w:szCs w:val="21"/>
              </w:rPr>
              <w:t>4</w:t>
            </w:r>
          </w:p>
        </w:tc>
        <w:tc>
          <w:tcPr>
            <w:tcW w:w="1178" w:type="dxa"/>
            <w:noWrap w:val="0"/>
            <w:vAlign w:val="center"/>
          </w:tcPr>
          <w:p>
            <w:pPr>
              <w:pStyle w:val="36"/>
              <w:keepNext w:val="0"/>
              <w:keepLines w:val="0"/>
              <w:pageBreakBefore w:val="0"/>
              <w:kinsoku/>
              <w:wordWrap/>
              <w:overflowPunct/>
              <w:topLinePunct w:val="0"/>
              <w:autoSpaceDE/>
              <w:autoSpaceDN/>
              <w:bidi w:val="0"/>
              <w:adjustRightInd/>
              <w:snapToGrid/>
              <w:spacing w:line="280" w:lineRule="exact"/>
              <w:textAlignment w:val="auto"/>
              <w:rPr>
                <w:rFonts w:hint="eastAsia" w:ascii="仿宋" w:hAnsi="仿宋" w:eastAsia="仿宋" w:cs="仿宋"/>
                <w:caps/>
                <w:kern w:val="2"/>
                <w:sz w:val="21"/>
                <w:szCs w:val="21"/>
              </w:rPr>
            </w:pPr>
            <w:r>
              <w:rPr>
                <w:rFonts w:hint="eastAsia" w:ascii="仿宋" w:hAnsi="仿宋" w:eastAsia="仿宋" w:cs="仿宋"/>
                <w:kern w:val="2"/>
                <w:sz w:val="21"/>
                <w:szCs w:val="21"/>
              </w:rPr>
              <w:t>质量保证(</w:t>
            </w:r>
            <w:r>
              <w:rPr>
                <w:rFonts w:hint="eastAsia" w:ascii="仿宋" w:hAnsi="仿宋" w:eastAsia="仿宋" w:cs="仿宋"/>
                <w:kern w:val="2"/>
                <w:sz w:val="21"/>
                <w:szCs w:val="21"/>
                <w:lang w:val="en-US" w:eastAsia="zh-CN"/>
              </w:rPr>
              <w:t>7</w:t>
            </w:r>
            <w:r>
              <w:rPr>
                <w:rFonts w:hint="eastAsia" w:ascii="仿宋" w:hAnsi="仿宋" w:eastAsia="仿宋" w:cs="仿宋"/>
                <w:kern w:val="2"/>
                <w:sz w:val="21"/>
                <w:szCs w:val="21"/>
              </w:rPr>
              <w:t>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 xml:space="preserve">对投标人的服务质量保证措施及违约承诺进行综合评定，满分5分；优： </w:t>
            </w:r>
            <w:r>
              <w:rPr>
                <w:rFonts w:hint="eastAsia" w:ascii="仿宋" w:hAnsi="仿宋" w:eastAsia="仿宋" w:cs="仿宋"/>
                <w:sz w:val="21"/>
                <w:szCs w:val="21"/>
                <w:lang w:val="en-US" w:eastAsia="zh-CN"/>
              </w:rPr>
              <w:t>4</w:t>
            </w:r>
            <w:r>
              <w:rPr>
                <w:rFonts w:hint="eastAsia" w:ascii="仿宋" w:hAnsi="仿宋" w:eastAsia="仿宋" w:cs="仿宋"/>
                <w:sz w:val="21"/>
                <w:szCs w:val="21"/>
              </w:rPr>
              <w:t>.1-</w:t>
            </w:r>
            <w:r>
              <w:rPr>
                <w:rFonts w:hint="eastAsia" w:ascii="仿宋" w:hAnsi="仿宋" w:eastAsia="仿宋" w:cs="仿宋"/>
                <w:sz w:val="21"/>
                <w:szCs w:val="21"/>
                <w:lang w:val="en-US" w:eastAsia="zh-CN"/>
              </w:rPr>
              <w:t>7</w:t>
            </w:r>
            <w:r>
              <w:rPr>
                <w:rFonts w:hint="eastAsia" w:ascii="仿宋" w:hAnsi="仿宋" w:eastAsia="仿宋" w:cs="仿宋"/>
                <w:sz w:val="21"/>
                <w:szCs w:val="21"/>
              </w:rPr>
              <w:t>.0分；良：2.1-</w:t>
            </w:r>
            <w:r>
              <w:rPr>
                <w:rFonts w:hint="eastAsia" w:ascii="仿宋" w:hAnsi="仿宋" w:eastAsia="仿宋" w:cs="仿宋"/>
                <w:sz w:val="21"/>
                <w:szCs w:val="21"/>
                <w:lang w:val="en-US" w:eastAsia="zh-CN"/>
              </w:rPr>
              <w:t>4</w:t>
            </w:r>
            <w:r>
              <w:rPr>
                <w:rFonts w:hint="eastAsia" w:ascii="仿宋" w:hAnsi="仿宋" w:eastAsia="仿宋" w:cs="仿宋"/>
                <w:sz w:val="21"/>
                <w:szCs w:val="21"/>
              </w:rPr>
              <w:t>.0分；一般</w:t>
            </w:r>
            <w:r>
              <w:rPr>
                <w:rFonts w:hint="eastAsia" w:ascii="仿宋" w:hAnsi="仿宋" w:eastAsia="仿宋" w:cs="仿宋"/>
                <w:sz w:val="21"/>
                <w:szCs w:val="21"/>
                <w:lang w:eastAsia="zh-CN"/>
              </w:rPr>
              <w:t>：</w:t>
            </w:r>
            <w:r>
              <w:rPr>
                <w:rFonts w:hint="eastAsia" w:ascii="仿宋" w:hAnsi="仿宋" w:eastAsia="仿宋" w:cs="仿宋"/>
                <w:sz w:val="21"/>
                <w:szCs w:val="21"/>
              </w:rPr>
              <w:t>0-2.0 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22" w:hRule="atLeast"/>
          <w:jc w:val="center"/>
        </w:trPr>
        <w:tc>
          <w:tcPr>
            <w:tcW w:w="765" w:type="dxa"/>
            <w:vMerge w:val="restart"/>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aps/>
                <w:szCs w:val="21"/>
              </w:rPr>
            </w:pPr>
            <w:r>
              <w:rPr>
                <w:rFonts w:hint="eastAsia" w:ascii="仿宋" w:hAnsi="仿宋" w:eastAsia="仿宋" w:cs="仿宋"/>
                <w:caps/>
                <w:szCs w:val="21"/>
              </w:rPr>
              <w:t>5</w:t>
            </w:r>
          </w:p>
        </w:tc>
        <w:tc>
          <w:tcPr>
            <w:tcW w:w="1178" w:type="dxa"/>
            <w:vMerge w:val="restart"/>
            <w:noWrap w:val="0"/>
            <w:vAlign w:val="center"/>
          </w:tcPr>
          <w:p>
            <w:pPr>
              <w:pStyle w:val="36"/>
              <w:keepNext w:val="0"/>
              <w:keepLines w:val="0"/>
              <w:pageBreakBefore w:val="0"/>
              <w:kinsoku/>
              <w:wordWrap/>
              <w:overflowPunct/>
              <w:topLinePunct w:val="0"/>
              <w:autoSpaceDE/>
              <w:autoSpaceDN/>
              <w:bidi w:val="0"/>
              <w:adjustRightInd/>
              <w:snapToGrid/>
              <w:spacing w:line="280" w:lineRule="exact"/>
              <w:textAlignment w:val="auto"/>
              <w:rPr>
                <w:rFonts w:hint="eastAsia" w:ascii="仿宋" w:hAnsi="仿宋" w:eastAsia="仿宋" w:cs="仿宋"/>
                <w:kern w:val="2"/>
                <w:sz w:val="21"/>
                <w:szCs w:val="21"/>
              </w:rPr>
            </w:pPr>
            <w:r>
              <w:rPr>
                <w:rFonts w:hint="eastAsia" w:ascii="仿宋" w:hAnsi="仿宋" w:eastAsia="仿宋" w:cs="仿宋"/>
                <w:kern w:val="2"/>
                <w:sz w:val="21"/>
                <w:szCs w:val="21"/>
              </w:rPr>
              <w:t>人员保证（12分）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1.对投标人服务机构总体人员的职称证书、单位聘用合同、社保证明等相关材料进行评审，满分4分。满足招标文件要求得2分，每增加1人加0.5分，最高得2分。提供职称证书及近3个月社保缴纳证明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aps/>
                <w:szCs w:val="21"/>
              </w:rPr>
            </w:pPr>
          </w:p>
        </w:tc>
        <w:tc>
          <w:tcPr>
            <w:tcW w:w="1178" w:type="dxa"/>
            <w:vMerge w:val="continue"/>
            <w:noWrap w:val="0"/>
            <w:vAlign w:val="center"/>
          </w:tcPr>
          <w:p>
            <w:pPr>
              <w:pStyle w:val="36"/>
              <w:keepNext w:val="0"/>
              <w:keepLines w:val="0"/>
              <w:pageBreakBefore w:val="0"/>
              <w:kinsoku/>
              <w:wordWrap/>
              <w:overflowPunct/>
              <w:topLinePunct w:val="0"/>
              <w:autoSpaceDE/>
              <w:autoSpaceDN/>
              <w:bidi w:val="0"/>
              <w:adjustRightInd/>
              <w:snapToGrid/>
              <w:spacing w:line="280" w:lineRule="exact"/>
              <w:textAlignment w:val="auto"/>
              <w:rPr>
                <w:rFonts w:hint="eastAsia" w:ascii="仿宋" w:hAnsi="仿宋" w:eastAsia="仿宋" w:cs="仿宋"/>
                <w:caps/>
                <w:kern w:val="2"/>
                <w:sz w:val="21"/>
                <w:szCs w:val="21"/>
              </w:rPr>
            </w:pP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2.对本项目负责人的资格证书、职称证书、单位聘用合同、社保证明及从业证明等相关材料进行评审，得4分。提供资格证书、职称证书及近3个月社保缴纳证明复印件，加盖投标人公章，不提供不得分。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5" w:hRule="atLeast"/>
          <w:jc w:val="center"/>
        </w:trPr>
        <w:tc>
          <w:tcPr>
            <w:tcW w:w="765"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aps/>
                <w:szCs w:val="21"/>
              </w:rPr>
            </w:pPr>
          </w:p>
        </w:tc>
        <w:tc>
          <w:tcPr>
            <w:tcW w:w="1178" w:type="dxa"/>
            <w:vMerge w:val="continue"/>
            <w:noWrap w:val="0"/>
            <w:vAlign w:val="center"/>
          </w:tcPr>
          <w:p>
            <w:pPr>
              <w:pStyle w:val="36"/>
              <w:keepNext w:val="0"/>
              <w:keepLines w:val="0"/>
              <w:pageBreakBefore w:val="0"/>
              <w:kinsoku/>
              <w:wordWrap/>
              <w:overflowPunct/>
              <w:topLinePunct w:val="0"/>
              <w:autoSpaceDE/>
              <w:autoSpaceDN/>
              <w:bidi w:val="0"/>
              <w:adjustRightInd/>
              <w:snapToGrid/>
              <w:spacing w:line="280" w:lineRule="exact"/>
              <w:textAlignment w:val="auto"/>
              <w:rPr>
                <w:rFonts w:hint="eastAsia" w:ascii="仿宋" w:hAnsi="仿宋" w:eastAsia="仿宋" w:cs="仿宋"/>
                <w:caps/>
                <w:kern w:val="2"/>
                <w:sz w:val="21"/>
                <w:szCs w:val="21"/>
              </w:rPr>
            </w:pP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3.对本项目计量服务人员的资格证书、职称证书、单位聘用合同、社保证明及从业证明等相关材料进行评审，满分 4分。满足招标文件要求的2分，每增加1人加0.5分，最高得2分。提供资格证书、职称证书及近3个月社保缴纳证明复印件，加盖投标人公章，不提供不得分。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5" w:type="dxa"/>
            <w:noWrap w:val="0"/>
            <w:vAlign w:val="center"/>
          </w:tcPr>
          <w:p>
            <w:pPr>
              <w:pStyle w:val="36"/>
              <w:keepNext w:val="0"/>
              <w:keepLines w:val="0"/>
              <w:pageBreakBefore w:val="0"/>
              <w:kinsoku/>
              <w:wordWrap/>
              <w:overflowPunct/>
              <w:topLinePunct w:val="0"/>
              <w:autoSpaceDE/>
              <w:autoSpaceDN/>
              <w:bidi w:val="0"/>
              <w:adjustRightInd/>
              <w:snapToGrid/>
              <w:spacing w:beforeAutospacing="0" w:afterAutospacing="0" w:line="280" w:lineRule="exact"/>
              <w:jc w:val="center"/>
              <w:textAlignment w:val="auto"/>
              <w:rPr>
                <w:rFonts w:hint="eastAsia" w:ascii="仿宋" w:hAnsi="仿宋" w:eastAsia="仿宋" w:cs="仿宋"/>
                <w:kern w:val="2"/>
                <w:sz w:val="21"/>
                <w:szCs w:val="21"/>
              </w:rPr>
            </w:pPr>
            <w:r>
              <w:rPr>
                <w:rFonts w:hint="eastAsia" w:ascii="仿宋" w:hAnsi="仿宋" w:eastAsia="仿宋" w:cs="仿宋"/>
                <w:kern w:val="2"/>
                <w:sz w:val="21"/>
                <w:szCs w:val="21"/>
              </w:rPr>
              <w:t>6</w:t>
            </w:r>
          </w:p>
        </w:tc>
        <w:tc>
          <w:tcPr>
            <w:tcW w:w="1178" w:type="dxa"/>
            <w:noWrap w:val="0"/>
            <w:vAlign w:val="center"/>
          </w:tcPr>
          <w:p>
            <w:pPr>
              <w:pStyle w:val="36"/>
              <w:keepNext w:val="0"/>
              <w:keepLines w:val="0"/>
              <w:pageBreakBefore w:val="0"/>
              <w:kinsoku/>
              <w:wordWrap/>
              <w:overflowPunct/>
              <w:topLinePunct w:val="0"/>
              <w:autoSpaceDE/>
              <w:autoSpaceDN/>
              <w:bidi w:val="0"/>
              <w:adjustRightInd/>
              <w:snapToGrid/>
              <w:spacing w:line="280" w:lineRule="exact"/>
              <w:textAlignment w:val="auto"/>
              <w:rPr>
                <w:rFonts w:hint="eastAsia" w:ascii="仿宋" w:hAnsi="仿宋" w:eastAsia="仿宋" w:cs="仿宋"/>
                <w:caps/>
                <w:kern w:val="2"/>
                <w:sz w:val="21"/>
                <w:szCs w:val="21"/>
              </w:rPr>
            </w:pPr>
            <w:r>
              <w:rPr>
                <w:rFonts w:hint="eastAsia" w:ascii="仿宋" w:hAnsi="仿宋" w:eastAsia="仿宋" w:cs="仿宋"/>
                <w:kern w:val="2"/>
                <w:sz w:val="21"/>
                <w:szCs w:val="21"/>
              </w:rPr>
              <w:t>合理化建议（8分）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投标人对采购人的招标服务要求，做出相对应的措施、实施进度、质量控制等方面的合理化建议进行综合评审，满分8分；优： 6.1－8.0分；良： 4.1－6.0分；一般： 2.1－4.0分；差： 0－2.0分。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09" w:hRule="atLeast"/>
          <w:jc w:val="center"/>
        </w:trPr>
        <w:tc>
          <w:tcPr>
            <w:tcW w:w="765" w:type="dxa"/>
            <w:noWrap w:val="0"/>
            <w:vAlign w:val="center"/>
          </w:tcPr>
          <w:p>
            <w:pPr>
              <w:pStyle w:val="36"/>
              <w:keepNext w:val="0"/>
              <w:keepLines w:val="0"/>
              <w:pageBreakBefore w:val="0"/>
              <w:kinsoku/>
              <w:wordWrap/>
              <w:overflowPunct/>
              <w:topLinePunct w:val="0"/>
              <w:autoSpaceDE/>
              <w:autoSpaceDN/>
              <w:bidi w:val="0"/>
              <w:adjustRightInd/>
              <w:snapToGrid/>
              <w:spacing w:beforeAutospacing="0" w:afterAutospacing="0" w:line="280" w:lineRule="exact"/>
              <w:jc w:val="center"/>
              <w:textAlignment w:val="auto"/>
              <w:rPr>
                <w:rFonts w:hint="eastAsia" w:ascii="仿宋" w:hAnsi="仿宋" w:eastAsia="仿宋" w:cs="仿宋"/>
                <w:kern w:val="2"/>
                <w:sz w:val="21"/>
                <w:szCs w:val="21"/>
              </w:rPr>
            </w:pPr>
            <w:r>
              <w:rPr>
                <w:rFonts w:hint="eastAsia" w:ascii="仿宋" w:hAnsi="仿宋" w:eastAsia="仿宋" w:cs="仿宋"/>
                <w:kern w:val="2"/>
                <w:sz w:val="21"/>
                <w:szCs w:val="21"/>
              </w:rPr>
              <w:t>7</w:t>
            </w:r>
          </w:p>
        </w:tc>
        <w:tc>
          <w:tcPr>
            <w:tcW w:w="1178"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textAlignment w:val="auto"/>
              <w:rPr>
                <w:rFonts w:hint="eastAsia" w:ascii="仿宋" w:hAnsi="仿宋" w:eastAsia="仿宋" w:cs="仿宋"/>
                <w:caps/>
                <w:sz w:val="21"/>
                <w:szCs w:val="21"/>
              </w:rPr>
            </w:pPr>
            <w:r>
              <w:rPr>
                <w:rFonts w:hint="eastAsia" w:ascii="仿宋" w:hAnsi="仿宋" w:eastAsia="仿宋" w:cs="仿宋"/>
                <w:sz w:val="21"/>
                <w:szCs w:val="21"/>
              </w:rPr>
              <w:t>硬件配置（8分）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对投标人拟使用的场地、计量器具等硬件配置进行综合评审，满分8分；优： 6.1－8.0分；良： 4.1－6.0分；一般： 2.1－4.0分；差： 0－2.0分。</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jc w:val="center"/>
        </w:trPr>
        <w:tc>
          <w:tcPr>
            <w:tcW w:w="765" w:type="dxa"/>
            <w:noWrap w:val="0"/>
            <w:vAlign w:val="center"/>
          </w:tcPr>
          <w:p>
            <w:pPr>
              <w:pStyle w:val="36"/>
              <w:keepNext w:val="0"/>
              <w:keepLines w:val="0"/>
              <w:pageBreakBefore w:val="0"/>
              <w:kinsoku/>
              <w:wordWrap/>
              <w:overflowPunct/>
              <w:topLinePunct w:val="0"/>
              <w:autoSpaceDE/>
              <w:autoSpaceDN/>
              <w:bidi w:val="0"/>
              <w:adjustRightInd/>
              <w:snapToGrid/>
              <w:spacing w:beforeAutospacing="0" w:afterAutospacing="0" w:line="280" w:lineRule="exact"/>
              <w:jc w:val="center"/>
              <w:textAlignment w:val="auto"/>
              <w:rPr>
                <w:rFonts w:hint="eastAsia" w:ascii="仿宋" w:hAnsi="仿宋" w:eastAsia="仿宋" w:cs="仿宋"/>
                <w:kern w:val="2"/>
                <w:sz w:val="21"/>
                <w:szCs w:val="21"/>
              </w:rPr>
            </w:pPr>
            <w:r>
              <w:rPr>
                <w:rFonts w:hint="eastAsia" w:ascii="仿宋" w:hAnsi="仿宋" w:eastAsia="仿宋" w:cs="仿宋"/>
                <w:kern w:val="2"/>
                <w:sz w:val="21"/>
                <w:szCs w:val="21"/>
              </w:rPr>
              <w:t>8</w:t>
            </w:r>
          </w:p>
        </w:tc>
        <w:tc>
          <w:tcPr>
            <w:tcW w:w="1178"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textAlignment w:val="auto"/>
              <w:rPr>
                <w:rFonts w:hint="eastAsia" w:ascii="仿宋" w:hAnsi="仿宋" w:eastAsia="仿宋" w:cs="仿宋"/>
                <w:caps/>
                <w:sz w:val="21"/>
                <w:szCs w:val="21"/>
              </w:rPr>
            </w:pPr>
            <w:r>
              <w:rPr>
                <w:rFonts w:hint="eastAsia" w:ascii="仿宋" w:hAnsi="仿宋" w:eastAsia="仿宋" w:cs="仿宋"/>
                <w:sz w:val="21"/>
                <w:szCs w:val="21"/>
              </w:rPr>
              <w:t>销售业绩（</w:t>
            </w:r>
            <w:r>
              <w:rPr>
                <w:rFonts w:hint="eastAsia" w:ascii="仿宋" w:hAnsi="仿宋" w:eastAsia="仿宋" w:cs="仿宋"/>
                <w:sz w:val="21"/>
                <w:szCs w:val="21"/>
                <w:lang w:val="en-US" w:eastAsia="zh-CN"/>
              </w:rPr>
              <w:t>2</w:t>
            </w:r>
            <w:r>
              <w:rPr>
                <w:rFonts w:hint="eastAsia" w:ascii="仿宋" w:hAnsi="仿宋" w:eastAsia="仿宋" w:cs="仿宋"/>
                <w:sz w:val="21"/>
                <w:szCs w:val="21"/>
              </w:rPr>
              <w:t>分）</w:t>
            </w:r>
          </w:p>
        </w:tc>
        <w:tc>
          <w:tcPr>
            <w:tcW w:w="7036" w:type="dxa"/>
            <w:noWrap w:val="0"/>
            <w:vAlign w:val="center"/>
          </w:tcPr>
          <w:p>
            <w:pPr>
              <w:pStyle w:val="13"/>
              <w:keepNext w:val="0"/>
              <w:keepLines w:val="0"/>
              <w:pageBreakBefore w:val="0"/>
              <w:numPr>
                <w:ilvl w:val="0"/>
                <w:numId w:val="0"/>
              </w:numPr>
              <w:kinsoku/>
              <w:wordWrap/>
              <w:overflowPunct/>
              <w:topLinePunct w:val="0"/>
              <w:autoSpaceDE/>
              <w:autoSpaceDN/>
              <w:bidi w:val="0"/>
              <w:adjustRightInd/>
              <w:snapToGrid/>
              <w:spacing w:after="180" w:line="280" w:lineRule="exact"/>
              <w:ind w:leftChars="0"/>
              <w:jc w:val="both"/>
              <w:textAlignment w:val="auto"/>
              <w:rPr>
                <w:rFonts w:hint="eastAsia" w:ascii="仿宋" w:hAnsi="仿宋" w:eastAsia="仿宋" w:cs="仿宋"/>
                <w:sz w:val="21"/>
                <w:szCs w:val="21"/>
              </w:rPr>
            </w:pPr>
            <w:r>
              <w:rPr>
                <w:rFonts w:hint="eastAsia" w:ascii="仿宋" w:hAnsi="仿宋" w:eastAsia="仿宋" w:cs="仿宋"/>
                <w:sz w:val="21"/>
                <w:szCs w:val="21"/>
              </w:rPr>
              <w:t>对投标人同类计量服务案例进行综合评审，需提供合同或发票等有效证明材料，提供有效证明材料</w:t>
            </w:r>
            <w:r>
              <w:rPr>
                <w:rFonts w:hint="eastAsia" w:ascii="仿宋" w:hAnsi="仿宋" w:eastAsia="仿宋" w:cs="仿宋"/>
                <w:sz w:val="21"/>
                <w:szCs w:val="21"/>
                <w:lang w:val="en-US" w:eastAsia="zh-CN"/>
              </w:rPr>
              <w:t>4</w:t>
            </w:r>
            <w:r>
              <w:rPr>
                <w:rFonts w:hint="eastAsia" w:ascii="仿宋" w:hAnsi="仿宋" w:eastAsia="仿宋" w:cs="仿宋"/>
                <w:sz w:val="21"/>
                <w:szCs w:val="21"/>
              </w:rPr>
              <w:t>份的得</w:t>
            </w:r>
            <w:r>
              <w:rPr>
                <w:rFonts w:hint="eastAsia" w:ascii="仿宋" w:hAnsi="仿宋" w:eastAsia="仿宋" w:cs="仿宋"/>
                <w:sz w:val="21"/>
                <w:szCs w:val="21"/>
                <w:lang w:val="en-US" w:eastAsia="zh-CN"/>
              </w:rPr>
              <w:t>2</w:t>
            </w:r>
            <w:r>
              <w:rPr>
                <w:rFonts w:hint="eastAsia" w:ascii="仿宋" w:hAnsi="仿宋" w:eastAsia="仿宋" w:cs="仿宋"/>
                <w:sz w:val="21"/>
                <w:szCs w:val="21"/>
              </w:rPr>
              <w:t>分，每</w:t>
            </w:r>
            <w:r>
              <w:rPr>
                <w:rFonts w:hint="eastAsia" w:ascii="仿宋" w:hAnsi="仿宋" w:eastAsia="仿宋" w:cs="仿宋"/>
                <w:sz w:val="21"/>
                <w:szCs w:val="21"/>
                <w:lang w:eastAsia="zh-CN"/>
              </w:rPr>
              <w:t>减少</w:t>
            </w:r>
            <w:r>
              <w:rPr>
                <w:rFonts w:hint="eastAsia" w:ascii="仿宋" w:hAnsi="仿宋" w:eastAsia="仿宋" w:cs="仿宋"/>
                <w:sz w:val="21"/>
                <w:szCs w:val="21"/>
              </w:rPr>
              <w:t>1份</w:t>
            </w:r>
            <w:r>
              <w:rPr>
                <w:rFonts w:hint="eastAsia" w:ascii="仿宋" w:hAnsi="仿宋" w:eastAsia="仿宋" w:cs="仿宋"/>
                <w:sz w:val="21"/>
                <w:szCs w:val="21"/>
                <w:lang w:eastAsia="zh-CN"/>
              </w:rPr>
              <w:t>减</w:t>
            </w:r>
            <w:r>
              <w:rPr>
                <w:rFonts w:hint="eastAsia" w:ascii="仿宋" w:hAnsi="仿宋" w:eastAsia="仿宋" w:cs="仿宋"/>
                <w:sz w:val="21"/>
                <w:szCs w:val="21"/>
              </w:rPr>
              <w:t>0.5分。提供的复印件加盖投标人公章，不提供不得分。</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0</w:t>
      </w:r>
    </w:p>
    <w:p>
      <w:pPr>
        <w:snapToGrid w:val="0"/>
        <w:rPr>
          <w:rFonts w:hint="eastAsia" w:ascii="仿宋" w:hAnsi="仿宋" w:eastAsia="仿宋" w:cs="仿宋"/>
          <w:b/>
          <w:color w:val="auto"/>
          <w:sz w:val="24"/>
          <w:highlight w:val="none"/>
          <w:u w:val="single"/>
        </w:rPr>
      </w:pPr>
    </w:p>
    <w:bookmarkEnd w:id="8"/>
    <w:bookmarkEnd w:id="9"/>
    <w:bookmarkEnd w:id="10"/>
    <w:bookmarkEnd w:id="11"/>
    <w:p>
      <w:pPr>
        <w:snapToGrid w:val="0"/>
        <w:spacing w:line="360" w:lineRule="auto"/>
        <w:jc w:val="both"/>
        <w:rPr>
          <w:rFonts w:hint="eastAsia" w:ascii="仿宋" w:hAnsi="仿宋" w:eastAsia="仿宋" w:cs="仿宋"/>
          <w:b/>
          <w:color w:val="auto"/>
          <w:sz w:val="36"/>
          <w:szCs w:val="20"/>
          <w:highlight w:val="none"/>
        </w:rPr>
      </w:pP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9"/>
        <w:spacing w:afterLines="0" w:line="440" w:lineRule="exact"/>
        <w:ind w:firstLine="0" w:firstLineChars="0"/>
        <w:rPr>
          <w:rFonts w:hint="eastAsia" w:ascii="仿宋" w:hAnsi="仿宋" w:eastAsia="仿宋" w:cs="仿宋"/>
          <w:color w:val="auto"/>
          <w:szCs w:val="24"/>
          <w:highlight w:val="none"/>
        </w:rPr>
      </w:pPr>
    </w:p>
    <w:p>
      <w:pPr>
        <w:pStyle w:val="69"/>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9"/>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56"/>
        <w:gridCol w:w="1900"/>
        <w:gridCol w:w="1365"/>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356"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项目名称</w:t>
            </w:r>
          </w:p>
        </w:tc>
        <w:tc>
          <w:tcPr>
            <w:tcW w:w="190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投标单价（元）/年</w:t>
            </w:r>
          </w:p>
        </w:tc>
        <w:tc>
          <w:tcPr>
            <w:tcW w:w="1365"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金额</w:t>
            </w:r>
          </w:p>
        </w:tc>
        <w:tc>
          <w:tcPr>
            <w:tcW w:w="126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服务年限</w:t>
            </w:r>
          </w:p>
        </w:tc>
        <w:tc>
          <w:tcPr>
            <w:tcW w:w="117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356" w:type="dxa"/>
            <w:noWrap/>
            <w:vAlign w:val="center"/>
          </w:tcPr>
          <w:p>
            <w:pPr>
              <w:spacing w:line="360" w:lineRule="auto"/>
              <w:jc w:val="center"/>
              <w:rPr>
                <w:rFonts w:hint="eastAsia" w:ascii="仿宋" w:hAnsi="仿宋" w:eastAsia="仿宋" w:cs="仿宋"/>
                <w:sz w:val="24"/>
              </w:rPr>
            </w:pPr>
            <w:r>
              <w:rPr>
                <w:rFonts w:hint="eastAsia" w:ascii="仿宋" w:hAnsi="仿宋" w:eastAsia="仿宋" w:cs="仿宋"/>
                <w:sz w:val="24"/>
                <w:lang w:val="en-US" w:eastAsia="zh-CN"/>
              </w:rPr>
              <w:t>绍兴市中医院医疗设备计量服务项目</w:t>
            </w:r>
          </w:p>
        </w:tc>
        <w:tc>
          <w:tcPr>
            <w:tcW w:w="1900" w:type="dxa"/>
            <w:noWrap/>
            <w:vAlign w:val="center"/>
          </w:tcPr>
          <w:p>
            <w:pPr>
              <w:spacing w:line="400" w:lineRule="exact"/>
              <w:jc w:val="center"/>
              <w:rPr>
                <w:rFonts w:hint="eastAsia" w:ascii="仿宋" w:hAnsi="仿宋" w:eastAsia="仿宋" w:cs="仿宋"/>
                <w:sz w:val="24"/>
              </w:rPr>
            </w:pPr>
          </w:p>
        </w:tc>
        <w:tc>
          <w:tcPr>
            <w:tcW w:w="1365" w:type="dxa"/>
            <w:noWrap/>
            <w:vAlign w:val="center"/>
          </w:tcPr>
          <w:p>
            <w:pPr>
              <w:spacing w:line="400" w:lineRule="exact"/>
              <w:jc w:val="center"/>
              <w:rPr>
                <w:rFonts w:hint="eastAsia" w:ascii="仿宋" w:hAnsi="仿宋" w:eastAsia="仿宋" w:cs="仿宋"/>
                <w:sz w:val="24"/>
              </w:rPr>
            </w:pPr>
          </w:p>
        </w:tc>
        <w:tc>
          <w:tcPr>
            <w:tcW w:w="126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二年</w:t>
            </w:r>
          </w:p>
        </w:tc>
        <w:tc>
          <w:tcPr>
            <w:tcW w:w="1170" w:type="dxa"/>
            <w:noWrap/>
            <w:vAlign w:val="center"/>
          </w:tcPr>
          <w:p>
            <w:pPr>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restart"/>
            <w:noWrap/>
            <w:vAlign w:val="center"/>
          </w:tcPr>
          <w:p>
            <w:pPr>
              <w:spacing w:line="400" w:lineRule="exact"/>
              <w:rPr>
                <w:rFonts w:hint="eastAsia" w:ascii="仿宋" w:hAnsi="仿宋" w:eastAsia="仿宋" w:cs="仿宋"/>
                <w:sz w:val="24"/>
              </w:rPr>
            </w:pPr>
            <w:r>
              <w:rPr>
                <w:rFonts w:hint="eastAsia" w:ascii="仿宋" w:hAnsi="仿宋" w:eastAsia="仿宋" w:cs="仿宋"/>
                <w:sz w:val="24"/>
              </w:rPr>
              <w:t>投标总价=投标单价*2年（上限价：</w:t>
            </w:r>
            <w:r>
              <w:rPr>
                <w:rFonts w:hint="eastAsia" w:ascii="仿宋" w:hAnsi="仿宋" w:eastAsia="仿宋" w:cs="仿宋"/>
                <w:sz w:val="24"/>
                <w:lang w:val="en-US" w:eastAsia="zh-CN"/>
              </w:rPr>
              <w:t>60</w:t>
            </w:r>
            <w:r>
              <w:rPr>
                <w:rFonts w:hint="eastAsia" w:ascii="仿宋" w:hAnsi="仿宋" w:eastAsia="仿宋" w:cs="仿宋"/>
                <w:sz w:val="24"/>
              </w:rPr>
              <w:t>万）</w:t>
            </w:r>
          </w:p>
        </w:tc>
        <w:tc>
          <w:tcPr>
            <w:tcW w:w="5695" w:type="dxa"/>
            <w:gridSpan w:val="4"/>
            <w:noWrap/>
            <w:vAlign w:val="center"/>
          </w:tcPr>
          <w:p>
            <w:pPr>
              <w:spacing w:line="400" w:lineRule="exact"/>
              <w:rPr>
                <w:rFonts w:hint="eastAsia" w:ascii="仿宋" w:hAnsi="仿宋" w:eastAsia="仿宋" w:cs="仿宋"/>
                <w:sz w:val="24"/>
              </w:rPr>
            </w:pPr>
            <w:r>
              <w:rPr>
                <w:rFonts w:hint="eastAsia" w:ascii="仿宋" w:hAnsi="仿宋" w:eastAsia="仿宋" w:cs="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continue"/>
            <w:noWrap/>
            <w:vAlign w:val="center"/>
          </w:tcPr>
          <w:p>
            <w:pPr>
              <w:spacing w:line="400" w:lineRule="exact"/>
              <w:rPr>
                <w:rFonts w:hint="eastAsia" w:ascii="仿宋" w:hAnsi="仿宋" w:eastAsia="仿宋" w:cs="仿宋"/>
                <w:sz w:val="24"/>
              </w:rPr>
            </w:pPr>
          </w:p>
        </w:tc>
        <w:tc>
          <w:tcPr>
            <w:tcW w:w="5695" w:type="dxa"/>
            <w:gridSpan w:val="4"/>
            <w:noWrap/>
            <w:vAlign w:val="center"/>
          </w:tcPr>
          <w:p>
            <w:pPr>
              <w:spacing w:line="400" w:lineRule="exact"/>
              <w:rPr>
                <w:rFonts w:hint="eastAsia" w:ascii="仿宋" w:hAnsi="仿宋" w:eastAsia="仿宋" w:cs="仿宋"/>
                <w:sz w:val="24"/>
              </w:rPr>
            </w:pPr>
            <w:r>
              <w:rPr>
                <w:rFonts w:hint="eastAsia" w:ascii="仿宋" w:hAnsi="仿宋" w:eastAsia="仿宋" w:cs="仿宋"/>
                <w:sz w:val="24"/>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tbl>
      <w:tblPr>
        <w:tblStyle w:val="42"/>
        <w:tblW w:w="92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3749"/>
        <w:gridCol w:w="763"/>
        <w:gridCol w:w="777"/>
        <w:gridCol w:w="1650"/>
        <w:gridCol w:w="16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927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计量服务项目报价清单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器具名称</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参考数量</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是否强检</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检测费（单价）</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检测费（合计）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多参数监护仪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水银血压计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无创自动测量血压计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数字心电图机</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医用诊断螺旋计算机断层摄影装置（</w:t>
            </w:r>
            <w:r>
              <w:rPr>
                <w:rFonts w:hint="eastAsia" w:ascii="仿宋" w:hAnsi="仿宋" w:eastAsia="仿宋" w:cs="仿宋"/>
                <w:i w:val="0"/>
                <w:iCs w:val="0"/>
                <w:color w:val="000000"/>
                <w:kern w:val="0"/>
                <w:sz w:val="20"/>
                <w:szCs w:val="20"/>
                <w:u w:val="none"/>
                <w:lang w:val="en-US" w:eastAsia="zh-CN" w:bidi="ar"/>
              </w:rPr>
              <w:t>CT）X射线辐射源</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医用诊断全景牙科</w:t>
            </w:r>
            <w:r>
              <w:rPr>
                <w:rFonts w:hint="eastAsia" w:ascii="仿宋" w:hAnsi="仿宋" w:eastAsia="仿宋" w:cs="仿宋"/>
                <w:i w:val="0"/>
                <w:iCs w:val="0"/>
                <w:color w:val="000000"/>
                <w:kern w:val="0"/>
                <w:sz w:val="20"/>
                <w:szCs w:val="20"/>
                <w:u w:val="none"/>
                <w:lang w:val="en-US" w:eastAsia="zh-CN" w:bidi="ar"/>
              </w:rPr>
              <w:t>X射线辐射源</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医用数字摄影</w:t>
            </w:r>
            <w:r>
              <w:rPr>
                <w:rFonts w:hint="eastAsia" w:ascii="仿宋" w:hAnsi="仿宋" w:eastAsia="仿宋" w:cs="仿宋"/>
                <w:i w:val="0"/>
                <w:iCs w:val="0"/>
                <w:color w:val="000000"/>
                <w:kern w:val="0"/>
                <w:sz w:val="20"/>
                <w:szCs w:val="20"/>
                <w:u w:val="none"/>
                <w:lang w:val="en-US" w:eastAsia="zh-CN" w:bidi="ar"/>
              </w:rPr>
              <w:t>(CR、DR)系统X射线辐射源</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1"/>
                <w:szCs w:val="21"/>
                <w:u w:val="none"/>
                <w:lang w:val="en-US" w:eastAsia="zh-CN" w:bidi="ar"/>
              </w:rPr>
              <w:t>医用诊断X射线辐射源</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1"/>
                <w:szCs w:val="21"/>
                <w:u w:val="none"/>
                <w:lang w:val="en-US" w:eastAsia="zh-CN" w:bidi="ar"/>
              </w:rPr>
              <w:t>红外耳温计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压力表</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是</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生物安全柜</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高压灭菌器</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酶标分析仪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医用磁共振成像系统（MRI）</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血氧测定仪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血液透析机</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除颤器</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高频电刀</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呼吸机</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医用麻醉机</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浮标式氧气吸入器</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医用超声诊断仪超声源</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医用注射泵（单通道）</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医用注射泵（双通道）</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医用注射泵（六通道）</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医用输液泵</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移液器</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八通道移液器</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温湿度计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温湿度记录仪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数字温度计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玻璃温度计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医用冷藏箱</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二氧化碳培养箱</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恒温恒湿培养箱</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离心机</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电子天平</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86"/>
                <w:rFonts w:hint="eastAsia" w:ascii="仿宋" w:hAnsi="仿宋" w:eastAsia="仿宋" w:cs="仿宋"/>
                <w:lang w:val="en-US" w:eastAsia="zh-CN" w:bidi="ar"/>
              </w:rPr>
              <w:t>二氧化碳激光治疗仪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86"/>
                <w:rFonts w:hint="eastAsia" w:ascii="仿宋" w:hAnsi="仿宋" w:eastAsia="仿宋" w:cs="仿宋"/>
                <w:lang w:val="en-US" w:eastAsia="zh-CN" w:bidi="ar"/>
              </w:rPr>
              <w:t>血氧测定仪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86"/>
                <w:rFonts w:hint="eastAsia" w:ascii="仿宋" w:hAnsi="仿宋" w:eastAsia="仿宋" w:cs="仿宋"/>
                <w:lang w:val="en-US" w:eastAsia="zh-CN" w:bidi="ar"/>
              </w:rPr>
              <w:t>可见分光光度计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86"/>
                <w:rFonts w:hint="eastAsia" w:ascii="仿宋" w:hAnsi="仿宋" w:eastAsia="仿宋" w:cs="仿宋"/>
                <w:lang w:val="en-US" w:eastAsia="zh-CN" w:bidi="ar"/>
              </w:rPr>
              <w:t>骨密度仪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86"/>
                <w:rFonts w:hint="eastAsia" w:ascii="仿宋" w:hAnsi="仿宋" w:eastAsia="仿宋" w:cs="仿宋"/>
                <w:lang w:val="en-US" w:eastAsia="zh-CN" w:bidi="ar"/>
              </w:rPr>
              <w:t>碎石机</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86"/>
                <w:rFonts w:hint="eastAsia" w:ascii="仿宋" w:hAnsi="仿宋" w:eastAsia="仿宋" w:cs="仿宋"/>
                <w:lang w:val="en-US" w:eastAsia="zh-CN" w:bidi="ar"/>
              </w:rPr>
              <w:t>血管造影机</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Style w:val="286"/>
                <w:rFonts w:hint="eastAsia" w:ascii="仿宋" w:hAnsi="仿宋" w:eastAsia="仿宋" w:cs="仿宋"/>
                <w:lang w:val="en-US" w:eastAsia="zh-CN" w:bidi="ar"/>
              </w:rPr>
              <w:t>秤（包括电脑人体秤、超声波体检秤、电子计价秤、电子台秤、轮椅秤、台秤、体重秤等）</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1129</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r>
    </w:tbl>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注：1.报价一经涂改，应在涂改处加盖单位公章或者由法定代表人或授权委托人签字或盖章，否则其投标作无效标处理。</w:t>
      </w:r>
    </w:p>
    <w:p>
      <w:pPr>
        <w:pStyle w:val="23"/>
        <w:numPr>
          <w:ilvl w:val="0"/>
          <w:numId w:val="5"/>
        </w:numPr>
        <w:spacing w:line="440" w:lineRule="exact"/>
        <w:ind w:left="360" w:leftChars="0" w:hanging="360" w:firstLineChars="0"/>
        <w:rPr>
          <w:rFonts w:hint="eastAsia" w:ascii="仿宋" w:hAnsi="仿宋" w:eastAsia="仿宋" w:cs="仿宋"/>
          <w:sz w:val="24"/>
          <w:szCs w:val="24"/>
          <w:lang w:eastAsia="zh-CN"/>
        </w:rPr>
      </w:pPr>
      <w:r>
        <w:rPr>
          <w:rFonts w:hint="eastAsia" w:ascii="仿宋" w:hAnsi="仿宋" w:eastAsia="仿宋" w:cs="仿宋"/>
          <w:sz w:val="24"/>
          <w:szCs w:val="24"/>
        </w:rPr>
        <w:t>所有单价包括货值、售后服务费、税费等一切费用，</w:t>
      </w:r>
      <w:r>
        <w:rPr>
          <w:rFonts w:hint="eastAsia" w:ascii="仿宋" w:hAnsi="仿宋" w:eastAsia="仿宋" w:cs="仿宋"/>
          <w:sz w:val="24"/>
          <w:szCs w:val="24"/>
          <w:lang w:eastAsia="zh-CN"/>
        </w:rPr>
        <w:t>采购人</w:t>
      </w:r>
      <w:r>
        <w:rPr>
          <w:rFonts w:hint="eastAsia" w:ascii="仿宋" w:hAnsi="仿宋" w:eastAsia="仿宋" w:cs="仿宋"/>
          <w:sz w:val="24"/>
          <w:szCs w:val="24"/>
        </w:rPr>
        <w:t>不需支付任何其它费用</w:t>
      </w:r>
      <w:r>
        <w:rPr>
          <w:rFonts w:hint="eastAsia" w:ascii="仿宋" w:hAnsi="仿宋" w:eastAsia="仿宋" w:cs="仿宋"/>
          <w:sz w:val="24"/>
          <w:szCs w:val="24"/>
          <w:lang w:eastAsia="zh-CN"/>
        </w:rPr>
        <w:t>。</w:t>
      </w:r>
    </w:p>
    <w:p>
      <w:pPr>
        <w:pStyle w:val="23"/>
        <w:numPr>
          <w:ilvl w:val="0"/>
          <w:numId w:val="5"/>
        </w:numPr>
        <w:spacing w:line="440" w:lineRule="exact"/>
        <w:ind w:left="360" w:leftChars="0" w:hanging="360" w:firstLineChars="0"/>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上述需检测设备的检测费（两年）须与开标一览表的总金额一致。</w:t>
      </w: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ind w:left="-4" w:leftChars="-2" w:right="-817" w:rightChars="-389" w:firstLine="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spacing w:line="360" w:lineRule="auto"/>
        <w:outlineLvl w:val="0"/>
        <w:rPr>
          <w:rFonts w:hint="eastAsia" w:ascii="仿宋" w:hAnsi="仿宋" w:eastAsia="仿宋" w:cs="仿宋"/>
          <w:color w:val="auto"/>
          <w:sz w:val="24"/>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3"/>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医疗设备计量服务项目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医疗设备计量服务项目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绍兴市中医院医疗设备计量服务项目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4"/>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1.95pt;width:442.6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1.95pt;width:441.4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51"/>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1.95pt;width:390.05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07ED6"/>
    <w:rsid w:val="00010C9A"/>
    <w:rsid w:val="00010FC1"/>
    <w:rsid w:val="0001278F"/>
    <w:rsid w:val="0002045E"/>
    <w:rsid w:val="00021D87"/>
    <w:rsid w:val="0002203D"/>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106789B"/>
    <w:rsid w:val="0259053C"/>
    <w:rsid w:val="02F555E7"/>
    <w:rsid w:val="033D06CB"/>
    <w:rsid w:val="038D0615"/>
    <w:rsid w:val="039D1B10"/>
    <w:rsid w:val="0563079F"/>
    <w:rsid w:val="05F60437"/>
    <w:rsid w:val="08C3270D"/>
    <w:rsid w:val="098B21E0"/>
    <w:rsid w:val="09AE462C"/>
    <w:rsid w:val="0A056682"/>
    <w:rsid w:val="0B472137"/>
    <w:rsid w:val="0D2D3283"/>
    <w:rsid w:val="0E33107D"/>
    <w:rsid w:val="0E695EE3"/>
    <w:rsid w:val="0F163F19"/>
    <w:rsid w:val="0FAE221E"/>
    <w:rsid w:val="101813C7"/>
    <w:rsid w:val="107C0AD5"/>
    <w:rsid w:val="11317A4E"/>
    <w:rsid w:val="12AD444B"/>
    <w:rsid w:val="14073CA3"/>
    <w:rsid w:val="148368D6"/>
    <w:rsid w:val="151B70E4"/>
    <w:rsid w:val="153425F7"/>
    <w:rsid w:val="155A6881"/>
    <w:rsid w:val="19F421C0"/>
    <w:rsid w:val="1CF91D8D"/>
    <w:rsid w:val="1EA92284"/>
    <w:rsid w:val="1F181CCA"/>
    <w:rsid w:val="20457135"/>
    <w:rsid w:val="208813C1"/>
    <w:rsid w:val="22326B0B"/>
    <w:rsid w:val="22957731"/>
    <w:rsid w:val="23871813"/>
    <w:rsid w:val="247053D4"/>
    <w:rsid w:val="269A0E6A"/>
    <w:rsid w:val="2B253DEB"/>
    <w:rsid w:val="30BE3B47"/>
    <w:rsid w:val="34274E3D"/>
    <w:rsid w:val="34C71170"/>
    <w:rsid w:val="37722193"/>
    <w:rsid w:val="38D138F4"/>
    <w:rsid w:val="3A0243FB"/>
    <w:rsid w:val="3A7A76AB"/>
    <w:rsid w:val="3B187A66"/>
    <w:rsid w:val="3C9544C9"/>
    <w:rsid w:val="3CE66B72"/>
    <w:rsid w:val="3CFB4A5E"/>
    <w:rsid w:val="3D006466"/>
    <w:rsid w:val="3D833677"/>
    <w:rsid w:val="3FE15171"/>
    <w:rsid w:val="40B42917"/>
    <w:rsid w:val="415573DE"/>
    <w:rsid w:val="41584ECE"/>
    <w:rsid w:val="43B30AD1"/>
    <w:rsid w:val="44311EA4"/>
    <w:rsid w:val="44F560AC"/>
    <w:rsid w:val="451748C8"/>
    <w:rsid w:val="46BF7C41"/>
    <w:rsid w:val="472166F7"/>
    <w:rsid w:val="4CF800B6"/>
    <w:rsid w:val="4CFA2CC5"/>
    <w:rsid w:val="4D695CC4"/>
    <w:rsid w:val="4DAA5965"/>
    <w:rsid w:val="4E6243A4"/>
    <w:rsid w:val="5009458A"/>
    <w:rsid w:val="51617DB8"/>
    <w:rsid w:val="518A5EA7"/>
    <w:rsid w:val="5243101B"/>
    <w:rsid w:val="53486CE7"/>
    <w:rsid w:val="538B6EEB"/>
    <w:rsid w:val="539B2513"/>
    <w:rsid w:val="56A23B05"/>
    <w:rsid w:val="582C11FC"/>
    <w:rsid w:val="58C00B28"/>
    <w:rsid w:val="592D28B1"/>
    <w:rsid w:val="593F281A"/>
    <w:rsid w:val="5E3D6F4B"/>
    <w:rsid w:val="5EB25E45"/>
    <w:rsid w:val="61F9532F"/>
    <w:rsid w:val="629B7F14"/>
    <w:rsid w:val="62E46286"/>
    <w:rsid w:val="642B73A7"/>
    <w:rsid w:val="65A55955"/>
    <w:rsid w:val="66527AE2"/>
    <w:rsid w:val="6B540A44"/>
    <w:rsid w:val="6BFC3E4D"/>
    <w:rsid w:val="6C8D4D71"/>
    <w:rsid w:val="6DEF55B7"/>
    <w:rsid w:val="6F2778E5"/>
    <w:rsid w:val="6F5222A2"/>
    <w:rsid w:val="6FAB30CA"/>
    <w:rsid w:val="70A42B64"/>
    <w:rsid w:val="71146FB7"/>
    <w:rsid w:val="72032C3C"/>
    <w:rsid w:val="722A15EB"/>
    <w:rsid w:val="725C0A50"/>
    <w:rsid w:val="72E87C49"/>
    <w:rsid w:val="75192A2A"/>
    <w:rsid w:val="754A7D2B"/>
    <w:rsid w:val="76496028"/>
    <w:rsid w:val="769136B0"/>
    <w:rsid w:val="78193359"/>
    <w:rsid w:val="79061127"/>
    <w:rsid w:val="7AFB17D0"/>
    <w:rsid w:val="7C5A0516"/>
    <w:rsid w:val="7C89343F"/>
    <w:rsid w:val="7D2571EE"/>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7">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99"/>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next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1"/>
    <w:semiHidden/>
    <w:qFormat/>
    <w:uiPriority w:val="0"/>
    <w:pPr>
      <w:widowControl/>
      <w:spacing w:afterLines="50"/>
    </w:pPr>
    <w:rPr>
      <w:b/>
      <w:bCs/>
      <w:kern w:val="0"/>
      <w:sz w:val="24"/>
      <w:szCs w:val="20"/>
    </w:rPr>
  </w:style>
  <w:style w:type="paragraph" w:styleId="40">
    <w:name w:val="Body Text First Indent"/>
    <w:basedOn w:val="18"/>
    <w:link w:val="202"/>
    <w:qFormat/>
    <w:uiPriority w:val="0"/>
    <w:pPr>
      <w:spacing w:after="120" w:line="240" w:lineRule="auto"/>
      <w:ind w:firstLine="420" w:firstLineChars="100"/>
    </w:pPr>
    <w:rPr>
      <w:rFonts w:eastAsia="宋体"/>
      <w:sz w:val="21"/>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99"/>
    <w:rPr>
      <w:sz w:val="21"/>
      <w:szCs w:val="21"/>
    </w:rPr>
  </w:style>
  <w:style w:type="paragraph" w:customStyle="1" w:styleId="5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7"/>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7"/>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1"/>
    <w:qFormat/>
    <w:uiPriority w:val="0"/>
    <w:rPr>
      <w:kern w:val="2"/>
      <w:sz w:val="16"/>
      <w:szCs w:val="16"/>
    </w:rPr>
  </w:style>
  <w:style w:type="character" w:customStyle="1" w:styleId="200">
    <w:name w:val="HTML 预设格式 Char"/>
    <w:basedOn w:val="44"/>
    <w:link w:val="35"/>
    <w:qFormat/>
    <w:uiPriority w:val="0"/>
    <w:rPr>
      <w:rFonts w:ascii="黑体" w:hAnsi="Courier New" w:eastAsia="黑体" w:cs="Courier New"/>
    </w:rPr>
  </w:style>
  <w:style w:type="character" w:customStyle="1" w:styleId="201">
    <w:name w:val="批注主题 Char"/>
    <w:basedOn w:val="168"/>
    <w:link w:val="39"/>
    <w:semiHidden/>
    <w:qFormat/>
    <w:uiPriority w:val="0"/>
    <w:rPr>
      <w:rFonts w:eastAsia="宋体"/>
      <w:b/>
      <w:bCs/>
      <w:kern w:val="2"/>
      <w:sz w:val="24"/>
      <w:szCs w:val="24"/>
      <w:lang w:val="en-US" w:eastAsia="zh-CN" w:bidi="ar-SA"/>
    </w:rPr>
  </w:style>
  <w:style w:type="character" w:customStyle="1" w:styleId="202">
    <w:name w:val="正文首行缩进 Char"/>
    <w:basedOn w:val="163"/>
    <w:link w:val="40"/>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character" w:customStyle="1" w:styleId="286">
    <w:name w:val="font31"/>
    <w:basedOn w:val="44"/>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BEB14-E618-4B5F-9281-7FF7FF26978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50126</Words>
  <Characters>53359</Characters>
  <Lines>429</Lines>
  <Paragraphs>120</Paragraphs>
  <TotalTime>16</TotalTime>
  <ScaleCrop>false</ScaleCrop>
  <LinksUpToDate>false</LinksUpToDate>
  <CharactersWithSpaces>60059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2022-10-17T07:13:00Z</cp:lastPrinted>
  <dcterms:modified xsi:type="dcterms:W3CDTF">2023-07-11T07:22:40Z</dcterms:modified>
  <dc:title>绍兴文理学院计算机机房设备及录播系统供货项目</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863FD131DBAB468885E4F9603BA6748C</vt:lpwstr>
  </property>
</Properties>
</file>