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pacing w:val="-12"/>
          <w:sz w:val="48"/>
          <w:szCs w:val="48"/>
          <w:highlight w:val="none"/>
        </w:rPr>
      </w:pPr>
    </w:p>
    <w:p>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8"/>
          <w:szCs w:val="48"/>
          <w:highlight w:val="none"/>
          <w:lang w:eastAsia="zh-CN"/>
        </w:rPr>
        <w:t>绍兴市中医院中央空调（包括多联机）末端设备、通风管道消毒清洗项目(2023年度)</w:t>
      </w:r>
    </w:p>
    <w:p>
      <w:pP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bookmarkStart w:id="168" w:name="_GoBack"/>
      <w:bookmarkEnd w:id="168"/>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jc w:val="center"/>
        <w:outlineLvl w:val="0"/>
        <w:rPr>
          <w:rFonts w:hint="eastAsia" w:ascii="仿宋" w:hAnsi="仿宋" w:eastAsia="仿宋" w:cs="仿宋"/>
          <w:color w:val="auto"/>
          <w:sz w:val="44"/>
          <w:highlight w:val="none"/>
        </w:rPr>
      </w:pPr>
    </w:p>
    <w:p>
      <w:pPr>
        <w:outlineLvl w:val="0"/>
        <w:rPr>
          <w:rFonts w:hint="eastAsia" w:ascii="仿宋" w:hAnsi="仿宋" w:eastAsia="仿宋" w:cs="仿宋"/>
          <w:color w:val="auto"/>
          <w:sz w:val="44"/>
          <w:highlight w:val="none"/>
        </w:rPr>
      </w:pP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TYJZ2023</w:t>
      </w:r>
    </w:p>
    <w:tbl>
      <w:tblPr>
        <w:tblStyle w:val="4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二○二三年</w:t>
            </w:r>
            <w:r>
              <w:rPr>
                <w:rFonts w:hint="eastAsia" w:ascii="仿宋" w:hAnsi="仿宋" w:eastAsia="仿宋" w:cs="仿宋"/>
                <w:color w:val="auto"/>
                <w:sz w:val="28"/>
                <w:szCs w:val="28"/>
                <w:highlight w:val="none"/>
                <w:lang w:eastAsia="zh-CN"/>
              </w:rPr>
              <w:t>七</w:t>
            </w:r>
            <w:r>
              <w:rPr>
                <w:rFonts w:hint="eastAsia" w:ascii="仿宋" w:hAnsi="仿宋" w:eastAsia="仿宋" w:cs="仿宋"/>
                <w:color w:val="auto"/>
                <w:sz w:val="28"/>
                <w:szCs w:val="28"/>
                <w:highlight w:val="none"/>
              </w:rPr>
              <w:t>月</w:t>
            </w:r>
          </w:p>
        </w:tc>
      </w:tr>
    </w:tbl>
    <w:p>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pPr>
        <w:jc w:val="center"/>
        <w:rPr>
          <w:rFonts w:hint="eastAsia" w:ascii="仿宋" w:hAnsi="仿宋" w:eastAsia="仿宋" w:cs="仿宋"/>
          <w:b/>
          <w:color w:val="auto"/>
          <w:sz w:val="44"/>
          <w:szCs w:val="44"/>
          <w:highlight w:val="none"/>
        </w:rPr>
      </w:pPr>
    </w:p>
    <w:p>
      <w:pPr>
        <w:jc w:val="center"/>
        <w:rPr>
          <w:rFonts w:hint="eastAsia" w:ascii="仿宋" w:hAnsi="仿宋" w:eastAsia="仿宋" w:cs="仿宋"/>
          <w:color w:val="auto"/>
          <w:highlight w:val="none"/>
        </w:rPr>
      </w:pP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snapToGrid w:val="0"/>
        <w:spacing w:line="480" w:lineRule="auto"/>
        <w:jc w:val="left"/>
        <w:rPr>
          <w:rFonts w:hint="eastAsia" w:ascii="仿宋" w:hAnsi="仿宋" w:eastAsia="仿宋" w:cs="仿宋"/>
          <w:color w:val="auto"/>
          <w:sz w:val="36"/>
          <w:szCs w:val="36"/>
          <w:highlight w:val="none"/>
        </w:rPr>
      </w:pPr>
    </w:p>
    <w:p>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556" w:hRule="atLeast"/>
        </w:trPr>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绍兴市中医院中央空调（包括多联机）末端设备、通风管道消毒清洗项目(2023年度)</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获取招标文件，并于2023年</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rPr>
                    <w:t>日 09:00（北京时间）前递交投标文件。</w:t>
                  </w:r>
                </w:p>
              </w:tc>
            </w:tr>
          </w:tbl>
          <w:p>
            <w:pPr>
              <w:pStyle w:val="71"/>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TYJZ2023</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绍兴市中医院中央空调（包括多联机）末端设备、通风管道消毒清洗项目(2023年度)</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157000</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157000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中央空调（包括多联机）末端设备、通风管道消毒清洗项目(2023年度)</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 </w:t>
            </w:r>
            <w:r>
              <w:rPr>
                <w:rFonts w:hint="eastAsia" w:ascii="仿宋" w:hAnsi="仿宋" w:eastAsia="仿宋" w:cs="仿宋"/>
                <w:color w:val="auto"/>
                <w:szCs w:val="24"/>
                <w:highlight w:val="none"/>
                <w:lang w:val="en-US" w:eastAsia="zh-CN"/>
              </w:rPr>
              <w:t>157000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71"/>
              <w:spacing w:after="12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3.落实政府采购政策需满足的资格要求：</w:t>
            </w:r>
          </w:p>
          <w:p>
            <w:pPr>
              <w:pStyle w:val="71"/>
              <w:spacing w:afterLines="0" w:line="440" w:lineRule="exact"/>
              <w:ind w:firstLine="480"/>
              <w:rPr>
                <w:rFonts w:hint="eastAsia" w:ascii="仿宋" w:hAnsi="仿宋" w:eastAsia="仿宋" w:cs="仿宋"/>
                <w:color w:val="auto"/>
                <w:szCs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highlight w:val="none"/>
              </w:rPr>
              <w:t>无；</w:t>
            </w:r>
          </w:p>
          <w:p>
            <w:pPr>
              <w:spacing w:line="360" w:lineRule="auto"/>
              <w:ind w:firstLine="420" w:firstLineChars="200"/>
              <w:rPr>
                <w:rFonts w:hint="eastAsia" w:ascii="仿宋" w:hAnsi="仿宋" w:eastAsia="仿宋" w:cs="仿宋"/>
                <w:color w:val="auto"/>
                <w:sz w:val="24"/>
                <w:highlight w:val="none"/>
              </w:rPr>
            </w:pPr>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59827851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r>
              <w:rPr>
                <w:rFonts w:hint="eastAsia" w:ascii="仿宋" w:hAnsi="仿宋" w:eastAsia="仿宋" w:cs="仿宋"/>
                <w:color w:val="auto"/>
                <w:sz w:val="24"/>
                <w:highlight w:val="none"/>
              </w:rPr>
              <w:t>货物全部由符合政策要求的中小企业制造，提供中小企业声明函；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0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货物全部由符合政策要求的小微企业制造，提供中小企业声明函；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0690290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725337177"/>
                      </w:sdtPr>
                      <w:sdtEndPr>
                        <w:rPr>
                          <w:rFonts w:hint="eastAsia" w:ascii="仿宋" w:hAnsi="仿宋" w:eastAsia="仿宋" w:cs="仿宋"/>
                          <w:color w:val="auto"/>
                          <w:szCs w:val="21"/>
                          <w:highlight w:val="none"/>
                        </w:rPr>
                      </w:sdtEndPr>
                      <w:sdtContent>
                        <w:sdt>
                          <w:sdtPr>
                            <w:rPr>
                              <w:rFonts w:hint="eastAsia" w:ascii="仿宋" w:hAnsi="仿宋" w:eastAsia="仿宋" w:cs="仿宋"/>
                              <w:color w:val="auto"/>
                              <w:kern w:val="0"/>
                              <w:sz w:val="24"/>
                              <w:highlight w:val="none"/>
                            </w:rPr>
                            <w:id w:val="598278516"/>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FE"/>
                                </w:r>
                              </w:sdtContent>
                            </w:sdt>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897" w:firstLineChars="374"/>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463064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 w:hAnsi="仿宋" w:eastAsia="仿宋" w:cs="仿宋"/>
                <w:color w:val="auto"/>
                <w:sz w:val="24"/>
                <w:highlight w:val="none"/>
              </w:rPr>
              <w:t>；</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pPr>
              <w:pStyle w:val="71"/>
              <w:numPr>
                <w:ilvl w:val="0"/>
                <w:numId w:val="6"/>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pPr>
              <w:pStyle w:val="71"/>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提交投标文件截止时间：2023年月日 09:00（北京时间）</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rPr>
              <w:t>绍兴市越城区朝皇路58号正大综合楼601泰宇咨询会议室</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开标时间：2023年月日 09:00</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rPr>
              <w:t>绍兴市越城区朝皇路58号正大综合楼601会议室（泰宇咨询）</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2.其他事项：（1）需要落实的政府采购政策：包括节约资源、保护环境、支持创新、促进中小企业发展等。详见招标文件的第二部分总则。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 绍兴市越城区人民中路641号</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陈雄</w:t>
            </w:r>
            <w:r>
              <w:rPr>
                <w:rFonts w:hint="eastAsia" w:ascii="仿宋" w:hAnsi="仿宋" w:eastAsia="仿宋" w:cs="仿宋"/>
                <w:color w:val="auto"/>
                <w:kern w:val="0"/>
                <w:sz w:val="24"/>
                <w:highlight w:val="none"/>
              </w:rPr>
              <w:t xml:space="preserve">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w:t>
            </w:r>
            <w:r>
              <w:rPr>
                <w:rFonts w:hint="eastAsia" w:ascii="仿宋" w:hAnsi="仿宋" w:eastAsia="仿宋" w:cs="仿宋"/>
                <w:color w:val="auto"/>
                <w:kern w:val="0"/>
                <w:sz w:val="24"/>
                <w:highlight w:val="none"/>
                <w:lang w:val="en-US" w:eastAsia="zh-CN"/>
              </w:rPr>
              <w:t>7222</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 沈勇</w:t>
            </w:r>
          </w:p>
          <w:p>
            <w:pPr>
              <w:widowControl/>
              <w:snapToGrid w:val="0"/>
              <w:spacing w:line="440" w:lineRule="exact"/>
              <w:ind w:firstLine="480" w:firstLineChars="20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质疑联系方式：0575-89107189</w:t>
            </w:r>
            <w:r>
              <w:rPr>
                <w:rFonts w:hint="eastAsia" w:ascii="仿宋" w:hAnsi="仿宋" w:eastAsia="仿宋" w:cs="仿宋"/>
                <w:color w:val="auto"/>
                <w:szCs w:val="24"/>
                <w:highlight w:val="none"/>
              </w:rPr>
              <w:t xml:space="preserve">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地址：绍兴市越城区朝皇路58号正大综合楼601</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项目联系方式（询问）：0575-88226969/13656752180 </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质疑联系方式：0575-85080066</w:t>
            </w:r>
            <w:r>
              <w:rPr>
                <w:rFonts w:hint="eastAsia" w:ascii="仿宋" w:hAnsi="仿宋" w:eastAsia="仿宋" w:cs="仿宋"/>
                <w:color w:val="auto"/>
                <w:szCs w:val="24"/>
                <w:highlight w:val="none"/>
              </w:rPr>
              <w:t>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 ：吴滟      </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监督投诉电话：0575-85209645       </w:t>
            </w:r>
          </w:p>
        </w:tc>
      </w:tr>
      <w:tr>
        <w:tblPrEx>
          <w:tblCellMar>
            <w:top w:w="0" w:type="dxa"/>
            <w:left w:w="0" w:type="dxa"/>
            <w:bottom w:w="0" w:type="dxa"/>
            <w:right w:w="0" w:type="dxa"/>
          </w:tblCellMar>
        </w:tblPrEx>
        <w:tc>
          <w:tcPr>
            <w:tcW w:w="8789"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4900522"/>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snapToGrid w:val="0"/>
              <w:spacing w:line="400" w:lineRule="exact"/>
              <w:ind w:left="-18" w:leftChars="-9" w:right="-50" w:rightChars="-24" w:hanging="1"/>
              <w:jc w:val="both"/>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numPr>
                <w:ilvl w:val="0"/>
                <w:numId w:val="7"/>
              </w:numPr>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其他未列明行业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00" w:lineRule="exact"/>
              <w:jc w:val="center"/>
              <w:rPr>
                <w:rFonts w:hint="eastAsia" w:ascii="仿宋" w:hAnsi="仿宋" w:eastAsia="仿宋" w:cs="仿宋"/>
                <w:color w:val="auto"/>
                <w:sz w:val="24"/>
                <w:highlight w:val="none"/>
              </w:rPr>
            </w:pPr>
          </w:p>
        </w:tc>
        <w:tc>
          <w:tcPr>
            <w:tcW w:w="855" w:type="dxa"/>
            <w:vMerge w:val="continue"/>
            <w:vAlign w:val="center"/>
          </w:tcPr>
          <w:p>
            <w:pPr>
              <w:snapToGrid w:val="0"/>
              <w:spacing w:line="400" w:lineRule="exact"/>
              <w:rPr>
                <w:rFonts w:hint="eastAsia" w:ascii="仿宋" w:hAnsi="仿宋" w:eastAsia="仿宋" w:cs="仿宋"/>
                <w:b/>
                <w:color w:val="auto"/>
                <w:sz w:val="24"/>
                <w:highlight w:val="none"/>
              </w:rPr>
            </w:pPr>
          </w:p>
        </w:tc>
        <w:tc>
          <w:tcPr>
            <w:tcW w:w="7515" w:type="dxa"/>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绍兴市朝皇路58号正大综合楼601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同时允许投标单位现场送达（即交即走）的方式，在投标截止时间前将投标文件递交至绍兴市朝皇路58号正大综合楼601（泰宇建筑工程技术咨询有限公司）会议室。</w:t>
            </w:r>
          </w:p>
          <w:p>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00" w:lineRule="exact"/>
              <w:rPr>
                <w:rFonts w:hint="eastAsia" w:ascii="仿宋" w:hAnsi="仿宋" w:eastAsia="仿宋" w:cs="仿宋"/>
                <w:color w:val="auto"/>
                <w:sz w:val="24"/>
                <w:highlight w:val="none"/>
              </w:rPr>
            </w:pPr>
          </w:p>
        </w:tc>
        <w:tc>
          <w:tcPr>
            <w:tcW w:w="8370" w:type="dxa"/>
            <w:gridSpan w:val="2"/>
            <w:vAlign w:val="center"/>
          </w:tcPr>
          <w:p>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0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以中标通知中确定的中标总金额作为代理服务费的计算基数，具体比例参照《国家计委关于印发&lt;招标代理服务收费管理暂行办法&gt;的通知》（计价格[2002]1980号）规定的标准*62%进行收费。服务费不到2000元按照2000元收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3.3.7符合《关于促进残疾人就业政府采购政策的通知》（财库〔2017〕141号）规定的条件并提供《残疾人福利性单位声明函》（附件1）的残疾人福利性单位视同小微企业；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7"/>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pPr>
        <w:pStyle w:val="15"/>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pPr>
        <w:pStyle w:val="15"/>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pPr>
        <w:numPr>
          <w:ilvl w:val="0"/>
          <w:numId w:val="8"/>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2.1.3中小企业声明函（如有，格式见第六部分附件）；</w:t>
      </w:r>
    </w:p>
    <w:p>
      <w:pPr>
        <w:pStyle w:val="25"/>
        <w:spacing w:line="440" w:lineRule="exact"/>
        <w:rPr>
          <w:rFonts w:hint="eastAsia" w:ascii="仿宋" w:hAnsi="仿宋" w:eastAsia="仿宋" w:cs="仿宋"/>
          <w:b w:val="0"/>
          <w:color w:val="auto"/>
          <w:sz w:val="24"/>
          <w:highlight w:val="none"/>
        </w:rPr>
      </w:pPr>
      <w:r>
        <w:rPr>
          <w:rFonts w:hint="eastAsia" w:ascii="仿宋" w:hAnsi="仿宋" w:eastAsia="仿宋" w:cs="仿宋"/>
          <w:b w:val="0"/>
          <w:color w:val="auto"/>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pPr>
        <w:pStyle w:val="24"/>
        <w:snapToGrid w:val="0"/>
        <w:spacing w:line="440" w:lineRule="exact"/>
        <w:rPr>
          <w:rFonts w:hint="eastAsia" w:ascii="仿宋" w:hAnsi="仿宋" w:eastAsia="仿宋" w:cs="仿宋"/>
          <w:color w:val="auto"/>
          <w:sz w:val="24"/>
          <w:highlight w:val="none"/>
          <w:lang w:val="zh-CN"/>
        </w:rPr>
      </w:pPr>
      <w:bookmarkStart w:id="1" w:name="_Hlt68072998"/>
      <w:bookmarkEnd w:id="1"/>
      <w:bookmarkStart w:id="2" w:name="_Hlt68073093"/>
      <w:bookmarkEnd w:id="2"/>
      <w:bookmarkStart w:id="3" w:name="_Hlt68403820"/>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2.2.20中小企业声明函（如有）；</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2.2.21</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2.2.22投标人需要说明的其他文件和说明（格式自拟）。</w:t>
      </w:r>
    </w:p>
    <w:p>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pPr>
        <w:pStyle w:val="15"/>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5.7.3如需投标价格修正，按财政部87号令第五十九条的规定对投标价格进行修正。</w:t>
      </w:r>
    </w:p>
    <w:p>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pPr>
        <w:pStyle w:val="15"/>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pPr>
        <w:pStyle w:val="15"/>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4"/>
        <w:snapToGrid w:val="0"/>
        <w:spacing w:line="440" w:lineRule="exact"/>
        <w:jc w:val="left"/>
        <w:rPr>
          <w:rFonts w:hint="eastAsia" w:ascii="仿宋" w:hAnsi="仿宋" w:eastAsia="仿宋" w:cs="仿宋"/>
          <w:b/>
          <w:color w:val="auto"/>
          <w:sz w:val="24"/>
          <w:szCs w:val="24"/>
          <w:highlight w:val="none"/>
        </w:rPr>
      </w:pPr>
      <w:bookmarkStart w:id="4" w:name="_Toc81372953"/>
      <w:bookmarkStart w:id="5" w:name="_Toc84325929"/>
      <w:bookmarkStart w:id="6" w:name="_Toc81372776"/>
      <w:r>
        <w:rPr>
          <w:rFonts w:hint="eastAsia" w:ascii="仿宋" w:hAnsi="仿宋" w:eastAsia="仿宋" w:cs="仿宋"/>
          <w:b/>
          <w:color w:val="auto"/>
          <w:sz w:val="24"/>
          <w:szCs w:val="24"/>
          <w:highlight w:val="none"/>
        </w:rPr>
        <w:t>7．无效投标的情形</w:t>
      </w:r>
    </w:p>
    <w:p>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pPr>
        <w:pStyle w:val="15"/>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pPr>
        <w:pStyle w:val="15"/>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pacing w:line="360" w:lineRule="auto"/>
        <w:ind w:firstLine="482" w:firstLineChars="200"/>
        <w:outlineLvl w:val="0"/>
        <w:rPr>
          <w:rFonts w:hint="eastAsia" w:ascii="仿宋" w:hAnsi="仿宋" w:eastAsia="仿宋" w:cs="仿宋"/>
          <w:b/>
          <w:bCs/>
          <w:color w:val="auto"/>
          <w:sz w:val="21"/>
          <w:szCs w:val="21"/>
          <w:highlight w:val="none"/>
        </w:rPr>
      </w:pPr>
      <w:bookmarkStart w:id="7" w:name="_Toc80157775"/>
      <w:bookmarkStart w:id="8" w:name="_Toc81372787"/>
      <w:bookmarkStart w:id="9" w:name="_Toc84325981"/>
      <w:bookmarkStart w:id="10" w:name="_Toc81372964"/>
      <w:r>
        <w:rPr>
          <w:rFonts w:hint="eastAsia" w:ascii="仿宋" w:hAnsi="仿宋" w:eastAsia="仿宋" w:cs="仿宋"/>
          <w:b/>
          <w:bCs/>
          <w:color w:val="auto"/>
          <w:sz w:val="24"/>
          <w:szCs w:val="24"/>
          <w:highlight w:val="none"/>
          <w:bdr w:val="single" w:color="auto" w:sz="4" w:space="0"/>
        </w:rPr>
        <w:t>01标</w:t>
      </w:r>
      <w:r>
        <w:rPr>
          <w:rFonts w:hint="eastAsia" w:ascii="仿宋" w:hAnsi="仿宋" w:eastAsia="仿宋" w:cs="仿宋"/>
          <w:b/>
          <w:color w:val="auto"/>
          <w:sz w:val="24"/>
          <w:szCs w:val="24"/>
          <w:highlight w:val="none"/>
          <w:lang w:val="en-US" w:eastAsia="zh-CN"/>
        </w:rPr>
        <w:t>中央空调（包括多联机）末端设备、通风管道消毒清洗项目(2023年度)</w:t>
      </w:r>
      <w:r>
        <w:rPr>
          <w:rFonts w:hint="eastAsia" w:ascii="仿宋" w:hAnsi="仿宋" w:eastAsia="仿宋" w:cs="仿宋"/>
          <w:b/>
          <w:color w:val="auto"/>
          <w:sz w:val="24"/>
          <w:szCs w:val="24"/>
          <w:highlight w:val="none"/>
          <w:lang w:eastAsia="zh-CN"/>
        </w:rPr>
        <w:t>，预算：</w:t>
      </w:r>
      <w:r>
        <w:rPr>
          <w:rFonts w:hint="eastAsia" w:ascii="仿宋" w:hAnsi="仿宋" w:eastAsia="仿宋" w:cs="仿宋"/>
          <w:b/>
          <w:color w:val="auto"/>
          <w:sz w:val="24"/>
          <w:szCs w:val="24"/>
          <w:highlight w:val="none"/>
          <w:lang w:val="en-US" w:eastAsia="zh-CN"/>
        </w:rPr>
        <w:t>157000元。</w:t>
      </w:r>
    </w:p>
    <w:p>
      <w:pPr>
        <w:spacing w:line="360" w:lineRule="auto"/>
        <w:ind w:left="420" w:leftChars="200" w:firstLine="0" w:firstLineChars="0"/>
        <w:rPr>
          <w:rFonts w:hint="eastAsia" w:ascii="仿宋" w:hAnsi="仿宋" w:eastAsia="仿宋" w:cs="仿宋"/>
          <w:b/>
          <w:bCs w:val="0"/>
          <w:sz w:val="21"/>
          <w:szCs w:val="21"/>
          <w:highlight w:val="none"/>
        </w:rPr>
      </w:pPr>
      <w:r>
        <w:rPr>
          <w:rFonts w:hint="eastAsia" w:ascii="仿宋" w:hAnsi="仿宋" w:eastAsia="仿宋" w:cs="仿宋"/>
          <w:b/>
          <w:bCs w:val="0"/>
          <w:color w:val="auto"/>
          <w:szCs w:val="21"/>
          <w:highlight w:val="none"/>
        </w:rPr>
        <w:t>一</w:t>
      </w:r>
      <w:r>
        <w:rPr>
          <w:rFonts w:hint="eastAsia" w:ascii="仿宋" w:hAnsi="仿宋" w:eastAsia="仿宋" w:cs="仿宋"/>
          <w:b/>
          <w:bCs w:val="0"/>
          <w:sz w:val="21"/>
          <w:szCs w:val="21"/>
          <w:highlight w:val="none"/>
        </w:rPr>
        <w:t>、招标项目范围及内容：</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1、老院区（3、4号楼）：</w:t>
      </w:r>
      <w:r>
        <w:rPr>
          <w:rFonts w:hint="eastAsia" w:ascii="仿宋" w:hAnsi="仿宋" w:eastAsia="仿宋" w:cs="仿宋"/>
          <w:sz w:val="21"/>
          <w:szCs w:val="21"/>
          <w:highlight w:val="none"/>
        </w:rPr>
        <w:t>风机盘管数量约为</w:t>
      </w:r>
      <w:r>
        <w:rPr>
          <w:rFonts w:hint="eastAsia" w:ascii="仿宋" w:hAnsi="仿宋" w:eastAsia="仿宋" w:cs="仿宋"/>
          <w:sz w:val="21"/>
          <w:szCs w:val="21"/>
          <w:highlight w:val="none"/>
          <w:lang w:val="en-US" w:eastAsia="zh-CN"/>
        </w:rPr>
        <w:t>300</w:t>
      </w:r>
      <w:r>
        <w:rPr>
          <w:rFonts w:hint="eastAsia" w:ascii="仿宋" w:hAnsi="仿宋" w:eastAsia="仿宋" w:cs="仿宋"/>
          <w:sz w:val="21"/>
          <w:szCs w:val="21"/>
          <w:highlight w:val="none"/>
        </w:rPr>
        <w:t>台，清洗范围包括送风管、回风管、送风口、回风口和回风过滤网、冷凝水盘、过滤器、翅片、叶轮、电机、盘管机组内表面等。</w:t>
      </w:r>
    </w:p>
    <w:tbl>
      <w:tblPr>
        <w:tblStyle w:val="44"/>
        <w:tblW w:w="8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1975"/>
        <w:gridCol w:w="4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服务项目</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4169"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清洗消毒内容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门诊、急诊风管面积</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8400</w:t>
            </w:r>
            <w:r>
              <w:rPr>
                <w:rFonts w:hint="eastAsia" w:ascii="仿宋" w:hAnsi="仿宋" w:eastAsia="仿宋" w:cs="仿宋"/>
                <w:sz w:val="21"/>
                <w:szCs w:val="21"/>
                <w:highlight w:val="none"/>
              </w:rPr>
              <w:t xml:space="preserve"> </w:t>
            </w:r>
            <w:r>
              <w:rPr>
                <w:rFonts w:hint="eastAsia" w:ascii="仿宋" w:hAnsi="仿宋" w:eastAsia="仿宋" w:cs="仿宋"/>
                <w:sz w:val="24"/>
                <w:szCs w:val="24"/>
                <w:highlight w:val="none"/>
                <w:lang w:val="en-US" w:eastAsia="zh-CN"/>
              </w:rPr>
              <w:t>m ²</w:t>
            </w:r>
          </w:p>
        </w:tc>
        <w:tc>
          <w:tcPr>
            <w:tcW w:w="4169"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清洗消毒一次（</w:t>
            </w:r>
            <w:r>
              <w:rPr>
                <w:rFonts w:hint="eastAsia" w:ascii="仿宋" w:hAnsi="仿宋" w:eastAsia="仿宋" w:cs="仿宋"/>
                <w:sz w:val="21"/>
                <w:szCs w:val="21"/>
                <w:highlight w:val="none"/>
              </w:rPr>
              <w:t>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风机盘管</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300</w:t>
            </w:r>
            <w:r>
              <w:rPr>
                <w:rFonts w:hint="eastAsia" w:ascii="仿宋" w:hAnsi="仿宋" w:eastAsia="仿宋" w:cs="仿宋"/>
                <w:sz w:val="21"/>
                <w:szCs w:val="21"/>
                <w:highlight w:val="none"/>
              </w:rPr>
              <w:t>台</w:t>
            </w:r>
          </w:p>
        </w:tc>
        <w:tc>
          <w:tcPr>
            <w:tcW w:w="4169"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清洗消毒一次，</w:t>
            </w:r>
            <w:r>
              <w:rPr>
                <w:rFonts w:hint="eastAsia" w:ascii="仿宋" w:hAnsi="仿宋" w:eastAsia="仿宋" w:cs="仿宋"/>
                <w:sz w:val="21"/>
                <w:szCs w:val="21"/>
                <w:highlight w:val="none"/>
              </w:rPr>
              <w:t>对风机盘管按要求彻底清洗并消毒处理。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VRV吸顶</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58</w:t>
            </w:r>
            <w:r>
              <w:rPr>
                <w:rFonts w:hint="eastAsia" w:ascii="仿宋" w:hAnsi="仿宋" w:eastAsia="仿宋" w:cs="仿宋"/>
                <w:sz w:val="21"/>
                <w:szCs w:val="21"/>
                <w:highlight w:val="none"/>
              </w:rPr>
              <w:t>台</w:t>
            </w:r>
          </w:p>
        </w:tc>
        <w:tc>
          <w:tcPr>
            <w:tcW w:w="4169"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清洗消毒一次，</w:t>
            </w:r>
            <w:r>
              <w:rPr>
                <w:rFonts w:hint="eastAsia" w:ascii="仿宋" w:hAnsi="仿宋" w:eastAsia="仿宋" w:cs="仿宋"/>
                <w:sz w:val="21"/>
                <w:szCs w:val="21"/>
                <w:highlight w:val="none"/>
              </w:rPr>
              <w:t>对风口按要求彻底清洗并消毒处理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（提供检测报告）。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新风机组</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台</w:t>
            </w:r>
          </w:p>
        </w:tc>
        <w:tc>
          <w:tcPr>
            <w:tcW w:w="4169"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清洗消毒一次，</w:t>
            </w:r>
            <w:r>
              <w:rPr>
                <w:rFonts w:hint="eastAsia" w:ascii="仿宋" w:hAnsi="仿宋" w:eastAsia="仿宋" w:cs="仿宋"/>
                <w:sz w:val="21"/>
                <w:szCs w:val="21"/>
                <w:highlight w:val="none"/>
              </w:rPr>
              <w:t>对</w:t>
            </w:r>
            <w:r>
              <w:rPr>
                <w:rFonts w:hint="eastAsia" w:ascii="仿宋" w:hAnsi="仿宋" w:eastAsia="仿宋" w:cs="仿宋"/>
                <w:sz w:val="21"/>
                <w:szCs w:val="21"/>
                <w:highlight w:val="none"/>
                <w:lang w:val="en-US"/>
              </w:rPr>
              <w:t>新风</w:t>
            </w:r>
            <w:r>
              <w:rPr>
                <w:rFonts w:hint="eastAsia" w:ascii="仿宋" w:hAnsi="仿宋" w:eastAsia="仿宋" w:cs="仿宋"/>
                <w:sz w:val="21"/>
                <w:szCs w:val="21"/>
                <w:highlight w:val="none"/>
              </w:rPr>
              <w:t>机组按要求彻底清洗并消毒处理。</w:t>
            </w:r>
          </w:p>
        </w:tc>
      </w:tr>
    </w:tbl>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注：</w:t>
      </w:r>
      <w:r>
        <w:rPr>
          <w:rFonts w:hint="eastAsia" w:ascii="仿宋" w:hAnsi="仿宋" w:eastAsia="仿宋" w:cs="仿宋"/>
          <w:sz w:val="21"/>
          <w:szCs w:val="21"/>
          <w:highlight w:val="none"/>
          <w:lang w:val="en-US" w:eastAsia="zh-CN"/>
        </w:rPr>
        <w:t>（1）清洗过程中</w:t>
      </w:r>
      <w:r>
        <w:rPr>
          <w:rFonts w:hint="eastAsia" w:ascii="仿宋" w:hAnsi="仿宋" w:eastAsia="仿宋" w:cs="仿宋"/>
          <w:sz w:val="21"/>
          <w:szCs w:val="21"/>
          <w:highlight w:val="none"/>
          <w:lang w:val="en-US"/>
        </w:rPr>
        <w:t>滤网、风口等更换材料由采购人负责提供。</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lang w:val="en-US"/>
        </w:rPr>
        <w:t>空调检测报告必须由市疾控中心提供的合格检测报告。检测报告费用由投标人自行考虑，纳入报价。</w:t>
      </w:r>
    </w:p>
    <w:p>
      <w:pPr>
        <w:spacing w:line="360" w:lineRule="auto"/>
        <w:ind w:left="420" w:leftChars="20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2、新院区：维保单位配合二次免费风口滤网清洗，其余由投标人完成。</w:t>
      </w:r>
    </w:p>
    <w:tbl>
      <w:tblPr>
        <w:tblStyle w:val="44"/>
        <w:tblW w:w="8444"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1975"/>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服务项目</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数量</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消毒内容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风管</w:t>
            </w:r>
            <w:r>
              <w:rPr>
                <w:rFonts w:hint="eastAsia" w:ascii="仿宋" w:hAnsi="仿宋" w:eastAsia="仿宋" w:cs="仿宋"/>
                <w:sz w:val="21"/>
                <w:szCs w:val="21"/>
                <w:highlight w:val="none"/>
                <w:lang w:eastAsia="zh-CN"/>
              </w:rPr>
              <w:t>面积</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158</w:t>
            </w:r>
            <w:r>
              <w:rPr>
                <w:rFonts w:hint="eastAsia" w:ascii="仿宋" w:hAnsi="仿宋" w:eastAsia="仿宋" w:cs="仿宋"/>
                <w:sz w:val="21"/>
                <w:szCs w:val="21"/>
                <w:highlight w:val="none"/>
                <w:lang w:val="en-US" w:eastAsia="zh-CN"/>
              </w:rPr>
              <w:t>00</w:t>
            </w:r>
            <w:r>
              <w:rPr>
                <w:rFonts w:hint="eastAsia" w:ascii="仿宋" w:hAnsi="仿宋" w:eastAsia="仿宋" w:cs="仿宋"/>
                <w:sz w:val="21"/>
                <w:szCs w:val="21"/>
                <w:highlight w:val="none"/>
              </w:rPr>
              <w:t xml:space="preserve"> </w:t>
            </w:r>
            <w:r>
              <w:rPr>
                <w:rFonts w:hint="eastAsia" w:ascii="仿宋" w:hAnsi="仿宋" w:eastAsia="仿宋" w:cs="仿宋"/>
                <w:sz w:val="24"/>
                <w:szCs w:val="24"/>
                <w:highlight w:val="none"/>
                <w:lang w:val="en-US" w:eastAsia="zh-CN"/>
              </w:rPr>
              <w:t>m ²</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按要求进</w:t>
            </w:r>
            <w:r>
              <w:rPr>
                <w:rFonts w:hint="eastAsia" w:ascii="仿宋" w:hAnsi="仿宋" w:eastAsia="仿宋" w:cs="仿宋"/>
                <w:sz w:val="21"/>
                <w:szCs w:val="21"/>
                <w:highlight w:val="none"/>
                <w:lang w:eastAsia="zh-CN"/>
              </w:rPr>
              <w:t>行清洗</w:t>
            </w:r>
            <w:r>
              <w:rPr>
                <w:rFonts w:hint="eastAsia" w:ascii="仿宋" w:hAnsi="仿宋" w:eastAsia="仿宋" w:cs="仿宋"/>
                <w:sz w:val="21"/>
                <w:szCs w:val="21"/>
                <w:highlight w:val="none"/>
              </w:rPr>
              <w:t>消毒一次，确保服务期内达到要求（提供二次检测报告）。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风机盘管</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风口）</w:t>
            </w:r>
          </w:p>
        </w:tc>
        <w:tc>
          <w:tcPr>
            <w:tcW w:w="1975" w:type="dxa"/>
            <w:noWrap w:val="0"/>
            <w:vAlign w:val="center"/>
          </w:tcPr>
          <w:p>
            <w:pPr>
              <w:spacing w:line="360" w:lineRule="auto"/>
              <w:ind w:firstLine="210" w:firstLineChars="100"/>
              <w:jc w:val="both"/>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732</w:t>
            </w:r>
            <w:r>
              <w:rPr>
                <w:rFonts w:hint="eastAsia" w:ascii="仿宋" w:hAnsi="仿宋" w:eastAsia="仿宋" w:cs="仿宋"/>
                <w:sz w:val="21"/>
                <w:szCs w:val="21"/>
                <w:highlight w:val="none"/>
              </w:rPr>
              <w:t>台</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lang w:val="en-US" w:eastAsia="zh-CN"/>
              </w:rPr>
              <w:t>2400只</w:t>
            </w:r>
            <w:r>
              <w:rPr>
                <w:rFonts w:hint="eastAsia" w:ascii="仿宋" w:hAnsi="仿宋" w:eastAsia="仿宋" w:cs="仿宋"/>
                <w:sz w:val="21"/>
                <w:szCs w:val="21"/>
                <w:highlight w:val="none"/>
                <w:lang w:eastAsia="zh-CN"/>
              </w:rPr>
              <w:t>）</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首次对风机盘管按要求彻底清洗并消毒处理，后进行</w:t>
            </w:r>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次对滤网清洗。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rPr>
              <w:t>VRV吸顶</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116</w:t>
            </w:r>
            <w:r>
              <w:rPr>
                <w:rFonts w:hint="eastAsia" w:ascii="仿宋" w:hAnsi="仿宋" w:eastAsia="仿宋" w:cs="仿宋"/>
                <w:sz w:val="21"/>
                <w:szCs w:val="21"/>
                <w:highlight w:val="none"/>
              </w:rPr>
              <w:t>台</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rPr>
              <w:t>首次对风口按要求彻底清洗并消毒处理，后进行</w:t>
            </w:r>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次对风口清洗。（提供二次检测报告）。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新风机组</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40</w:t>
            </w:r>
            <w:r>
              <w:rPr>
                <w:rFonts w:hint="eastAsia" w:ascii="仿宋" w:hAnsi="仿宋" w:eastAsia="仿宋" w:cs="仿宋"/>
                <w:sz w:val="21"/>
                <w:szCs w:val="21"/>
                <w:highlight w:val="none"/>
              </w:rPr>
              <w:t>台</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rPr>
              <w:t>首</w:t>
            </w:r>
            <w:r>
              <w:rPr>
                <w:rFonts w:hint="eastAsia" w:ascii="仿宋" w:hAnsi="仿宋" w:eastAsia="仿宋" w:cs="仿宋"/>
                <w:sz w:val="21"/>
                <w:szCs w:val="21"/>
                <w:highlight w:val="none"/>
              </w:rPr>
              <w:t>次对</w:t>
            </w:r>
            <w:r>
              <w:rPr>
                <w:rFonts w:hint="eastAsia" w:ascii="仿宋" w:hAnsi="仿宋" w:eastAsia="仿宋" w:cs="仿宋"/>
                <w:sz w:val="21"/>
                <w:szCs w:val="21"/>
                <w:highlight w:val="none"/>
                <w:lang w:val="en-US"/>
              </w:rPr>
              <w:t>新风</w:t>
            </w:r>
            <w:r>
              <w:rPr>
                <w:rFonts w:hint="eastAsia" w:ascii="仿宋" w:hAnsi="仿宋" w:eastAsia="仿宋" w:cs="仿宋"/>
                <w:sz w:val="21"/>
                <w:szCs w:val="21"/>
                <w:highlight w:val="none"/>
              </w:rPr>
              <w:t>机组按要求彻底清洗并消毒处理，后进行</w:t>
            </w:r>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次对滤网清洗或更换。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rPr>
              <w:t>手术室风管及末端</w:t>
            </w:r>
          </w:p>
        </w:tc>
        <w:tc>
          <w:tcPr>
            <w:tcW w:w="1975"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rPr>
              <w:t>1批</w:t>
            </w:r>
          </w:p>
        </w:tc>
        <w:tc>
          <w:tcPr>
            <w:tcW w:w="4104" w:type="dxa"/>
            <w:noWrap w:val="0"/>
            <w:vAlign w:val="center"/>
          </w:tcPr>
          <w:p>
            <w:pPr>
              <w:spacing w:line="360" w:lineRule="auto"/>
              <w:ind w:left="420" w:leftChars="200" w:firstLine="0" w:firstLineChars="0"/>
              <w:jc w:val="center"/>
              <w:rPr>
                <w:rFonts w:hint="eastAsia" w:ascii="仿宋" w:hAnsi="仿宋" w:eastAsia="仿宋" w:cs="仿宋"/>
                <w:sz w:val="21"/>
                <w:szCs w:val="21"/>
                <w:highlight w:val="none"/>
                <w:lang w:val="zh-CN" w:eastAsia="zh-CN"/>
              </w:rPr>
            </w:pPr>
            <w:r>
              <w:rPr>
                <w:rFonts w:hint="eastAsia" w:ascii="仿宋" w:hAnsi="仿宋" w:eastAsia="仿宋" w:cs="仿宋"/>
                <w:sz w:val="21"/>
                <w:szCs w:val="21"/>
                <w:highlight w:val="none"/>
              </w:rPr>
              <w:t>每</w:t>
            </w:r>
            <w:r>
              <w:rPr>
                <w:rFonts w:hint="eastAsia" w:ascii="仿宋" w:hAnsi="仿宋" w:eastAsia="仿宋" w:cs="仿宋"/>
                <w:sz w:val="21"/>
                <w:szCs w:val="21"/>
                <w:highlight w:val="none"/>
                <w:lang w:val="en-US" w:eastAsia="zh-CN"/>
              </w:rPr>
              <w:t>周清洗</w:t>
            </w:r>
            <w:r>
              <w:rPr>
                <w:rFonts w:hint="eastAsia" w:ascii="仿宋" w:hAnsi="仿宋" w:eastAsia="仿宋" w:cs="仿宋"/>
                <w:sz w:val="21"/>
                <w:szCs w:val="21"/>
                <w:highlight w:val="none"/>
              </w:rPr>
              <w:t>一次</w:t>
            </w:r>
          </w:p>
        </w:tc>
      </w:tr>
    </w:tbl>
    <w:p>
      <w:pPr>
        <w:spacing w:line="360" w:lineRule="auto"/>
        <w:ind w:left="420" w:leftChars="20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注：（1）手术室面积，共有12间手术室，本次招标以批为单位，如需现场踏看请投标人联系采购人。</w:t>
      </w:r>
    </w:p>
    <w:p>
      <w:pPr>
        <w:spacing w:line="360" w:lineRule="auto"/>
        <w:ind w:left="420" w:leftChars="20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完成改建后3、4、5号楼建筑面积约26000平方，因空调风管面积、风机盘管及吸</w:t>
      </w:r>
    </w:p>
    <w:p>
      <w:pPr>
        <w:spacing w:line="360" w:lineRule="auto"/>
        <w:ind w:left="420" w:leftChars="20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顶数量不明，</w:t>
      </w:r>
      <w:r>
        <w:rPr>
          <w:rFonts w:hint="eastAsia" w:ascii="仿宋" w:hAnsi="仿宋" w:eastAsia="仿宋" w:cs="仿宋"/>
          <w:sz w:val="21"/>
          <w:szCs w:val="21"/>
          <w:highlight w:val="none"/>
        </w:rPr>
        <w:t>按要求进</w:t>
      </w:r>
      <w:r>
        <w:rPr>
          <w:rFonts w:hint="eastAsia" w:ascii="仿宋" w:hAnsi="仿宋" w:eastAsia="仿宋" w:cs="仿宋"/>
          <w:sz w:val="21"/>
          <w:szCs w:val="21"/>
          <w:highlight w:val="none"/>
          <w:lang w:eastAsia="zh-CN"/>
        </w:rPr>
        <w:t>行</w:t>
      </w:r>
      <w:r>
        <w:rPr>
          <w:rFonts w:hint="eastAsia" w:ascii="仿宋" w:hAnsi="仿宋" w:eastAsia="仿宋" w:cs="仿宋"/>
          <w:sz w:val="21"/>
          <w:szCs w:val="21"/>
          <w:highlight w:val="none"/>
        </w:rPr>
        <w:t>消毒一次，确保服务期内达到要求（提供</w:t>
      </w:r>
      <w:r>
        <w:rPr>
          <w:rFonts w:hint="eastAsia" w:ascii="仿宋" w:hAnsi="仿宋" w:eastAsia="仿宋" w:cs="仿宋"/>
          <w:sz w:val="21"/>
          <w:szCs w:val="21"/>
          <w:highlight w:val="none"/>
          <w:lang w:eastAsia="zh-CN"/>
        </w:rPr>
        <w:t>一</w:t>
      </w:r>
      <w:r>
        <w:rPr>
          <w:rFonts w:hint="eastAsia" w:ascii="仿宋" w:hAnsi="仿宋" w:eastAsia="仿宋" w:cs="仿宋"/>
          <w:sz w:val="21"/>
          <w:szCs w:val="21"/>
          <w:highlight w:val="none"/>
        </w:rPr>
        <w:t>次检测报告）。</w:t>
      </w:r>
      <w:r>
        <w:rPr>
          <w:rFonts w:hint="eastAsia" w:ascii="仿宋" w:hAnsi="仿宋" w:eastAsia="仿宋" w:cs="仿宋"/>
          <w:sz w:val="21"/>
          <w:szCs w:val="21"/>
          <w:highlight w:val="none"/>
          <w:lang w:eastAsia="zh-CN"/>
        </w:rPr>
        <w:t>本次招标以项为单位，</w:t>
      </w:r>
      <w:r>
        <w:rPr>
          <w:rFonts w:hint="eastAsia" w:ascii="仿宋" w:hAnsi="仿宋" w:eastAsia="仿宋" w:cs="仿宋"/>
          <w:sz w:val="21"/>
          <w:szCs w:val="21"/>
          <w:highlight w:val="none"/>
          <w:lang w:val="en-US" w:eastAsia="zh-CN"/>
        </w:rPr>
        <w:t>请投标单位综合考虑报价。</w:t>
      </w:r>
    </w:p>
    <w:p>
      <w:pPr>
        <w:spacing w:line="360" w:lineRule="auto"/>
        <w:ind w:left="420" w:leftChars="200" w:firstLine="0" w:firstLineChars="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二、消毒清洗服务要求：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（一）风机盘管</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1.清洗前运行空调及风机，检查是否有异响或噪音，做好记录，如有异响或噪音进行修理（需更换材料由采购人提供）。</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2.出风口、回风口、回风滤网拆卸清洗、晾干、安装复位。</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3.对空调、风机盘管蜗壳及叶轮进行拆卸清洗，安装调试，并做好记录。</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4.对表冷器翅片用翅片清洗剂进行喷淋清洗，并用清水冲洗干净。</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5.清洗过程不使用化学清洗剂。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6.对托盘进行清洗，并检查集水盘排水管是否畅通，托盘清洗完成后加防霉片。</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7.回风箱和出风管用吸尘器把箱（管）内的灰尘清除，然后用干净布条擦拭内壁直到干净。</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（二）风管</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1.清洗施工期间不能影响清洗区域以外楼层的中央空调正常使用。</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2.中央空调风道根据风处理机的布置情况定时分区域清洗，避免二次污染。</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3.所有通风管道（含通风管道进出风口）全部按业主要求清洗及进出风口加固。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4.现场保护（地面全部覆盖塑料布、办公用品、家具、电器全部覆盖白布）。</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5.施工过程中不影响医院医疗秩序。</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6.保证清洗施工不会损坏吊顶和风管的强度及其使用寿命，需在图纸上标出现场所开工艺口的数量及位置。</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7.针对风管的特殊情况，对特殊地点和位置做相应安排（如在石膏吊顶板上开检修口），具体施工协商解决。</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（三）空调机组</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部件清洗范围包括：空气处理机组的内表面、冷凝水盘、加湿和除湿器、盘管组件、风机等。</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1.清洗前运行风机，检查是否有异响或噪音，做好记录，如有异响或噪音进行修理。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2.回风滤网拆卸清洗、晾干、安装复位。</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3.对表冷器翅片用翅片清洗剂进行喷淋清洗，并用清水过清，清洗过程不使用化学清洗剂。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4.对空气处理机组的内外面、冷凝水盘、加湿和除湿器、风机清洗，并检查冷凝水盘排水管是否畅通，冷凝水盘清洗完成后加防霉片。</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5.清洗后的部件均应满足有关标准的要求。部件可直接进行清洗或拆卸后进行清洗，清洗后的部件应恢复到原来所在位置，可调节部件还应恢复到原来的调节位置。</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6.回风箱和风管用吸尘器把箱（管）内的灰尘清除，然后用干净布条擦拭内壁直到干净。</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7.清洗工作要加强对成品的保护，因清洗引起的原因造成成品损坏须按原价赔偿损失。</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（四）消毒处理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必要时应对集中空调通风系统的风管、设备、部件进行消毒处理。集中空调通风系统需要清洗并消毒时，应先进行系统或部件的清洗，达到相应卫生要求后再进行消毒处理。应选择在保证消毒效果的前提下对风管及设备损害小的消毒剂，必要时消毒后应及时进行冲洗与通风，防止消毒溶液残留物对人体与设备的有害影响。 </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（五）安全作业要求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1.施工前必须事前查看现场，对施工范围内采购人的所有物品进行必要遮拦，绝对不允许发生任何原因的、采购人财物损伤及丢失现象。</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2.用电源是要分清零、火、地线，防止设备漏电伤人。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3.操作人员绝对禁止任何原因发生工具高空坠现象。</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4.上吊顶时，要确认能否上人，要注意脚下，踩龙骨，必要时要铺上木板，手不要拉软管和细水管，遇到线头要用绝缘胶带裹上，绝对不允许发生任何原因造成吊顶板内各种建筑材料损坏。</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5.高压气泵在存有高压气体时，移动时仍要轻拿轻放。</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6.使用电动工具时，要注意周围的物体，不要绕进电钻里，发生危险。</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7.每天工程完毕后，要把高压气泵的气压排空。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8.对所有工作的区域进行遮盖，如发生让招标方财物损失将进行赔偿，情节严重的将追究责任人刑事责任。</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9.在施工中，施工方发生的安全责任事故，造成的一切损失自行负责。</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10.清洗机构应遵守有关的安全规定制定安全制度，清洗现场应设置安全员，采取有效措施保证清洗施工人员及建筑物内人员的安全，并保护好环境。 </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（六）其他要求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1、做好施工清洗计划，进入科室施工清洗前应事先与总务维修专人负责人联系，配合与各个部门主任（护士长）沟通，清洗时间必须按科室要求。需拆下清洗按招标方指定位置进行清洗。</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2、全部清洗工作按招标单位规定期限完成，具体以签订合同为准。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3、做到工完场清，处理好清洗时留下的印迹。</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4、清洗工作要加强对成品的保护，因清洗原因造成成品损坏须按原价赔偿损失。</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5、做好清洗工作的相关资料。</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5.1清洗安装完调试运转正常由招标方验收，验收时中标方提供清洗过程和清洗质量的影像资料一份及疾控检测合格资料。（检测费由中标方负责）</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5.2工程验收：以绍兴市疾病预防控制中心抽样检测报告合格为准。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5.3 本合同服务项目的保证期为合同期内,保证期为1</w:t>
      </w:r>
      <w:r>
        <w:rPr>
          <w:rFonts w:hint="eastAsia" w:ascii="仿宋" w:hAnsi="仿宋" w:eastAsia="仿宋" w:cs="仿宋"/>
          <w:sz w:val="21"/>
          <w:szCs w:val="21"/>
          <w:highlight w:val="none"/>
          <w:lang w:eastAsia="zh-CN"/>
        </w:rPr>
        <w:t>个季度</w:t>
      </w:r>
      <w:r>
        <w:rPr>
          <w:rFonts w:hint="eastAsia" w:ascii="仿宋" w:hAnsi="仿宋" w:eastAsia="仿宋" w:cs="仿宋"/>
          <w:sz w:val="21"/>
          <w:szCs w:val="21"/>
          <w:highlight w:val="none"/>
        </w:rPr>
        <w:t>。在保证期内发现服务质量缺陷的，服务方应当负责返工或者采取补救措施，确保疾控部门临时抽查合格（检测费由中标方负责）。但因委托方使用、保管不当引起的问题除外</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6.经水处理后，系统运行水质控制在国家标准GB50050-95  规定的专用空调水质标准范围内。</w:t>
      </w:r>
    </w:p>
    <w:tbl>
      <w:tblPr>
        <w:tblStyle w:val="44"/>
        <w:tblW w:w="8882" w:type="dxa"/>
        <w:tblInd w:w="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260"/>
        <w:gridCol w:w="1230"/>
        <w:gridCol w:w="1336"/>
        <w:gridCol w:w="1365"/>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0" w:type="dxa"/>
            <w:vMerge w:val="restart"/>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项目</w:t>
            </w:r>
          </w:p>
        </w:tc>
        <w:tc>
          <w:tcPr>
            <w:tcW w:w="1260" w:type="dxa"/>
            <w:vMerge w:val="restart"/>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单位</w:t>
            </w:r>
          </w:p>
        </w:tc>
        <w:tc>
          <w:tcPr>
            <w:tcW w:w="3931" w:type="dxa"/>
            <w:gridSpan w:val="3"/>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指    标</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试验标准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140" w:type="dxa"/>
            <w:vMerge w:val="continue"/>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p>
        </w:tc>
        <w:tc>
          <w:tcPr>
            <w:tcW w:w="1260" w:type="dxa"/>
            <w:vMerge w:val="continue"/>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p>
        </w:tc>
        <w:tc>
          <w:tcPr>
            <w:tcW w:w="123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冷却水</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热水</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冷冻水</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140" w:type="dxa"/>
            <w:noWrap w:val="0"/>
            <w:vAlign w:val="center"/>
          </w:tcPr>
          <w:p>
            <w:pPr>
              <w:spacing w:line="360" w:lineRule="auto"/>
              <w:ind w:firstLine="420" w:firstLineChars="2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PH</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7.0~8.5</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8.0~10.0</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8.0~10.0</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总硬度</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pmm</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＜0.8</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＜0.2</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电导率</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Us/cm</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＜3.0</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＜2.5</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＜2.5</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4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浊度</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Ntu</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＜50</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＜20</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4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总铁</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ppm</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＜1*10-3</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＜2*10-4</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＜2*10-4</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40" w:type="dxa"/>
            <w:noWrap w:val="0"/>
            <w:vAlign w:val="center"/>
          </w:tcPr>
          <w:p>
            <w:pPr>
              <w:spacing w:line="360" w:lineRule="auto"/>
              <w:ind w:firstLine="210" w:firstLineChars="10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总铜</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ppm</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＜0.2*10-3</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＜2*10-4</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＜2*10-4</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140" w:type="dxa"/>
            <w:noWrap w:val="0"/>
            <w:vAlign w:val="center"/>
          </w:tcPr>
          <w:p>
            <w:pPr>
              <w:spacing w:line="360" w:lineRule="auto"/>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细菌总数</w:t>
            </w:r>
          </w:p>
        </w:tc>
        <w:tc>
          <w:tcPr>
            <w:tcW w:w="126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个/m3</w:t>
            </w:r>
          </w:p>
        </w:tc>
        <w:tc>
          <w:tcPr>
            <w:tcW w:w="1230"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＜1010</w:t>
            </w:r>
          </w:p>
        </w:tc>
        <w:tc>
          <w:tcPr>
            <w:tcW w:w="1336"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＜109</w:t>
            </w:r>
          </w:p>
        </w:tc>
        <w:tc>
          <w:tcPr>
            <w:tcW w:w="1365"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＜109</w:t>
            </w:r>
          </w:p>
        </w:tc>
        <w:tc>
          <w:tcPr>
            <w:tcW w:w="2551" w:type="dxa"/>
            <w:noWrap w:val="0"/>
            <w:vAlign w:val="center"/>
          </w:tcPr>
          <w:p>
            <w:pPr>
              <w:spacing w:line="360" w:lineRule="auto"/>
              <w:ind w:left="420" w:leftChars="200" w:firstLine="0" w:firstLineChars="0"/>
              <w:jc w:val="both"/>
              <w:rPr>
                <w:rFonts w:hint="eastAsia" w:ascii="仿宋" w:hAnsi="仿宋" w:eastAsia="仿宋" w:cs="仿宋"/>
                <w:sz w:val="21"/>
                <w:szCs w:val="21"/>
                <w:highlight w:val="none"/>
              </w:rPr>
            </w:pPr>
            <w:r>
              <w:rPr>
                <w:rFonts w:hint="eastAsia" w:ascii="仿宋" w:hAnsi="仿宋" w:eastAsia="仿宋" w:cs="仿宋"/>
                <w:sz w:val="21"/>
                <w:szCs w:val="21"/>
                <w:highlight w:val="none"/>
              </w:rPr>
              <w:t>GB-5750</w:t>
            </w:r>
          </w:p>
        </w:tc>
      </w:tr>
    </w:tbl>
    <w:p>
      <w:pPr>
        <w:spacing w:line="360" w:lineRule="auto"/>
        <w:ind w:left="420" w:leftChars="200" w:firstLine="0" w:firstLineChars="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三、消毒技术要求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1、消毒时机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必要时应对集中空调系统的风管、设备、部件进行消毒处理。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2、部件消毒方法</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风管应先清洗，后消毒。可采用化学消毒剂喷雾消毒，金属管壁首选季铵盐类消毒剂，非金属管壁首选过氧化物类消毒剂。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3、部件消毒方法</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3.1冷却水消毒：冷却水宜采用物理或化学持续消毒方法。当采用化学消毒时首选含氯消毒剂，将消毒剂加入冷却水中，对冷却水和冷却塔同时进行消毒。</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3.2过滤网、过滤器、冷凝水盘消毒：过滤网、过滤器、冷凝水盘应先清洗，后消毒，采用浸泡消毒方法，部件过大不易浸泡时可采用擦拭或喷雾消毒方法，重复使用的部件首选季铵类消毒剂，不再重复使用的部件首选过氧化物类消毒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3.3风口、表冷器消毒：风口、表冷器消毒首选季铵盐类消毒剂，应先清洗，后消毒，采用擦拭或喷雾消毒方法。</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3.4冷凝水消毒：在冷凝水中加入消毒剂作用一定时间后排放，首选含氯消毒剂。</w:t>
      </w:r>
    </w:p>
    <w:p>
      <w:pPr>
        <w:spacing w:line="360" w:lineRule="auto"/>
        <w:ind w:left="420" w:leftChars="200" w:firstLine="0" w:firstLineChars="0"/>
        <w:rPr>
          <w:rFonts w:hint="eastAsia" w:ascii="仿宋" w:hAnsi="仿宋" w:eastAsia="仿宋" w:cs="仿宋"/>
          <w:b/>
          <w:bCs/>
          <w:sz w:val="21"/>
          <w:szCs w:val="21"/>
          <w:highlight w:val="none"/>
        </w:rPr>
      </w:pPr>
      <w:r>
        <w:rPr>
          <w:rFonts w:hint="eastAsia" w:ascii="仿宋" w:hAnsi="仿宋" w:eastAsia="仿宋" w:cs="仿宋"/>
          <w:b w:val="0"/>
          <w:bCs w:val="0"/>
          <w:sz w:val="21"/>
          <w:szCs w:val="21"/>
          <w:highlight w:val="none"/>
        </w:rPr>
        <w:t>四、清洗、消毒效果及安</w:t>
      </w:r>
      <w:r>
        <w:rPr>
          <w:rFonts w:hint="eastAsia" w:ascii="仿宋" w:hAnsi="仿宋" w:eastAsia="仿宋" w:cs="仿宋"/>
          <w:b/>
          <w:bCs/>
          <w:sz w:val="21"/>
          <w:szCs w:val="21"/>
          <w:highlight w:val="none"/>
        </w:rPr>
        <w:t>全措施要求</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1、清洗、消毒效果</w:t>
      </w:r>
    </w:p>
    <w:p>
      <w:pPr>
        <w:spacing w:line="360" w:lineRule="auto"/>
        <w:ind w:left="420" w:leftChars="200" w:firstLine="0" w:firstLineChars="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1.1本项目所用的清洗剂、消毒剂具有相关部门提供的卫生安全评价报告。</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2</w:t>
      </w:r>
      <w:r>
        <w:rPr>
          <w:rFonts w:hint="eastAsia" w:ascii="仿宋" w:hAnsi="仿宋" w:eastAsia="仿宋" w:cs="仿宋"/>
          <w:sz w:val="21"/>
          <w:szCs w:val="21"/>
          <w:highlight w:val="none"/>
        </w:rPr>
        <w:t>清洗效果要求：风管清洗后，风管内表面积尘残留量宜小于1g/m2，风管内表面细菌总数，真菌总数应小于100CFU/m2。部件清洗后，表面细菌总数、真菌总数应小于100CFU/m2。</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3</w:t>
      </w:r>
      <w:r>
        <w:rPr>
          <w:rFonts w:hint="eastAsia" w:ascii="仿宋" w:hAnsi="仿宋" w:eastAsia="仿宋" w:cs="仿宋"/>
          <w:sz w:val="21"/>
          <w:szCs w:val="21"/>
          <w:highlight w:val="none"/>
        </w:rPr>
        <w:t>消毒效果要求：集中空调系统消毒后，其自然菌去除率应大于90%，风管内表面细菌总数，真菌总数应小于100CFU/m2，且致病微生物不得检出。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冷却水消毒后，其自然菌去除率应大于90%，且嗜肺军团菌等致病微生物不得检出。</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4</w:t>
      </w:r>
      <w:r>
        <w:rPr>
          <w:rFonts w:hint="eastAsia" w:ascii="仿宋" w:hAnsi="仿宋" w:eastAsia="仿宋" w:cs="仿宋"/>
          <w:sz w:val="21"/>
          <w:szCs w:val="21"/>
          <w:highlight w:val="none"/>
        </w:rPr>
        <w:t>清洗、消毒效果检验</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集中空调系统清洗、消毒后7日内，由绍兴市疾控中心（派出人员需经培训合格的检验员）按照有关卫生要求进行检测检验，不具备检测检验能力的可以委托检测检验。</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清洗效果的影像资料</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集中空调系统清洗后，应将所有清洗过程制成影像资料，影像资料中应有区分不同清洗区域的标识。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2、安全措施</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清洗单位应遵守有关的安全规定制定安全制度，清洗现场应设置安全员，加强清洗施工人员的个人防护，采取有效措施保证清洗施工人员及建筑物内人员的安全，并保护好环境。</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3、污物处理</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 xml:space="preserve">    从集中空调系统的风管清除出来的所有污物均应妥善保存，积尘使用含氯消毒剂直接浇洒致其完全湿润后按普通垃圾处理，其他污染物按有关规定进行处理。</w:t>
      </w:r>
    </w:p>
    <w:p>
      <w:pPr>
        <w:spacing w:line="360" w:lineRule="auto"/>
        <w:ind w:left="420" w:leftChars="200" w:firstLine="0" w:firstLineChars="0"/>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五、工程质量</w:t>
      </w:r>
    </w:p>
    <w:p>
      <w:pPr>
        <w:spacing w:line="360" w:lineRule="auto"/>
        <w:ind w:left="420" w:leftChars="200" w:firstLine="0" w:firstLineChars="0"/>
        <w:rPr>
          <w:rFonts w:hint="eastAsia" w:ascii="仿宋" w:hAnsi="仿宋" w:eastAsia="仿宋" w:cs="仿宋"/>
          <w:sz w:val="21"/>
          <w:szCs w:val="21"/>
          <w:highlight w:val="none"/>
        </w:rPr>
      </w:pPr>
      <w:r>
        <w:rPr>
          <w:rFonts w:hint="eastAsia" w:ascii="仿宋" w:hAnsi="仿宋" w:eastAsia="仿宋" w:cs="仿宋"/>
          <w:sz w:val="21"/>
          <w:szCs w:val="21"/>
          <w:highlight w:val="none"/>
        </w:rPr>
        <w:t>符合《空调通风系统清洗规范》GB19210-2003国家标准，符合《公共场所集中空调通风系统卫生规范》WS394-2012，符合《公共场所集中空调通风系统清洗消毒规范》WS/T396-2012有关标准，不锈钢生活水箱清洗符合绍兴市疾控部门检测标准。</w:t>
      </w:r>
    </w:p>
    <w:p>
      <w:pPr>
        <w:pStyle w:val="19"/>
        <w:numPr>
          <w:ilvl w:val="0"/>
          <w:numId w:val="0"/>
        </w:numPr>
        <w:ind w:firstLine="422" w:firstLineChars="200"/>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六、售后服务</w:t>
      </w:r>
    </w:p>
    <w:p>
      <w:pPr>
        <w:pStyle w:val="19"/>
        <w:numPr>
          <w:ilvl w:val="0"/>
          <w:numId w:val="0"/>
        </w:numPr>
        <w:ind w:firstLine="420" w:firstLineChars="200"/>
        <w:rPr>
          <w:rFonts w:hint="eastAsia" w:ascii="仿宋" w:hAnsi="仿宋" w:eastAsia="仿宋" w:cs="仿宋"/>
          <w:b w:val="0"/>
          <w:bCs w:val="0"/>
          <w:color w:val="FF0000"/>
          <w:kern w:val="0"/>
          <w:sz w:val="21"/>
          <w:szCs w:val="21"/>
          <w:highlight w:val="none"/>
          <w:lang w:eastAsia="zh-CN"/>
        </w:rPr>
      </w:pPr>
      <w:r>
        <w:rPr>
          <w:rFonts w:hint="eastAsia" w:ascii="仿宋" w:hAnsi="仿宋" w:eastAsia="仿宋" w:cs="仿宋"/>
          <w:b w:val="0"/>
          <w:bCs w:val="0"/>
          <w:color w:val="FF0000"/>
          <w:kern w:val="0"/>
          <w:sz w:val="21"/>
          <w:szCs w:val="21"/>
          <w:highlight w:val="none"/>
          <w:lang w:eastAsia="zh-CN"/>
        </w:rPr>
        <w:t>投标人须提供经调试、试运行、验收合格后至少3、4号楼3个月</w:t>
      </w:r>
      <w:r>
        <w:rPr>
          <w:rFonts w:hint="eastAsia" w:ascii="仿宋" w:hAnsi="仿宋" w:eastAsia="仿宋" w:cs="仿宋"/>
          <w:b w:val="0"/>
          <w:bCs w:val="0"/>
          <w:color w:val="FF0000"/>
          <w:kern w:val="0"/>
          <w:sz w:val="21"/>
          <w:szCs w:val="21"/>
          <w:highlight w:val="none"/>
          <w:lang w:val="en-US" w:eastAsia="zh-CN"/>
        </w:rPr>
        <w:t>/扩建区12个月</w:t>
      </w:r>
      <w:r>
        <w:rPr>
          <w:rFonts w:hint="eastAsia" w:ascii="仿宋" w:hAnsi="仿宋" w:eastAsia="仿宋" w:cs="仿宋"/>
          <w:b w:val="0"/>
          <w:bCs w:val="0"/>
          <w:color w:val="FF0000"/>
          <w:kern w:val="0"/>
          <w:sz w:val="21"/>
          <w:szCs w:val="21"/>
          <w:highlight w:val="none"/>
          <w:lang w:eastAsia="zh-CN"/>
        </w:rPr>
        <w:t>的质保期(投标人可根据自身实力作出更长时间的质保承诺)。在此期间，投标人应免费处理因质量发生的故障，并进行正常保养。</w:t>
      </w:r>
    </w:p>
    <w:p>
      <w:pPr>
        <w:pStyle w:val="19"/>
        <w:numPr>
          <w:ilvl w:val="0"/>
          <w:numId w:val="0"/>
        </w:numPr>
        <w:ind w:firstLine="422" w:firstLineChars="200"/>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七、付款方式</w:t>
      </w:r>
    </w:p>
    <w:p>
      <w:pPr>
        <w:pStyle w:val="19"/>
        <w:numPr>
          <w:ilvl w:val="0"/>
          <w:numId w:val="0"/>
        </w:numPr>
        <w:ind w:left="630" w:leftChars="0"/>
        <w:rPr>
          <w:rFonts w:hint="eastAsia" w:ascii="仿宋" w:hAnsi="仿宋" w:eastAsia="仿宋" w:cs="仿宋"/>
          <w:b w:val="0"/>
          <w:bCs w:val="0"/>
          <w:kern w:val="2"/>
          <w:sz w:val="21"/>
          <w:szCs w:val="21"/>
          <w:highlight w:val="none"/>
          <w:lang w:val="en-US" w:eastAsia="zh-CN" w:bidi="ar-SA"/>
        </w:rPr>
      </w:pPr>
      <w:r>
        <w:rPr>
          <w:rFonts w:hint="eastAsia" w:ascii="仿宋" w:hAnsi="仿宋" w:eastAsia="仿宋" w:cs="仿宋"/>
          <w:b w:val="0"/>
          <w:bCs w:val="0"/>
          <w:kern w:val="2"/>
          <w:sz w:val="21"/>
          <w:szCs w:val="21"/>
          <w:highlight w:val="none"/>
          <w:lang w:val="en-US" w:eastAsia="zh-CN" w:bidi="ar-SA"/>
        </w:rPr>
        <w:t>验收合格后15天一次性付清（附疾控部门检测合格报告）</w:t>
      </w:r>
    </w:p>
    <w:p>
      <w:pPr>
        <w:pStyle w:val="19"/>
        <w:numPr>
          <w:ilvl w:val="0"/>
          <w:numId w:val="0"/>
        </w:numPr>
        <w:ind w:firstLine="422" w:firstLineChars="200"/>
        <w:rPr>
          <w:rFonts w:hint="eastAsia" w:ascii="仿宋" w:hAnsi="仿宋" w:eastAsia="仿宋" w:cs="仿宋"/>
          <w:b/>
          <w:bCs/>
          <w:kern w:val="2"/>
          <w:sz w:val="21"/>
          <w:szCs w:val="21"/>
          <w:highlight w:val="none"/>
          <w:lang w:val="en-US" w:eastAsia="zh-CN" w:bidi="ar-SA"/>
        </w:rPr>
      </w:pPr>
      <w:r>
        <w:rPr>
          <w:rFonts w:hint="eastAsia" w:ascii="仿宋" w:hAnsi="仿宋" w:eastAsia="仿宋" w:cs="仿宋"/>
          <w:b/>
          <w:bCs/>
          <w:kern w:val="2"/>
          <w:sz w:val="21"/>
          <w:szCs w:val="21"/>
          <w:highlight w:val="none"/>
          <w:lang w:val="en-US" w:eastAsia="zh-CN" w:bidi="ar-SA"/>
        </w:rPr>
        <w:t>八、招标项目预算附表</w:t>
      </w:r>
    </w:p>
    <w:tbl>
      <w:tblPr>
        <w:tblStyle w:val="44"/>
        <w:tblW w:w="0" w:type="auto"/>
        <w:jc w:val="center"/>
        <w:tblLayout w:type="autofit"/>
        <w:tblCellMar>
          <w:top w:w="0" w:type="dxa"/>
          <w:left w:w="0" w:type="dxa"/>
          <w:bottom w:w="0" w:type="dxa"/>
          <w:right w:w="0" w:type="dxa"/>
        </w:tblCellMar>
      </w:tblPr>
      <w:tblGrid>
        <w:gridCol w:w="747"/>
        <w:gridCol w:w="2867"/>
        <w:gridCol w:w="645"/>
        <w:gridCol w:w="1200"/>
        <w:gridCol w:w="1110"/>
        <w:gridCol w:w="1633"/>
      </w:tblGrid>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序号</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产品名称</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单位</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年参考用量</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采购</w:t>
            </w:r>
            <w:r>
              <w:rPr>
                <w:rFonts w:hint="eastAsia" w:ascii="仿宋" w:hAnsi="仿宋" w:eastAsia="仿宋" w:cs="仿宋"/>
                <w:color w:val="000000"/>
                <w:kern w:val="0"/>
                <w:sz w:val="18"/>
                <w:szCs w:val="18"/>
                <w:highlight w:val="none"/>
                <w:lang w:eastAsia="zh-CN" w:bidi="ar"/>
              </w:rPr>
              <w:t>上限</w:t>
            </w:r>
            <w:r>
              <w:rPr>
                <w:rFonts w:hint="eastAsia" w:ascii="仿宋" w:hAnsi="仿宋" w:eastAsia="仿宋" w:cs="仿宋"/>
                <w:color w:val="000000"/>
                <w:kern w:val="0"/>
                <w:sz w:val="18"/>
                <w:szCs w:val="18"/>
                <w:highlight w:val="none"/>
                <w:lang w:bidi="ar"/>
              </w:rPr>
              <w:t>金额</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预算金额</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1</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18"/>
                <w:szCs w:val="18"/>
                <w:highlight w:val="none"/>
                <w:lang w:val="en-US" w:eastAsia="zh-CN" w:bidi="ar"/>
              </w:rPr>
            </w:pPr>
            <w:r>
              <w:rPr>
                <w:rFonts w:hint="eastAsia" w:ascii="仿宋" w:hAnsi="仿宋" w:eastAsia="仿宋" w:cs="仿宋"/>
                <w:color w:val="000000"/>
                <w:kern w:val="0"/>
                <w:sz w:val="18"/>
                <w:szCs w:val="18"/>
                <w:highlight w:val="none"/>
                <w:lang w:val="en-US" w:eastAsia="zh-CN" w:bidi="ar"/>
              </w:rPr>
              <w:t>3、4号楼门诊急诊风管</w:t>
            </w:r>
            <w:r>
              <w:rPr>
                <w:rFonts w:hint="eastAsia" w:ascii="仿宋" w:hAnsi="仿宋" w:eastAsia="仿宋" w:cs="仿宋"/>
                <w:color w:val="000000"/>
                <w:sz w:val="18"/>
                <w:szCs w:val="18"/>
                <w:highlight w:val="none"/>
                <w:lang w:eastAsia="zh-CN"/>
              </w:rPr>
              <w:t>面积</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sz w:val="18"/>
                <w:szCs w:val="18"/>
                <w:highlight w:val="none"/>
                <w:lang w:val="en-US" w:eastAsia="zh-CN"/>
              </w:rPr>
              <w:t>平方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8400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3</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25200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2</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18"/>
                <w:szCs w:val="18"/>
                <w:highlight w:val="none"/>
                <w:lang w:bidi="ar"/>
              </w:rPr>
            </w:pPr>
            <w:r>
              <w:rPr>
                <w:rFonts w:hint="eastAsia" w:ascii="仿宋" w:hAnsi="仿宋" w:eastAsia="仿宋" w:cs="仿宋"/>
                <w:color w:val="000000"/>
                <w:kern w:val="0"/>
                <w:sz w:val="18"/>
                <w:szCs w:val="18"/>
                <w:highlight w:val="none"/>
                <w:lang w:val="en-US" w:eastAsia="zh-CN" w:bidi="ar"/>
              </w:rPr>
              <w:t>3、4号楼风机盘管（风口）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val="en-US" w:eastAsia="zh-CN"/>
              </w:rPr>
              <w:t>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300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38(1+0)</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11400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3</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kern w:val="0"/>
                <w:sz w:val="18"/>
                <w:szCs w:val="18"/>
                <w:highlight w:val="none"/>
                <w:lang w:val="en-US" w:bidi="ar"/>
              </w:rPr>
            </w:pPr>
            <w:r>
              <w:rPr>
                <w:rFonts w:hint="eastAsia" w:ascii="仿宋" w:hAnsi="仿宋" w:eastAsia="仿宋" w:cs="仿宋"/>
                <w:color w:val="000000"/>
                <w:kern w:val="0"/>
                <w:sz w:val="18"/>
                <w:szCs w:val="18"/>
                <w:highlight w:val="none"/>
                <w:lang w:val="en-US" w:eastAsia="zh-CN" w:bidi="ar"/>
              </w:rPr>
              <w:t>3、4号楼VRV吸顶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只</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40(1+0)</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2320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4</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kern w:val="0"/>
                <w:sz w:val="18"/>
                <w:szCs w:val="18"/>
                <w:highlight w:val="none"/>
                <w:lang w:val="en-US" w:eastAsia="zh-CN" w:bidi="ar"/>
              </w:rPr>
              <w:t>3、4号楼</w:t>
            </w:r>
            <w:r>
              <w:rPr>
                <w:rFonts w:hint="eastAsia" w:ascii="仿宋" w:hAnsi="仿宋" w:eastAsia="仿宋" w:cs="仿宋"/>
                <w:color w:val="000000"/>
                <w:sz w:val="18"/>
                <w:szCs w:val="18"/>
                <w:highlight w:val="none"/>
                <w:lang w:eastAsia="zh-CN"/>
              </w:rPr>
              <w:t>新风机组</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120(1+0)</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480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5</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sz w:val="18"/>
                <w:szCs w:val="18"/>
                <w:highlight w:val="none"/>
                <w:lang w:eastAsia="zh-CN"/>
              </w:rPr>
              <w:t>扩建区</w:t>
            </w:r>
            <w:r>
              <w:rPr>
                <w:rFonts w:hint="eastAsia" w:ascii="仿宋" w:hAnsi="仿宋" w:eastAsia="仿宋" w:cs="仿宋"/>
                <w:color w:val="000000"/>
                <w:kern w:val="0"/>
                <w:sz w:val="18"/>
                <w:szCs w:val="18"/>
                <w:highlight w:val="none"/>
                <w:lang w:val="en-US" w:eastAsia="zh-CN" w:bidi="ar"/>
              </w:rPr>
              <w:t>风管</w:t>
            </w:r>
            <w:r>
              <w:rPr>
                <w:rFonts w:hint="eastAsia" w:ascii="仿宋" w:hAnsi="仿宋" w:eastAsia="仿宋" w:cs="仿宋"/>
                <w:color w:val="000000"/>
                <w:sz w:val="18"/>
                <w:szCs w:val="18"/>
                <w:highlight w:val="none"/>
                <w:lang w:eastAsia="zh-CN"/>
              </w:rPr>
              <w:t>面积</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平方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15800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3</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47400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6</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sz w:val="18"/>
                <w:szCs w:val="18"/>
                <w:highlight w:val="none"/>
                <w:lang w:eastAsia="zh-CN"/>
              </w:rPr>
              <w:t>扩建区</w:t>
            </w:r>
            <w:r>
              <w:rPr>
                <w:rFonts w:hint="eastAsia" w:ascii="仿宋" w:hAnsi="仿宋" w:eastAsia="仿宋" w:cs="仿宋"/>
                <w:color w:val="000000"/>
                <w:kern w:val="0"/>
                <w:sz w:val="18"/>
                <w:szCs w:val="18"/>
                <w:highlight w:val="none"/>
                <w:lang w:val="en-US" w:eastAsia="zh-CN" w:bidi="ar"/>
              </w:rPr>
              <w:t>风机盘管（风口）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val="en-US" w:eastAsia="zh-CN"/>
              </w:rPr>
            </w:pPr>
            <w:r>
              <w:rPr>
                <w:rFonts w:hint="eastAsia" w:ascii="仿宋" w:hAnsi="仿宋" w:eastAsia="仿宋" w:cs="仿宋"/>
                <w:color w:val="000000"/>
                <w:sz w:val="20"/>
                <w:szCs w:val="20"/>
                <w:highlight w:val="none"/>
                <w:lang w:eastAsia="zh-CN"/>
              </w:rPr>
              <w:t>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732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sz w:val="18"/>
                <w:szCs w:val="18"/>
                <w:highlight w:val="none"/>
                <w:lang w:val="en-US" w:eastAsia="zh-CN"/>
              </w:rPr>
              <w:t>57(1+1)</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41724</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7</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val="en-US" w:eastAsia="zh-CN" w:bidi="ar"/>
              </w:rPr>
              <w:t>扩建区VRV吸顶</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只</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sz w:val="18"/>
                <w:szCs w:val="18"/>
                <w:highlight w:val="none"/>
                <w:lang w:val="en-US" w:eastAsia="zh-CN"/>
              </w:rPr>
              <w:t>60（1+1）</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6960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8</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rPr>
            </w:pPr>
            <w:r>
              <w:rPr>
                <w:rFonts w:hint="eastAsia" w:ascii="仿宋" w:hAnsi="仿宋" w:eastAsia="仿宋" w:cs="仿宋"/>
                <w:color w:val="000000"/>
                <w:sz w:val="18"/>
                <w:szCs w:val="18"/>
                <w:highlight w:val="none"/>
                <w:lang w:eastAsia="zh-CN"/>
              </w:rPr>
              <w:t>扩建区新风机组</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kern w:val="2"/>
                <w:sz w:val="18"/>
                <w:szCs w:val="18"/>
                <w:highlight w:val="none"/>
                <w:lang w:val="en-US" w:eastAsia="zh-CN" w:bidi="ar-SA"/>
              </w:rPr>
            </w:pPr>
            <w:r>
              <w:rPr>
                <w:rFonts w:hint="eastAsia" w:ascii="仿宋" w:hAnsi="仿宋" w:eastAsia="仿宋" w:cs="仿宋"/>
                <w:color w:val="000000"/>
                <w:sz w:val="18"/>
                <w:szCs w:val="18"/>
                <w:highlight w:val="none"/>
                <w:lang w:val="en-US" w:eastAsia="zh-CN"/>
              </w:rPr>
              <w:t>180（1+1）</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7200</w:t>
            </w:r>
          </w:p>
        </w:tc>
      </w:tr>
      <w:tr>
        <w:tblPrEx>
          <w:tblCellMar>
            <w:top w:w="0" w:type="dxa"/>
            <w:left w:w="0" w:type="dxa"/>
            <w:bottom w:w="0" w:type="dxa"/>
            <w:right w:w="0" w:type="dxa"/>
          </w:tblCellMar>
        </w:tblPrEx>
        <w:trPr>
          <w:trHeight w:val="375" w:hRule="atLeast"/>
          <w:jc w:val="center"/>
        </w:trPr>
        <w:tc>
          <w:tcPr>
            <w:tcW w:w="74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rPr>
            </w:pPr>
            <w:r>
              <w:rPr>
                <w:rFonts w:hint="eastAsia" w:ascii="仿宋" w:hAnsi="仿宋" w:eastAsia="仿宋" w:cs="仿宋"/>
                <w:color w:val="000000"/>
                <w:kern w:val="0"/>
                <w:sz w:val="18"/>
                <w:szCs w:val="18"/>
                <w:highlight w:val="none"/>
                <w:lang w:bidi="ar"/>
              </w:rPr>
              <w:t>9</w:t>
            </w:r>
          </w:p>
        </w:tc>
        <w:tc>
          <w:tcPr>
            <w:tcW w:w="2867"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sz w:val="18"/>
                <w:szCs w:val="18"/>
                <w:highlight w:val="none"/>
                <w:lang w:eastAsia="zh-CN"/>
              </w:rPr>
              <w:t>扩建区手术室风管及末端</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20"/>
                <w:szCs w:val="20"/>
                <w:highlight w:val="none"/>
                <w:lang w:eastAsia="zh-CN"/>
              </w:rPr>
            </w:pPr>
            <w:r>
              <w:rPr>
                <w:rFonts w:hint="eastAsia" w:ascii="仿宋" w:hAnsi="仿宋" w:eastAsia="仿宋" w:cs="仿宋"/>
                <w:color w:val="000000"/>
                <w:sz w:val="20"/>
                <w:szCs w:val="20"/>
                <w:highlight w:val="none"/>
                <w:lang w:eastAsia="zh-CN"/>
              </w:rPr>
              <w:t>批</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15000</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jc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15000</w:t>
            </w:r>
          </w:p>
        </w:tc>
      </w:tr>
      <w:tr>
        <w:tblPrEx>
          <w:tblCellMar>
            <w:top w:w="0" w:type="dxa"/>
            <w:left w:w="0" w:type="dxa"/>
            <w:bottom w:w="0" w:type="dxa"/>
            <w:right w:w="0" w:type="dxa"/>
          </w:tblCellMar>
        </w:tblPrEx>
        <w:trPr>
          <w:trHeight w:val="375" w:hRule="atLeast"/>
          <w:jc w:val="center"/>
        </w:trPr>
        <w:tc>
          <w:tcPr>
            <w:tcW w:w="6569" w:type="dxa"/>
            <w:gridSpan w:val="5"/>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eastAsia="zh-CN"/>
              </w:rPr>
            </w:pPr>
            <w:r>
              <w:rPr>
                <w:rFonts w:hint="eastAsia" w:ascii="仿宋" w:hAnsi="仿宋" w:eastAsia="仿宋" w:cs="仿宋"/>
                <w:color w:val="000000"/>
                <w:sz w:val="18"/>
                <w:szCs w:val="18"/>
                <w:highlight w:val="none"/>
                <w:lang w:eastAsia="zh-CN"/>
              </w:rPr>
              <w:t>小计：</w:t>
            </w:r>
          </w:p>
        </w:tc>
        <w:tc>
          <w:tcPr>
            <w:tcW w:w="1633" w:type="dxa"/>
            <w:tcBorders>
              <w:top w:val="single" w:color="000000" w:sz="4" w:space="0"/>
              <w:left w:val="single" w:color="000000" w:sz="4" w:space="0"/>
              <w:bottom w:val="single" w:color="000000" w:sz="4" w:space="0"/>
              <w:right w:val="single" w:color="000000" w:sz="4" w:space="0"/>
            </w:tcBorders>
            <w:shd w:val="clear" w:color="auto" w:fill="FFFF00"/>
            <w:noWrap w:val="0"/>
            <w:tcMar>
              <w:top w:w="15" w:type="dxa"/>
              <w:left w:w="15" w:type="dxa"/>
              <w:right w:w="15" w:type="dxa"/>
            </w:tcMar>
            <w:vAlign w:val="center"/>
          </w:tcPr>
          <w:p>
            <w:pPr>
              <w:widowControl/>
              <w:jc w:val="center"/>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sz w:val="18"/>
                <w:szCs w:val="18"/>
                <w:highlight w:val="none"/>
                <w:lang w:val="en-US" w:eastAsia="zh-CN"/>
              </w:rPr>
              <w:t>157684（157000）</w:t>
            </w:r>
          </w:p>
        </w:tc>
      </w:tr>
      <w:tr>
        <w:tblPrEx>
          <w:tblCellMar>
            <w:top w:w="0" w:type="dxa"/>
            <w:left w:w="0" w:type="dxa"/>
            <w:bottom w:w="0" w:type="dxa"/>
            <w:right w:w="0" w:type="dxa"/>
          </w:tblCellMar>
        </w:tblPrEx>
        <w:trPr>
          <w:trHeight w:val="375" w:hRule="atLeast"/>
          <w:jc w:val="center"/>
        </w:trPr>
        <w:tc>
          <w:tcPr>
            <w:tcW w:w="8202"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15" w:type="dxa"/>
              <w:left w:w="15" w:type="dxa"/>
              <w:right w:w="15" w:type="dxa"/>
            </w:tcMar>
            <w:vAlign w:val="center"/>
          </w:tcPr>
          <w:p>
            <w:pPr>
              <w:widowControl/>
              <w:tabs>
                <w:tab w:val="left" w:pos="1814"/>
              </w:tabs>
              <w:jc w:val="left"/>
              <w:textAlignment w:val="center"/>
              <w:rPr>
                <w:rFonts w:hint="eastAsia" w:ascii="仿宋" w:hAnsi="仿宋" w:eastAsia="仿宋" w:cs="仿宋"/>
                <w:color w:val="000000"/>
                <w:sz w:val="18"/>
                <w:szCs w:val="18"/>
                <w:highlight w:val="none"/>
                <w:lang w:val="en-US" w:eastAsia="zh-CN"/>
              </w:rPr>
            </w:pPr>
            <w:r>
              <w:rPr>
                <w:rFonts w:hint="eastAsia" w:ascii="仿宋" w:hAnsi="仿宋" w:eastAsia="仿宋" w:cs="仿宋"/>
                <w:color w:val="000000"/>
                <w:kern w:val="0"/>
                <w:sz w:val="18"/>
                <w:szCs w:val="18"/>
                <w:highlight w:val="none"/>
                <w:lang w:bidi="ar"/>
              </w:rPr>
              <w:t>注：1.投标产品若要求为进口的，须论证后方可实施；2.品牌可以不推荐；若有，则必须为3个及以上。</w:t>
            </w:r>
            <w:r>
              <w:rPr>
                <w:rFonts w:hint="eastAsia" w:ascii="仿宋" w:hAnsi="仿宋" w:eastAsia="仿宋" w:cs="仿宋"/>
                <w:color w:val="000000"/>
                <w:kern w:val="0"/>
                <w:sz w:val="18"/>
                <w:szCs w:val="18"/>
                <w:highlight w:val="none"/>
                <w:lang w:val="en-US" w:eastAsia="zh-CN" w:bidi="ar"/>
              </w:rPr>
              <w:t>2.（1+？）表示深度清洗消毒+滤网风口清洗</w:t>
            </w:r>
          </w:p>
        </w:tc>
      </w:tr>
    </w:tbl>
    <w:p>
      <w:pPr>
        <w:pStyle w:val="24"/>
        <w:pageBreakBefore/>
        <w:spacing w:line="800" w:lineRule="exact"/>
        <w:ind w:firstLine="726"/>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第四部分  政府采购合同参考范本</w:t>
      </w:r>
    </w:p>
    <w:p>
      <w:pPr>
        <w:rPr>
          <w:rFonts w:hint="eastAsia" w:ascii="仿宋" w:hAnsi="仿宋" w:eastAsia="仿宋" w:cs="仿宋"/>
          <w:sz w:val="24"/>
          <w:highlight w:val="none"/>
        </w:rPr>
      </w:pPr>
    </w:p>
    <w:p>
      <w:pPr>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spacing w:line="480" w:lineRule="auto"/>
        <w:jc w:val="center"/>
        <w:rPr>
          <w:rFonts w:hint="eastAsia" w:ascii="仿宋" w:hAnsi="仿宋" w:eastAsia="仿宋" w:cs="仿宋"/>
          <w:b/>
          <w:sz w:val="28"/>
          <w:szCs w:val="28"/>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24"/>
          <w:highlight w:val="none"/>
        </w:rPr>
      </w:pP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政府采购合同参考范本</w:t>
      </w:r>
    </w:p>
    <w:p>
      <w:pPr>
        <w:spacing w:line="480" w:lineRule="auto"/>
        <w:jc w:val="center"/>
        <w:rPr>
          <w:rFonts w:hint="eastAsia" w:ascii="仿宋" w:hAnsi="仿宋" w:eastAsia="仿宋" w:cs="仿宋"/>
          <w:b/>
          <w:sz w:val="36"/>
          <w:szCs w:val="36"/>
          <w:highlight w:val="none"/>
        </w:rPr>
      </w:pPr>
      <w:r>
        <w:rPr>
          <w:rFonts w:hint="eastAsia" w:ascii="仿宋" w:hAnsi="仿宋" w:eastAsia="仿宋" w:cs="仿宋"/>
          <w:b/>
          <w:sz w:val="36"/>
          <w:szCs w:val="36"/>
          <w:highlight w:val="none"/>
        </w:rPr>
        <w:t>（服务类）</w:t>
      </w:r>
    </w:p>
    <w:p>
      <w:pPr>
        <w:pStyle w:val="6"/>
        <w:rPr>
          <w:rFonts w:hint="eastAsia" w:ascii="仿宋" w:hAnsi="仿宋" w:eastAsia="仿宋" w:cs="仿宋"/>
          <w:highlight w:val="none"/>
        </w:rPr>
      </w:pPr>
    </w:p>
    <w:p>
      <w:pPr>
        <w:pStyle w:val="6"/>
        <w:rPr>
          <w:rFonts w:hint="eastAsia" w:ascii="仿宋" w:hAnsi="仿宋" w:eastAsia="仿宋" w:cs="仿宋"/>
          <w:highlight w:val="none"/>
        </w:rPr>
      </w:pPr>
    </w:p>
    <w:p>
      <w:pPr>
        <w:pStyle w:val="6"/>
        <w:ind w:firstLine="562"/>
        <w:jc w:val="center"/>
        <w:rPr>
          <w:rFonts w:hint="eastAsia" w:ascii="仿宋" w:hAnsi="仿宋" w:eastAsia="仿宋" w:cs="仿宋"/>
          <w:b/>
          <w:sz w:val="28"/>
          <w:highlight w:val="none"/>
        </w:rPr>
      </w:pPr>
      <w:r>
        <w:rPr>
          <w:rFonts w:hint="eastAsia" w:ascii="仿宋" w:hAnsi="仿宋" w:eastAsia="仿宋" w:cs="仿宋"/>
          <w:b/>
          <w:sz w:val="28"/>
          <w:highlight w:val="none"/>
        </w:rPr>
        <w:t>第一部分  合同书</w:t>
      </w:r>
    </w:p>
    <w:p>
      <w:pPr>
        <w:pStyle w:val="6"/>
        <w:rPr>
          <w:rFonts w:hint="eastAsia" w:ascii="仿宋" w:hAnsi="仿宋" w:eastAsia="仿宋" w:cs="仿宋"/>
          <w:highlight w:val="none"/>
        </w:rPr>
      </w:pPr>
    </w:p>
    <w:p>
      <w:pPr>
        <w:pStyle w:val="6"/>
        <w:rPr>
          <w:rFonts w:hint="eastAsia" w:ascii="仿宋" w:hAnsi="仿宋" w:eastAsia="仿宋" w:cs="仿宋"/>
          <w:highlight w:val="none"/>
        </w:rPr>
      </w:pP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rPr>
      </w:pPr>
      <w:r>
        <w:rPr>
          <w:rFonts w:hint="eastAsia" w:ascii="仿宋" w:hAnsi="仿宋" w:eastAsia="仿宋" w:cs="仿宋"/>
          <w:sz w:val="24"/>
          <w:highlight w:val="none"/>
        </w:rPr>
        <w:t>项目名称：</w:t>
      </w:r>
    </w:p>
    <w:p>
      <w:pPr>
        <w:pStyle w:val="283"/>
        <w:spacing w:before="120" w:line="22" w:lineRule="atLeast"/>
        <w:rPr>
          <w:rFonts w:hint="eastAsia" w:ascii="仿宋" w:hAnsi="仿宋" w:eastAsia="仿宋" w:cs="仿宋"/>
          <w:szCs w:val="24"/>
          <w:highlight w:val="none"/>
        </w:rPr>
      </w:pPr>
    </w:p>
    <w:p>
      <w:pPr>
        <w:pStyle w:val="283"/>
        <w:spacing w:before="120" w:line="22" w:lineRule="atLeast"/>
        <w:rPr>
          <w:rFonts w:hint="eastAsia" w:ascii="仿宋" w:hAnsi="仿宋" w:eastAsia="仿宋" w:cs="仿宋"/>
          <w:szCs w:val="24"/>
          <w:highlight w:val="none"/>
        </w:rPr>
      </w:pPr>
    </w:p>
    <w:p>
      <w:pPr>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甲方：</w:t>
      </w:r>
    </w:p>
    <w:p>
      <w:pPr>
        <w:spacing w:before="120" w:line="22" w:lineRule="atLeast"/>
        <w:rPr>
          <w:rFonts w:hint="eastAsia" w:ascii="仿宋" w:hAnsi="仿宋" w:eastAsia="仿宋" w:cs="仿宋"/>
          <w:sz w:val="24"/>
          <w:highlight w:val="none"/>
        </w:rPr>
      </w:pPr>
    </w:p>
    <w:p>
      <w:pPr>
        <w:spacing w:before="120" w:line="22" w:lineRule="atLeast"/>
        <w:ind w:left="960"/>
        <w:rPr>
          <w:rFonts w:hint="eastAsia" w:ascii="仿宋" w:hAnsi="仿宋" w:eastAsia="仿宋" w:cs="仿宋"/>
          <w:sz w:val="24"/>
          <w:highlight w:val="none"/>
          <w:u w:val="single"/>
        </w:rPr>
      </w:pPr>
      <w:r>
        <w:rPr>
          <w:rFonts w:hint="eastAsia" w:ascii="仿宋" w:hAnsi="仿宋" w:eastAsia="仿宋" w:cs="仿宋"/>
          <w:sz w:val="24"/>
          <w:highlight w:val="none"/>
        </w:rPr>
        <w:t>乙方：</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签订地：</w:t>
      </w:r>
    </w:p>
    <w:p>
      <w:pPr>
        <w:spacing w:before="120" w:line="22" w:lineRule="atLeast"/>
        <w:rPr>
          <w:rFonts w:hint="eastAsia" w:ascii="仿宋" w:hAnsi="仿宋" w:eastAsia="仿宋" w:cs="仿宋"/>
          <w:sz w:val="24"/>
          <w:highlight w:val="none"/>
        </w:rPr>
      </w:pPr>
    </w:p>
    <w:p>
      <w:pPr>
        <w:spacing w:before="120" w:line="22" w:lineRule="atLeast"/>
        <w:ind w:firstLine="960" w:firstLineChars="400"/>
        <w:rPr>
          <w:rFonts w:hint="eastAsia" w:ascii="仿宋" w:hAnsi="仿宋" w:eastAsia="仿宋" w:cs="仿宋"/>
          <w:sz w:val="24"/>
          <w:highlight w:val="none"/>
          <w:u w:val="single"/>
        </w:rPr>
      </w:pPr>
      <w:r>
        <w:rPr>
          <w:rFonts w:hint="eastAsia" w:ascii="仿宋" w:hAnsi="仿宋" w:eastAsia="仿宋" w:cs="仿宋"/>
          <w:sz w:val="24"/>
          <w:highlight w:val="none"/>
        </w:rPr>
        <w:t>签订日期：年月日</w:t>
      </w: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widowControl/>
        <w:jc w:val="left"/>
        <w:rPr>
          <w:rFonts w:hint="eastAsia" w:ascii="仿宋" w:hAnsi="仿宋" w:eastAsia="仿宋" w:cs="仿宋"/>
          <w:kern w:val="0"/>
          <w:sz w:val="24"/>
          <w:highlight w:val="none"/>
        </w:rPr>
      </w:pP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年月日</w:t>
      </w:r>
      <w:r>
        <w:rPr>
          <w:rFonts w:hint="eastAsia" w:ascii="仿宋" w:hAnsi="仿宋" w:eastAsia="仿宋" w:cs="仿宋"/>
          <w:sz w:val="24"/>
          <w:highlight w:val="none"/>
        </w:rPr>
        <w:t>，</w:t>
      </w:r>
      <w:r>
        <w:rPr>
          <w:rFonts w:hint="eastAsia" w:ascii="仿宋" w:hAnsi="仿宋" w:eastAsia="仿宋" w:cs="仿宋"/>
          <w:sz w:val="24"/>
          <w:highlight w:val="none"/>
          <w:u w:val="single"/>
        </w:rPr>
        <w:t>（采购人）</w:t>
      </w:r>
      <w:r>
        <w:rPr>
          <w:rFonts w:hint="eastAsia" w:ascii="仿宋" w:hAnsi="仿宋" w:eastAsia="仿宋" w:cs="仿宋"/>
          <w:sz w:val="24"/>
          <w:highlight w:val="none"/>
        </w:rPr>
        <w:t>以</w:t>
      </w:r>
      <w:r>
        <w:rPr>
          <w:rFonts w:hint="eastAsia" w:ascii="仿宋" w:hAnsi="仿宋" w:eastAsia="仿宋" w:cs="仿宋"/>
          <w:sz w:val="24"/>
          <w:highlight w:val="none"/>
          <w:u w:val="single"/>
        </w:rPr>
        <w:t xml:space="preserve">   （政府采购方式）  </w:t>
      </w:r>
      <w:r>
        <w:rPr>
          <w:rFonts w:hint="eastAsia" w:ascii="仿宋" w:hAnsi="仿宋" w:eastAsia="仿宋" w:cs="仿宋"/>
          <w:sz w:val="24"/>
          <w:highlight w:val="none"/>
        </w:rPr>
        <w:t>对</w:t>
      </w:r>
      <w:r>
        <w:rPr>
          <w:rFonts w:hint="eastAsia" w:ascii="仿宋" w:hAnsi="仿宋" w:eastAsia="仿宋" w:cs="仿宋"/>
          <w:sz w:val="24"/>
          <w:highlight w:val="none"/>
          <w:u w:val="single"/>
        </w:rPr>
        <w:t xml:space="preserve">   （同前页项目名称）</w:t>
      </w:r>
      <w:r>
        <w:rPr>
          <w:rFonts w:hint="eastAsia" w:ascii="仿宋" w:hAnsi="仿宋" w:eastAsia="仿宋" w:cs="仿宋"/>
          <w:sz w:val="24"/>
          <w:highlight w:val="none"/>
        </w:rPr>
        <w:t>项目进行了采购。经</w:t>
      </w:r>
      <w:r>
        <w:rPr>
          <w:rFonts w:hint="eastAsia" w:ascii="仿宋" w:hAnsi="仿宋" w:eastAsia="仿宋" w:cs="仿宋"/>
          <w:sz w:val="24"/>
          <w:highlight w:val="none"/>
          <w:u w:val="single"/>
        </w:rPr>
        <w:t xml:space="preserve">   （相关评定主体名称）   </w:t>
      </w:r>
      <w:r>
        <w:rPr>
          <w:rFonts w:hint="eastAsia" w:ascii="仿宋" w:hAnsi="仿宋" w:eastAsia="仿宋" w:cs="仿宋"/>
          <w:sz w:val="24"/>
          <w:highlight w:val="none"/>
        </w:rPr>
        <w:t>评定，</w:t>
      </w:r>
      <w:r>
        <w:rPr>
          <w:rFonts w:hint="eastAsia" w:ascii="仿宋" w:hAnsi="仿宋" w:eastAsia="仿宋" w:cs="仿宋"/>
          <w:sz w:val="24"/>
          <w:highlight w:val="none"/>
          <w:u w:val="single"/>
        </w:rPr>
        <w:t xml:space="preserve">   （中标供应商名称）</w:t>
      </w:r>
      <w:r>
        <w:rPr>
          <w:rFonts w:hint="eastAsia" w:ascii="仿宋" w:hAnsi="仿宋" w:eastAsia="仿宋" w:cs="仿宋"/>
          <w:sz w:val="24"/>
          <w:highlight w:val="none"/>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highlight w:val="none"/>
          <w:u w:val="single"/>
        </w:rPr>
        <w:t>（采购人）</w:t>
      </w:r>
      <w:r>
        <w:rPr>
          <w:rFonts w:hint="eastAsia" w:ascii="仿宋" w:hAnsi="仿宋" w:eastAsia="仿宋" w:cs="仿宋"/>
          <w:sz w:val="24"/>
          <w:highlight w:val="none"/>
          <w:lang w:val="zh-CN"/>
        </w:rPr>
        <w:t>(以下简称：甲方)和</w:t>
      </w:r>
      <w:r>
        <w:rPr>
          <w:rFonts w:hint="eastAsia" w:ascii="仿宋" w:hAnsi="仿宋" w:eastAsia="仿宋" w:cs="仿宋"/>
          <w:sz w:val="24"/>
          <w:highlight w:val="none"/>
          <w:u w:val="single"/>
        </w:rPr>
        <w:t xml:space="preserve">   （中标供应商名称）   </w:t>
      </w:r>
      <w:r>
        <w:rPr>
          <w:rFonts w:hint="eastAsia" w:ascii="仿宋" w:hAnsi="仿宋" w:eastAsia="仿宋" w:cs="仿宋"/>
          <w:sz w:val="24"/>
          <w:highlight w:val="none"/>
          <w:lang w:val="zh-CN"/>
        </w:rPr>
        <w:t>(以下简称：乙方)协商一致，约定以下合同</w:t>
      </w:r>
      <w:r>
        <w:rPr>
          <w:rFonts w:hint="eastAsia" w:ascii="仿宋" w:hAnsi="仿宋" w:eastAsia="仿宋" w:cs="仿宋"/>
          <w:sz w:val="24"/>
          <w:highlight w:val="none"/>
        </w:rPr>
        <w:t>条款，以兹共同遵守、全面履行。</w:t>
      </w:r>
    </w:p>
    <w:p>
      <w:pPr>
        <w:spacing w:line="560" w:lineRule="exact"/>
        <w:ind w:firstLine="482" w:firstLineChars="200"/>
        <w:outlineLvl w:val="0"/>
        <w:rPr>
          <w:rFonts w:hint="eastAsia" w:ascii="仿宋" w:hAnsi="仿宋" w:eastAsia="仿宋" w:cs="仿宋"/>
          <w:b/>
          <w:sz w:val="24"/>
          <w:highlight w:val="none"/>
        </w:rPr>
      </w:pPr>
      <w:bookmarkStart w:id="11" w:name="_Toc24059"/>
      <w:bookmarkStart w:id="12" w:name="_Toc3029"/>
      <w:bookmarkStart w:id="13" w:name="_Toc2232"/>
      <w:r>
        <w:rPr>
          <w:rFonts w:hint="eastAsia" w:ascii="仿宋" w:hAnsi="仿宋" w:eastAsia="仿宋" w:cs="仿宋"/>
          <w:b/>
          <w:sz w:val="24"/>
          <w:highlight w:val="none"/>
        </w:rPr>
        <w:t>1.1 合同组成部分</w:t>
      </w:r>
      <w:bookmarkEnd w:id="11"/>
      <w:bookmarkEnd w:id="12"/>
      <w:bookmarkEnd w:id="13"/>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1.1.2 中标通知书；</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1.1.3 投标文件（含澄清或者说明文件）；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1.1.4 招标文件（含澄清或者修改文件）；</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1.1.5 其他相关采购文件。</w:t>
      </w:r>
    </w:p>
    <w:p>
      <w:pPr>
        <w:spacing w:line="560" w:lineRule="exact"/>
        <w:ind w:firstLine="482" w:firstLineChars="200"/>
        <w:outlineLvl w:val="0"/>
        <w:rPr>
          <w:rFonts w:hint="eastAsia" w:ascii="仿宋" w:hAnsi="仿宋" w:eastAsia="仿宋" w:cs="仿宋"/>
          <w:b/>
          <w:sz w:val="24"/>
          <w:highlight w:val="none"/>
        </w:rPr>
      </w:pPr>
      <w:bookmarkStart w:id="14" w:name="_Toc27126"/>
      <w:bookmarkStart w:id="15" w:name="_Toc24300"/>
      <w:bookmarkStart w:id="16" w:name="_Toc21295"/>
      <w:r>
        <w:rPr>
          <w:rFonts w:hint="eastAsia" w:ascii="仿宋" w:hAnsi="仿宋" w:eastAsia="仿宋" w:cs="仿宋"/>
          <w:b/>
          <w:sz w:val="24"/>
          <w:highlight w:val="none"/>
        </w:rPr>
        <w:t xml:space="preserve">1.2 </w:t>
      </w:r>
      <w:bookmarkEnd w:id="14"/>
      <w:bookmarkEnd w:id="15"/>
      <w:bookmarkEnd w:id="16"/>
      <w:r>
        <w:rPr>
          <w:rFonts w:hint="eastAsia" w:ascii="仿宋" w:hAnsi="仿宋" w:eastAsia="仿宋" w:cs="仿宋"/>
          <w:b/>
          <w:sz w:val="24"/>
          <w:highlight w:val="none"/>
        </w:rPr>
        <w:t>服务</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1.2.1 服务名称：；</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1.2.2 服务期限和内容：；</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1.2.3 服务提供地点及方式：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bookmarkStart w:id="17" w:name="_Toc21631"/>
      <w:bookmarkStart w:id="18" w:name="_Toc23292"/>
      <w:bookmarkStart w:id="19" w:name="_Toc21551"/>
      <w:r>
        <w:rPr>
          <w:rFonts w:hint="eastAsia" w:ascii="仿宋" w:hAnsi="仿宋" w:eastAsia="仿宋" w:cs="仿宋"/>
          <w:b/>
          <w:sz w:val="24"/>
          <w:highlight w:val="none"/>
        </w:rPr>
        <w:t>1.3 价款</w:t>
      </w:r>
      <w:bookmarkEnd w:id="17"/>
      <w:bookmarkEnd w:id="18"/>
      <w:bookmarkEnd w:id="19"/>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本合同总价为：￥元（大写：元人民币）。</w:t>
      </w:r>
    </w:p>
    <w:p>
      <w:pPr>
        <w:spacing w:line="56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分项价格：</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 w:hAnsi="仿宋" w:eastAsia="仿宋" w:cs="仿宋"/>
                <w:sz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2"/>
              <w:spacing w:line="560" w:lineRule="exact"/>
              <w:ind w:firstLine="200"/>
              <w:jc w:val="center"/>
              <w:rPr>
                <w:rFonts w:hint="eastAsia" w:ascii="仿宋" w:hAnsi="仿宋" w:eastAsia="仿宋" w:cs="仿宋"/>
                <w:sz w:val="24"/>
                <w:szCs w:val="24"/>
                <w:highlight w:val="none"/>
              </w:rPr>
            </w:pPr>
          </w:p>
        </w:tc>
      </w:tr>
    </w:tbl>
    <w:p>
      <w:pPr>
        <w:spacing w:line="440" w:lineRule="exact"/>
        <w:ind w:firstLine="482" w:firstLineChars="200"/>
        <w:outlineLvl w:val="0"/>
        <w:rPr>
          <w:rFonts w:hint="eastAsia" w:ascii="仿宋" w:hAnsi="仿宋" w:eastAsia="仿宋" w:cs="仿宋"/>
          <w:b/>
          <w:sz w:val="24"/>
          <w:highlight w:val="none"/>
        </w:rPr>
      </w:pPr>
      <w:bookmarkStart w:id="20" w:name="_Toc10340"/>
      <w:bookmarkStart w:id="21" w:name="_Toc22618"/>
      <w:bookmarkStart w:id="22" w:name="_Toc1814"/>
      <w:bookmarkStart w:id="23" w:name="_Toc19304"/>
      <w:bookmarkStart w:id="24" w:name="_Toc2846"/>
      <w:bookmarkStart w:id="25" w:name="_Toc32071"/>
      <w:r>
        <w:rPr>
          <w:rFonts w:hint="eastAsia" w:ascii="仿宋" w:hAnsi="仿宋" w:eastAsia="仿宋" w:cs="仿宋"/>
          <w:b/>
          <w:sz w:val="24"/>
          <w:highlight w:val="none"/>
        </w:rPr>
        <w:t>1.4 付款</w:t>
      </w:r>
      <w:bookmarkEnd w:id="20"/>
      <w:bookmarkEnd w:id="21"/>
      <w:bookmarkEnd w:id="22"/>
      <w:r>
        <w:rPr>
          <w:rFonts w:hint="eastAsia" w:ascii="仿宋" w:hAnsi="仿宋" w:eastAsia="仿宋" w:cs="仿宋"/>
          <w:b/>
          <w:sz w:val="24"/>
          <w:highlight w:val="none"/>
        </w:rPr>
        <w:t>方式、时间和条件</w:t>
      </w:r>
    </w:p>
    <w:p>
      <w:pPr>
        <w:pStyle w:val="285"/>
        <w:spacing w:before="0" w:beforeAutospacing="0" w:after="0" w:afterAutospacing="0" w:line="440" w:lineRule="exact"/>
        <w:ind w:firstLine="480"/>
        <w:rPr>
          <w:rFonts w:hint="eastAsia" w:ascii="仿宋" w:hAnsi="仿宋" w:eastAsia="仿宋" w:cs="仿宋"/>
          <w:highlight w:val="none"/>
        </w:rPr>
      </w:pPr>
      <w:r>
        <w:rPr>
          <w:rFonts w:hint="eastAsia" w:ascii="仿宋" w:hAnsi="仿宋" w:eastAsia="仿宋" w:cs="仿宋"/>
          <w:highlight w:val="none"/>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hint="eastAsia" w:ascii="仿宋" w:hAnsi="仿宋" w:eastAsia="仿宋" w:cs="仿宋"/>
          <w:sz w:val="24"/>
          <w:highlight w:val="none"/>
        </w:rPr>
      </w:pPr>
      <w:r>
        <w:rPr>
          <w:rFonts w:hint="eastAsia" w:ascii="仿宋" w:hAnsi="仿宋" w:eastAsia="仿宋" w:cs="仿宋"/>
          <w:sz w:val="24"/>
          <w:highlight w:val="none"/>
        </w:rPr>
        <w:t>1.4.4资金支付的方式、时间和条件详见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560" w:lineRule="exact"/>
        <w:ind w:firstLine="482" w:firstLineChars="200"/>
        <w:outlineLvl w:val="0"/>
        <w:rPr>
          <w:rFonts w:hint="eastAsia" w:ascii="仿宋" w:hAnsi="仿宋" w:eastAsia="仿宋" w:cs="仿宋"/>
          <w:b/>
          <w:sz w:val="24"/>
          <w:highlight w:val="none"/>
        </w:rPr>
      </w:pPr>
      <w:r>
        <w:rPr>
          <w:rFonts w:hint="eastAsia" w:ascii="仿宋" w:hAnsi="仿宋" w:eastAsia="仿宋" w:cs="仿宋"/>
          <w:b/>
          <w:sz w:val="24"/>
          <w:highlight w:val="none"/>
        </w:rPr>
        <w:t>1.5</w:t>
      </w:r>
      <w:bookmarkEnd w:id="23"/>
      <w:bookmarkEnd w:id="24"/>
      <w:bookmarkEnd w:id="25"/>
      <w:bookmarkStart w:id="26" w:name="_Toc19554"/>
      <w:bookmarkStart w:id="27" w:name="_Toc27250"/>
      <w:bookmarkStart w:id="28" w:name="_Toc21423"/>
      <w:r>
        <w:rPr>
          <w:rFonts w:hint="eastAsia" w:ascii="仿宋" w:hAnsi="仿宋" w:eastAsia="仿宋" w:cs="仿宋"/>
          <w:b/>
          <w:sz w:val="24"/>
          <w:highlight w:val="none"/>
        </w:rPr>
        <w:t>违约责任</w:t>
      </w:r>
      <w:bookmarkEnd w:id="26"/>
      <w:bookmarkEnd w:id="27"/>
      <w:bookmarkEnd w:id="28"/>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    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highlight w:val="none"/>
        </w:rPr>
      </w:pPr>
      <w:r>
        <w:rPr>
          <w:rFonts w:hint="eastAsia" w:ascii="仿宋" w:hAnsi="仿宋" w:eastAsia="仿宋" w:cs="仿宋"/>
          <w:sz w:val="24"/>
          <w:highlight w:val="none"/>
        </w:rPr>
        <w:t>1.5.7违约责任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p>
      <w:pPr>
        <w:spacing w:line="560" w:lineRule="exact"/>
        <w:ind w:firstLine="482" w:firstLineChars="200"/>
        <w:outlineLvl w:val="0"/>
        <w:rPr>
          <w:rFonts w:hint="eastAsia" w:ascii="仿宋" w:hAnsi="仿宋" w:eastAsia="仿宋" w:cs="仿宋"/>
          <w:b/>
          <w:sz w:val="24"/>
          <w:highlight w:val="none"/>
        </w:rPr>
      </w:pPr>
      <w:bookmarkStart w:id="29" w:name="_Toc16021"/>
      <w:bookmarkStart w:id="30" w:name="_Toc28375"/>
      <w:bookmarkStart w:id="31" w:name="_Toc15583"/>
      <w:r>
        <w:rPr>
          <w:rFonts w:hint="eastAsia" w:ascii="仿宋" w:hAnsi="仿宋" w:eastAsia="仿宋" w:cs="仿宋"/>
          <w:b/>
          <w:sz w:val="24"/>
          <w:highlight w:val="none"/>
        </w:rPr>
        <w:t>1.6合同争议的解决</w:t>
      </w:r>
      <w:bookmarkEnd w:id="29"/>
      <w:bookmarkEnd w:id="30"/>
      <w:bookmarkEnd w:id="31"/>
    </w:p>
    <w:p>
      <w:pPr>
        <w:spacing w:line="560" w:lineRule="exact"/>
        <w:ind w:left="-61" w:leftChars="-29" w:right="-420" w:rightChars="-200"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合同专用条款  </w:t>
      </w:r>
      <w:r>
        <w:rPr>
          <w:rFonts w:hint="eastAsia" w:ascii="仿宋" w:hAnsi="仿宋" w:eastAsia="仿宋" w:cs="仿宋"/>
          <w:sz w:val="24"/>
          <w:highlight w:val="none"/>
        </w:rPr>
        <w:t>条款规定的方式解决：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sz w:val="24"/>
          <w:highlight w:val="none"/>
        </w:rPr>
      </w:pPr>
      <w:r>
        <w:rPr>
          <w:rFonts w:hint="eastAsia" w:ascii="仿宋" w:hAnsi="仿宋" w:eastAsia="仿宋" w:cs="仿宋"/>
          <w:sz w:val="24"/>
          <w:highlight w:val="none"/>
        </w:rPr>
        <w:t>1.6.2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560" w:lineRule="exact"/>
        <w:ind w:firstLine="482" w:firstLineChars="200"/>
        <w:outlineLvl w:val="0"/>
        <w:rPr>
          <w:rFonts w:hint="eastAsia" w:ascii="仿宋" w:hAnsi="仿宋" w:eastAsia="仿宋" w:cs="仿宋"/>
          <w:b/>
          <w:sz w:val="24"/>
          <w:highlight w:val="none"/>
        </w:rPr>
      </w:pPr>
      <w:bookmarkStart w:id="32" w:name="_Toc7245"/>
      <w:bookmarkStart w:id="33" w:name="_Toc15322"/>
      <w:bookmarkStart w:id="34" w:name="_Toc11173"/>
      <w:r>
        <w:rPr>
          <w:rFonts w:hint="eastAsia" w:ascii="仿宋" w:hAnsi="仿宋" w:eastAsia="仿宋" w:cs="仿宋"/>
          <w:b/>
          <w:sz w:val="24"/>
          <w:highlight w:val="none"/>
        </w:rPr>
        <w:t>1.7合同生效</w:t>
      </w:r>
      <w:bookmarkEnd w:id="32"/>
      <w:bookmarkEnd w:id="33"/>
      <w:bookmarkEnd w:id="34"/>
    </w:p>
    <w:p>
      <w:pPr>
        <w:spacing w:line="56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本合同自双方当事人盖章或者签字时生效。</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统一社会信用代码：统一社会信用代码或身份证号码：</w:t>
      </w:r>
    </w:p>
    <w:p>
      <w:pPr>
        <w:autoSpaceDE w:val="0"/>
        <w:autoSpaceDN w:val="0"/>
        <w:spacing w:line="560" w:lineRule="exact"/>
        <w:rPr>
          <w:rFonts w:hint="eastAsia" w:ascii="仿宋" w:hAnsi="仿宋" w:eastAsia="仿宋" w:cs="仿宋"/>
          <w:sz w:val="24"/>
          <w:highlight w:val="none"/>
          <w:lang w:val="zh-CN"/>
        </w:rPr>
      </w:pP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住所：住所：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法定代表人或法定代表人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或授权代表（签字）: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联系人：联系人：</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约定送达地址：约定送达地址：</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邮政编码：邮政编码：</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lang w:val="zh-CN"/>
        </w:rPr>
        <w:t>电子邮箱：电子邮箱：</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560" w:lineRule="exact"/>
        <w:rPr>
          <w:rFonts w:hint="eastAsia" w:ascii="仿宋" w:hAnsi="仿宋" w:eastAsia="仿宋" w:cs="仿宋"/>
          <w:sz w:val="24"/>
          <w:highlight w:val="none"/>
        </w:rPr>
      </w:pPr>
      <w:r>
        <w:rPr>
          <w:rFonts w:hint="eastAsia" w:ascii="仿宋" w:hAnsi="仿宋" w:eastAsia="仿宋" w:cs="仿宋"/>
          <w:sz w:val="24"/>
          <w:highlight w:val="none"/>
        </w:rPr>
        <w:t>开户账号：开户账号：</w:t>
      </w:r>
    </w:p>
    <w:p>
      <w:pPr>
        <w:autoSpaceDE w:val="0"/>
        <w:autoSpaceDN w:val="0"/>
        <w:spacing w:line="560" w:lineRule="exact"/>
        <w:rPr>
          <w:rFonts w:hint="eastAsia" w:ascii="仿宋" w:hAnsi="仿宋" w:eastAsia="仿宋" w:cs="仿宋"/>
          <w:color w:val="auto"/>
          <w:sz w:val="24"/>
          <w:highlight w:val="none"/>
        </w:rPr>
      </w:pPr>
    </w:p>
    <w:p>
      <w:pPr>
        <w:rPr>
          <w:rFonts w:hint="eastAsia" w:ascii="仿宋" w:hAnsi="仿宋" w:eastAsia="仿宋" w:cs="仿宋"/>
          <w:color w:val="auto"/>
          <w:sz w:val="24"/>
          <w:highlight w:val="none"/>
          <w:u w:val="single"/>
        </w:rPr>
      </w:pPr>
    </w:p>
    <w:p>
      <w:pPr>
        <w:pStyle w:val="284"/>
        <w:pageBreakBefore/>
        <w:spacing w:line="560" w:lineRule="exact"/>
        <w:ind w:firstLine="723"/>
        <w:jc w:val="center"/>
        <w:rPr>
          <w:rFonts w:hint="eastAsia" w:ascii="仿宋" w:hAnsi="仿宋" w:eastAsia="仿宋" w:cs="仿宋"/>
          <w:b/>
          <w:color w:val="auto"/>
          <w:sz w:val="36"/>
          <w:szCs w:val="36"/>
          <w:highlight w:val="none"/>
        </w:rPr>
      </w:pPr>
      <w:bookmarkStart w:id="35" w:name="_Toc331685783"/>
      <w:r>
        <w:rPr>
          <w:rFonts w:hint="eastAsia" w:ascii="仿宋" w:hAnsi="仿宋" w:eastAsia="仿宋" w:cs="仿宋"/>
          <w:b/>
          <w:color w:val="auto"/>
          <w:sz w:val="36"/>
          <w:szCs w:val="36"/>
          <w:highlight w:val="none"/>
        </w:rPr>
        <w:t>第二部分合同一般条款</w:t>
      </w:r>
      <w:bookmarkEnd w:id="35"/>
    </w:p>
    <w:p>
      <w:pPr>
        <w:spacing w:line="560" w:lineRule="exact"/>
        <w:ind w:firstLine="482" w:firstLineChars="200"/>
        <w:outlineLvl w:val="0"/>
        <w:rPr>
          <w:rFonts w:hint="eastAsia" w:ascii="仿宋" w:hAnsi="仿宋" w:eastAsia="仿宋" w:cs="仿宋"/>
          <w:b/>
          <w:color w:val="auto"/>
          <w:sz w:val="24"/>
          <w:highlight w:val="none"/>
        </w:rPr>
      </w:pPr>
      <w:bookmarkStart w:id="36" w:name="_Toc279701240"/>
      <w:bookmarkStart w:id="37" w:name="_Ref467379214"/>
      <w:bookmarkStart w:id="38" w:name="_Ref467378499"/>
      <w:bookmarkStart w:id="39" w:name="_Ref467378463"/>
      <w:bookmarkStart w:id="40" w:name="_Ref467379101"/>
      <w:bookmarkStart w:id="41" w:name="_Toc28763"/>
      <w:bookmarkStart w:id="42" w:name="_Ref467379195"/>
      <w:bookmarkStart w:id="43" w:name="_Toc19614"/>
      <w:bookmarkStart w:id="44" w:name="_Ref467378404"/>
      <w:bookmarkStart w:id="45" w:name="_Toc16917"/>
      <w:bookmarkStart w:id="46" w:name="_Ref467379225"/>
      <w:bookmarkStart w:id="47" w:name="_Ref467379094"/>
      <w:bookmarkStart w:id="48" w:name="_Toc487900349"/>
      <w:bookmarkStart w:id="49" w:name="_Ref467379109"/>
      <w:bookmarkStart w:id="50" w:name="_Toc259093669"/>
      <w:bookmarkStart w:id="51" w:name="_Ref467379205"/>
      <w:r>
        <w:rPr>
          <w:rFonts w:hint="eastAsia" w:ascii="仿宋" w:hAnsi="仿宋" w:eastAsia="仿宋" w:cs="仿宋"/>
          <w:b/>
          <w:color w:val="auto"/>
          <w:sz w:val="24"/>
          <w:highlight w:val="none"/>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auto"/>
          <w:sz w:val="24"/>
          <w:highlight w:val="none"/>
        </w:rPr>
      </w:pPr>
      <w:bookmarkStart w:id="52" w:name="_Ref467378840"/>
      <w:r>
        <w:rPr>
          <w:rFonts w:hint="eastAsia" w:ascii="仿宋" w:hAnsi="仿宋" w:eastAsia="仿宋" w:cs="仿宋"/>
          <w:color w:val="auto"/>
          <w:sz w:val="24"/>
          <w:highlight w:val="none"/>
        </w:rPr>
        <w:t>2.1.4 “甲方”系指与中标供应商签署合同的采购人</w:t>
      </w:r>
      <w:bookmarkEnd w:id="52"/>
      <w:r>
        <w:rPr>
          <w:rFonts w:hint="eastAsia" w:ascii="仿宋" w:hAnsi="仿宋" w:eastAsia="仿宋" w:cs="仿宋"/>
          <w:color w:val="auto"/>
          <w:sz w:val="24"/>
          <w:highlight w:val="none"/>
        </w:rPr>
        <w:t>。</w:t>
      </w:r>
    </w:p>
    <w:p>
      <w:pPr>
        <w:spacing w:line="560" w:lineRule="exact"/>
        <w:ind w:firstLine="480" w:firstLineChars="200"/>
        <w:rPr>
          <w:rFonts w:hint="eastAsia" w:ascii="仿宋" w:hAnsi="仿宋" w:eastAsia="仿宋" w:cs="仿宋"/>
          <w:color w:val="auto"/>
          <w:sz w:val="24"/>
          <w:highlight w:val="none"/>
        </w:rPr>
      </w:pPr>
      <w:bookmarkStart w:id="53" w:name="_Ref467379400"/>
      <w:r>
        <w:rPr>
          <w:rFonts w:hint="eastAsia" w:ascii="仿宋" w:hAnsi="仿宋" w:eastAsia="仿宋" w:cs="仿宋"/>
          <w:color w:val="auto"/>
          <w:sz w:val="24"/>
          <w:highlight w:val="none"/>
        </w:rPr>
        <w:t>2.1.5 “乙方”系指根据合同约定交付货物的中标供应商</w:t>
      </w:r>
      <w:bookmarkEnd w:id="5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bookmarkStart w:id="54" w:name="_Ref467379436"/>
      <w:r>
        <w:rPr>
          <w:rFonts w:hint="eastAsia" w:ascii="仿宋" w:hAnsi="仿宋" w:eastAsia="仿宋" w:cs="仿宋"/>
          <w:color w:val="auto"/>
          <w:sz w:val="24"/>
          <w:highlight w:val="none"/>
        </w:rPr>
        <w:t>2.1.6 “现场”系指合同约定货物将要运至或者安装的地点。</w:t>
      </w:r>
      <w:bookmarkEnd w:id="54"/>
    </w:p>
    <w:p>
      <w:pPr>
        <w:spacing w:line="560" w:lineRule="exact"/>
        <w:ind w:firstLine="482" w:firstLineChars="200"/>
        <w:outlineLvl w:val="0"/>
        <w:rPr>
          <w:rFonts w:hint="eastAsia" w:ascii="仿宋" w:hAnsi="仿宋" w:eastAsia="仿宋" w:cs="仿宋"/>
          <w:b/>
          <w:color w:val="auto"/>
          <w:sz w:val="24"/>
          <w:highlight w:val="none"/>
        </w:rPr>
      </w:pPr>
      <w:bookmarkStart w:id="55" w:name="_Toc13336"/>
      <w:bookmarkStart w:id="56" w:name="_Toc259093670"/>
      <w:bookmarkStart w:id="57" w:name="_Toc279701241"/>
      <w:bookmarkStart w:id="58" w:name="_Toc487900350"/>
      <w:bookmarkStart w:id="59" w:name="_Toc32504"/>
      <w:bookmarkStart w:id="60" w:name="_Toc27635"/>
      <w:r>
        <w:rPr>
          <w:rFonts w:hint="eastAsia" w:ascii="仿宋" w:hAnsi="仿宋" w:eastAsia="仿宋" w:cs="仿宋"/>
          <w:b/>
          <w:color w:val="auto"/>
          <w:sz w:val="24"/>
          <w:highlight w:val="none"/>
        </w:rPr>
        <w:t>2.2 技术规范</w:t>
      </w:r>
      <w:bookmarkEnd w:id="55"/>
      <w:bookmarkEnd w:id="56"/>
      <w:bookmarkEnd w:id="57"/>
      <w:bookmarkEnd w:id="58"/>
      <w:bookmarkEnd w:id="59"/>
      <w:bookmarkEnd w:id="6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61" w:name="_Toc31634"/>
      <w:bookmarkStart w:id="62" w:name="_Toc487900351"/>
      <w:bookmarkStart w:id="63" w:name="_Toc259093671"/>
      <w:bookmarkStart w:id="64" w:name="_Toc27853"/>
      <w:bookmarkStart w:id="65" w:name="_Toc9829"/>
      <w:bookmarkStart w:id="66" w:name="_Toc279701242"/>
      <w:r>
        <w:rPr>
          <w:rFonts w:hint="eastAsia" w:ascii="仿宋" w:hAnsi="仿宋" w:eastAsia="仿宋" w:cs="仿宋"/>
          <w:b/>
          <w:color w:val="auto"/>
          <w:sz w:val="24"/>
          <w:highlight w:val="none"/>
        </w:rPr>
        <w:t>2.3 知识产权</w:t>
      </w:r>
      <w:bookmarkEnd w:id="61"/>
      <w:bookmarkEnd w:id="62"/>
      <w:bookmarkEnd w:id="63"/>
      <w:bookmarkEnd w:id="64"/>
      <w:bookmarkEnd w:id="65"/>
      <w:bookmarkEnd w:id="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67" w:name="_Toc4194"/>
      <w:bookmarkStart w:id="68" w:name="_Toc29149"/>
      <w:bookmarkStart w:id="69" w:name="_Toc11932"/>
      <w:r>
        <w:rPr>
          <w:rFonts w:hint="eastAsia" w:ascii="仿宋" w:hAnsi="仿宋" w:eastAsia="仿宋" w:cs="仿宋"/>
          <w:b/>
          <w:color w:val="auto"/>
          <w:sz w:val="24"/>
          <w:highlight w:val="none"/>
        </w:rPr>
        <w:t>2.4 包装和装运</w:t>
      </w:r>
      <w:bookmarkEnd w:id="67"/>
      <w:bookmarkEnd w:id="68"/>
      <w:bookmarkEnd w:id="6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70" w:name="_Ref467378591"/>
      <w:bookmarkStart w:id="71" w:name="_Toc259093674"/>
      <w:bookmarkStart w:id="72" w:name="_Ref467379536"/>
      <w:bookmarkStart w:id="73" w:name="_Ref467379542"/>
      <w:bookmarkStart w:id="74" w:name="_Toc487900354"/>
      <w:bookmarkStart w:id="75" w:name="_Toc279701245"/>
      <w:bookmarkStart w:id="76" w:name="_Ref467379527"/>
      <w:bookmarkStart w:id="77" w:name="_Ref467378541"/>
      <w:bookmarkStart w:id="78" w:name="_Toc26182"/>
      <w:bookmarkStart w:id="79" w:name="_Toc30272"/>
      <w:bookmarkStart w:id="80" w:name="_Toc19074"/>
      <w:r>
        <w:rPr>
          <w:rFonts w:hint="eastAsia" w:ascii="仿宋" w:hAnsi="仿宋" w:eastAsia="仿宋" w:cs="仿宋"/>
          <w:b/>
          <w:color w:val="auto"/>
          <w:sz w:val="24"/>
          <w:highlight w:val="none"/>
        </w:rPr>
        <w:t>2.</w:t>
      </w:r>
      <w:bookmarkEnd w:id="70"/>
      <w:bookmarkEnd w:id="71"/>
      <w:bookmarkEnd w:id="72"/>
      <w:bookmarkEnd w:id="73"/>
      <w:bookmarkEnd w:id="74"/>
      <w:bookmarkEnd w:id="75"/>
      <w:bookmarkEnd w:id="76"/>
      <w:bookmarkEnd w:id="77"/>
      <w:r>
        <w:rPr>
          <w:rFonts w:hint="eastAsia" w:ascii="仿宋" w:hAnsi="仿宋" w:eastAsia="仿宋" w:cs="仿宋"/>
          <w:b/>
          <w:color w:val="auto"/>
          <w:sz w:val="24"/>
          <w:highlight w:val="none"/>
        </w:rPr>
        <w:t>5 履约检查和问题反馈</w:t>
      </w:r>
      <w:bookmarkEnd w:id="78"/>
      <w:bookmarkEnd w:id="79"/>
      <w:bookmarkEnd w:id="80"/>
    </w:p>
    <w:p>
      <w:pPr>
        <w:spacing w:line="560" w:lineRule="exact"/>
        <w:ind w:firstLine="480" w:firstLineChars="200"/>
        <w:rPr>
          <w:rFonts w:hint="eastAsia" w:ascii="仿宋" w:hAnsi="仿宋" w:eastAsia="仿宋" w:cs="仿宋"/>
          <w:color w:val="auto"/>
          <w:sz w:val="24"/>
          <w:highlight w:val="none"/>
        </w:rPr>
      </w:pPr>
      <w:bookmarkStart w:id="81" w:name="_Ref467379657"/>
      <w:r>
        <w:rPr>
          <w:rFonts w:hint="eastAsia" w:ascii="仿宋" w:hAnsi="仿宋" w:eastAsia="仿宋" w:cs="仿宋"/>
          <w:color w:val="auto"/>
          <w:sz w:val="24"/>
          <w:highlight w:val="none"/>
        </w:rPr>
        <w:t>2.5.1</w:t>
      </w:r>
      <w:bookmarkEnd w:id="81"/>
      <w:bookmarkStart w:id="82" w:name="_Toc186431854"/>
      <w:bookmarkStart w:id="83" w:name="_Ref467379793"/>
      <w:bookmarkStart w:id="84" w:name="_Ref467379807"/>
      <w:bookmarkStart w:id="85" w:name="_Toc279701247"/>
      <w:bookmarkStart w:id="86" w:name="_Toc487900357"/>
      <w:bookmarkStart w:id="8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82"/>
      <w:bookmarkStart w:id="88" w:name="_Toc186431855"/>
      <w:r>
        <w:rPr>
          <w:rFonts w:hint="eastAsia" w:ascii="仿宋" w:hAnsi="仿宋" w:eastAsia="仿宋" w:cs="仿宋"/>
          <w:color w:val="auto"/>
          <w:sz w:val="24"/>
          <w:highlight w:val="none"/>
        </w:rPr>
        <w:t>。</w:t>
      </w:r>
    </w:p>
    <w:bookmarkEnd w:id="83"/>
    <w:bookmarkEnd w:id="84"/>
    <w:bookmarkEnd w:id="85"/>
    <w:bookmarkEnd w:id="86"/>
    <w:bookmarkEnd w:id="87"/>
    <w:bookmarkEnd w:id="88"/>
    <w:p>
      <w:pPr>
        <w:spacing w:line="560" w:lineRule="exact"/>
        <w:ind w:firstLine="482" w:firstLineChars="200"/>
        <w:outlineLvl w:val="0"/>
        <w:rPr>
          <w:rFonts w:hint="eastAsia" w:ascii="仿宋" w:hAnsi="仿宋" w:eastAsia="仿宋" w:cs="仿宋"/>
          <w:b/>
          <w:color w:val="auto"/>
          <w:sz w:val="24"/>
          <w:highlight w:val="none"/>
        </w:rPr>
      </w:pPr>
      <w:bookmarkStart w:id="89" w:name="_Ref467379852"/>
      <w:bookmarkStart w:id="90" w:name="_Ref467379863"/>
      <w:bookmarkStart w:id="91" w:name="_Ref467379923"/>
      <w:bookmarkStart w:id="92" w:name="_Toc259093677"/>
      <w:bookmarkStart w:id="93" w:name="_Toc487900358"/>
      <w:bookmarkStart w:id="94" w:name="_Toc279701248"/>
      <w:bookmarkStart w:id="95" w:name="_Toc3225"/>
      <w:bookmarkStart w:id="96" w:name="_Toc774"/>
      <w:bookmarkStart w:id="97" w:name="_Toc16110"/>
      <w:r>
        <w:rPr>
          <w:rFonts w:hint="eastAsia" w:ascii="仿宋" w:hAnsi="仿宋" w:eastAsia="仿宋" w:cs="仿宋"/>
          <w:b/>
          <w:color w:val="auto"/>
          <w:sz w:val="24"/>
          <w:highlight w:val="none"/>
        </w:rPr>
        <w:t>2.6 技术资料</w:t>
      </w:r>
      <w:bookmarkEnd w:id="89"/>
      <w:bookmarkEnd w:id="90"/>
      <w:bookmarkEnd w:id="91"/>
      <w:bookmarkEnd w:id="92"/>
      <w:bookmarkEnd w:id="93"/>
      <w:bookmarkEnd w:id="94"/>
      <w:r>
        <w:rPr>
          <w:rFonts w:hint="eastAsia" w:ascii="仿宋" w:hAnsi="仿宋" w:eastAsia="仿宋" w:cs="仿宋"/>
          <w:b/>
          <w:color w:val="auto"/>
          <w:sz w:val="24"/>
          <w:highlight w:val="none"/>
        </w:rPr>
        <w:t>和保密义务</w:t>
      </w:r>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98" w:name="_Toc7860"/>
      <w:r>
        <w:rPr>
          <w:rFonts w:hint="eastAsia" w:ascii="仿宋" w:hAnsi="仿宋" w:eastAsia="仿宋" w:cs="仿宋"/>
          <w:b/>
          <w:color w:val="auto"/>
          <w:sz w:val="24"/>
          <w:highlight w:val="none"/>
        </w:rPr>
        <w:t>2.7 质量保证</w:t>
      </w:r>
      <w:bookmarkEnd w:id="9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99" w:name="_Toc17244"/>
      <w:bookmarkStart w:id="100" w:name="_Toc259093681"/>
      <w:bookmarkStart w:id="101" w:name="_Toc487900362"/>
      <w:bookmarkStart w:id="102" w:name="_Toc279701252"/>
      <w:r>
        <w:rPr>
          <w:rFonts w:hint="eastAsia" w:ascii="仿宋" w:hAnsi="仿宋" w:eastAsia="仿宋" w:cs="仿宋"/>
          <w:b/>
          <w:color w:val="auto"/>
          <w:sz w:val="24"/>
          <w:highlight w:val="none"/>
        </w:rPr>
        <w:t>2.8 货物的风险负担</w:t>
      </w:r>
      <w:bookmarkEnd w:id="99"/>
    </w:p>
    <w:p>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3" w:name="_Toc14055"/>
      <w:r>
        <w:rPr>
          <w:rFonts w:hint="eastAsia" w:ascii="仿宋" w:hAnsi="仿宋" w:eastAsia="仿宋" w:cs="仿宋"/>
          <w:b/>
          <w:color w:val="auto"/>
          <w:sz w:val="24"/>
          <w:highlight w:val="none"/>
        </w:rPr>
        <w:t>2.9 延迟交货</w:t>
      </w:r>
      <w:bookmarkEnd w:id="100"/>
      <w:bookmarkEnd w:id="101"/>
      <w:bookmarkEnd w:id="102"/>
      <w:bookmarkEnd w:id="10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auto"/>
          <w:sz w:val="24"/>
          <w:highlight w:val="none"/>
        </w:rPr>
      </w:pPr>
      <w:bookmarkStart w:id="104" w:name="_Toc7502"/>
      <w:bookmarkStart w:id="105" w:name="_Toc279701254"/>
      <w:bookmarkStart w:id="106" w:name="_Ref467378121"/>
      <w:bookmarkStart w:id="107" w:name="_Toc259093683"/>
      <w:bookmarkStart w:id="108" w:name="_Toc487900364"/>
      <w:r>
        <w:rPr>
          <w:rFonts w:hint="eastAsia" w:ascii="仿宋" w:hAnsi="仿宋" w:eastAsia="仿宋" w:cs="仿宋"/>
          <w:b/>
          <w:color w:val="auto"/>
          <w:sz w:val="24"/>
          <w:highlight w:val="none"/>
        </w:rPr>
        <w:t>2.10 合同变更</w:t>
      </w:r>
      <w:bookmarkEnd w:id="10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pPr>
        <w:spacing w:line="560" w:lineRule="exact"/>
        <w:ind w:firstLine="482" w:firstLineChars="200"/>
        <w:outlineLvl w:val="0"/>
        <w:rPr>
          <w:rFonts w:hint="eastAsia" w:ascii="仿宋" w:hAnsi="仿宋" w:eastAsia="仿宋" w:cs="仿宋"/>
          <w:b/>
          <w:color w:val="auto"/>
          <w:sz w:val="24"/>
          <w:highlight w:val="none"/>
        </w:rPr>
      </w:pPr>
      <w:bookmarkStart w:id="112" w:name="_Toc10366"/>
      <w:bookmarkStart w:id="113" w:name="_Toc15237"/>
      <w:bookmarkStart w:id="114" w:name="_Toc22955"/>
      <w:r>
        <w:rPr>
          <w:rFonts w:hint="eastAsia" w:ascii="仿宋" w:hAnsi="仿宋" w:eastAsia="仿宋" w:cs="仿宋"/>
          <w:b/>
          <w:color w:val="auto"/>
          <w:sz w:val="24"/>
          <w:highlight w:val="none"/>
        </w:rPr>
        <w:t>2.11 合同转让</w:t>
      </w:r>
      <w:bookmarkEnd w:id="109"/>
      <w:bookmarkEnd w:id="110"/>
      <w:bookmarkEnd w:id="111"/>
      <w:r>
        <w:rPr>
          <w:rFonts w:hint="eastAsia" w:ascii="仿宋" w:hAnsi="仿宋" w:eastAsia="仿宋" w:cs="仿宋"/>
          <w:b/>
          <w:color w:val="auto"/>
          <w:sz w:val="24"/>
          <w:highlight w:val="none"/>
        </w:rPr>
        <w:t>和分包</w:t>
      </w:r>
      <w:bookmarkEnd w:id="112"/>
      <w:bookmarkEnd w:id="113"/>
      <w:bookmarkEnd w:id="114"/>
      <w:r>
        <w:rPr>
          <w:rFonts w:hint="eastAsia" w:ascii="仿宋" w:hAnsi="仿宋" w:eastAsia="仿宋" w:cs="仿宋"/>
          <w:b/>
          <w:color w:val="auto"/>
          <w:sz w:val="24"/>
          <w:highlight w:val="none"/>
        </w:rPr>
        <w:t>（如有）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auto"/>
          <w:sz w:val="24"/>
          <w:highlight w:val="none"/>
        </w:rPr>
      </w:pPr>
      <w:bookmarkStart w:id="115" w:name="_Toc13566"/>
      <w:bookmarkStart w:id="116" w:name="_Toc14066"/>
      <w:bookmarkStart w:id="117" w:name="_Toc16508"/>
      <w:r>
        <w:rPr>
          <w:rFonts w:hint="eastAsia" w:ascii="仿宋" w:hAnsi="仿宋" w:eastAsia="仿宋" w:cs="仿宋"/>
          <w:b/>
          <w:color w:val="auto"/>
          <w:sz w:val="24"/>
          <w:highlight w:val="none"/>
        </w:rPr>
        <w:t>2.12 不可抗力</w:t>
      </w:r>
      <w:bookmarkEnd w:id="115"/>
      <w:bookmarkEnd w:id="116"/>
      <w:bookmarkEnd w:id="11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18" w:name="_Toc279701255"/>
      <w:bookmarkStart w:id="119" w:name="_Toc6969"/>
      <w:bookmarkStart w:id="120" w:name="_Toc487900365"/>
      <w:bookmarkStart w:id="121" w:name="_Toc30676"/>
      <w:bookmarkStart w:id="122" w:name="_Toc259093684"/>
      <w:bookmarkStart w:id="123" w:name="_Toc689"/>
      <w:r>
        <w:rPr>
          <w:rFonts w:hint="eastAsia" w:ascii="仿宋" w:hAnsi="仿宋" w:eastAsia="仿宋" w:cs="仿宋"/>
          <w:b/>
          <w:color w:val="auto"/>
          <w:sz w:val="24"/>
          <w:highlight w:val="none"/>
        </w:rPr>
        <w:t>2.13 税费</w:t>
      </w:r>
      <w:bookmarkEnd w:id="118"/>
      <w:bookmarkEnd w:id="119"/>
      <w:bookmarkEnd w:id="120"/>
      <w:bookmarkEnd w:id="121"/>
      <w:bookmarkEnd w:id="122"/>
      <w:bookmarkEnd w:id="12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auto"/>
          <w:sz w:val="24"/>
          <w:highlight w:val="none"/>
        </w:rPr>
      </w:pPr>
      <w:bookmarkStart w:id="124" w:name="_Toc259093687"/>
      <w:bookmarkStart w:id="125" w:name="_Toc279701258"/>
      <w:bookmarkStart w:id="126" w:name="_Toc8298"/>
      <w:bookmarkStart w:id="127" w:name="_Toc487900368"/>
      <w:bookmarkStart w:id="128" w:name="_Toc7102"/>
      <w:bookmarkStart w:id="129" w:name="_Toc16959"/>
      <w:r>
        <w:rPr>
          <w:rFonts w:hint="eastAsia" w:ascii="仿宋" w:hAnsi="仿宋" w:eastAsia="仿宋" w:cs="仿宋"/>
          <w:b/>
          <w:color w:val="auto"/>
          <w:sz w:val="24"/>
          <w:highlight w:val="none"/>
        </w:rPr>
        <w:t>2.14乙方破产</w:t>
      </w:r>
      <w:bookmarkEnd w:id="124"/>
      <w:bookmarkEnd w:id="125"/>
      <w:bookmarkEnd w:id="126"/>
      <w:bookmarkEnd w:id="127"/>
      <w:bookmarkEnd w:id="128"/>
      <w:bookmarkEnd w:id="129"/>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0" w:name="_Toc29333"/>
      <w:bookmarkStart w:id="131" w:name="_Toc15387"/>
      <w:bookmarkStart w:id="132" w:name="_Toc6134"/>
      <w:r>
        <w:rPr>
          <w:rFonts w:hint="eastAsia" w:ascii="仿宋" w:hAnsi="仿宋" w:eastAsia="仿宋" w:cs="仿宋"/>
          <w:b/>
          <w:color w:val="auto"/>
          <w:sz w:val="24"/>
          <w:highlight w:val="none"/>
        </w:rPr>
        <w:t>2.15 合同中止、终止</w:t>
      </w:r>
      <w:bookmarkEnd w:id="130"/>
      <w:bookmarkEnd w:id="131"/>
      <w:bookmarkEnd w:id="13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3" w:name="_Toc1125"/>
      <w:bookmarkStart w:id="134" w:name="_Toc6596"/>
      <w:bookmarkStart w:id="135" w:name="_Toc14563"/>
      <w:r>
        <w:rPr>
          <w:rFonts w:hint="eastAsia" w:ascii="仿宋" w:hAnsi="仿宋" w:eastAsia="仿宋" w:cs="仿宋"/>
          <w:b/>
          <w:color w:val="auto"/>
          <w:sz w:val="24"/>
          <w:highlight w:val="none"/>
        </w:rPr>
        <w:t>2.16检验和验收</w:t>
      </w:r>
      <w:bookmarkEnd w:id="133"/>
      <w:bookmarkEnd w:id="134"/>
      <w:bookmarkEnd w:id="135"/>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2.16.1货物交付前，乙方应对货物的质量、数量等方面进行详细、全面的检验，并向甲方出具证明货物符合合同约定的文件；货物交付时，乙方在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05"/>
    <w:bookmarkEnd w:id="106"/>
    <w:bookmarkEnd w:id="107"/>
    <w:bookmarkEnd w:id="108"/>
    <w:p>
      <w:pPr>
        <w:spacing w:line="560" w:lineRule="exact"/>
        <w:ind w:firstLine="482" w:firstLineChars="200"/>
        <w:outlineLvl w:val="0"/>
        <w:rPr>
          <w:rFonts w:hint="eastAsia" w:ascii="仿宋" w:hAnsi="仿宋" w:eastAsia="仿宋" w:cs="仿宋"/>
          <w:b/>
          <w:color w:val="auto"/>
          <w:sz w:val="24"/>
          <w:highlight w:val="none"/>
        </w:rPr>
      </w:pPr>
      <w:bookmarkStart w:id="136" w:name="_Toc259093690"/>
      <w:bookmarkStart w:id="137" w:name="_Toc279701261"/>
      <w:bookmarkStart w:id="138" w:name="_Toc487900371"/>
      <w:bookmarkStart w:id="139" w:name="_Toc11284"/>
      <w:bookmarkStart w:id="140" w:name="_Toc19604"/>
      <w:bookmarkStart w:id="141" w:name="_Toc25182"/>
      <w:r>
        <w:rPr>
          <w:rFonts w:hint="eastAsia" w:ascii="仿宋" w:hAnsi="仿宋" w:eastAsia="仿宋" w:cs="仿宋"/>
          <w:b/>
          <w:color w:val="auto"/>
          <w:sz w:val="24"/>
          <w:highlight w:val="none"/>
        </w:rPr>
        <w:t>2.17 通知</w:t>
      </w:r>
      <w:bookmarkEnd w:id="136"/>
      <w:bookmarkEnd w:id="137"/>
      <w:bookmarkEnd w:id="138"/>
      <w:r>
        <w:rPr>
          <w:rFonts w:hint="eastAsia" w:ascii="仿宋" w:hAnsi="仿宋" w:eastAsia="仿宋" w:cs="仿宋"/>
          <w:b/>
          <w:color w:val="auto"/>
          <w:sz w:val="24"/>
          <w:highlight w:val="none"/>
        </w:rPr>
        <w:t>和送达</w:t>
      </w:r>
      <w:bookmarkEnd w:id="139"/>
      <w:bookmarkEnd w:id="140"/>
      <w:bookmarkEnd w:id="141"/>
    </w:p>
    <w:p>
      <w:pPr>
        <w:spacing w:line="560" w:lineRule="exact"/>
        <w:ind w:firstLine="480" w:firstLineChars="200"/>
        <w:rPr>
          <w:rFonts w:hint="eastAsia" w:ascii="仿宋" w:hAnsi="仿宋" w:eastAsia="仿宋" w:cs="仿宋"/>
          <w:color w:val="auto"/>
          <w:sz w:val="24"/>
          <w:highlight w:val="none"/>
        </w:rPr>
      </w:pPr>
      <w:bookmarkStart w:id="142" w:name="_Toc6698"/>
      <w:bookmarkStart w:id="143" w:name="_Toc3135"/>
      <w:bookmarkStart w:id="144" w:name="_Toc259093691"/>
      <w:bookmarkStart w:id="145" w:name="_Toc487900372"/>
      <w:bookmarkStart w:id="146" w:name="_Toc279701262"/>
      <w:r>
        <w:rPr>
          <w:rFonts w:hint="eastAsia" w:ascii="仿宋" w:hAnsi="仿宋" w:eastAsia="仿宋" w:cs="仿宋"/>
          <w:color w:val="auto"/>
          <w:sz w:val="24"/>
          <w:highlight w:val="none"/>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2"/>
      <w:bookmarkEnd w:id="143"/>
    </w:p>
    <w:p>
      <w:pPr>
        <w:spacing w:line="560" w:lineRule="exact"/>
        <w:ind w:firstLine="480" w:firstLineChars="200"/>
        <w:rPr>
          <w:rFonts w:hint="eastAsia" w:ascii="仿宋" w:hAnsi="仿宋" w:eastAsia="仿宋" w:cs="仿宋"/>
          <w:color w:val="auto"/>
          <w:sz w:val="24"/>
          <w:highlight w:val="none"/>
        </w:rPr>
      </w:pPr>
      <w:bookmarkStart w:id="147" w:name="_Toc23294"/>
      <w:bookmarkStart w:id="14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30599"/>
      <w:bookmarkStart w:id="150" w:name="_Toc18540"/>
      <w:bookmarkStart w:id="151" w:name="_Toc4355"/>
      <w:r>
        <w:rPr>
          <w:rFonts w:hint="eastAsia" w:ascii="仿宋" w:hAnsi="仿宋" w:eastAsia="仿宋" w:cs="仿宋"/>
          <w:b/>
          <w:color w:val="auto"/>
          <w:sz w:val="24"/>
          <w:highlight w:val="none"/>
        </w:rPr>
        <w:t>2.18 计量单位</w:t>
      </w:r>
      <w:bookmarkEnd w:id="144"/>
      <w:bookmarkEnd w:id="145"/>
      <w:bookmarkEnd w:id="146"/>
      <w:bookmarkEnd w:id="149"/>
      <w:bookmarkEnd w:id="150"/>
      <w:bookmarkEnd w:id="151"/>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2" w:name="_Toc18567"/>
      <w:bookmarkStart w:id="153" w:name="_Toc12773"/>
      <w:bookmarkStart w:id="154" w:name="_Toc279701263"/>
      <w:bookmarkStart w:id="155" w:name="_Toc259093692"/>
      <w:bookmarkStart w:id="156" w:name="_Toc10330"/>
      <w:bookmarkStart w:id="157" w:name="_Toc487900373"/>
      <w:r>
        <w:rPr>
          <w:rFonts w:hint="eastAsia" w:ascii="仿宋" w:hAnsi="仿宋" w:eastAsia="仿宋" w:cs="仿宋"/>
          <w:b/>
          <w:color w:val="auto"/>
          <w:sz w:val="24"/>
          <w:highlight w:val="none"/>
        </w:rPr>
        <w:t>2.19 合同使用的文字和适用的法律</w:t>
      </w:r>
      <w:bookmarkEnd w:id="152"/>
      <w:bookmarkEnd w:id="153"/>
      <w:bookmarkEnd w:id="154"/>
      <w:bookmarkEnd w:id="155"/>
      <w:bookmarkEnd w:id="156"/>
      <w:bookmarkEnd w:id="15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8" w:name="_Toc259093693"/>
      <w:bookmarkStart w:id="159" w:name="_Toc12004"/>
      <w:bookmarkStart w:id="160" w:name="_Toc279701264"/>
      <w:bookmarkStart w:id="161" w:name="_Toc3148"/>
      <w:bookmarkStart w:id="162" w:name="_Toc16673"/>
      <w:bookmarkStart w:id="163" w:name="_Toc487900374"/>
      <w:r>
        <w:rPr>
          <w:rFonts w:hint="eastAsia" w:ascii="仿宋" w:hAnsi="仿宋" w:eastAsia="仿宋" w:cs="仿宋"/>
          <w:b/>
          <w:color w:val="auto"/>
          <w:sz w:val="24"/>
          <w:highlight w:val="none"/>
        </w:rPr>
        <w:t>2.20 履约保证金</w:t>
      </w:r>
      <w:bookmarkEnd w:id="158"/>
      <w:bookmarkEnd w:id="159"/>
      <w:bookmarkEnd w:id="160"/>
      <w:bookmarkEnd w:id="161"/>
      <w:bookmarkEnd w:id="162"/>
    </w:p>
    <w:p>
      <w:pPr>
        <w:pStyle w:val="285"/>
        <w:spacing w:before="0" w:beforeAutospacing="0" w:after="0" w:afterAutospacing="0" w:line="360" w:lineRule="auto"/>
        <w:ind w:firstLine="420"/>
        <w:rPr>
          <w:rFonts w:hint="eastAsia" w:ascii="仿宋" w:hAnsi="仿宋" w:eastAsia="仿宋" w:cs="仿宋"/>
          <w:color w:val="auto"/>
          <w:highlight w:val="none"/>
        </w:rPr>
      </w:pPr>
      <w:r>
        <w:rPr>
          <w:rFonts w:hint="eastAsia" w:ascii="仿宋" w:hAnsi="仿宋" w:eastAsia="仿宋" w:cs="仿宋"/>
          <w:color w:val="auto"/>
          <w:highlight w:val="none"/>
        </w:rPr>
        <w:t>2.20.1 采购文件要求乙方提交履约保证金的，乙方应按</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2.20.2  履约保证金在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约定期间内不予退还。乙方在前述约定期间届满前能履行完合同约定义务事项的，甲方在前述约定期间届满之日起个工作日内，按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2.20.4甲方在乙方履行完合同约定义务事项后及时退还，延迟退还的，应当按照合同约定和法律规定承担相应的赔偿责任。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2.21对于因甲方原因导致变更、中止或者终止政府采购合同的，甲方应当依照合同约定对供应商受到的损失予以赔偿或者补偿。</w:t>
      </w:r>
    </w:p>
    <w:bookmarkEnd w:id="163"/>
    <w:p>
      <w:pPr>
        <w:spacing w:line="560" w:lineRule="exact"/>
        <w:ind w:firstLine="482" w:firstLineChars="200"/>
        <w:outlineLvl w:val="0"/>
        <w:rPr>
          <w:rFonts w:hint="eastAsia" w:ascii="仿宋" w:hAnsi="仿宋" w:eastAsia="仿宋" w:cs="仿宋"/>
          <w:b/>
          <w:color w:val="auto"/>
          <w:sz w:val="24"/>
          <w:highlight w:val="none"/>
        </w:rPr>
      </w:pPr>
      <w:bookmarkStart w:id="164" w:name="_Toc14001"/>
      <w:bookmarkStart w:id="165" w:name="_Toc6885"/>
      <w:bookmarkStart w:id="166" w:name="_Toc19890"/>
      <w:r>
        <w:rPr>
          <w:rFonts w:hint="eastAsia" w:ascii="仿宋" w:hAnsi="仿宋" w:eastAsia="仿宋" w:cs="仿宋"/>
          <w:b/>
          <w:color w:val="auto"/>
          <w:sz w:val="24"/>
          <w:highlight w:val="none"/>
        </w:rPr>
        <w:t>2.22合同份数</w:t>
      </w:r>
      <w:bookmarkEnd w:id="164"/>
      <w:bookmarkEnd w:id="165"/>
      <w:bookmarkEnd w:id="16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67" w:name="_Toc331685784"/>
      <w:bookmarkEnd w:id="167"/>
      <w:r>
        <w:rPr>
          <w:rFonts w:hint="eastAsia" w:ascii="仿宋" w:hAnsi="仿宋" w:eastAsia="仿宋" w:cs="仿宋"/>
          <w:b/>
          <w:color w:val="auto"/>
          <w:szCs w:val="24"/>
          <w:highlight w:val="none"/>
        </w:rPr>
        <w:t>第三部分合同专用条款</w:t>
      </w:r>
    </w:p>
    <w:p>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0分。评分依下述所列为评标打分依据，分值如下（计算分值时，按其算术平均值保留小数2位）。</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13"/>
        <w:gridCol w:w="7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3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评审项目</w:t>
            </w:r>
          </w:p>
        </w:tc>
        <w:tc>
          <w:tcPr>
            <w:tcW w:w="7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3" w:hRule="atLeast"/>
          <w:jc w:val="center"/>
        </w:trPr>
        <w:tc>
          <w:tcPr>
            <w:tcW w:w="7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kern w:val="0"/>
                <w:sz w:val="21"/>
                <w:szCs w:val="21"/>
                <w:highlight w:val="none"/>
              </w:rPr>
              <w:t>1</w:t>
            </w:r>
          </w:p>
        </w:tc>
        <w:tc>
          <w:tcPr>
            <w:tcW w:w="13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企业综合实力</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（16分）</w:t>
            </w: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1.根据投标人企业综合实力、管理制度，信誉等情况综合评审，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4.1-6分，良得2.1-4分，一般得0-2分</w:t>
            </w:r>
            <w:r>
              <w:rPr>
                <w:rFonts w:hint="eastAsia" w:ascii="仿宋" w:hAnsi="仿宋" w:eastAsia="仿宋" w:cs="仿宋"/>
                <w:sz w:val="21"/>
                <w:szCs w:val="21"/>
                <w:highlight w:val="none"/>
              </w:rPr>
              <w:t>。</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2.</w:t>
            </w:r>
            <w:r>
              <w:rPr>
                <w:rFonts w:hint="eastAsia" w:ascii="仿宋" w:hAnsi="仿宋" w:eastAsia="仿宋" w:cs="仿宋"/>
                <w:kern w:val="0"/>
                <w:sz w:val="21"/>
                <w:szCs w:val="21"/>
                <w:highlight w:val="none"/>
              </w:rPr>
              <w:t>投标人具有《公共场所集中空调通风系统专业清洗机构技术评估合格证书》或《集中空调系统清洗维保服务企业资质证书》得2分。</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w:t>
            </w:r>
            <w:r>
              <w:rPr>
                <w:rFonts w:hint="eastAsia" w:ascii="仿宋" w:hAnsi="仿宋" w:eastAsia="仿宋" w:cs="仿宋"/>
                <w:kern w:val="0"/>
                <w:sz w:val="21"/>
                <w:szCs w:val="21"/>
                <w:highlight w:val="none"/>
              </w:rPr>
              <w:t>投标人具有：ISO9001质量管理体系认证证书；ISO14001环境管理体系认证书；</w:t>
            </w:r>
            <w:r>
              <w:rPr>
                <w:rFonts w:hint="eastAsia" w:ascii="仿宋" w:hAnsi="仿宋" w:eastAsia="仿宋" w:cs="仿宋"/>
                <w:sz w:val="21"/>
                <w:szCs w:val="21"/>
                <w:highlight w:val="none"/>
              </w:rPr>
              <w:t>IS45001</w:t>
            </w:r>
            <w:r>
              <w:rPr>
                <w:rFonts w:hint="eastAsia" w:ascii="仿宋" w:hAnsi="仿宋" w:eastAsia="仿宋" w:cs="仿宋"/>
                <w:kern w:val="0"/>
                <w:sz w:val="21"/>
                <w:szCs w:val="21"/>
                <w:highlight w:val="none"/>
              </w:rPr>
              <w:t>职业健康安全管理体系认证证书</w:t>
            </w:r>
            <w:r>
              <w:rPr>
                <w:rFonts w:hint="eastAsia" w:ascii="仿宋" w:hAnsi="仿宋" w:eastAsia="仿宋" w:cs="仿宋"/>
                <w:sz w:val="21"/>
                <w:szCs w:val="21"/>
                <w:highlight w:val="none"/>
              </w:rPr>
              <w:t>（认证范围：空调设备清洗；有害生物防治服务）</w:t>
            </w:r>
            <w:r>
              <w:rPr>
                <w:rFonts w:hint="eastAsia" w:ascii="仿宋" w:hAnsi="仿宋" w:eastAsia="仿宋" w:cs="仿宋"/>
                <w:kern w:val="0"/>
                <w:sz w:val="21"/>
                <w:szCs w:val="21"/>
                <w:highlight w:val="none"/>
              </w:rPr>
              <w:t>；</w:t>
            </w:r>
            <w:r>
              <w:rPr>
                <w:rFonts w:hint="eastAsia" w:ascii="仿宋" w:hAnsi="仿宋" w:eastAsia="仿宋" w:cs="仿宋"/>
                <w:sz w:val="21"/>
                <w:szCs w:val="21"/>
                <w:highlight w:val="none"/>
              </w:rPr>
              <w:t>ISO50001能源管理体系认证证书（认证范围：空调设备的维保、清洗）；以上每提供一项得2分，最高得8分。</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注：投标文件中提供证书原件扫描件并加盖投标人公章，所有认证证书提供全国认证认可信息公共服务平台（http://cx.cnca.cn/CertECloud/index/index/page）相关材料截图扫描，并加盖投标单位公章，不提供不得分。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2</w:t>
            </w:r>
          </w:p>
        </w:tc>
        <w:tc>
          <w:tcPr>
            <w:tcW w:w="13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类似项目业绩（3分）</w:t>
            </w:r>
          </w:p>
        </w:tc>
        <w:tc>
          <w:tcPr>
            <w:tcW w:w="7045"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投标人自202</w:t>
            </w:r>
            <w:r>
              <w:rPr>
                <w:rFonts w:hint="eastAsia" w:ascii="仿宋" w:hAnsi="仿宋" w:eastAsia="仿宋" w:cs="仿宋"/>
                <w:sz w:val="21"/>
                <w:szCs w:val="21"/>
                <w:highlight w:val="none"/>
                <w:lang w:val="en-US" w:eastAsia="zh-CN"/>
              </w:rPr>
              <w:t>0</w:t>
            </w:r>
            <w:r>
              <w:rPr>
                <w:rFonts w:hint="eastAsia" w:ascii="仿宋" w:hAnsi="仿宋" w:eastAsia="仿宋" w:cs="仿宋"/>
                <w:sz w:val="21"/>
                <w:szCs w:val="21"/>
                <w:highlight w:val="none"/>
              </w:rPr>
              <w:t>年1月1日以来至今，完成过同类项目业绩的，每提供1份合同得1分，最高3分。</w:t>
            </w:r>
            <w:r>
              <w:rPr>
                <w:rFonts w:hint="eastAsia" w:ascii="仿宋" w:hAnsi="仿宋" w:eastAsia="仿宋" w:cs="仿宋"/>
                <w:b/>
                <w:bCs/>
                <w:sz w:val="21"/>
                <w:szCs w:val="21"/>
                <w:highlight w:val="none"/>
              </w:rPr>
              <w:t>（投标文件中提供清晰的业绩合同原件扫描件</w:t>
            </w:r>
            <w:r>
              <w:rPr>
                <w:rFonts w:hint="eastAsia" w:ascii="仿宋" w:hAnsi="仿宋" w:eastAsia="仿宋" w:cs="仿宋"/>
                <w:b/>
                <w:bCs/>
                <w:sz w:val="21"/>
                <w:szCs w:val="21"/>
                <w:highlight w:val="none"/>
                <w:lang w:val="zh-CN"/>
              </w:rPr>
              <w:t>或彩色图片并加盖公章</w:t>
            </w:r>
            <w:r>
              <w:rPr>
                <w:rFonts w:hint="eastAsia" w:ascii="仿宋" w:hAnsi="仿宋" w:eastAsia="仿宋" w:cs="仿宋"/>
                <w:b/>
                <w:bCs/>
                <w:sz w:val="21"/>
                <w:szCs w:val="21"/>
                <w:highlight w:val="none"/>
              </w:rPr>
              <w:t>，所提供的证明材料中需有效的反映和证明合同签订时间，否则不予认可，未提供不得分。）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kern w:val="0"/>
                <w:sz w:val="21"/>
                <w:szCs w:val="21"/>
                <w:highlight w:val="none"/>
                <w:lang w:eastAsia="zh-CN"/>
              </w:rPr>
            </w:pPr>
            <w:r>
              <w:rPr>
                <w:rFonts w:hint="eastAsia" w:ascii="仿宋" w:hAnsi="仿宋" w:eastAsia="仿宋" w:cs="仿宋"/>
                <w:kern w:val="0"/>
                <w:sz w:val="21"/>
                <w:szCs w:val="21"/>
                <w:highlight w:val="none"/>
                <w:lang w:val="en-US" w:eastAsia="zh-CN"/>
              </w:rPr>
              <w:t>3</w:t>
            </w:r>
          </w:p>
        </w:tc>
        <w:tc>
          <w:tcPr>
            <w:tcW w:w="1313" w:type="dxa"/>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项目拟派人员</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（10分）</w:t>
            </w: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highlight w:val="none"/>
              </w:rPr>
              <w:t>1. 项目负责人具有高级暖通工程师证，得2分。</w:t>
            </w:r>
          </w:p>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highlight w:val="none"/>
              </w:rPr>
              <w:t>2.项目实施人员具有公共场所集中空调通风系统清洗机构专业人员培训合格证，每提供1份得1分，最高得2分；</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3.项目实施人员具有省级应急管理厅（安全生产监督管理局）颁发的制冷与空调设备安装修理作业特种操作证，每提供1份得1分，最高得2分；</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4.项目实施人员具有省级应急管理厅（安全生产监督管理局）颁发的低压电工作业操作证，每提供1份得1分，最高得2分；</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5.项目实施人员具有消毒产品标准化技术委员会颁发的消毒员职业技能培训证书，每人得1分，最高得2分。</w:t>
            </w:r>
          </w:p>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（投标文件中提供相关证书原件扫描件或彩色图片及项目组成员的</w:t>
            </w:r>
            <w:r>
              <w:rPr>
                <w:rFonts w:hint="eastAsia" w:ascii="仿宋" w:hAnsi="仿宋" w:eastAsia="仿宋" w:cs="仿宋"/>
                <w:b/>
                <w:bCs/>
                <w:color w:val="auto"/>
                <w:szCs w:val="21"/>
                <w:highlight w:val="none"/>
              </w:rPr>
              <w:t>近3个月</w:t>
            </w:r>
            <w:r>
              <w:rPr>
                <w:rFonts w:hint="eastAsia" w:ascii="仿宋" w:hAnsi="仿宋" w:eastAsia="仿宋" w:cs="仿宋"/>
                <w:b/>
                <w:bCs/>
                <w:sz w:val="21"/>
                <w:szCs w:val="21"/>
                <w:highlight w:val="none"/>
              </w:rPr>
              <w:t>社保证明并加盖公章</w:t>
            </w:r>
            <w:r>
              <w:rPr>
                <w:rFonts w:hint="eastAsia" w:ascii="仿宋" w:hAnsi="仿宋" w:eastAsia="仿宋" w:cs="仿宋"/>
                <w:b/>
                <w:bCs/>
                <w:color w:val="auto"/>
                <w:szCs w:val="21"/>
                <w:highlight w:val="none"/>
                <w:lang w:eastAsia="zh-CN"/>
              </w:rPr>
              <w:t>（一人多证按证计分）</w:t>
            </w:r>
            <w:r>
              <w:rPr>
                <w:rFonts w:hint="eastAsia" w:ascii="仿宋" w:hAnsi="仿宋" w:eastAsia="仿宋" w:cs="仿宋"/>
                <w:b/>
                <w:bCs/>
                <w:sz w:val="21"/>
                <w:szCs w:val="21"/>
                <w:highlight w:val="none"/>
              </w:rPr>
              <w:t>，</w:t>
            </w:r>
            <w:r>
              <w:rPr>
                <w:rFonts w:hint="eastAsia" w:ascii="仿宋" w:hAnsi="仿宋" w:eastAsia="仿宋" w:cs="仿宋"/>
                <w:b/>
                <w:sz w:val="21"/>
                <w:szCs w:val="21"/>
                <w:highlight w:val="none"/>
              </w:rPr>
              <w:t>未提供不得分</w:t>
            </w:r>
            <w:r>
              <w:rPr>
                <w:rFonts w:hint="eastAsia" w:ascii="仿宋" w:hAnsi="仿宋" w:eastAsia="仿宋" w:cs="仿宋"/>
                <w:b/>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000000"/>
                <w:kern w:val="0"/>
                <w:sz w:val="21"/>
                <w:szCs w:val="21"/>
                <w:highlight w:val="none"/>
                <w:lang w:eastAsia="zh-CN"/>
              </w:rPr>
            </w:pPr>
            <w:r>
              <w:rPr>
                <w:rFonts w:hint="eastAsia" w:ascii="仿宋" w:hAnsi="仿宋" w:eastAsia="仿宋" w:cs="仿宋"/>
                <w:color w:val="000000"/>
                <w:kern w:val="0"/>
                <w:sz w:val="21"/>
                <w:szCs w:val="21"/>
                <w:highlight w:val="none"/>
                <w:lang w:val="en-US" w:eastAsia="zh-CN"/>
              </w:rPr>
              <w:t>4</w:t>
            </w:r>
          </w:p>
        </w:tc>
        <w:tc>
          <w:tcPr>
            <w:tcW w:w="131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服务方案</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（32分）</w:t>
            </w: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1.根据投标人提供的清洗服务方案的全面性、针对性、完整性：且具有详细的实施方案等方面，由评审专家综合评审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4.1-6分，良得2.1-4分，一般得0-2分。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2.根据投标人提供的针对本项目所投入的清洗及修理技术人员以及结构配备合理性，由评审专家进行综合评审</w:t>
            </w:r>
            <w:r>
              <w:rPr>
                <w:rFonts w:hint="eastAsia" w:ascii="仿宋" w:hAnsi="仿宋" w:eastAsia="仿宋" w:cs="仿宋"/>
                <w:bCs/>
                <w:kern w:val="0"/>
                <w:sz w:val="21"/>
                <w:szCs w:val="21"/>
                <w:highlight w:val="none"/>
              </w:rPr>
              <w:t>，</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4.1-6分，良得2.1-4分，一般得0-2分</w:t>
            </w:r>
            <w:r>
              <w:rPr>
                <w:rFonts w:hint="eastAsia" w:ascii="仿宋" w:hAnsi="仿宋" w:eastAsia="仿宋" w:cs="仿宋"/>
                <w:bCs/>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highlight w:val="none"/>
              </w:rPr>
            </w:pPr>
            <w:r>
              <w:rPr>
                <w:rFonts w:hint="eastAsia" w:ascii="仿宋" w:hAnsi="仿宋" w:eastAsia="仿宋" w:cs="仿宋"/>
                <w:bCs/>
                <w:kern w:val="0"/>
                <w:sz w:val="21"/>
                <w:szCs w:val="21"/>
                <w:highlight w:val="none"/>
              </w:rPr>
              <w:t>3.</w:t>
            </w:r>
            <w:r>
              <w:rPr>
                <w:rFonts w:hint="eastAsia" w:ascii="仿宋" w:hAnsi="仿宋" w:eastAsia="仿宋" w:cs="仿宋"/>
                <w:sz w:val="21"/>
                <w:szCs w:val="21"/>
                <w:highlight w:val="none"/>
              </w:rPr>
              <w:t>根据投标人提供的针对本项目所投入的</w:t>
            </w:r>
            <w:r>
              <w:rPr>
                <w:rFonts w:hint="eastAsia" w:ascii="仿宋" w:hAnsi="仿宋" w:eastAsia="仿宋" w:cs="仿宋"/>
                <w:bCs/>
                <w:kern w:val="0"/>
                <w:sz w:val="21"/>
                <w:szCs w:val="21"/>
                <w:highlight w:val="none"/>
              </w:rPr>
              <w:t>空调清洗设备配备情况的证明材料。根据投入清洗设备的先进性、齐全性、可靠性、合理性进行综合评审，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4.1-5分，良得2.1-4分，一般得0-2分</w:t>
            </w:r>
            <w:r>
              <w:rPr>
                <w:rFonts w:hint="eastAsia" w:ascii="仿宋" w:hAnsi="仿宋" w:eastAsia="仿宋" w:cs="仿宋"/>
                <w:bCs/>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bCs/>
                <w:kern w:val="0"/>
                <w:sz w:val="21"/>
                <w:szCs w:val="21"/>
                <w:highlight w:val="none"/>
              </w:rPr>
            </w:pPr>
            <w:r>
              <w:rPr>
                <w:rFonts w:hint="eastAsia" w:ascii="仿宋" w:hAnsi="仿宋" w:eastAsia="仿宋" w:cs="仿宋"/>
                <w:bCs/>
                <w:kern w:val="0"/>
                <w:sz w:val="21"/>
                <w:szCs w:val="21"/>
                <w:highlight w:val="none"/>
              </w:rPr>
              <w:t>4.</w:t>
            </w:r>
            <w:r>
              <w:rPr>
                <w:rFonts w:hint="eastAsia" w:ascii="仿宋" w:hAnsi="仿宋" w:eastAsia="仿宋" w:cs="仿宋"/>
                <w:sz w:val="21"/>
                <w:szCs w:val="21"/>
                <w:highlight w:val="none"/>
              </w:rPr>
              <w:t>根据投标人提供的针对本项目的</w:t>
            </w:r>
            <w:r>
              <w:rPr>
                <w:rFonts w:hint="eastAsia" w:ascii="仿宋" w:hAnsi="仿宋" w:eastAsia="仿宋" w:cs="仿宋"/>
                <w:bCs/>
                <w:kern w:val="0"/>
                <w:sz w:val="21"/>
                <w:szCs w:val="21"/>
                <w:highlight w:val="none"/>
              </w:rPr>
              <w:t>清洗剂、消毒剂的安全性、先进性、齐全性进行综合评审，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4.1-5分，良得2.1-4分，一般得0-2分</w:t>
            </w:r>
            <w:r>
              <w:rPr>
                <w:rFonts w:hint="eastAsia" w:ascii="仿宋" w:hAnsi="仿宋" w:eastAsia="仿宋" w:cs="仿宋"/>
                <w:bCs/>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5.根据投标人提供的针对本项目的服务质量及其质量控制措施：有严密的质量监控机制和信息化系统的，由评审专家进行综合评审，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4.1-5分，良得2.1-4分，一般得0-2分</w:t>
            </w: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color w:val="000000"/>
                <w:kern w:val="0"/>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6.根据投标人提供的针对本项目的合理化建议和优化措施建议，由评审专家综合评审，</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4.1-5分，良得2.1-4分，一般得0-2分</w:t>
            </w:r>
            <w:r>
              <w:rPr>
                <w:rFonts w:hint="eastAsia" w:ascii="仿宋" w:hAnsi="仿宋" w:eastAsia="仿宋" w:cs="仿宋"/>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5</w:t>
            </w:r>
          </w:p>
        </w:tc>
        <w:tc>
          <w:tcPr>
            <w:tcW w:w="131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服务响应及优惠承诺</w:t>
            </w:r>
          </w:p>
          <w:p>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仿宋" w:hAnsi="仿宋" w:eastAsia="仿宋" w:cs="仿宋"/>
                <w:sz w:val="21"/>
                <w:szCs w:val="21"/>
                <w:highlight w:val="none"/>
              </w:rPr>
            </w:pPr>
            <w:r>
              <w:rPr>
                <w:rFonts w:hint="eastAsia" w:ascii="仿宋" w:hAnsi="仿宋" w:eastAsia="仿宋" w:cs="仿宋"/>
                <w:sz w:val="21"/>
                <w:szCs w:val="21"/>
                <w:highlight w:val="none"/>
              </w:rPr>
              <w:t>（9分）</w:t>
            </w:r>
          </w:p>
        </w:tc>
        <w:tc>
          <w:tcPr>
            <w:tcW w:w="7045" w:type="dxa"/>
            <w:noWrap w:val="0"/>
            <w:vAlign w:val="top"/>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b/>
                <w:bCs/>
                <w:kern w:val="0"/>
                <w:sz w:val="21"/>
                <w:szCs w:val="21"/>
                <w:highlight w:val="none"/>
              </w:rPr>
            </w:pPr>
            <w:r>
              <w:rPr>
                <w:rFonts w:hint="eastAsia" w:ascii="仿宋" w:hAnsi="仿宋" w:eastAsia="仿宋" w:cs="仿宋"/>
                <w:sz w:val="21"/>
                <w:szCs w:val="21"/>
                <w:highlight w:val="none"/>
              </w:rPr>
              <w:t>1.投标人在采购人服务地有注册或设有服务机构或承诺中标后设立的得3分</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需提供营业执照或机构场地相关证明资料复印件或承诺函加盖投标人公章，不提供不得分）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1313"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仿宋" w:hAnsi="仿宋" w:eastAsia="仿宋" w:cs="仿宋"/>
                <w:sz w:val="21"/>
                <w:szCs w:val="21"/>
                <w:highlight w:val="none"/>
              </w:rPr>
            </w:pPr>
          </w:p>
        </w:tc>
        <w:tc>
          <w:tcPr>
            <w:tcW w:w="7045" w:type="dxa"/>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eastAsia" w:ascii="仿宋" w:hAnsi="仿宋" w:eastAsia="仿宋" w:cs="仿宋"/>
                <w:kern w:val="0"/>
                <w:sz w:val="21"/>
                <w:szCs w:val="21"/>
                <w:highlight w:val="none"/>
              </w:rPr>
            </w:pPr>
            <w:r>
              <w:rPr>
                <w:rFonts w:hint="eastAsia" w:ascii="仿宋" w:hAnsi="仿宋" w:eastAsia="仿宋" w:cs="仿宋"/>
                <w:sz w:val="21"/>
                <w:szCs w:val="21"/>
                <w:highlight w:val="none"/>
              </w:rPr>
              <w:t>2.</w:t>
            </w:r>
            <w:r>
              <w:rPr>
                <w:rFonts w:hint="eastAsia" w:ascii="仿宋" w:hAnsi="仿宋" w:eastAsia="仿宋" w:cs="仿宋"/>
                <w:color w:val="000000"/>
                <w:sz w:val="21"/>
                <w:szCs w:val="21"/>
                <w:highlight w:val="none"/>
              </w:rPr>
              <w:t xml:space="preserve"> 根据投标人提供的</w:t>
            </w:r>
            <w:r>
              <w:rPr>
                <w:rFonts w:hint="eastAsia" w:ascii="仿宋" w:hAnsi="仿宋" w:eastAsia="仿宋" w:cs="仿宋"/>
                <w:sz w:val="21"/>
                <w:szCs w:val="21"/>
                <w:highlight w:val="none"/>
              </w:rPr>
              <w:t>对本项目具有实质性优惠措施进行打分，</w:t>
            </w:r>
            <w:r>
              <w:rPr>
                <w:rFonts w:hint="eastAsia" w:ascii="仿宋" w:hAnsi="仿宋" w:eastAsia="仿宋" w:cs="仿宋"/>
                <w:sz w:val="21"/>
                <w:szCs w:val="21"/>
                <w:highlight w:val="none"/>
                <w:lang w:eastAsia="zh-CN"/>
              </w:rPr>
              <w:t>优得</w:t>
            </w:r>
            <w:r>
              <w:rPr>
                <w:rFonts w:hint="eastAsia" w:ascii="仿宋" w:hAnsi="仿宋" w:eastAsia="仿宋" w:cs="仿宋"/>
                <w:sz w:val="21"/>
                <w:szCs w:val="21"/>
                <w:highlight w:val="none"/>
                <w:lang w:val="en-US" w:eastAsia="zh-CN"/>
              </w:rPr>
              <w:t>4.1-6分，良得2.1-4分，一般得0-2分</w:t>
            </w:r>
            <w:r>
              <w:rPr>
                <w:rFonts w:hint="eastAsia" w:ascii="仿宋" w:hAnsi="仿宋" w:eastAsia="仿宋" w:cs="仿宋"/>
                <w:sz w:val="21"/>
                <w:szCs w:val="21"/>
                <w:highlight w:val="none"/>
              </w:rPr>
              <w:t>。</w:t>
            </w:r>
          </w:p>
        </w:tc>
      </w:tr>
    </w:tbl>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0分）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0</w:t>
      </w:r>
      <w:bookmarkEnd w:id="7"/>
      <w:bookmarkEnd w:id="8"/>
      <w:bookmarkEnd w:id="9"/>
      <w:bookmarkEnd w:id="10"/>
    </w:p>
    <w:p>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pacing w:line="360" w:lineRule="auto"/>
        <w:ind w:firstLine="480" w:firstLineChars="200"/>
        <w:outlineLvl w:val="0"/>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（3）中小企业声明函………………………………………………（页码）</w:t>
      </w:r>
    </w:p>
    <w:p>
      <w:pPr>
        <w:spacing w:line="360" w:lineRule="auto"/>
        <w:outlineLvl w:val="0"/>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kern w:val="0"/>
          <w:sz w:val="24"/>
          <w:highlight w:val="none"/>
        </w:rPr>
        <w:t>……………………………………（页码）</w:t>
      </w:r>
    </w:p>
    <w:p>
      <w:pPr>
        <w:pStyle w:val="7"/>
        <w:spacing w:line="800" w:lineRule="atLeast"/>
        <w:ind w:left="0" w:leftChars="0"/>
        <w:rPr>
          <w:rFonts w:hint="eastAsia" w:ascii="仿宋" w:hAnsi="仿宋" w:eastAsia="仿宋" w:cs="仿宋"/>
          <w:b/>
          <w:color w:val="auto"/>
          <w:sz w:val="36"/>
          <w:szCs w:val="36"/>
          <w:highlight w:val="none"/>
        </w:rPr>
      </w:pPr>
    </w:p>
    <w:p>
      <w:pPr>
        <w:pStyle w:val="7"/>
        <w:spacing w:line="800" w:lineRule="atLeast"/>
        <w:ind w:left="0" w:leftChars="0"/>
        <w:rPr>
          <w:rFonts w:hint="eastAsia" w:ascii="仿宋" w:hAnsi="仿宋" w:eastAsia="仿宋" w:cs="仿宋"/>
          <w:b/>
          <w:color w:val="auto"/>
          <w:sz w:val="36"/>
          <w:szCs w:val="36"/>
          <w:highlight w:val="none"/>
        </w:rPr>
      </w:pPr>
    </w:p>
    <w:p>
      <w:pPr>
        <w:pStyle w:val="7"/>
        <w:spacing w:line="800" w:lineRule="atLeast"/>
        <w:ind w:left="0" w:leftChars="0"/>
        <w:rPr>
          <w:rFonts w:hint="eastAsia" w:ascii="仿宋" w:hAnsi="仿宋" w:eastAsia="仿宋" w:cs="仿宋"/>
          <w:b/>
          <w:color w:val="auto"/>
          <w:sz w:val="36"/>
          <w:szCs w:val="36"/>
          <w:highlight w:val="none"/>
        </w:rPr>
      </w:pPr>
    </w:p>
    <w:p>
      <w:pPr>
        <w:rPr>
          <w:rFonts w:hint="eastAsia" w:ascii="仿宋" w:hAnsi="仿宋" w:eastAsia="仿宋" w:cs="仿宋"/>
          <w:b/>
          <w:color w:val="auto"/>
          <w:sz w:val="30"/>
          <w:szCs w:val="30"/>
          <w:highlight w:val="none"/>
        </w:rPr>
      </w:pPr>
    </w:p>
    <w:p>
      <w:pPr>
        <w:rPr>
          <w:rFonts w:hint="eastAsia" w:ascii="仿宋" w:hAnsi="仿宋" w:eastAsia="仿宋" w:cs="仿宋"/>
          <w:b/>
          <w:color w:val="auto"/>
          <w:sz w:val="30"/>
          <w:szCs w:val="30"/>
          <w:highlight w:val="none"/>
        </w:rPr>
      </w:pPr>
    </w:p>
    <w:p>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pPr>
        <w:pStyle w:val="71"/>
        <w:spacing w:afterLines="0" w:line="440" w:lineRule="exact"/>
        <w:ind w:firstLine="0" w:firstLineChars="0"/>
        <w:rPr>
          <w:rFonts w:hint="eastAsia" w:ascii="仿宋" w:hAnsi="仿宋" w:eastAsia="仿宋" w:cs="仿宋"/>
          <w:color w:val="auto"/>
          <w:szCs w:val="24"/>
          <w:highlight w:val="none"/>
        </w:rPr>
      </w:pPr>
    </w:p>
    <w:p>
      <w:pPr>
        <w:pStyle w:val="71"/>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pPr>
        <w:pStyle w:val="71"/>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71"/>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pStyle w:val="71"/>
        <w:spacing w:afterLines="0" w:line="440" w:lineRule="exact"/>
        <w:ind w:firstLine="480"/>
        <w:rPr>
          <w:rFonts w:hint="eastAsia" w:ascii="仿宋" w:hAnsi="仿宋" w:eastAsia="仿宋" w:cs="仿宋"/>
          <w:b/>
          <w:color w:val="auto"/>
          <w:sz w:val="30"/>
          <w:szCs w:val="30"/>
          <w:highlight w:val="none"/>
        </w:r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pPr>
        <w:spacing w:line="400" w:lineRule="exact"/>
        <w:rPr>
          <w:rFonts w:hint="eastAsia" w:ascii="仿宋" w:hAnsi="仿宋" w:eastAsia="仿宋" w:cs="仿宋"/>
          <w:color w:val="auto"/>
          <w:sz w:val="24"/>
          <w:highlight w:val="none"/>
        </w:rPr>
      </w:pPr>
    </w:p>
    <w:p>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auto"/>
                <w:spacing w:val="20"/>
                <w:sz w:val="18"/>
                <w:szCs w:val="18"/>
                <w:highlight w:val="none"/>
              </w:rPr>
            </w:pPr>
            <w:r>
              <w:rPr>
                <w:rFonts w:hint="eastAsia" w:ascii="宋体" w:hAnsi="宋体"/>
                <w:color w:val="auto"/>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型号和规格</w:t>
            </w:r>
            <w:r>
              <w:rPr>
                <w:rFonts w:hint="eastAsia" w:ascii="宋体" w:hAnsi="宋体"/>
                <w:b/>
                <w:color w:val="auto"/>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auto"/>
                <w:spacing w:val="20"/>
                <w:sz w:val="18"/>
                <w:szCs w:val="18"/>
                <w:highlight w:val="none"/>
              </w:rPr>
            </w:pPr>
            <w:r>
              <w:rPr>
                <w:rFonts w:hint="eastAsia" w:ascii="宋体" w:hAnsi="宋体"/>
                <w:color w:val="auto"/>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auto"/>
                <w:spacing w:val="20"/>
                <w:sz w:val="18"/>
                <w:szCs w:val="18"/>
                <w:highlight w:val="none"/>
              </w:rPr>
            </w:pPr>
          </w:p>
        </w:tc>
        <w:tc>
          <w:tcPr>
            <w:tcW w:w="1078" w:type="dxa"/>
          </w:tcPr>
          <w:p>
            <w:pPr>
              <w:adjustRightInd w:val="0"/>
              <w:snapToGrid w:val="0"/>
              <w:ind w:right="172" w:rightChars="82" w:firstLine="444" w:firstLineChars="202"/>
              <w:rPr>
                <w:rFonts w:ascii="宋体" w:hAnsi="宋体"/>
                <w:color w:val="auto"/>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r>
              <w:rPr>
                <w:rFonts w:hint="eastAsia" w:ascii="宋体" w:hAnsi="宋体"/>
                <w:color w:val="auto"/>
                <w:spacing w:val="20"/>
                <w:sz w:val="18"/>
                <w:szCs w:val="18"/>
                <w:highlight w:val="none"/>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auto"/>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auto"/>
                <w:spacing w:val="20"/>
                <w:sz w:val="18"/>
                <w:szCs w:val="18"/>
                <w:highlight w:val="none"/>
              </w:rPr>
            </w:pPr>
            <w:r>
              <w:rPr>
                <w:rFonts w:hint="eastAsia" w:ascii="宋体" w:hAnsi="宋体"/>
                <w:color w:val="auto"/>
                <w:spacing w:val="20"/>
                <w:sz w:val="18"/>
                <w:szCs w:val="18"/>
                <w:highlight w:val="none"/>
              </w:rPr>
              <w:t>大写：</w:t>
            </w:r>
          </w:p>
        </w:tc>
      </w:tr>
    </w:tbl>
    <w:p>
      <w:pPr>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 1.报价一经涂改，应在涂改处加盖单位</w:t>
      </w:r>
      <w:r>
        <w:rPr>
          <w:rFonts w:hint="eastAsia" w:ascii="仿宋" w:hAnsi="仿宋" w:eastAsia="仿宋" w:cs="仿宋"/>
          <w:color w:val="auto"/>
          <w:sz w:val="24"/>
          <w:highlight w:val="none"/>
          <w:lang w:eastAsia="zh-CN"/>
        </w:rPr>
        <w:t>公章</w:t>
      </w:r>
      <w:r>
        <w:rPr>
          <w:rFonts w:hint="eastAsia" w:ascii="仿宋" w:hAnsi="仿宋" w:eastAsia="仿宋" w:cs="仿宋"/>
          <w:color w:val="auto"/>
          <w:sz w:val="24"/>
          <w:highlight w:val="none"/>
        </w:rPr>
        <w:t>或者由法定代表人或其授权代表签字或盖章，否则其投标作无效投标处理。</w:t>
      </w:r>
    </w:p>
    <w:p>
      <w:pPr>
        <w:snapToGrid w:val="0"/>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3.投标人需按本表格式填写，如无对应内容，则填写：“无或/”。</w:t>
      </w:r>
    </w:p>
    <w:p>
      <w:pPr>
        <w:snapToGrid w:val="0"/>
        <w:ind w:left="48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4.有关本项目实施所涉及的一切费用均计入报价。</w:t>
      </w:r>
    </w:p>
    <w:p>
      <w:pPr>
        <w:snapToGrid w:val="0"/>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val="zh-CN"/>
        </w:rPr>
        <w:t>5.以上表格要求细分项目及报价。</w:t>
      </w:r>
    </w:p>
    <w:p>
      <w:pPr>
        <w:spacing w:line="360" w:lineRule="auto"/>
        <w:ind w:left="-3" w:leftChars="-72" w:right="-817" w:rightChars="-389" w:hanging="148" w:hangingChars="62"/>
        <w:rPr>
          <w:rFonts w:hint="eastAsia" w:ascii="仿宋" w:hAnsi="仿宋" w:eastAsia="仿宋" w:cs="仿宋"/>
          <w:color w:val="auto"/>
          <w:sz w:val="24"/>
          <w:highlight w:val="none"/>
        </w:rPr>
      </w:pPr>
    </w:p>
    <w:p>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            日期：    年   月   日</w:t>
      </w:r>
    </w:p>
    <w:p>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pPr>
        <w:spacing w:line="360" w:lineRule="auto"/>
        <w:jc w:val="center"/>
        <w:outlineLvl w:val="0"/>
        <w:rPr>
          <w:rFonts w:hint="eastAsia" w:ascii="仿宋" w:hAnsi="仿宋" w:eastAsia="仿宋" w:cs="仿宋"/>
          <w:b/>
          <w:color w:val="auto"/>
          <w:kern w:val="0"/>
          <w:sz w:val="24"/>
          <w:highlight w:val="none"/>
        </w:rPr>
      </w:pPr>
    </w:p>
    <w:p>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（22）中小企业声明函</w:t>
      </w:r>
      <w:r>
        <w:rPr>
          <w:rFonts w:hint="eastAsia" w:ascii="仿宋" w:hAnsi="仿宋" w:eastAsia="仿宋" w:cs="仿宋"/>
          <w:color w:val="auto"/>
          <w:kern w:val="0"/>
          <w:sz w:val="24"/>
          <w:highlight w:val="none"/>
          <w:lang w:val="zh-CN"/>
        </w:rPr>
        <w:t>（如有）</w:t>
      </w:r>
      <w:r>
        <w:rPr>
          <w:rFonts w:hint="eastAsia" w:ascii="仿宋" w:hAnsi="仿宋" w:eastAsia="仿宋" w:cs="仿宋"/>
          <w:color w:val="auto"/>
          <w:kern w:val="0"/>
          <w:sz w:val="24"/>
          <w:highlight w:val="none"/>
        </w:rPr>
        <w:t>…………………………………………………（页码）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中央空调（包括多联机）末端设备、通风管道消毒清洗项目(2023年度)</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中央空调（包括多联机）末端设备、通风管道消毒清洗项目(2023年度)</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800" w:lineRule="exact"/>
        <w:rPr>
          <w:rFonts w:hint="eastAsia" w:ascii="仿宋" w:hAnsi="仿宋" w:eastAsia="仿宋" w:cs="仿宋"/>
          <w:b/>
          <w:color w:val="auto"/>
          <w:sz w:val="24"/>
          <w:highlight w:val="none"/>
        </w:rPr>
      </w:pPr>
    </w:p>
    <w:p>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pPr>
        <w:spacing w:line="800" w:lineRule="exact"/>
        <w:ind w:firstLine="4320" w:firstLineChars="1800"/>
        <w:rPr>
          <w:rFonts w:hint="eastAsia" w:ascii="仿宋" w:hAnsi="仿宋" w:eastAsia="仿宋" w:cs="仿宋"/>
          <w:color w:val="auto"/>
          <w:sz w:val="24"/>
          <w:highlight w:val="none"/>
        </w:rPr>
      </w:pPr>
    </w:p>
    <w:p>
      <w:pPr>
        <w:spacing w:line="800" w:lineRule="exact"/>
        <w:ind w:firstLine="4337" w:firstLineChars="1800"/>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绍兴市中医院中央空调（包括多联机）末端设备、通风管道消毒清洗项目(2023年度)</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TYJZ2023</w:t>
      </w:r>
      <w:r>
        <w:rPr>
          <w:rFonts w:hint="eastAsia" w:ascii="仿宋" w:hAnsi="仿宋" w:eastAsia="仿宋" w:cs="仿宋"/>
          <w:color w:val="auto"/>
          <w:sz w:val="24"/>
          <w:highlight w:val="none"/>
        </w:rPr>
        <w:t>）招标文件中关于申请人资格要求的下列条件：</w:t>
      </w:r>
    </w:p>
    <w:p>
      <w:pPr>
        <w:pStyle w:val="71"/>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rPr>
          <w:rFonts w:hint="eastAsia" w:ascii="仿宋" w:hAnsi="仿宋" w:eastAsia="仿宋" w:cs="仿宋"/>
          <w:b/>
          <w:color w:val="auto"/>
          <w:sz w:val="30"/>
          <w:szCs w:val="30"/>
          <w:highlight w:val="none"/>
        </w:rPr>
      </w:pPr>
    </w:p>
    <w:p>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p>
    <w:p>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jc w:val="center"/>
        <w:rPr>
          <w:rFonts w:hint="eastAsia" w:ascii="仿宋" w:hAnsi="仿宋" w:eastAsia="仿宋" w:cs="仿宋"/>
          <w:b/>
          <w:color w:val="auto"/>
          <w:sz w:val="32"/>
          <w:szCs w:val="32"/>
          <w:highlight w:val="none"/>
        </w:rPr>
      </w:pP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hint="eastAsia" w:ascii="仿宋" w:hAnsi="仿宋" w:eastAsia="仿宋" w:cs="仿宋"/>
                <w:color w:val="auto"/>
                <w:sz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spacing w:line="360" w:lineRule="auto"/>
        <w:jc w:val="both"/>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18"/>
          <w:szCs w:val="18"/>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jc w:val="center"/>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spacing w:line="360" w:lineRule="auto"/>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szCs w:val="20"/>
          <w:highlight w:val="none"/>
        </w:rPr>
      </w:pP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color w:val="auto"/>
          <w:kern w:val="0"/>
          <w:sz w:val="24"/>
          <w:highlight w:val="none"/>
          <w:lang w:val="zh-CN"/>
        </w:rPr>
      </w:pPr>
    </w:p>
    <w:p>
      <w:pPr>
        <w:pStyle w:val="2"/>
        <w:rPr>
          <w:rFonts w:hint="eastAsia" w:ascii="仿宋" w:hAnsi="仿宋" w:eastAsia="仿宋" w:cs="仿宋"/>
          <w:color w:val="auto"/>
          <w:highlight w:val="none"/>
          <w:lang w:val="zh-CN"/>
        </w:rPr>
      </w:pPr>
    </w:p>
    <w:p>
      <w:pPr>
        <w:spacing w:line="360" w:lineRule="auto"/>
        <w:rPr>
          <w:rFonts w:hint="eastAsia" w:ascii="仿宋" w:hAnsi="仿宋" w:eastAsia="仿宋" w:cs="仿宋"/>
          <w:color w:val="auto"/>
          <w:kern w:val="0"/>
          <w:sz w:val="24"/>
          <w:highlight w:val="none"/>
          <w:lang w:val="zh-CN"/>
        </w:r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30%以上，对联合体报价给予4%的扣除，须提供《中小企业声明函》。）</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napToGrid w:val="0"/>
        <w:spacing w:line="360" w:lineRule="auto"/>
        <w:ind w:right="480"/>
        <w:rPr>
          <w:rFonts w:hint="eastAsia" w:ascii="仿宋" w:hAnsi="仿宋" w:eastAsia="仿宋" w:cs="仿宋"/>
          <w:b/>
          <w:color w:val="auto"/>
          <w:kern w:val="0"/>
          <w:sz w:val="32"/>
          <w:szCs w:val="32"/>
          <w:highlight w:val="none"/>
          <w:lang w:val="zh-CN"/>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u w:val="single"/>
        </w:rPr>
        <w:t>（分包供应商名称）提供的货物全部由小微企业制造，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4%的扣除）</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22、落实政府采购政策需满足的资格要求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（根据招标公告落实政府采购政策需满足的资格要求选择提供相应的材料；未要求的，无需提供）</w:t>
      </w:r>
    </w:p>
    <w:p>
      <w:pPr>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 xml:space="preserve">（附件）。 </w:t>
      </w:r>
    </w:p>
    <w:p>
      <w:pPr>
        <w:widowControl/>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w:t>
      </w:r>
      <w:r>
        <w:rPr>
          <w:rFonts w:hint="eastAsia" w:ascii="仿宋" w:hAnsi="仿宋" w:eastAsia="仿宋" w:cs="仿宋"/>
          <w:b/>
          <w:color w:val="auto"/>
          <w:sz w:val="24"/>
          <w:highlight w:val="none"/>
        </w:rPr>
        <w:t>中小企业声明函</w:t>
      </w:r>
      <w:r>
        <w:rPr>
          <w:rFonts w:hint="eastAsia" w:ascii="仿宋" w:hAnsi="仿宋" w:eastAsia="仿宋" w:cs="仿宋"/>
          <w:color w:val="auto"/>
          <w:sz w:val="24"/>
          <w:highlight w:val="none"/>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w:t>
      </w: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spacing w:line="360" w:lineRule="auto"/>
        <w:ind w:firstLine="482" w:firstLineChars="200"/>
        <w:rPr>
          <w:rFonts w:hint="eastAsia" w:ascii="仿宋" w:hAnsi="仿宋" w:eastAsia="仿宋" w:cs="仿宋"/>
          <w:b/>
          <w:color w:val="auto"/>
          <w:sz w:val="24"/>
          <w:highlight w:val="none"/>
        </w:rPr>
      </w:pPr>
    </w:p>
    <w:p>
      <w:pPr>
        <w:pageBreakBefore/>
        <w:spacing w:line="360" w:lineRule="auto"/>
        <w:ind w:firstLine="482" w:firstLineChars="200"/>
        <w:rPr>
          <w:rFonts w:hint="eastAsia" w:ascii="仿宋" w:hAnsi="仿宋" w:eastAsia="仿宋" w:cs="仿宋"/>
          <w:b/>
          <w:color w:val="auto"/>
          <w:kern w:val="0"/>
          <w:sz w:val="32"/>
          <w:szCs w:val="32"/>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w:t>
      </w:r>
      <w:r>
        <w:rPr>
          <w:rFonts w:hint="eastAsia" w:ascii="仿宋" w:hAnsi="仿宋" w:eastAsia="仿宋" w:cs="仿宋"/>
          <w:b/>
          <w:color w:val="auto"/>
          <w:sz w:val="24"/>
          <w:highlight w:val="none"/>
        </w:rPr>
        <w:t>中小企业声明函（附件）</w:t>
      </w:r>
      <w:r>
        <w:rPr>
          <w:rFonts w:hint="eastAsia" w:ascii="仿宋" w:hAnsi="仿宋" w:eastAsia="仿宋" w:cs="仿宋"/>
          <w:color w:val="auto"/>
          <w:sz w:val="24"/>
          <w:highlight w:val="none"/>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七、其他</w:t>
      </w:r>
    </w:p>
    <w:p>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投标人名称(签名)：</w:t>
      </w:r>
    </w:p>
    <w:p>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jc w:val="center"/>
        <w:rPr>
          <w:rFonts w:hint="eastAsia" w:ascii="仿宋" w:hAnsi="仿宋" w:eastAsia="仿宋" w:cs="仿宋"/>
          <w:b/>
          <w:bCs/>
          <w:color w:val="auto"/>
          <w:sz w:val="44"/>
          <w:szCs w:val="44"/>
          <w:highlight w:val="none"/>
        </w:rPr>
      </w:pPr>
    </w:p>
    <w:p>
      <w:pPr>
        <w:pageBreakBefore/>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w:t>
      </w:r>
    </w:p>
    <w:p>
      <w:pPr>
        <w:rPr>
          <w:rFonts w:hint="eastAsia" w:ascii="仿宋" w:hAnsi="仿宋" w:eastAsia="仿宋" w:cs="仿宋"/>
          <w:b/>
          <w:color w:val="auto"/>
          <w:sz w:val="32"/>
          <w:szCs w:val="32"/>
          <w:highlight w:val="none"/>
        </w:rPr>
      </w:pPr>
      <w:r>
        <w:rPr>
          <w:rFonts w:hint="eastAsia" w:ascii="仿宋" w:hAnsi="仿宋" w:eastAsia="仿宋" w:cs="仿宋"/>
          <w:b/>
          <w:color w:val="auto"/>
          <w:sz w:val="24"/>
          <w:highlight w:val="none"/>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jc w:val="center"/>
        <w:rPr>
          <w:rFonts w:hint="eastAsia" w:ascii="仿宋" w:hAnsi="仿宋" w:eastAsia="仿宋" w:cs="仿宋"/>
          <w:b/>
          <w:color w:val="auto"/>
          <w:sz w:val="18"/>
          <w:highlight w:val="none"/>
        </w:rPr>
      </w:pP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2.根据《政府采购促进中小企业发展管理办法》的通知（财库〔2020〕46号）规定，中标、成交供应商享受中小企业扶持政策的，采购代理机构将随中标、成交结果公开中标、成交供应商的《中小企业声明函》。 </w:t>
      </w:r>
    </w:p>
    <w:p>
      <w:pPr>
        <w:pageBreakBefore/>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中小企业声明函（工程、服务）</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本公司（联合体）郑重声明，根据《政府采购促进中小企业发展管理办法》 （财库﹝2020﹞46 号）的规定，本公司（联合体）参加</w:t>
      </w:r>
      <w:r>
        <w:rPr>
          <w:rFonts w:hint="eastAsia" w:ascii="仿宋" w:hAnsi="仿宋" w:eastAsia="仿宋" w:cs="仿宋"/>
          <w:color w:val="auto"/>
          <w:sz w:val="24"/>
          <w:highlight w:val="none"/>
          <w:u w:val="single"/>
        </w:rPr>
        <w:t xml:space="preserve"> xxx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xxx项目</w:t>
      </w:r>
      <w:r>
        <w:rPr>
          <w:rFonts w:hint="eastAsia" w:ascii="仿宋" w:hAnsi="仿宋" w:eastAsia="仿宋" w:cs="仿宋"/>
          <w:color w:val="auto"/>
          <w:sz w:val="24"/>
          <w:highlight w:val="none"/>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（采购文件中明确的所属行业）行业</w:t>
      </w:r>
      <w:r>
        <w:rPr>
          <w:rFonts w:hint="eastAsia" w:ascii="仿宋" w:hAnsi="仿宋" w:eastAsia="仿宋" w:cs="仿宋"/>
          <w:color w:val="auto"/>
          <w:sz w:val="24"/>
          <w:highlight w:val="none"/>
        </w:rPr>
        <w:t>；承建（承接）企业为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 ，属于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ind w:right="420" w:firstLine="5880" w:firstLineChars="2450"/>
        <w:jc w:val="left"/>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企业名称（盖章）：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pP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color w:val="auto"/>
          <w:sz w:val="24"/>
          <w:highlight w:val="none"/>
        </w:rPr>
        <w:t>如国家颁布新的企业划型标准，则按最新标准执行。</w:t>
      </w:r>
      <w:r>
        <w:rPr>
          <w:rFonts w:hint="eastAsia" w:ascii="仿宋" w:hAnsi="仿宋" w:eastAsia="仿宋" w:cs="仿宋"/>
          <w:b/>
          <w:color w:val="auto"/>
          <w:sz w:val="24"/>
          <w:highlight w:val="none"/>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2.根据《政府采购促进中小企业发展管理办法》的通知（财库〔2020〕46号）规定，中标、成交供应商享受中小企业扶持政策的，采购代理机构将随中标、成交结果公开中标、成交供应商的《中小企业声明函》。</w:t>
      </w:r>
    </w:p>
    <w:p>
      <w:pPr>
        <w:rPr>
          <w:rFonts w:hint="eastAsia" w:ascii="仿宋" w:hAnsi="仿宋" w:eastAsia="仿宋" w:cs="仿宋"/>
          <w:color w:val="auto"/>
          <w:sz w:val="24"/>
          <w:highlight w:val="none"/>
        </w:rPr>
      </w:pPr>
    </w:p>
    <w:p>
      <w:pPr>
        <w:pageBreakBefore/>
        <w:spacing w:line="588"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pPr>
        <w:spacing w:line="588" w:lineRule="exact"/>
        <w:rPr>
          <w:rFonts w:hint="eastAsia" w:ascii="仿宋" w:hAnsi="仿宋" w:eastAsia="仿宋" w:cs="仿宋"/>
          <w:b/>
          <w:color w:val="auto"/>
          <w:spacing w:val="6"/>
          <w:sz w:val="30"/>
          <w:szCs w:val="30"/>
          <w:highlight w:val="none"/>
        </w:rPr>
      </w:pP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w:t>
      </w:r>
      <w:r>
        <w:rPr>
          <w:rFonts w:hint="eastAsia" w:ascii="仿宋" w:hAnsi="仿宋" w:eastAsia="仿宋" w:cs="仿宋"/>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588" w:lineRule="exact"/>
        <w:ind w:firstLine="480" w:firstLineChars="200"/>
        <w:rPr>
          <w:rFonts w:hint="eastAsia" w:ascii="仿宋" w:hAnsi="仿宋" w:eastAsia="仿宋" w:cs="仿宋"/>
          <w:color w:val="auto"/>
          <w:sz w:val="24"/>
          <w:highlight w:val="none"/>
        </w:rPr>
      </w:pPr>
    </w:p>
    <w:p>
      <w:pPr>
        <w:spacing w:line="588" w:lineRule="exact"/>
        <w:ind w:firstLine="480" w:firstLineChars="200"/>
        <w:rPr>
          <w:rFonts w:hint="eastAsia" w:ascii="仿宋" w:hAnsi="仿宋" w:eastAsia="仿宋" w:cs="仿宋"/>
          <w:color w:val="auto"/>
          <w:sz w:val="24"/>
          <w:highlight w:val="none"/>
        </w:rPr>
      </w:pPr>
    </w:p>
    <w:p>
      <w:pPr>
        <w:ind w:right="420" w:firstLine="5880" w:firstLineChars="245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声明单位（盖章）： </w:t>
      </w:r>
    </w:p>
    <w:p>
      <w:pPr>
        <w:ind w:right="420" w:firstLine="5520" w:firstLineChars="2300"/>
        <w:rPr>
          <w:rFonts w:hint="eastAsia" w:ascii="仿宋" w:hAnsi="仿宋" w:eastAsia="仿宋" w:cs="仿宋"/>
          <w:color w:val="auto"/>
          <w:highlight w:val="none"/>
        </w:rPr>
      </w:pPr>
      <w:r>
        <w:rPr>
          <w:rFonts w:hint="eastAsia" w:ascii="仿宋" w:hAnsi="仿宋" w:eastAsia="仿宋" w:cs="仿宋"/>
          <w:color w:val="auto"/>
          <w:sz w:val="24"/>
          <w:highlight w:val="none"/>
        </w:rPr>
        <w:t xml:space="preserve">日期：   年     月 </w:t>
      </w:r>
      <w:r>
        <w:rPr>
          <w:rFonts w:hint="eastAsia" w:ascii="仿宋" w:hAnsi="仿宋" w:eastAsia="仿宋" w:cs="仿宋"/>
          <w:color w:val="auto"/>
          <w:highlight w:val="none"/>
        </w:rPr>
        <w:t xml:space="preserve">    日</w:t>
      </w:r>
    </w:p>
    <w:p>
      <w:pPr>
        <w:rPr>
          <w:rFonts w:hint="eastAsia" w:ascii="仿宋" w:hAnsi="仿宋" w:eastAsia="仿宋" w:cs="仿宋"/>
          <w:color w:val="auto"/>
          <w:sz w:val="24"/>
          <w:highlight w:val="none"/>
        </w:rPr>
      </w:pP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注：根据《财政部 民政部 中国残疾人联合会关于促进残疾人就业政府采购政策的通知》（财库〔2017〕141号）规定填报。</w:t>
      </w:r>
    </w:p>
    <w:p>
      <w:pPr>
        <w:rPr>
          <w:rFonts w:hint="eastAsia" w:ascii="仿宋" w:hAnsi="仿宋" w:eastAsia="仿宋" w:cs="仿宋"/>
          <w:color w:val="auto"/>
          <w:highlight w:val="none"/>
        </w:rPr>
      </w:pPr>
    </w:p>
    <w:p>
      <w:pPr>
        <w:tabs>
          <w:tab w:val="left" w:pos="4860"/>
        </w:tabs>
        <w:ind w:right="1559"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object>
          <v:shape id="_x0000_i1027" o:spt="75" type="#_x0000_t75" style="height:42pt;width:390pt;" o:ole="t" filled="f" o:preferrelative="t" stroked="f" coordsize="21600,21600">
            <v:path/>
            <v:fill on="f" focussize="0,0"/>
            <v:stroke on="f" joinstyle="miter"/>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ind w:firstLine="420" w:firstLineChars="200"/>
        <w:rPr>
          <w:rFonts w:hint="eastAsia" w:ascii="仿宋" w:hAnsi="仿宋" w:eastAsia="仿宋" w:cs="仿宋"/>
          <w:color w:val="auto"/>
          <w:highlight w:val="none"/>
        </w:rPr>
      </w:pPr>
    </w:p>
    <w:p>
      <w:pPr>
        <w:rPr>
          <w:rFonts w:hint="eastAsia" w:ascii="仿宋" w:hAnsi="仿宋" w:eastAsia="仿宋" w:cs="仿宋"/>
          <w:b/>
          <w:color w:val="auto"/>
          <w:sz w:val="24"/>
          <w:highlight w:val="none"/>
        </w:rPr>
      </w:pPr>
    </w:p>
    <w:p>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r>
        <w:rPr>
          <w:rFonts w:hint="eastAsia" w:ascii="仿宋" w:hAnsi="仿宋" w:eastAsia="仿宋" w:cs="仿宋"/>
          <w:color w:val="auto"/>
          <w:sz w:val="24"/>
          <w:highlight w:val="none"/>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hint="eastAsia" w:ascii="仿宋" w:hAnsi="仿宋" w:eastAsia="仿宋" w:cs="仿宋"/>
          <w:b/>
          <w:bCs/>
          <w:color w:val="auto"/>
          <w:sz w:val="44"/>
          <w:szCs w:val="44"/>
          <w:highlight w:val="none"/>
        </w:rPr>
      </w:pPr>
    </w:p>
    <w:p>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pPr>
        <w:adjustRightInd w:val="0"/>
        <w:snapToGrid w:val="0"/>
        <w:spacing w:line="360" w:lineRule="auto"/>
        <w:rPr>
          <w:rFonts w:hint="eastAsia" w:ascii="仿宋" w:hAnsi="仿宋" w:eastAsia="仿宋" w:cs="仿宋"/>
          <w:color w:val="auto"/>
          <w:sz w:val="32"/>
          <w:szCs w:val="32"/>
          <w:highlight w:val="none"/>
        </w:rPr>
      </w:pPr>
    </w:p>
    <w:p>
      <w:pPr>
        <w:adjustRightInd w:val="0"/>
        <w:snapToGrid w:val="0"/>
        <w:spacing w:line="360" w:lineRule="auto"/>
        <w:rPr>
          <w:rFonts w:hint="eastAsia" w:ascii="仿宋" w:hAnsi="仿宋" w:eastAsia="仿宋" w:cs="仿宋"/>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jc w:val="center"/>
        <w:rPr>
          <w:rFonts w:hint="eastAsia" w:ascii="仿宋" w:hAnsi="仿宋" w:eastAsia="仿宋" w:cs="仿宋"/>
          <w:b/>
          <w:bCs/>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44"/>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44"/>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rPr>
          <w:rFonts w:hint="eastAsia" w:ascii="仿宋" w:hAnsi="仿宋" w:eastAsia="仿宋" w:cs="仿宋"/>
          <w:color w:val="auto"/>
          <w:kern w:val="0"/>
          <w:sz w:val="24"/>
          <w:highlight w:val="none"/>
        </w:rPr>
      </w:pP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45AF8"/>
    <w:multiLevelType w:val="singleLevel"/>
    <w:tmpl w:val="AFB45AF8"/>
    <w:lvl w:ilvl="0" w:tentative="0">
      <w:start w:val="4"/>
      <w:numFmt w:val="decimal"/>
      <w:lvlText w:val="%1."/>
      <w:lvlJc w:val="left"/>
      <w:pPr>
        <w:tabs>
          <w:tab w:val="left" w:pos="312"/>
        </w:tabs>
      </w:pPr>
    </w:lvl>
  </w:abstractNum>
  <w:abstractNum w:abstractNumId="1">
    <w:nsid w:val="FCA2E2C0"/>
    <w:multiLevelType w:val="singleLevel"/>
    <w:tmpl w:val="FCA2E2C0"/>
    <w:lvl w:ilvl="0" w:tentative="0">
      <w:start w:val="1"/>
      <w:numFmt w:val="decimal"/>
      <w:suff w:val="nothing"/>
      <w:lvlText w:val="（%1）"/>
      <w:lvlJc w:val="left"/>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8">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2"/>
  </w:num>
  <w:num w:numId="4">
    <w:abstractNumId w:val="7"/>
  </w:num>
  <w:num w:numId="5">
    <w:abstractNumId w:val="5"/>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DJiMTc5Mjg0YWFmNjAwZTBjOGFiODc5N2VmNzc1NDQ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BB5A85"/>
    <w:rsid w:val="03FC0AFB"/>
    <w:rsid w:val="0446241E"/>
    <w:rsid w:val="05043575"/>
    <w:rsid w:val="06AB31FB"/>
    <w:rsid w:val="08A8158B"/>
    <w:rsid w:val="0B4D1F94"/>
    <w:rsid w:val="0C5609D3"/>
    <w:rsid w:val="10B828F8"/>
    <w:rsid w:val="11504E7B"/>
    <w:rsid w:val="11804AA7"/>
    <w:rsid w:val="137A20FF"/>
    <w:rsid w:val="142305FE"/>
    <w:rsid w:val="1618304E"/>
    <w:rsid w:val="20FF1092"/>
    <w:rsid w:val="214E1D04"/>
    <w:rsid w:val="252B7970"/>
    <w:rsid w:val="26125BA4"/>
    <w:rsid w:val="281A2C55"/>
    <w:rsid w:val="28A569C3"/>
    <w:rsid w:val="2B0A0BD5"/>
    <w:rsid w:val="2B431456"/>
    <w:rsid w:val="32297A9B"/>
    <w:rsid w:val="373F7F37"/>
    <w:rsid w:val="382168F2"/>
    <w:rsid w:val="39EE2D34"/>
    <w:rsid w:val="3C854832"/>
    <w:rsid w:val="3E6F2C13"/>
    <w:rsid w:val="3FDC222E"/>
    <w:rsid w:val="45CC7564"/>
    <w:rsid w:val="46B04891"/>
    <w:rsid w:val="49463453"/>
    <w:rsid w:val="49C8030C"/>
    <w:rsid w:val="49D2118A"/>
    <w:rsid w:val="4A963F66"/>
    <w:rsid w:val="4BDC6D24"/>
    <w:rsid w:val="4BFA5BC7"/>
    <w:rsid w:val="53FA1DF9"/>
    <w:rsid w:val="553A48A9"/>
    <w:rsid w:val="57A71560"/>
    <w:rsid w:val="580179B6"/>
    <w:rsid w:val="58B17641"/>
    <w:rsid w:val="59D00B42"/>
    <w:rsid w:val="5ACD4AC6"/>
    <w:rsid w:val="5DD047C5"/>
    <w:rsid w:val="5F9C4824"/>
    <w:rsid w:val="600A6C32"/>
    <w:rsid w:val="60936B26"/>
    <w:rsid w:val="68A909AF"/>
    <w:rsid w:val="694B0523"/>
    <w:rsid w:val="6E611302"/>
    <w:rsid w:val="72E87C49"/>
    <w:rsid w:val="74253AE1"/>
    <w:rsid w:val="74B752B6"/>
    <w:rsid w:val="75673B65"/>
    <w:rsid w:val="75DF67C1"/>
    <w:rsid w:val="76FE49DA"/>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7"/>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8"/>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1"/>
    <w:link w:val="59"/>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60"/>
    <w:qFormat/>
    <w:uiPriority w:val="0"/>
    <w:pPr>
      <w:keepNext/>
      <w:widowControl/>
      <w:numPr>
        <w:ilvl w:val="0"/>
        <w:numId w:val="4"/>
      </w:numPr>
      <w:jc w:val="left"/>
      <w:outlineLvl w:val="4"/>
    </w:pPr>
    <w:rPr>
      <w:kern w:val="0"/>
      <w:sz w:val="24"/>
      <w:szCs w:val="20"/>
    </w:rPr>
  </w:style>
  <w:style w:type="paragraph" w:styleId="10">
    <w:name w:val="heading 6"/>
    <w:basedOn w:val="1"/>
    <w:next w:val="1"/>
    <w:link w:val="61"/>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2"/>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3"/>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4"/>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customStyle="1" w:styleId="2">
    <w:name w:val="首行缩进"/>
    <w:basedOn w:val="1"/>
    <w:next w:val="1"/>
    <w:qFormat/>
    <w:uiPriority w:val="0"/>
    <w:pPr>
      <w:adjustRightInd w:val="0"/>
      <w:spacing w:line="360" w:lineRule="auto"/>
      <w:ind w:firstLine="480" w:firstLineChars="200"/>
    </w:pPr>
    <w:rPr>
      <w:sz w:val="24"/>
      <w:szCs w:val="20"/>
      <w:lang w:val="zh-CN"/>
    </w:rPr>
  </w:style>
  <w:style w:type="paragraph" w:styleId="6">
    <w:name w:val="Normal Indent"/>
    <w:basedOn w:val="1"/>
    <w:next w:val="7"/>
    <w:link w:val="55"/>
    <w:qFormat/>
    <w:uiPriority w:val="0"/>
    <w:pPr>
      <w:ind w:firstLine="420" w:firstLineChars="200"/>
    </w:pPr>
  </w:style>
  <w:style w:type="paragraph" w:styleId="7">
    <w:name w:val="Body Text Indent"/>
    <w:basedOn w:val="1"/>
    <w:next w:val="1"/>
    <w:link w:val="67"/>
    <w:qFormat/>
    <w:uiPriority w:val="0"/>
    <w:pPr>
      <w:spacing w:after="120"/>
      <w:ind w:left="420" w:left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2"/>
    <w:qFormat/>
    <w:uiPriority w:val="0"/>
    <w:pPr>
      <w:spacing w:line="360" w:lineRule="auto"/>
      <w:jc w:val="center"/>
    </w:pPr>
    <w:rPr>
      <w:rFonts w:ascii="Calibri" w:hAnsi="Calibri"/>
      <w:sz w:val="20"/>
      <w:szCs w:val="20"/>
    </w:rPr>
  </w:style>
  <w:style w:type="paragraph" w:styleId="17">
    <w:name w:val="Document Map"/>
    <w:basedOn w:val="1"/>
    <w:link w:val="121"/>
    <w:semiHidden/>
    <w:qFormat/>
    <w:uiPriority w:val="0"/>
    <w:pPr>
      <w:shd w:val="clear" w:color="auto" w:fill="000080"/>
    </w:pPr>
  </w:style>
  <w:style w:type="paragraph" w:styleId="18">
    <w:name w:val="annotation text"/>
    <w:basedOn w:val="1"/>
    <w:link w:val="73"/>
    <w:qFormat/>
    <w:uiPriority w:val="0"/>
    <w:pPr>
      <w:jc w:val="left"/>
    </w:pPr>
  </w:style>
  <w:style w:type="paragraph" w:styleId="19">
    <w:name w:val="Body Text"/>
    <w:basedOn w:val="1"/>
    <w:next w:val="8"/>
    <w:link w:val="86"/>
    <w:qFormat/>
    <w:uiPriority w:val="0"/>
    <w:pPr>
      <w:spacing w:line="360" w:lineRule="auto"/>
    </w:pPr>
    <w:rPr>
      <w:rFonts w:eastAsia="仿宋_GB2312"/>
      <w:sz w:val="28"/>
    </w:r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next w:val="1"/>
    <w:link w:val="65"/>
    <w:qFormat/>
    <w:uiPriority w:val="0"/>
    <w:rPr>
      <w:rFonts w:ascii="宋体" w:hAnsi="Courier New"/>
      <w:szCs w:val="20"/>
    </w:rPr>
  </w:style>
  <w:style w:type="paragraph" w:styleId="25">
    <w:name w:val="Date"/>
    <w:basedOn w:val="1"/>
    <w:next w:val="1"/>
    <w:link w:val="68"/>
    <w:qFormat/>
    <w:uiPriority w:val="0"/>
    <w:rPr>
      <w:rFonts w:ascii="楷体_GB2312" w:eastAsia="楷体_GB2312"/>
      <w:b/>
      <w:sz w:val="28"/>
      <w:szCs w:val="20"/>
    </w:rPr>
  </w:style>
  <w:style w:type="paragraph" w:styleId="26">
    <w:name w:val="Body Text Indent 2"/>
    <w:basedOn w:val="1"/>
    <w:link w:val="82"/>
    <w:qFormat/>
    <w:uiPriority w:val="0"/>
    <w:pPr>
      <w:spacing w:after="120" w:line="480" w:lineRule="auto"/>
      <w:ind w:left="420" w:leftChars="200"/>
    </w:pPr>
  </w:style>
  <w:style w:type="paragraph" w:styleId="27">
    <w:name w:val="Balloon Text"/>
    <w:basedOn w:val="1"/>
    <w:link w:val="200"/>
    <w:qFormat/>
    <w:uiPriority w:val="0"/>
    <w:rPr>
      <w:sz w:val="18"/>
      <w:szCs w:val="18"/>
    </w:rPr>
  </w:style>
  <w:style w:type="paragraph" w:styleId="28">
    <w:name w:val="footer"/>
    <w:basedOn w:val="1"/>
    <w:link w:val="70"/>
    <w:qFormat/>
    <w:uiPriority w:val="0"/>
    <w:pPr>
      <w:tabs>
        <w:tab w:val="center" w:pos="4153"/>
        <w:tab w:val="right" w:pos="8306"/>
      </w:tabs>
      <w:snapToGrid w:val="0"/>
      <w:jc w:val="left"/>
    </w:pPr>
    <w:rPr>
      <w:sz w:val="18"/>
      <w:szCs w:val="18"/>
    </w:rPr>
  </w:style>
  <w:style w:type="paragraph" w:styleId="29">
    <w:name w:val="header"/>
    <w:basedOn w:val="1"/>
    <w:link w:val="69"/>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201"/>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4"/>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2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176"/>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203"/>
    <w:qFormat/>
    <w:uiPriority w:val="0"/>
    <w:pPr>
      <w:widowControl/>
      <w:spacing w:afterLines="50"/>
    </w:pPr>
    <w:rPr>
      <w:b/>
      <w:bCs/>
      <w:kern w:val="0"/>
      <w:sz w:val="24"/>
      <w:szCs w:val="20"/>
    </w:rPr>
  </w:style>
  <w:style w:type="paragraph" w:styleId="42">
    <w:name w:val="Body Text First Indent"/>
    <w:basedOn w:val="19"/>
    <w:link w:val="204"/>
    <w:qFormat/>
    <w:uiPriority w:val="0"/>
    <w:pPr>
      <w:spacing w:after="120" w:line="240" w:lineRule="auto"/>
      <w:ind w:firstLine="420" w:firstLineChars="100"/>
    </w:pPr>
    <w:rPr>
      <w:rFonts w:eastAsia="宋体"/>
      <w:sz w:val="21"/>
    </w:rPr>
  </w:style>
  <w:style w:type="paragraph" w:styleId="43">
    <w:name w:val="Body Text First Indent 2"/>
    <w:basedOn w:val="7"/>
    <w:next w:val="42"/>
    <w:link w:val="205"/>
    <w:qFormat/>
    <w:uiPriority w:val="0"/>
    <w:pPr>
      <w:ind w:firstLine="420" w:firstLineChars="200"/>
    </w:pPr>
  </w:style>
  <w:style w:type="table" w:styleId="45">
    <w:name w:val="Table Grid"/>
    <w:basedOn w:val="4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qFormat/>
    <w:uiPriority w:val="0"/>
    <w:rPr>
      <w:b/>
      <w:bCs/>
    </w:rPr>
  </w:style>
  <w:style w:type="character" w:styleId="48">
    <w:name w:val="page number"/>
    <w:basedOn w:val="46"/>
    <w:qFormat/>
    <w:uiPriority w:val="0"/>
  </w:style>
  <w:style w:type="character" w:styleId="49">
    <w:name w:val="FollowedHyperlink"/>
    <w:qFormat/>
    <w:uiPriority w:val="99"/>
    <w:rPr>
      <w:color w:val="800080"/>
      <w:u w:val="single"/>
    </w:rPr>
  </w:style>
  <w:style w:type="character" w:styleId="50">
    <w:name w:val="Emphasis"/>
    <w:qFormat/>
    <w:uiPriority w:val="0"/>
    <w:rPr>
      <w:color w:val="CC0000"/>
    </w:rPr>
  </w:style>
  <w:style w:type="character" w:styleId="51">
    <w:name w:val="Hyperlink"/>
    <w:qFormat/>
    <w:uiPriority w:val="99"/>
    <w:rPr>
      <w:color w:val="0000FF"/>
      <w:u w:val="single"/>
    </w:rPr>
  </w:style>
  <w:style w:type="character" w:styleId="52">
    <w:name w:val="annotation reference"/>
    <w:qFormat/>
    <w:uiPriority w:val="0"/>
    <w:rPr>
      <w:sz w:val="21"/>
      <w:szCs w:val="21"/>
    </w:rPr>
  </w:style>
  <w:style w:type="paragraph" w:customStyle="1" w:styleId="53">
    <w:name w:val="xl53"/>
    <w:basedOn w:val="1"/>
    <w:next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4">
    <w:name w:val="标题 1 Char"/>
    <w:link w:val="3"/>
    <w:qFormat/>
    <w:uiPriority w:val="0"/>
    <w:rPr>
      <w:rFonts w:eastAsia="仿宋_GB2312"/>
      <w:b/>
      <w:kern w:val="44"/>
      <w:sz w:val="44"/>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paragraph" w:customStyle="1" w:styleId="56">
    <w:name w:val="_Style 15"/>
    <w:basedOn w:val="1"/>
    <w:qFormat/>
    <w:uiPriority w:val="0"/>
    <w:rPr>
      <w:rFonts w:ascii="Tahoma" w:hAnsi="Tahoma"/>
      <w:sz w:val="24"/>
      <w:szCs w:val="20"/>
    </w:rPr>
  </w:style>
  <w:style w:type="character" w:customStyle="1" w:styleId="57">
    <w:name w:val="标题 2 Char"/>
    <w:link w:val="4"/>
    <w:qFormat/>
    <w:uiPriority w:val="0"/>
    <w:rPr>
      <w:rFonts w:ascii="Arial" w:hAnsi="Arial" w:eastAsia="黑体"/>
      <w:b/>
      <w:kern w:val="2"/>
      <w:sz w:val="32"/>
      <w:lang w:val="en-US" w:eastAsia="zh-CN" w:bidi="ar-SA"/>
    </w:rPr>
  </w:style>
  <w:style w:type="character" w:customStyle="1" w:styleId="58">
    <w:name w:val="标题 3 Char"/>
    <w:link w:val="5"/>
    <w:qFormat/>
    <w:uiPriority w:val="0"/>
    <w:rPr>
      <w:rFonts w:eastAsia="仿宋_GB2312"/>
      <w:b/>
      <w:kern w:val="2"/>
      <w:sz w:val="32"/>
      <w:lang w:val="en-US" w:eastAsia="zh-CN" w:bidi="ar-SA"/>
    </w:rPr>
  </w:style>
  <w:style w:type="character" w:customStyle="1" w:styleId="59">
    <w:name w:val="标题 4 Char1"/>
    <w:link w:val="8"/>
    <w:qFormat/>
    <w:uiPriority w:val="0"/>
    <w:rPr>
      <w:rFonts w:ascii="Arial" w:hAnsi="Arial" w:eastAsia="黑体"/>
      <w:b/>
      <w:kern w:val="2"/>
      <w:sz w:val="28"/>
      <w:lang w:val="en-US" w:eastAsia="zh-CN" w:bidi="ar-SA"/>
    </w:rPr>
  </w:style>
  <w:style w:type="character" w:customStyle="1" w:styleId="60">
    <w:name w:val="标题 5 Char1"/>
    <w:link w:val="9"/>
    <w:qFormat/>
    <w:uiPriority w:val="0"/>
    <w:rPr>
      <w:sz w:val="24"/>
    </w:rPr>
  </w:style>
  <w:style w:type="character" w:customStyle="1" w:styleId="61">
    <w:name w:val="标题 6 Char1"/>
    <w:link w:val="10"/>
    <w:qFormat/>
    <w:uiPriority w:val="0"/>
    <w:rPr>
      <w:rFonts w:ascii="宋体" w:hAnsi="Arial" w:eastAsia="宋体"/>
      <w:sz w:val="24"/>
      <w:lang w:val="en-US" w:eastAsia="zh-CN" w:bidi="ar-SA"/>
    </w:rPr>
  </w:style>
  <w:style w:type="character" w:customStyle="1" w:styleId="62">
    <w:name w:val="标题 7 Char1"/>
    <w:link w:val="11"/>
    <w:qFormat/>
    <w:uiPriority w:val="0"/>
    <w:rPr>
      <w:rFonts w:ascii="宋体" w:hAnsi="Arial" w:eastAsia="宋体"/>
      <w:b/>
      <w:sz w:val="24"/>
      <w:lang w:val="en-US" w:eastAsia="zh-CN" w:bidi="ar-SA"/>
    </w:rPr>
  </w:style>
  <w:style w:type="character" w:customStyle="1" w:styleId="63">
    <w:name w:val="标题 8 Char1"/>
    <w:link w:val="12"/>
    <w:qFormat/>
    <w:uiPriority w:val="0"/>
    <w:rPr>
      <w:rFonts w:ascii="Arial" w:hAnsi="Arial" w:eastAsia="黑体"/>
      <w:sz w:val="24"/>
      <w:lang w:val="en-US" w:eastAsia="zh-CN" w:bidi="ar-SA"/>
    </w:rPr>
  </w:style>
  <w:style w:type="character" w:customStyle="1" w:styleId="64">
    <w:name w:val="标题 9 Char1"/>
    <w:link w:val="13"/>
    <w:qFormat/>
    <w:uiPriority w:val="0"/>
    <w:rPr>
      <w:rFonts w:ascii="Arial" w:hAnsi="Arial" w:eastAsia="黑体"/>
      <w:sz w:val="24"/>
      <w:lang w:val="en-US" w:eastAsia="zh-CN" w:bidi="ar-SA"/>
    </w:rPr>
  </w:style>
  <w:style w:type="character" w:customStyle="1" w:styleId="65">
    <w:name w:val="纯文本 Char"/>
    <w:link w:val="24"/>
    <w:qFormat/>
    <w:uiPriority w:val="0"/>
    <w:rPr>
      <w:rFonts w:ascii="宋体" w:hAnsi="Courier New" w:eastAsia="宋体"/>
      <w:kern w:val="2"/>
      <w:sz w:val="21"/>
      <w:lang w:val="en-US" w:eastAsia="zh-CN" w:bidi="ar-SA"/>
    </w:rPr>
  </w:style>
  <w:style w:type="paragraph" w:customStyle="1" w:styleId="66">
    <w:name w:val="表正文"/>
    <w:basedOn w:val="1"/>
    <w:next w:val="24"/>
    <w:qFormat/>
    <w:uiPriority w:val="0"/>
    <w:rPr>
      <w:rFonts w:ascii="宋体" w:hAnsi="Courier New"/>
      <w:szCs w:val="20"/>
    </w:rPr>
  </w:style>
  <w:style w:type="character" w:customStyle="1" w:styleId="67">
    <w:name w:val="正文文本缩进 Char"/>
    <w:link w:val="7"/>
    <w:qFormat/>
    <w:uiPriority w:val="0"/>
    <w:rPr>
      <w:rFonts w:eastAsia="宋体"/>
      <w:kern w:val="2"/>
      <w:sz w:val="21"/>
      <w:szCs w:val="24"/>
      <w:lang w:val="en-US" w:eastAsia="zh-CN" w:bidi="ar-SA"/>
    </w:rPr>
  </w:style>
  <w:style w:type="character" w:customStyle="1" w:styleId="68">
    <w:name w:val="日期 Char2"/>
    <w:link w:val="25"/>
    <w:qFormat/>
    <w:uiPriority w:val="0"/>
    <w:rPr>
      <w:rFonts w:ascii="楷体_GB2312" w:eastAsia="楷体_GB2312"/>
      <w:b/>
      <w:kern w:val="2"/>
      <w:sz w:val="28"/>
      <w:lang w:val="en-US" w:eastAsia="zh-CN" w:bidi="ar-SA"/>
    </w:rPr>
  </w:style>
  <w:style w:type="character" w:customStyle="1" w:styleId="69">
    <w:name w:val="页眉 Char1"/>
    <w:link w:val="29"/>
    <w:qFormat/>
    <w:uiPriority w:val="0"/>
    <w:rPr>
      <w:rFonts w:eastAsia="宋体"/>
      <w:kern w:val="2"/>
      <w:sz w:val="18"/>
      <w:szCs w:val="18"/>
      <w:lang w:val="en-US" w:eastAsia="zh-CN" w:bidi="ar-SA"/>
    </w:rPr>
  </w:style>
  <w:style w:type="character" w:customStyle="1" w:styleId="70">
    <w:name w:val="页脚 Char"/>
    <w:link w:val="28"/>
    <w:qFormat/>
    <w:locked/>
    <w:uiPriority w:val="0"/>
    <w:rPr>
      <w:rFonts w:eastAsia="宋体"/>
      <w:kern w:val="2"/>
      <w:sz w:val="18"/>
      <w:szCs w:val="18"/>
      <w:lang w:val="en-US" w:eastAsia="zh-CN" w:bidi="ar-SA"/>
    </w:rPr>
  </w:style>
  <w:style w:type="paragraph" w:customStyle="1" w:styleId="71">
    <w:name w:val="正文段"/>
    <w:basedOn w:val="1"/>
    <w:link w:val="72"/>
    <w:qFormat/>
    <w:uiPriority w:val="0"/>
    <w:pPr>
      <w:widowControl/>
      <w:snapToGrid w:val="0"/>
      <w:spacing w:afterLines="50"/>
      <w:ind w:firstLine="200" w:firstLineChars="200"/>
    </w:pPr>
    <w:rPr>
      <w:kern w:val="0"/>
      <w:sz w:val="24"/>
      <w:szCs w:val="20"/>
    </w:rPr>
  </w:style>
  <w:style w:type="character" w:customStyle="1" w:styleId="72">
    <w:name w:val="正文段 Char"/>
    <w:link w:val="71"/>
    <w:qFormat/>
    <w:uiPriority w:val="0"/>
    <w:rPr>
      <w:rFonts w:eastAsia="宋体"/>
      <w:sz w:val="24"/>
      <w:lang w:val="en-US" w:eastAsia="zh-CN" w:bidi="ar-SA"/>
    </w:rPr>
  </w:style>
  <w:style w:type="character" w:customStyle="1" w:styleId="73">
    <w:name w:val="批注文字 Char1"/>
    <w:link w:val="18"/>
    <w:qFormat/>
    <w:uiPriority w:val="0"/>
    <w:rPr>
      <w:rFonts w:eastAsia="宋体"/>
      <w:kern w:val="2"/>
      <w:sz w:val="21"/>
      <w:szCs w:val="24"/>
      <w:lang w:val="en-US" w:eastAsia="zh-CN" w:bidi="ar-SA"/>
    </w:rPr>
  </w:style>
  <w:style w:type="character" w:customStyle="1" w:styleId="74">
    <w:name w:val="正文文本 2 Char1"/>
    <w:link w:val="35"/>
    <w:qFormat/>
    <w:uiPriority w:val="0"/>
    <w:rPr>
      <w:rFonts w:ascii="隶书" w:eastAsia="隶书"/>
      <w:bCs/>
      <w:sz w:val="72"/>
      <w:szCs w:val="84"/>
      <w:lang w:val="en-US" w:eastAsia="zh-CN" w:bidi="ar-SA"/>
    </w:rPr>
  </w:style>
  <w:style w:type="paragraph" w:customStyle="1" w:styleId="75">
    <w:name w:val="Char"/>
    <w:basedOn w:val="1"/>
    <w:qFormat/>
    <w:uiPriority w:val="0"/>
    <w:rPr>
      <w:rFonts w:ascii="仿宋_GB2312" w:eastAsia="仿宋_GB2312"/>
      <w:b/>
      <w:sz w:val="32"/>
      <w:szCs w:val="32"/>
    </w:rPr>
  </w:style>
  <w:style w:type="paragraph" w:customStyle="1" w:styleId="76">
    <w:name w:val="Table Text"/>
    <w:link w:val="77"/>
    <w:qFormat/>
    <w:uiPriority w:val="0"/>
    <w:pPr>
      <w:snapToGrid w:val="0"/>
      <w:spacing w:before="80" w:after="80"/>
    </w:pPr>
    <w:rPr>
      <w:rFonts w:ascii="Arial" w:hAnsi="Arial" w:eastAsia="宋体" w:cs="Times New Roman"/>
      <w:sz w:val="18"/>
      <w:lang w:val="en-US" w:eastAsia="zh-CN" w:bidi="ar-SA"/>
    </w:rPr>
  </w:style>
  <w:style w:type="character" w:customStyle="1" w:styleId="77">
    <w:name w:val="Table Text Char1"/>
    <w:link w:val="76"/>
    <w:qFormat/>
    <w:uiPriority w:val="0"/>
    <w:rPr>
      <w:rFonts w:ascii="Arial" w:hAnsi="Arial"/>
      <w:sz w:val="18"/>
      <w:lang w:val="en-US" w:eastAsia="zh-CN" w:bidi="ar-SA"/>
    </w:rPr>
  </w:style>
  <w:style w:type="character" w:customStyle="1" w:styleId="78">
    <w:name w:val="正文（缩进2汉字） Char"/>
    <w:link w:val="79"/>
    <w:qFormat/>
    <w:uiPriority w:val="0"/>
    <w:rPr>
      <w:rFonts w:ascii="宋体"/>
      <w:kern w:val="2"/>
      <w:sz w:val="21"/>
      <w:lang w:bidi="ar-SA"/>
    </w:rPr>
  </w:style>
  <w:style w:type="paragraph" w:customStyle="1" w:styleId="79">
    <w:name w:val="正文（缩进2汉字）"/>
    <w:basedOn w:val="1"/>
    <w:link w:val="78"/>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0">
    <w:name w:val="Char111"/>
    <w:basedOn w:val="1"/>
    <w:qFormat/>
    <w:uiPriority w:val="0"/>
    <w:pPr>
      <w:tabs>
        <w:tab w:val="left" w:pos="432"/>
      </w:tabs>
      <w:spacing w:beforeLines="50" w:afterLines="50"/>
      <w:ind w:left="432" w:hanging="432"/>
      <w:jc w:val="center"/>
    </w:pPr>
    <w:rPr>
      <w:sz w:val="24"/>
    </w:rPr>
  </w:style>
  <w:style w:type="paragraph" w:customStyle="1" w:styleId="81">
    <w:name w:val="模板普通正文"/>
    <w:basedOn w:val="7"/>
    <w:qFormat/>
    <w:uiPriority w:val="0"/>
    <w:pPr>
      <w:spacing w:beforeLines="50" w:after="10" w:line="360" w:lineRule="auto"/>
      <w:ind w:left="0" w:leftChars="0" w:firstLine="175" w:firstLineChars="175"/>
      <w:jc w:val="left"/>
    </w:pPr>
    <w:rPr>
      <w:sz w:val="24"/>
    </w:rPr>
  </w:style>
  <w:style w:type="character" w:customStyle="1" w:styleId="82">
    <w:name w:val="正文文本缩进 2 Char1"/>
    <w:link w:val="26"/>
    <w:qFormat/>
    <w:locked/>
    <w:uiPriority w:val="0"/>
    <w:rPr>
      <w:rFonts w:eastAsia="宋体"/>
      <w:kern w:val="2"/>
      <w:sz w:val="21"/>
      <w:szCs w:val="24"/>
      <w:lang w:val="en-US" w:eastAsia="zh-CN" w:bidi="ar-SA"/>
    </w:rPr>
  </w:style>
  <w:style w:type="paragraph" w:customStyle="1" w:styleId="83">
    <w:name w:val="缺省文本"/>
    <w:basedOn w:val="1"/>
    <w:qFormat/>
    <w:uiPriority w:val="0"/>
    <w:pPr>
      <w:autoSpaceDE w:val="0"/>
      <w:autoSpaceDN w:val="0"/>
      <w:adjustRightInd w:val="0"/>
      <w:jc w:val="left"/>
    </w:pPr>
    <w:rPr>
      <w:kern w:val="0"/>
      <w:sz w:val="24"/>
    </w:rPr>
  </w:style>
  <w:style w:type="paragraph" w:customStyle="1" w:styleId="84">
    <w:name w:val="WW-正文文字缩进 2"/>
    <w:basedOn w:val="1"/>
    <w:qFormat/>
    <w:uiPriority w:val="0"/>
    <w:pPr>
      <w:suppressAutoHyphens/>
      <w:ind w:firstLine="420"/>
    </w:pPr>
    <w:rPr>
      <w:kern w:val="1"/>
      <w:szCs w:val="20"/>
    </w:rPr>
  </w:style>
  <w:style w:type="paragraph" w:customStyle="1" w:styleId="85">
    <w:name w:val="默认段落字体 Para Char Char Char Char Char Char Char Char Char1 Char Char Char Char"/>
    <w:basedOn w:val="1"/>
    <w:qFormat/>
    <w:uiPriority w:val="0"/>
    <w:rPr>
      <w:rFonts w:ascii="Tahoma" w:hAnsi="Tahoma"/>
      <w:sz w:val="24"/>
      <w:szCs w:val="20"/>
    </w:rPr>
  </w:style>
  <w:style w:type="character" w:customStyle="1" w:styleId="86">
    <w:name w:val="正文文本 Char1"/>
    <w:link w:val="19"/>
    <w:qFormat/>
    <w:locked/>
    <w:uiPriority w:val="0"/>
    <w:rPr>
      <w:rFonts w:eastAsia="仿宋_GB2312"/>
      <w:kern w:val="2"/>
      <w:sz w:val="28"/>
      <w:szCs w:val="24"/>
      <w:lang w:val="en-US" w:eastAsia="zh-CN" w:bidi="ar-SA"/>
    </w:rPr>
  </w:style>
  <w:style w:type="paragraph" w:customStyle="1" w:styleId="87">
    <w:name w:val="项目排列"/>
    <w:basedOn w:val="1"/>
    <w:link w:val="88"/>
    <w:qFormat/>
    <w:uiPriority w:val="0"/>
    <w:pPr>
      <w:tabs>
        <w:tab w:val="left" w:pos="900"/>
      </w:tabs>
      <w:spacing w:beforeLines="50" w:afterLines="50" w:line="300" w:lineRule="auto"/>
      <w:ind w:left="900" w:hanging="420"/>
    </w:pPr>
    <w:rPr>
      <w:sz w:val="24"/>
    </w:rPr>
  </w:style>
  <w:style w:type="character" w:customStyle="1" w:styleId="88">
    <w:name w:val="项目排列 Char"/>
    <w:link w:val="87"/>
    <w:qFormat/>
    <w:uiPriority w:val="0"/>
    <w:rPr>
      <w:kern w:val="2"/>
      <w:sz w:val="24"/>
      <w:szCs w:val="24"/>
    </w:rPr>
  </w:style>
  <w:style w:type="character" w:customStyle="1" w:styleId="89">
    <w:name w:val="style21"/>
    <w:qFormat/>
    <w:uiPriority w:val="0"/>
    <w:rPr>
      <w:sz w:val="15"/>
      <w:szCs w:val="15"/>
    </w:rPr>
  </w:style>
  <w:style w:type="paragraph" w:customStyle="1" w:styleId="9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2">
    <w:name w:val="Char1"/>
    <w:basedOn w:val="1"/>
    <w:qFormat/>
    <w:uiPriority w:val="0"/>
    <w:rPr>
      <w:szCs w:val="20"/>
    </w:rPr>
  </w:style>
  <w:style w:type="paragraph" w:customStyle="1" w:styleId="93">
    <w:name w:val="列出段落1"/>
    <w:basedOn w:val="1"/>
    <w:next w:val="1"/>
    <w:qFormat/>
    <w:uiPriority w:val="0"/>
    <w:pPr>
      <w:ind w:firstLine="420" w:firstLineChars="200"/>
    </w:pPr>
    <w:rPr>
      <w:rFonts w:ascii="Calibri" w:hAnsi="Calibri"/>
      <w:szCs w:val="22"/>
    </w:rPr>
  </w:style>
  <w:style w:type="paragraph" w:customStyle="1" w:styleId="94">
    <w:name w:val="默认段落字体 Para Char Char Char Char"/>
    <w:basedOn w:val="1"/>
    <w:qFormat/>
    <w:uiPriority w:val="0"/>
  </w:style>
  <w:style w:type="paragraph" w:customStyle="1" w:styleId="95">
    <w:name w:val="Char Char Char1 Char Char Char1 Char Char Char Char"/>
    <w:basedOn w:val="1"/>
    <w:qFormat/>
    <w:uiPriority w:val="0"/>
  </w:style>
  <w:style w:type="character" w:customStyle="1" w:styleId="96">
    <w:name w:val="font1"/>
    <w:qFormat/>
    <w:uiPriority w:val="0"/>
    <w:rPr>
      <w:color w:val="999999"/>
      <w:sz w:val="18"/>
      <w:szCs w:val="18"/>
      <w:u w:val="none"/>
    </w:rPr>
  </w:style>
  <w:style w:type="paragraph" w:customStyle="1" w:styleId="9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8">
    <w:name w:val="Char Char Char Char Char Char Char Char Char Char"/>
    <w:basedOn w:val="1"/>
    <w:qFormat/>
    <w:uiPriority w:val="0"/>
    <w:rPr>
      <w:rFonts w:ascii="Tahoma" w:hAnsi="Tahoma"/>
      <w:sz w:val="24"/>
      <w:szCs w:val="20"/>
    </w:rPr>
  </w:style>
  <w:style w:type="character" w:customStyle="1" w:styleId="99">
    <w:name w:val="apple-style-span"/>
    <w:basedOn w:val="46"/>
    <w:qFormat/>
    <w:uiPriority w:val="0"/>
  </w:style>
  <w:style w:type="paragraph" w:customStyle="1" w:styleId="100">
    <w:name w:val="正文无缩进"/>
    <w:basedOn w:val="1"/>
    <w:link w:val="101"/>
    <w:qFormat/>
    <w:uiPriority w:val="0"/>
    <w:pPr>
      <w:spacing w:line="360" w:lineRule="auto"/>
    </w:pPr>
    <w:rPr>
      <w:rFonts w:ascii="宋体"/>
      <w:color w:val="000000"/>
      <w:sz w:val="24"/>
    </w:rPr>
  </w:style>
  <w:style w:type="character" w:customStyle="1" w:styleId="101">
    <w:name w:val="正文无缩进 Char"/>
    <w:link w:val="100"/>
    <w:qFormat/>
    <w:uiPriority w:val="0"/>
    <w:rPr>
      <w:rFonts w:ascii="宋体" w:eastAsia="宋体"/>
      <w:color w:val="000000"/>
      <w:kern w:val="2"/>
      <w:sz w:val="24"/>
      <w:szCs w:val="24"/>
      <w:lang w:val="en-US" w:eastAsia="zh-CN" w:bidi="ar-SA"/>
    </w:rPr>
  </w:style>
  <w:style w:type="paragraph" w:customStyle="1" w:styleId="10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3">
    <w:name w:val="ca-3"/>
    <w:basedOn w:val="46"/>
    <w:qFormat/>
    <w:uiPriority w:val="0"/>
  </w:style>
  <w:style w:type="paragraph" w:customStyle="1" w:styleId="10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5">
    <w:name w:val="表格 Char Char"/>
    <w:link w:val="106"/>
    <w:qFormat/>
    <w:locked/>
    <w:uiPriority w:val="0"/>
    <w:rPr>
      <w:rFonts w:ascii="宋体" w:hAnsi="宋体" w:eastAsia="宋体"/>
      <w:lang w:val="en-US" w:eastAsia="zh-CN" w:bidi="ar-SA"/>
    </w:rPr>
  </w:style>
  <w:style w:type="paragraph" w:customStyle="1" w:styleId="106">
    <w:name w:val="表格"/>
    <w:basedOn w:val="1"/>
    <w:link w:val="105"/>
    <w:qFormat/>
    <w:uiPriority w:val="0"/>
    <w:pPr>
      <w:snapToGrid w:val="0"/>
      <w:ind w:firstLine="42" w:firstLineChars="21"/>
    </w:pPr>
    <w:rPr>
      <w:rFonts w:ascii="宋体" w:hAnsi="宋体"/>
      <w:kern w:val="0"/>
      <w:sz w:val="20"/>
      <w:szCs w:val="20"/>
    </w:rPr>
  </w:style>
  <w:style w:type="paragraph" w:customStyle="1" w:styleId="10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8">
    <w:name w:val="Char Char1 Char Char Char Char Char Char"/>
    <w:basedOn w:val="1"/>
    <w:qFormat/>
    <w:uiPriority w:val="0"/>
    <w:pPr>
      <w:widowControl/>
      <w:spacing w:after="160" w:line="240" w:lineRule="exact"/>
      <w:jc w:val="left"/>
    </w:pPr>
  </w:style>
  <w:style w:type="character" w:customStyle="1" w:styleId="109">
    <w:name w:val="Char Char"/>
    <w:qFormat/>
    <w:uiPriority w:val="0"/>
    <w:rPr>
      <w:rFonts w:hint="eastAsia" w:ascii="宋体" w:hAnsi="Courier New" w:eastAsia="宋体"/>
      <w:kern w:val="2"/>
      <w:sz w:val="21"/>
      <w:lang w:val="en-US" w:eastAsia="zh-CN" w:bidi="ar-SA"/>
    </w:rPr>
  </w:style>
  <w:style w:type="character" w:customStyle="1" w:styleId="110">
    <w:name w:val="style51"/>
    <w:qFormat/>
    <w:uiPriority w:val="0"/>
    <w:rPr>
      <w:sz w:val="21"/>
      <w:szCs w:val="21"/>
    </w:rPr>
  </w:style>
  <w:style w:type="paragraph" w:customStyle="1" w:styleId="11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2">
    <w:name w:val="标准文本"/>
    <w:basedOn w:val="1"/>
    <w:link w:val="113"/>
    <w:qFormat/>
    <w:uiPriority w:val="0"/>
    <w:pPr>
      <w:spacing w:line="360" w:lineRule="auto"/>
      <w:ind w:firstLine="480" w:firstLineChars="200"/>
    </w:pPr>
    <w:rPr>
      <w:rFonts w:cs="宋体"/>
      <w:sz w:val="24"/>
      <w:szCs w:val="20"/>
    </w:rPr>
  </w:style>
  <w:style w:type="character" w:customStyle="1" w:styleId="113">
    <w:name w:val="标准文本 Char"/>
    <w:link w:val="112"/>
    <w:qFormat/>
    <w:uiPriority w:val="0"/>
    <w:rPr>
      <w:rFonts w:eastAsia="宋体" w:cs="宋体"/>
      <w:kern w:val="2"/>
      <w:sz w:val="24"/>
      <w:lang w:val="en-US" w:eastAsia="zh-CN" w:bidi="ar-SA"/>
    </w:rPr>
  </w:style>
  <w:style w:type="paragraph" w:customStyle="1" w:styleId="11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5">
    <w:name w:val="自定义正文"/>
    <w:basedOn w:val="1"/>
    <w:link w:val="116"/>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8">
    <w:name w:val="自定义表格文字"/>
    <w:basedOn w:val="1"/>
    <w:qFormat/>
    <w:uiPriority w:val="0"/>
    <w:pPr>
      <w:spacing w:before="60" w:after="60" w:line="320" w:lineRule="exact"/>
      <w:jc w:val="left"/>
    </w:pPr>
    <w:rPr>
      <w:rFonts w:ascii="宋体" w:eastAsia="楷体_GB2312"/>
    </w:rPr>
  </w:style>
  <w:style w:type="paragraph" w:customStyle="1" w:styleId="11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7"/>
    <w:semiHidden/>
    <w:qFormat/>
    <w:uiPriority w:val="0"/>
    <w:rPr>
      <w:rFonts w:eastAsia="宋体"/>
      <w:kern w:val="2"/>
      <w:sz w:val="21"/>
      <w:szCs w:val="24"/>
      <w:lang w:val="en-US" w:eastAsia="zh-CN" w:bidi="ar-SA"/>
    </w:rPr>
  </w:style>
  <w:style w:type="character" w:customStyle="1" w:styleId="122">
    <w:name w:val="Char Char12"/>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qFormat/>
    <w:uiPriority w:val="0"/>
    <w:rPr>
      <w:rFonts w:ascii="Arial" w:hAnsi="Arial" w:eastAsia="宋体"/>
      <w:sz w:val="24"/>
      <w:lang w:val="en-US" w:eastAsia="zh-CN" w:bidi="ar-SA"/>
    </w:rPr>
  </w:style>
  <w:style w:type="character" w:customStyle="1" w:styleId="125">
    <w:name w:val="Char Char8"/>
    <w:qFormat/>
    <w:uiPriority w:val="0"/>
    <w:rPr>
      <w:rFonts w:ascii="宋体" w:eastAsia="宋体"/>
      <w:kern w:val="2"/>
      <w:sz w:val="28"/>
      <w:lang w:val="en-US" w:eastAsia="zh-CN" w:bidi="ar-SA"/>
    </w:rPr>
  </w:style>
  <w:style w:type="character" w:customStyle="1" w:styleId="126">
    <w:name w:val="Char Char7"/>
    <w:qFormat/>
    <w:uiPriority w:val="0"/>
    <w:rPr>
      <w:rFonts w:eastAsia="仿宋_GB2312"/>
      <w:kern w:val="2"/>
      <w:sz w:val="24"/>
      <w:szCs w:val="24"/>
      <w:lang w:val="en-US" w:eastAsia="zh-CN" w:bidi="ar-SA"/>
    </w:rPr>
  </w:style>
  <w:style w:type="paragraph" w:customStyle="1" w:styleId="127">
    <w:name w:val="表内文字"/>
    <w:basedOn w:val="1"/>
    <w:qFormat/>
    <w:uiPriority w:val="0"/>
    <w:pPr>
      <w:jc w:val="center"/>
    </w:pPr>
    <w:rPr>
      <w:color w:val="FF0000"/>
      <w:kern w:val="0"/>
      <w:sz w:val="24"/>
    </w:rPr>
  </w:style>
  <w:style w:type="character" w:customStyle="1" w:styleId="128">
    <w:name w:val="Char Char3"/>
    <w:qFormat/>
    <w:uiPriority w:val="0"/>
    <w:rPr>
      <w:rFonts w:eastAsia="仿宋_GB2312"/>
      <w:kern w:val="2"/>
      <w:sz w:val="28"/>
      <w:szCs w:val="24"/>
      <w:lang w:val="en-US" w:eastAsia="zh-CN" w:bidi="ar-SA"/>
    </w:rPr>
  </w:style>
  <w:style w:type="paragraph" w:customStyle="1" w:styleId="129">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qFormat/>
    <w:uiPriority w:val="0"/>
    <w:pPr>
      <w:tabs>
        <w:tab w:val="left" w:pos="840"/>
      </w:tabs>
      <w:spacing w:after="60"/>
      <w:ind w:left="840" w:hanging="420"/>
    </w:pPr>
    <w:rPr>
      <w:rFonts w:ascii="宋体"/>
      <w:spacing w:val="4"/>
      <w:szCs w:val="20"/>
    </w:rPr>
  </w:style>
  <w:style w:type="paragraph" w:customStyle="1" w:styleId="134">
    <w:name w:val="编10号"/>
    <w:basedOn w:val="1"/>
    <w:qFormat/>
    <w:uiPriority w:val="0"/>
    <w:pPr>
      <w:tabs>
        <w:tab w:val="left" w:pos="1620"/>
      </w:tabs>
      <w:ind w:left="1620" w:hanging="360"/>
    </w:pPr>
  </w:style>
  <w:style w:type="paragraph" w:customStyle="1" w:styleId="135">
    <w:name w:val="段"/>
    <w:basedOn w:val="1"/>
    <w:qFormat/>
    <w:uiPriority w:val="0"/>
    <w:pPr>
      <w:ind w:firstLine="425"/>
    </w:pPr>
    <w:rPr>
      <w:rFonts w:ascii="宋体"/>
      <w:szCs w:val="20"/>
    </w:rPr>
  </w:style>
  <w:style w:type="paragraph" w:customStyle="1" w:styleId="136">
    <w:name w:val="Char Char Char Char"/>
    <w:basedOn w:val="1"/>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qFormat/>
    <w:uiPriority w:val="0"/>
    <w:rPr>
      <w:rFonts w:hint="eastAsia" w:ascii="宋体" w:hAnsi="宋体" w:eastAsia="宋体"/>
      <w:sz w:val="18"/>
      <w:szCs w:val="18"/>
    </w:rPr>
  </w:style>
  <w:style w:type="paragraph" w:customStyle="1" w:styleId="139">
    <w:name w:val="Char1 Char Char Char Char Char Char"/>
    <w:basedOn w:val="1"/>
    <w:qFormat/>
    <w:uiPriority w:val="0"/>
    <w:rPr>
      <w:rFonts w:ascii="Tahoma" w:hAnsi="Tahoma"/>
      <w:sz w:val="24"/>
      <w:szCs w:val="20"/>
    </w:rPr>
  </w:style>
  <w:style w:type="paragraph" w:customStyle="1" w:styleId="140">
    <w:name w:val="Char Char2 Char Char Char Char"/>
    <w:basedOn w:val="17"/>
    <w:qFormat/>
    <w:uiPriority w:val="0"/>
    <w:rPr>
      <w:rFonts w:ascii="Tahoma" w:hAnsi="Tahoma"/>
      <w:sz w:val="24"/>
    </w:rPr>
  </w:style>
  <w:style w:type="paragraph" w:customStyle="1" w:styleId="141">
    <w:name w:val="Char Char Char"/>
    <w:basedOn w:val="17"/>
    <w:qFormat/>
    <w:uiPriority w:val="0"/>
    <w:rPr>
      <w:rFonts w:ascii="Tahoma" w:hAnsi="Tahoma"/>
      <w:sz w:val="24"/>
    </w:rPr>
  </w:style>
  <w:style w:type="paragraph" w:customStyle="1" w:styleId="142">
    <w:name w:val="正文缩进 New"/>
    <w:basedOn w:val="1"/>
    <w:qFormat/>
    <w:uiPriority w:val="0"/>
    <w:pPr>
      <w:ind w:firstLine="420" w:firstLineChars="200"/>
    </w:pPr>
    <w:rPr>
      <w:szCs w:val="20"/>
    </w:rPr>
  </w:style>
  <w:style w:type="paragraph" w:customStyle="1" w:styleId="143">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qFormat/>
    <w:uiPriority w:val="0"/>
    <w:rPr>
      <w:sz w:val="20"/>
      <w:szCs w:val="20"/>
    </w:rPr>
  </w:style>
  <w:style w:type="character" w:customStyle="1" w:styleId="145">
    <w:name w:val="Char Char11"/>
    <w:qFormat/>
    <w:uiPriority w:val="0"/>
    <w:rPr>
      <w:b/>
      <w:kern w:val="44"/>
      <w:sz w:val="44"/>
    </w:rPr>
  </w:style>
  <w:style w:type="character" w:customStyle="1" w:styleId="146">
    <w:name w:val="Char Char10"/>
    <w:qFormat/>
    <w:uiPriority w:val="0"/>
    <w:rPr>
      <w:b/>
      <w:kern w:val="2"/>
      <w:sz w:val="28"/>
      <w:szCs w:val="28"/>
    </w:rPr>
  </w:style>
  <w:style w:type="character" w:customStyle="1" w:styleId="147">
    <w:name w:val="Char Char9"/>
    <w:qFormat/>
    <w:uiPriority w:val="0"/>
    <w:rPr>
      <w:b/>
      <w:kern w:val="2"/>
      <w:sz w:val="24"/>
      <w:szCs w:val="24"/>
    </w:rPr>
  </w:style>
  <w:style w:type="paragraph" w:customStyle="1" w:styleId="148">
    <w:name w:val="Char Char Char 字元 字元"/>
    <w:basedOn w:val="1"/>
    <w:qFormat/>
    <w:uiPriority w:val="0"/>
    <w:pPr>
      <w:spacing w:line="360" w:lineRule="auto"/>
      <w:ind w:firstLine="200" w:firstLineChars="200"/>
    </w:pPr>
    <w:rPr>
      <w:szCs w:val="20"/>
    </w:rPr>
  </w:style>
  <w:style w:type="paragraph" w:customStyle="1" w:styleId="149">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qFormat/>
    <w:uiPriority w:val="0"/>
    <w:rPr>
      <w:b/>
      <w:bCs/>
      <w:color w:val="FF0000"/>
    </w:rPr>
  </w:style>
  <w:style w:type="character" w:customStyle="1" w:styleId="152">
    <w:name w:val="info"/>
    <w:basedOn w:val="46"/>
    <w:qFormat/>
    <w:uiPriority w:val="0"/>
  </w:style>
  <w:style w:type="paragraph" w:customStyle="1" w:styleId="153">
    <w:name w:val="样式 正文缩进 + 首行缩进:  2 字符"/>
    <w:basedOn w:val="6"/>
    <w:link w:val="154"/>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qFormat/>
    <w:locked/>
    <w:uiPriority w:val="0"/>
    <w:rPr>
      <w:rFonts w:ascii="宋体" w:hAnsi="宋体" w:eastAsia="宋体"/>
      <w:color w:val="000000"/>
      <w:sz w:val="24"/>
      <w:lang w:bidi="ar-SA"/>
    </w:rPr>
  </w:style>
  <w:style w:type="paragraph" w:customStyle="1" w:styleId="155">
    <w:name w:val="正文2"/>
    <w:basedOn w:val="1"/>
    <w:link w:val="156"/>
    <w:qFormat/>
    <w:uiPriority w:val="0"/>
    <w:pPr>
      <w:spacing w:before="156" w:line="360" w:lineRule="auto"/>
      <w:ind w:firstLine="510" w:firstLineChars="200"/>
    </w:pPr>
    <w:rPr>
      <w:sz w:val="24"/>
      <w:szCs w:val="20"/>
    </w:rPr>
  </w:style>
  <w:style w:type="character" w:customStyle="1" w:styleId="156">
    <w:name w:val="正文2 Char"/>
    <w:link w:val="155"/>
    <w:qFormat/>
    <w:uiPriority w:val="0"/>
    <w:rPr>
      <w:rFonts w:eastAsia="宋体"/>
      <w:kern w:val="2"/>
      <w:sz w:val="24"/>
      <w:lang w:val="en-US" w:eastAsia="zh-CN" w:bidi="ar-SA"/>
    </w:rPr>
  </w:style>
  <w:style w:type="paragraph" w:customStyle="1" w:styleId="157">
    <w:name w:val="p0"/>
    <w:basedOn w:val="1"/>
    <w:qFormat/>
    <w:uiPriority w:val="0"/>
    <w:pPr>
      <w:widowControl/>
    </w:pPr>
    <w:rPr>
      <w:kern w:val="0"/>
      <w:szCs w:val="21"/>
    </w:rPr>
  </w:style>
  <w:style w:type="character" w:customStyle="1" w:styleId="158">
    <w:name w:val="param-name"/>
    <w:basedOn w:val="46"/>
    <w:qFormat/>
    <w:uiPriority w:val="0"/>
  </w:style>
  <w:style w:type="character" w:customStyle="1" w:styleId="159">
    <w:name w:val="日期 Char"/>
    <w:qFormat/>
    <w:uiPriority w:val="0"/>
    <w:rPr>
      <w:rFonts w:ascii="楷体_GB2312" w:eastAsia="楷体_GB2312"/>
      <w:b/>
      <w:kern w:val="2"/>
      <w:sz w:val="28"/>
      <w:lang w:val="en-US" w:eastAsia="zh-CN" w:bidi="ar-SA"/>
    </w:rPr>
  </w:style>
  <w:style w:type="character" w:customStyle="1" w:styleId="160">
    <w:name w:val="标题 4 Char"/>
    <w:qFormat/>
    <w:uiPriority w:val="0"/>
    <w:rPr>
      <w:rFonts w:ascii="Arial" w:hAnsi="Arial" w:eastAsia="黑体"/>
      <w:b/>
      <w:kern w:val="2"/>
      <w:sz w:val="28"/>
      <w:lang w:val="en-US" w:eastAsia="zh-CN" w:bidi="ar-SA"/>
    </w:rPr>
  </w:style>
  <w:style w:type="character" w:customStyle="1" w:styleId="161">
    <w:name w:val="标题 6 Char"/>
    <w:qFormat/>
    <w:uiPriority w:val="0"/>
    <w:rPr>
      <w:rFonts w:ascii="宋体" w:hAnsi="Arial" w:eastAsia="宋体"/>
      <w:sz w:val="24"/>
      <w:lang w:val="en-US" w:eastAsia="zh-CN" w:bidi="ar-SA"/>
    </w:rPr>
  </w:style>
  <w:style w:type="character" w:customStyle="1" w:styleId="162">
    <w:name w:val="标题 8 Char"/>
    <w:qFormat/>
    <w:uiPriority w:val="0"/>
    <w:rPr>
      <w:rFonts w:ascii="Arial" w:hAnsi="Arial" w:eastAsia="黑体"/>
      <w:sz w:val="24"/>
      <w:lang w:val="en-US" w:eastAsia="zh-CN" w:bidi="ar-SA"/>
    </w:rPr>
  </w:style>
  <w:style w:type="character" w:customStyle="1" w:styleId="163">
    <w:name w:val="标题 9 Char"/>
    <w:qFormat/>
    <w:uiPriority w:val="0"/>
    <w:rPr>
      <w:rFonts w:ascii="Arial" w:hAnsi="Arial" w:eastAsia="黑体"/>
      <w:sz w:val="24"/>
      <w:lang w:val="en-US" w:eastAsia="zh-CN" w:bidi="ar-SA"/>
    </w:rPr>
  </w:style>
  <w:style w:type="character" w:customStyle="1" w:styleId="164">
    <w:name w:val="标题 5 Char"/>
    <w:qFormat/>
    <w:uiPriority w:val="0"/>
    <w:rPr>
      <w:rFonts w:eastAsia="宋体"/>
      <w:sz w:val="24"/>
      <w:lang w:val="en-US" w:eastAsia="zh-CN" w:bidi="ar-SA"/>
    </w:rPr>
  </w:style>
  <w:style w:type="character" w:customStyle="1" w:styleId="165">
    <w:name w:val="正文文本 Char"/>
    <w:qFormat/>
    <w:locked/>
    <w:uiPriority w:val="0"/>
    <w:rPr>
      <w:rFonts w:eastAsia="仿宋_GB2312"/>
      <w:kern w:val="2"/>
      <w:sz w:val="28"/>
      <w:szCs w:val="24"/>
      <w:lang w:val="en-US" w:eastAsia="zh-CN" w:bidi="ar-SA"/>
    </w:rPr>
  </w:style>
  <w:style w:type="character" w:customStyle="1" w:styleId="166">
    <w:name w:val="正文文本缩进 2 Char"/>
    <w:qFormat/>
    <w:locked/>
    <w:uiPriority w:val="0"/>
    <w:rPr>
      <w:rFonts w:eastAsia="宋体"/>
      <w:kern w:val="2"/>
      <w:sz w:val="21"/>
      <w:szCs w:val="24"/>
      <w:lang w:val="en-US" w:eastAsia="zh-CN" w:bidi="ar-SA"/>
    </w:rPr>
  </w:style>
  <w:style w:type="character" w:customStyle="1" w:styleId="167">
    <w:name w:val="正文文本 2 Char"/>
    <w:qFormat/>
    <w:uiPriority w:val="0"/>
    <w:rPr>
      <w:rFonts w:ascii="隶书" w:eastAsia="隶书"/>
      <w:bCs/>
      <w:sz w:val="72"/>
      <w:szCs w:val="84"/>
      <w:lang w:val="en-US" w:eastAsia="zh-CN" w:bidi="ar-SA"/>
    </w:rPr>
  </w:style>
  <w:style w:type="character" w:customStyle="1" w:styleId="168">
    <w:name w:val="标题 7 Char"/>
    <w:qFormat/>
    <w:uiPriority w:val="0"/>
    <w:rPr>
      <w:rFonts w:ascii="宋体" w:hAnsi="Arial" w:eastAsia="宋体"/>
      <w:b/>
      <w:sz w:val="24"/>
      <w:lang w:val="en-US" w:eastAsia="zh-CN" w:bidi="ar-SA"/>
    </w:rPr>
  </w:style>
  <w:style w:type="character" w:customStyle="1" w:styleId="169">
    <w:name w:val="页眉 Char"/>
    <w:qFormat/>
    <w:uiPriority w:val="99"/>
    <w:rPr>
      <w:rFonts w:eastAsia="宋体"/>
      <w:kern w:val="2"/>
      <w:sz w:val="18"/>
      <w:szCs w:val="18"/>
      <w:lang w:val="en-US" w:eastAsia="zh-CN" w:bidi="ar-SA"/>
    </w:rPr>
  </w:style>
  <w:style w:type="character" w:customStyle="1" w:styleId="170">
    <w:name w:val="批注文字 Char"/>
    <w:qFormat/>
    <w:uiPriority w:val="0"/>
    <w:rPr>
      <w:rFonts w:eastAsia="宋体"/>
      <w:kern w:val="2"/>
      <w:sz w:val="21"/>
      <w:szCs w:val="24"/>
      <w:lang w:val="en-US" w:eastAsia="zh-CN" w:bidi="ar-SA"/>
    </w:rPr>
  </w:style>
  <w:style w:type="character" w:customStyle="1" w:styleId="171">
    <w:name w:val="汇视源正文 Char"/>
    <w:link w:val="172"/>
    <w:qFormat/>
    <w:uiPriority w:val="0"/>
    <w:rPr>
      <w:rFonts w:cs="宋体"/>
      <w:kern w:val="2"/>
      <w:sz w:val="24"/>
      <w:lang w:val="en-US" w:eastAsia="zh-CN" w:bidi="ar-SA"/>
    </w:rPr>
  </w:style>
  <w:style w:type="paragraph" w:customStyle="1" w:styleId="172">
    <w:name w:val="汇视源正文"/>
    <w:link w:val="171"/>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5"/>
    <w:qFormat/>
    <w:uiPriority w:val="0"/>
    <w:pPr>
      <w:tabs>
        <w:tab w:val="left" w:pos="840"/>
      </w:tabs>
      <w:spacing w:afterLines="0"/>
      <w:ind w:left="425" w:hanging="425"/>
    </w:pPr>
    <w:rPr>
      <w:rFonts w:cs="宋体"/>
    </w:rPr>
  </w:style>
  <w:style w:type="paragraph" w:customStyle="1" w:styleId="174">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qFormat/>
    <w:locked/>
    <w:uiPriority w:val="0"/>
    <w:rPr>
      <w:rFonts w:ascii="Calibri Light" w:hAnsi="Calibri Light" w:eastAsia="宋体"/>
      <w:b/>
      <w:bCs/>
      <w:kern w:val="2"/>
      <w:sz w:val="32"/>
      <w:szCs w:val="32"/>
      <w:lang w:val="en-US" w:eastAsia="zh-CN" w:bidi="ar-SA"/>
    </w:rPr>
  </w:style>
  <w:style w:type="character" w:customStyle="1" w:styleId="177">
    <w:name w:val="Date Char"/>
    <w:qFormat/>
    <w:locked/>
    <w:uiPriority w:val="0"/>
    <w:rPr>
      <w:rFonts w:ascii="宋体"/>
      <w:sz w:val="21"/>
      <w:lang w:val="zh-CN"/>
    </w:rPr>
  </w:style>
  <w:style w:type="character" w:customStyle="1" w:styleId="178">
    <w:name w:val="Normal Indent Char"/>
    <w:qFormat/>
    <w:locked/>
    <w:uiPriority w:val="0"/>
    <w:rPr>
      <w:rFonts w:ascii="宋体" w:eastAsia="宋体"/>
      <w:snapToGrid w:val="0"/>
      <w:color w:val="000000"/>
      <w:kern w:val="28"/>
      <w:sz w:val="28"/>
    </w:rPr>
  </w:style>
  <w:style w:type="character" w:customStyle="1" w:styleId="179">
    <w:name w:val="Plain Text Char"/>
    <w:qFormat/>
    <w:locked/>
    <w:uiPriority w:val="0"/>
    <w:rPr>
      <w:rFonts w:ascii="宋体" w:hAnsi="Courier New" w:eastAsia="宋体"/>
      <w:snapToGrid w:val="0"/>
      <w:sz w:val="21"/>
    </w:rPr>
  </w:style>
  <w:style w:type="character" w:customStyle="1" w:styleId="180">
    <w:name w:val="日期 Char1"/>
    <w:qFormat/>
    <w:uiPriority w:val="0"/>
    <w:rPr>
      <w:rFonts w:ascii="Times New Roman" w:hAnsi="Times New Roman" w:eastAsia="宋体" w:cs="Times New Roman"/>
      <w:sz w:val="24"/>
      <w:szCs w:val="24"/>
    </w:rPr>
  </w:style>
  <w:style w:type="character" w:customStyle="1" w:styleId="181">
    <w:name w:val="纯文本 Char1"/>
    <w:link w:val="182"/>
    <w:qFormat/>
    <w:uiPriority w:val="0"/>
    <w:rPr>
      <w:rFonts w:ascii="宋体" w:hAnsi="Courier New" w:eastAsia="宋体" w:cs="Courier New"/>
      <w:sz w:val="21"/>
      <w:szCs w:val="21"/>
    </w:rPr>
  </w:style>
  <w:style w:type="paragraph" w:customStyle="1" w:styleId="182">
    <w:name w:val="纯文本1"/>
    <w:basedOn w:val="1"/>
    <w:link w:val="181"/>
    <w:qFormat/>
    <w:uiPriority w:val="0"/>
    <w:rPr>
      <w:rFonts w:ascii="宋体" w:hAnsi="Courier New" w:cs="Courier New"/>
      <w:kern w:val="0"/>
      <w:szCs w:val="21"/>
    </w:rPr>
  </w:style>
  <w:style w:type="paragraph" w:customStyle="1" w:styleId="1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0">
    <w:name w:val="Comment Text Char"/>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qFormat/>
    <w:uiPriority w:val="0"/>
    <w:rPr>
      <w:kern w:val="2"/>
      <w:sz w:val="24"/>
    </w:rPr>
  </w:style>
  <w:style w:type="character" w:customStyle="1" w:styleId="198">
    <w:name w:val="普通文字 Char Char3"/>
    <w:qFormat/>
    <w:uiPriority w:val="0"/>
    <w:rPr>
      <w:rFonts w:ascii="宋体" w:hAnsi="Courier New"/>
      <w:kern w:val="2"/>
      <w:sz w:val="24"/>
      <w:szCs w:val="24"/>
    </w:rPr>
  </w:style>
  <w:style w:type="character" w:customStyle="1" w:styleId="199">
    <w:name w:val="特点 Char2"/>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qFormat/>
    <w:uiPriority w:val="0"/>
    <w:rPr>
      <w:rFonts w:eastAsia="宋体"/>
      <w:b/>
      <w:bCs/>
      <w:kern w:val="2"/>
      <w:sz w:val="24"/>
      <w:szCs w:val="24"/>
      <w:lang w:val="en-US" w:eastAsia="zh-CN" w:bidi="ar-SA"/>
    </w:rPr>
  </w:style>
  <w:style w:type="character" w:customStyle="1" w:styleId="204">
    <w:name w:val="正文首行缩进 Char"/>
    <w:basedOn w:val="165"/>
    <w:link w:val="42"/>
    <w:qFormat/>
    <w:uiPriority w:val="0"/>
    <w:rPr>
      <w:rFonts w:eastAsia="仿宋_GB2312"/>
      <w:kern w:val="2"/>
      <w:sz w:val="21"/>
      <w:szCs w:val="24"/>
      <w:lang w:val="en-US" w:eastAsia="zh-CN" w:bidi="ar-SA"/>
    </w:rPr>
  </w:style>
  <w:style w:type="character" w:customStyle="1" w:styleId="205">
    <w:name w:val="正文首行缩进 2 Char"/>
    <w:basedOn w:val="67"/>
    <w:link w:val="43"/>
    <w:qFormat/>
    <w:uiPriority w:val="0"/>
    <w:rPr>
      <w:rFonts w:eastAsia="宋体"/>
      <w:kern w:val="2"/>
      <w:sz w:val="21"/>
      <w:szCs w:val="24"/>
      <w:lang w:val="en-US" w:eastAsia="zh-CN" w:bidi="ar-SA"/>
    </w:rPr>
  </w:style>
  <w:style w:type="paragraph" w:customStyle="1" w:styleId="206">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qFormat/>
    <w:uiPriority w:val="0"/>
    <w:rPr>
      <w:rFonts w:eastAsia="楷体_GB2312" w:cs="Lucida Sans"/>
      <w:kern w:val="2"/>
      <w:sz w:val="24"/>
      <w:szCs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0"/>
    <w:pPr>
      <w:spacing w:line="440" w:lineRule="exact"/>
      <w:ind w:firstLine="420" w:firstLineChars="200"/>
    </w:pPr>
    <w:rPr>
      <w:rFonts w:eastAsia="仿宋_GB2312"/>
      <w:sz w:val="24"/>
    </w:rPr>
  </w:style>
  <w:style w:type="paragraph" w:customStyle="1" w:styleId="257">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qFormat/>
    <w:uiPriority w:val="0"/>
    <w:rPr>
      <w:rFonts w:hint="default" w:ascii="等线" w:hAnsi="等线" w:eastAsia="等线" w:cs="等线"/>
      <w:color w:val="000000"/>
      <w:sz w:val="22"/>
      <w:szCs w:val="22"/>
      <w:u w:val="none"/>
    </w:rPr>
  </w:style>
  <w:style w:type="character" w:customStyle="1" w:styleId="271">
    <w:name w:val="font51"/>
    <w:basedOn w:val="46"/>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6"/>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7"/>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qFormat/>
    <w:locked/>
    <w:uiPriority w:val="99"/>
    <w:rPr>
      <w:kern w:val="2"/>
      <w:sz w:val="18"/>
      <w:szCs w:val="18"/>
    </w:rPr>
  </w:style>
  <w:style w:type="character" w:customStyle="1" w:styleId="287">
    <w:name w:val="页眉 Char2"/>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qFormat/>
    <w:uiPriority w:val="0"/>
    <w:rPr>
      <w:rFonts w:eastAsia="宋体"/>
      <w:kern w:val="2"/>
      <w:sz w:val="21"/>
      <w:szCs w:val="24"/>
      <w:lang w:val="en-US" w:eastAsia="zh-CN" w:bidi="ar-SA"/>
    </w:rPr>
  </w:style>
  <w:style w:type="paragraph" w:customStyle="1" w:styleId="291">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3"/>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qFormat/>
    <w:uiPriority w:val="34"/>
    <w:pPr>
      <w:ind w:firstLine="420" w:firstLineChars="200"/>
    </w:pPr>
  </w:style>
  <w:style w:type="paragraph" w:customStyle="1" w:styleId="302">
    <w:name w:val="Body text|1"/>
    <w:basedOn w:val="1"/>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82"/>
    <customShpInfo spid="_x0000_s208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8EFB2D-5EA4-4C48-AF09-C23388147349}">
  <ds:schemaRefs/>
</ds:datastoreItem>
</file>

<file path=docProps/app.xml><?xml version="1.0" encoding="utf-8"?>
<Properties xmlns="http://schemas.openxmlformats.org/officeDocument/2006/extended-properties" xmlns:vt="http://schemas.openxmlformats.org/officeDocument/2006/docPropsVTypes">
  <Pages>84</Pages>
  <Words>45501</Words>
  <Characters>48594</Characters>
  <Lines>490</Lines>
  <Paragraphs>138</Paragraphs>
  <TotalTime>1</TotalTime>
  <ScaleCrop>false</ScaleCrop>
  <LinksUpToDate>false</LinksUpToDate>
  <CharactersWithSpaces>54815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無珂鲰玳k&amp;o_O</cp:lastModifiedBy>
  <cp:lastPrinted>2022-11-15T17:02:00Z</cp:lastPrinted>
  <dcterms:modified xsi:type="dcterms:W3CDTF">2023-07-10T06:37:54Z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ies>
</file>