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 w:hAnsi="仿宋" w:eastAsia="仿宋" w:cs="仿宋"/>
          <w:b/>
          <w:color w:val="auto"/>
          <w:spacing w:val="-12"/>
          <w:sz w:val="48"/>
          <w:szCs w:val="48"/>
          <w:highlight w:val="none"/>
        </w:rPr>
      </w:pPr>
    </w:p>
    <w:p>
      <w:pPr>
        <w:jc w:val="center"/>
        <w:outlineLvl w:val="0"/>
        <w:rPr>
          <w:rFonts w:hint="eastAsia" w:ascii="仿宋" w:hAnsi="仿宋" w:eastAsia="仿宋" w:cs="仿宋"/>
          <w:b/>
          <w:color w:val="auto"/>
          <w:spacing w:val="-12"/>
          <w:sz w:val="52"/>
          <w:szCs w:val="52"/>
          <w:highlight w:val="none"/>
          <w:lang w:eastAsia="zh-CN"/>
        </w:rPr>
      </w:pPr>
      <w:r>
        <w:rPr>
          <w:rFonts w:hint="eastAsia" w:ascii="仿宋" w:hAnsi="仿宋" w:eastAsia="仿宋" w:cs="仿宋"/>
          <w:b/>
          <w:color w:val="auto"/>
          <w:spacing w:val="-12"/>
          <w:sz w:val="52"/>
          <w:szCs w:val="52"/>
          <w:highlight w:val="none"/>
          <w:lang w:eastAsia="zh-CN"/>
        </w:rPr>
        <w:t>绍兴市中医院医保精细化管理大数据综合服务项目</w:t>
      </w:r>
    </w:p>
    <w:p>
      <w:pPr>
        <w:outlineLvl w:val="0"/>
        <w:rPr>
          <w:rFonts w:hint="eastAsia" w:ascii="仿宋" w:hAnsi="仿宋" w:eastAsia="仿宋" w:cs="仿宋"/>
          <w:color w:val="auto"/>
          <w:sz w:val="44"/>
          <w:highlight w:val="none"/>
        </w:rPr>
      </w:pPr>
    </w:p>
    <w:p>
      <w:pPr>
        <w:outlineLvl w:val="0"/>
        <w:rPr>
          <w:rFonts w:hint="eastAsia" w:ascii="仿宋" w:hAnsi="仿宋" w:eastAsia="仿宋" w:cs="仿宋"/>
          <w:color w:val="auto"/>
          <w:sz w:val="44"/>
          <w:highlight w:val="none"/>
        </w:rPr>
      </w:pP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pPr>
        <w:jc w:val="center"/>
        <w:outlineLvl w:val="0"/>
        <w:rPr>
          <w:rFonts w:hint="eastAsia" w:ascii="仿宋" w:hAnsi="仿宋" w:eastAsia="仿宋" w:cs="仿宋"/>
          <w:color w:val="auto"/>
          <w:sz w:val="44"/>
          <w:highlight w:val="none"/>
        </w:rPr>
      </w:pPr>
    </w:p>
    <w:p>
      <w:pPr>
        <w:outlineLvl w:val="0"/>
        <w:rPr>
          <w:rFonts w:hint="eastAsia" w:ascii="仿宋" w:hAnsi="仿宋" w:eastAsia="仿宋" w:cs="仿宋"/>
          <w:color w:val="auto"/>
          <w:sz w:val="44"/>
          <w:highlight w:val="none"/>
        </w:rPr>
      </w:pPr>
    </w:p>
    <w:p>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TYJZ2023</w:t>
      </w:r>
    </w:p>
    <w:tbl>
      <w:tblPr>
        <w:tblStyle w:val="4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绍兴市中医院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
              </w:rPr>
              <w:t>采购代理机构</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泰宇建筑工程技术咨询有限公司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2"/>
              </w:rPr>
              <w:t>监督单</w:t>
            </w:r>
            <w:r>
              <w:rPr>
                <w:rFonts w:hint="eastAsia" w:ascii="仿宋" w:hAnsi="仿宋" w:eastAsia="仿宋" w:cs="仿宋"/>
                <w:color w:val="auto"/>
                <w:spacing w:val="1"/>
                <w:kern w:val="0"/>
                <w:sz w:val="28"/>
                <w:szCs w:val="28"/>
                <w:highlight w:val="none"/>
                <w:fitText w:val="1680" w:id="2"/>
              </w:rPr>
              <w:t>位</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二○二三年</w:t>
            </w:r>
            <w:r>
              <w:rPr>
                <w:rFonts w:hint="eastAsia" w:ascii="仿宋" w:hAnsi="仿宋" w:eastAsia="仿宋" w:cs="仿宋"/>
                <w:color w:val="auto"/>
                <w:sz w:val="28"/>
                <w:szCs w:val="28"/>
                <w:highlight w:val="none"/>
                <w:lang w:eastAsia="zh-CN"/>
              </w:rPr>
              <w:t>五</w:t>
            </w:r>
            <w:r>
              <w:rPr>
                <w:rFonts w:hint="eastAsia" w:ascii="仿宋" w:hAnsi="仿宋" w:eastAsia="仿宋" w:cs="仿宋"/>
                <w:color w:val="auto"/>
                <w:sz w:val="28"/>
                <w:szCs w:val="28"/>
                <w:highlight w:val="none"/>
              </w:rPr>
              <w:t>月</w:t>
            </w:r>
          </w:p>
        </w:tc>
      </w:tr>
    </w:tbl>
    <w:p>
      <w:pPr>
        <w:pageBreakBefore/>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pPr>
        <w:jc w:val="center"/>
        <w:rPr>
          <w:rFonts w:hint="eastAsia" w:ascii="仿宋" w:hAnsi="仿宋" w:eastAsia="仿宋" w:cs="仿宋"/>
          <w:b/>
          <w:color w:val="auto"/>
          <w:sz w:val="44"/>
          <w:szCs w:val="44"/>
          <w:highlight w:val="none"/>
        </w:rPr>
      </w:pPr>
    </w:p>
    <w:p>
      <w:pPr>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目录</w:t>
      </w:r>
    </w:p>
    <w:p>
      <w:pPr>
        <w:jc w:val="center"/>
        <w:rPr>
          <w:rFonts w:hint="eastAsia" w:ascii="仿宋" w:hAnsi="仿宋" w:eastAsia="仿宋" w:cs="仿宋"/>
          <w:b/>
          <w:color w:val="auto"/>
          <w:sz w:val="44"/>
          <w:szCs w:val="44"/>
          <w:highlight w:val="none"/>
        </w:rPr>
      </w:pPr>
    </w:p>
    <w:p>
      <w:pPr>
        <w:jc w:val="center"/>
        <w:rPr>
          <w:rFonts w:hint="eastAsia" w:ascii="仿宋" w:hAnsi="仿宋" w:eastAsia="仿宋" w:cs="仿宋"/>
          <w:color w:val="auto"/>
          <w:highlight w:val="none"/>
        </w:rPr>
      </w:pP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 分   投标须知</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pageBreakBefore/>
        <w:widowControl/>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tbl>
      <w:tblPr>
        <w:tblStyle w:val="43"/>
        <w:tblW w:w="8789" w:type="dxa"/>
        <w:tblInd w:w="0" w:type="dxa"/>
        <w:tblLayout w:type="fixed"/>
        <w:tblCellMar>
          <w:top w:w="0" w:type="dxa"/>
          <w:left w:w="0" w:type="dxa"/>
          <w:bottom w:w="0" w:type="dxa"/>
          <w:right w:w="0" w:type="dxa"/>
        </w:tblCellMar>
      </w:tblPr>
      <w:tblGrid>
        <w:gridCol w:w="8789"/>
      </w:tblGrid>
      <w:tr>
        <w:tblPrEx>
          <w:tblCellMar>
            <w:top w:w="0" w:type="dxa"/>
            <w:left w:w="0" w:type="dxa"/>
            <w:bottom w:w="0" w:type="dxa"/>
            <w:right w:w="0" w:type="dxa"/>
          </w:tblCellMar>
        </w:tblPrEx>
        <w:trPr>
          <w:trHeight w:val="2851" w:hRule="atLeast"/>
        </w:trPr>
        <w:tc>
          <w:tcPr>
            <w:tcW w:w="8789" w:type="dxa"/>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br w:type="page"/>
            </w:r>
          </w:p>
          <w:tbl>
            <w:tblPr>
              <w:tblStyle w:val="43"/>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Pr>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项目概况：</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eastAsia="zh-CN"/>
                    </w:rPr>
                    <w:t>绍兴市中医院医保精细化管理大数据综合服务项目</w:t>
                  </w:r>
                  <w:r>
                    <w:rPr>
                      <w:rFonts w:hint="eastAsia" w:ascii="仿宋" w:hAnsi="仿宋" w:eastAsia="仿宋" w:cs="仿宋"/>
                      <w:color w:val="auto"/>
                      <w:szCs w:val="24"/>
                      <w:highlight w:val="none"/>
                    </w:rPr>
                    <w:t>的潜在投标人</w:t>
                  </w:r>
                  <w:r>
                    <w:rPr>
                      <w:rFonts w:hint="eastAsia" w:ascii="仿宋" w:hAnsi="仿宋" w:eastAsia="仿宋" w:cs="仿宋"/>
                      <w:color w:val="auto"/>
                      <w:szCs w:val="24"/>
                      <w:highlight w:val="none"/>
                      <w:lang w:eastAsia="zh-CN"/>
                    </w:rPr>
                    <w:t>向采购代理机构</w:t>
                  </w:r>
                  <w:r>
                    <w:rPr>
                      <w:rFonts w:hint="eastAsia" w:ascii="仿宋" w:hAnsi="仿宋" w:eastAsia="仿宋" w:cs="仿宋"/>
                      <w:color w:val="auto"/>
                      <w:szCs w:val="24"/>
                      <w:highlight w:val="none"/>
                    </w:rPr>
                    <w:t>获取招标文件，并于2023年月日 09:00（北京时间）前递交投标文件。</w:t>
                  </w:r>
                </w:p>
              </w:tc>
            </w:tr>
          </w:tbl>
          <w:p>
            <w:pPr>
              <w:pStyle w:val="71"/>
              <w:spacing w:afterLines="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一、项目基本情况</w:t>
            </w:r>
          </w:p>
          <w:p>
            <w:pPr>
              <w:pStyle w:val="71"/>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项目编号：</w:t>
            </w:r>
            <w:r>
              <w:rPr>
                <w:rFonts w:hint="eastAsia" w:ascii="仿宋" w:hAnsi="仿宋" w:eastAsia="仿宋" w:cs="仿宋"/>
                <w:color w:val="auto"/>
                <w:szCs w:val="24"/>
                <w:highlight w:val="none"/>
                <w:lang w:eastAsia="zh-CN"/>
              </w:rPr>
              <w:t>TYJZ2023</w:t>
            </w:r>
          </w:p>
          <w:p>
            <w:pPr>
              <w:pStyle w:val="71"/>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项目名称：</w:t>
            </w:r>
            <w:r>
              <w:rPr>
                <w:rFonts w:hint="eastAsia" w:ascii="仿宋" w:hAnsi="仿宋" w:eastAsia="仿宋" w:cs="仿宋"/>
                <w:color w:val="auto"/>
                <w:szCs w:val="24"/>
                <w:highlight w:val="none"/>
                <w:lang w:eastAsia="zh-CN"/>
              </w:rPr>
              <w:t>绍兴市中医院医保精细化管理大数据综合服务项目</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采购方式：公开招标</w:t>
            </w:r>
          </w:p>
          <w:p>
            <w:pPr>
              <w:pStyle w:val="71"/>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预算金额（元）：</w:t>
            </w:r>
            <w:r>
              <w:rPr>
                <w:rFonts w:hint="eastAsia" w:ascii="仿宋" w:hAnsi="仿宋" w:eastAsia="仿宋" w:cs="仿宋"/>
                <w:color w:val="auto"/>
                <w:szCs w:val="24"/>
                <w:highlight w:val="none"/>
                <w:lang w:val="en-US" w:eastAsia="zh-CN"/>
              </w:rPr>
              <w:t>200000</w:t>
            </w:r>
          </w:p>
          <w:p>
            <w:pPr>
              <w:pStyle w:val="71"/>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最高限价（元）：</w:t>
            </w:r>
            <w:r>
              <w:rPr>
                <w:rFonts w:hint="eastAsia" w:ascii="仿宋" w:hAnsi="仿宋" w:eastAsia="仿宋" w:cs="仿宋"/>
                <w:color w:val="auto"/>
                <w:szCs w:val="24"/>
                <w:highlight w:val="none"/>
                <w:lang w:val="en-US" w:eastAsia="zh-CN"/>
              </w:rPr>
              <w:t>200000</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采购需求：</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标项一:</w:t>
            </w:r>
          </w:p>
          <w:p>
            <w:pPr>
              <w:pStyle w:val="71"/>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标项名称:</w:t>
            </w: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lang w:eastAsia="zh-CN"/>
              </w:rPr>
              <w:t>绍兴市中医院医保精细化管理大数据综合服务项目</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数量:1</w:t>
            </w:r>
          </w:p>
          <w:p>
            <w:pPr>
              <w:pStyle w:val="71"/>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预算金额（元）: </w:t>
            </w:r>
            <w:r>
              <w:rPr>
                <w:rFonts w:hint="eastAsia" w:ascii="仿宋" w:hAnsi="仿宋" w:eastAsia="仿宋" w:cs="仿宋"/>
                <w:color w:val="auto"/>
                <w:szCs w:val="24"/>
                <w:highlight w:val="none"/>
                <w:lang w:val="en-US" w:eastAsia="zh-CN"/>
              </w:rPr>
              <w:t>200000</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简要规格描述或项目基本概况介绍、用途：</w:t>
            </w:r>
            <w:r>
              <w:rPr>
                <w:rFonts w:hint="eastAsia" w:ascii="仿宋" w:hAnsi="仿宋" w:eastAsia="仿宋" w:cs="仿宋"/>
                <w:color w:val="auto"/>
                <w:szCs w:val="24"/>
                <w:highlight w:val="none"/>
                <w:lang w:eastAsia="zh-CN"/>
              </w:rPr>
              <w:t>详见招标文件</w:t>
            </w:r>
            <w:r>
              <w:rPr>
                <w:rFonts w:hint="eastAsia" w:ascii="仿宋" w:hAnsi="仿宋" w:eastAsia="仿宋" w:cs="仿宋"/>
                <w:color w:val="auto"/>
                <w:szCs w:val="24"/>
                <w:highlight w:val="none"/>
              </w:rPr>
              <w:t> </w:t>
            </w:r>
          </w:p>
          <w:p>
            <w:pPr>
              <w:pStyle w:val="71"/>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备注：</w:t>
            </w:r>
            <w:r>
              <w:rPr>
                <w:rFonts w:hint="eastAsia" w:ascii="仿宋" w:hAnsi="仿宋" w:eastAsia="仿宋" w:cs="仿宋"/>
                <w:color w:val="auto"/>
                <w:szCs w:val="24"/>
                <w:highlight w:val="none"/>
                <w:lang w:eastAsia="zh-CN"/>
              </w:rPr>
              <w:t>无</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合同履约期限：按双方合同约定条款执行。</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本项目（是）接受联合体投标。</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二、申请人的资格要求：</w:t>
            </w:r>
          </w:p>
          <w:p>
            <w:pPr>
              <w:pStyle w:val="71"/>
              <w:spacing w:after="12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71"/>
              <w:spacing w:after="12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2.以联合体形式投标的，提供联合体协议（本项目不接受联合体投标或者投标人不以联合体形式投标的，则不需要提供）；</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3.落实政府采购政策需满足的资格要求：</w:t>
            </w:r>
          </w:p>
          <w:p>
            <w:pPr>
              <w:pStyle w:val="71"/>
              <w:spacing w:afterLines="0" w:line="440" w:lineRule="exact"/>
              <w:ind w:firstLine="480"/>
              <w:rPr>
                <w:rFonts w:hint="eastAsia" w:ascii="仿宋" w:hAnsi="仿宋" w:eastAsia="仿宋" w:cs="仿宋"/>
                <w:color w:val="auto"/>
                <w:szCs w:val="24"/>
                <w:highlight w:val="none"/>
              </w:rPr>
            </w:pPr>
            <w:sdt>
              <w:sdtPr>
                <w:rPr>
                  <w:rFonts w:hint="eastAsia" w:ascii="仿宋" w:hAnsi="仿宋" w:eastAsia="仿宋" w:cs="仿宋"/>
                  <w:color w:val="auto"/>
                  <w:szCs w:val="21"/>
                  <w:highlight w:val="none"/>
                </w:rPr>
                <w:id w:val="4900522"/>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A8"/>
                </w:r>
              </w:sdtContent>
            </w:sdt>
            <w:r>
              <w:rPr>
                <w:rFonts w:hint="eastAsia" w:ascii="仿宋" w:hAnsi="仿宋" w:eastAsia="仿宋" w:cs="仿宋"/>
                <w:color w:val="auto"/>
                <w:highlight w:val="none"/>
              </w:rPr>
              <w:t>无；</w:t>
            </w:r>
          </w:p>
          <w:p>
            <w:pPr>
              <w:spacing w:line="360" w:lineRule="auto"/>
              <w:ind w:firstLine="420" w:firstLineChars="200"/>
              <w:rPr>
                <w:rFonts w:hint="eastAsia" w:ascii="仿宋" w:hAnsi="仿宋" w:eastAsia="仿宋" w:cs="仿宋"/>
                <w:color w:val="auto"/>
                <w:sz w:val="24"/>
                <w:highlight w:val="none"/>
              </w:rPr>
            </w:pPr>
            <w:sdt>
              <w:sdtPr>
                <w:rPr>
                  <w:rFonts w:hint="eastAsia" w:ascii="仿宋" w:hAnsi="仿宋" w:eastAsia="仿宋" w:cs="仿宋"/>
                  <w:color w:val="auto"/>
                  <w:szCs w:val="21"/>
                  <w:highlight w:val="none"/>
                </w:rPr>
                <w:id w:val="4900522"/>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FE"/>
                </w:r>
              </w:sdtContent>
            </w:sdt>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pPr>
              <w:spacing w:line="360" w:lineRule="auto"/>
              <w:ind w:firstLine="897" w:firstLineChars="374"/>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598278517"/>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szCs w:val="21"/>
                      <w:highlight w:val="none"/>
                    </w:rPr>
                    <w:id w:val="4900522"/>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A8"/>
                    </w:r>
                  </w:sdtContent>
                </w:sdt>
              </w:sdtContent>
            </w:sdt>
            <w:r>
              <w:rPr>
                <w:rFonts w:hint="eastAsia" w:ascii="仿宋" w:hAnsi="仿宋" w:eastAsia="仿宋" w:cs="仿宋"/>
                <w:color w:val="auto"/>
                <w:sz w:val="24"/>
                <w:highlight w:val="none"/>
              </w:rPr>
              <w:t>货物全部由符合政策要求的中小企业制造，提供中小企业声明函；</w:t>
            </w:r>
          </w:p>
          <w:p>
            <w:pPr>
              <w:spacing w:line="360" w:lineRule="auto"/>
              <w:ind w:firstLine="897" w:firstLineChars="374"/>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323659898"/>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09"/>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sz w:val="24"/>
                <w:highlight w:val="none"/>
              </w:rPr>
              <w:t>货物全部由符合政策要求的小微企业制造，提供中小企业声明函；</w:t>
            </w:r>
          </w:p>
          <w:p>
            <w:pPr>
              <w:spacing w:line="360" w:lineRule="auto"/>
              <w:ind w:firstLine="897" w:firstLineChars="374"/>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306902902"/>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1"/>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szCs w:val="21"/>
                          <w:highlight w:val="none"/>
                        </w:rPr>
                        <w:id w:val="725337177"/>
                      </w:sdtPr>
                      <w:sdtEndPr>
                        <w:rPr>
                          <w:rFonts w:hint="eastAsia" w:ascii="仿宋" w:hAnsi="仿宋" w:eastAsia="仿宋" w:cs="仿宋"/>
                          <w:color w:val="auto"/>
                          <w:szCs w:val="21"/>
                          <w:highlight w:val="none"/>
                        </w:rPr>
                      </w:sdtEndPr>
                      <w:sdtContent>
                        <w:sdt>
                          <w:sdtPr>
                            <w:rPr>
                              <w:rFonts w:hint="eastAsia" w:ascii="仿宋" w:hAnsi="仿宋" w:eastAsia="仿宋" w:cs="仿宋"/>
                              <w:color w:val="auto"/>
                              <w:kern w:val="0"/>
                              <w:sz w:val="24"/>
                              <w:highlight w:val="none"/>
                            </w:rPr>
                            <w:id w:val="598278516"/>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szCs w:val="21"/>
                                  <w:highlight w:val="none"/>
                                </w:rPr>
                                <w:id w:val="4900522"/>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FE"/>
                                </w:r>
                              </w:sdtContent>
                            </w:sdt>
                          </w:sdtContent>
                        </w:sdt>
                      </w:sdtContent>
                    </w:sdt>
                  </w:sdtContent>
                </w:sdt>
              </w:sdtContent>
            </w:sdt>
            <w:r>
              <w:rPr>
                <w:rFonts w:hint="eastAsia" w:ascii="仿宋" w:hAnsi="仿宋" w:eastAsia="仿宋" w:cs="仿宋"/>
                <w:color w:val="auto"/>
                <w:sz w:val="24"/>
                <w:highlight w:val="none"/>
              </w:rPr>
              <w:t>服务全部由符合政策要求的中小企业承接，提供中小企业声明函；</w:t>
            </w:r>
          </w:p>
          <w:p>
            <w:pPr>
              <w:spacing w:line="360" w:lineRule="auto"/>
              <w:ind w:firstLine="897" w:firstLineChars="374"/>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469594122"/>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3"/>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sz w:val="24"/>
                <w:highlight w:val="none"/>
              </w:rPr>
              <w:t>服务全部由符合政策要求的小微企业承接，提供中小企业声明函；</w:t>
            </w:r>
          </w:p>
          <w:p>
            <w:pPr>
              <w:spacing w:line="360" w:lineRule="auto"/>
              <w:ind w:firstLine="480" w:firstLineChars="200"/>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603697228"/>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cs="仿宋"/>
                <w:color w:val="auto"/>
                <w:sz w:val="24"/>
                <w:highlight w:val="none"/>
              </w:rPr>
              <w:t>；</w:t>
            </w:r>
          </w:p>
          <w:p>
            <w:pPr>
              <w:spacing w:line="360" w:lineRule="auto"/>
              <w:ind w:firstLine="480" w:firstLineChars="200"/>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34630645"/>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7"/>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如果供应商本身提供所有标的均由中小企业制造、承建或承接，视同符合了资格条件，无需再向中小企业分包，无需提供分包意向协议</w:t>
            </w:r>
            <w:r>
              <w:rPr>
                <w:rFonts w:hint="eastAsia" w:ascii="仿宋" w:hAnsi="仿宋" w:eastAsia="仿宋" w:cs="仿宋"/>
                <w:color w:val="auto"/>
                <w:sz w:val="24"/>
                <w:highlight w:val="none"/>
              </w:rPr>
              <w:t>；</w:t>
            </w:r>
          </w:p>
          <w:p>
            <w:pPr>
              <w:pStyle w:val="71"/>
              <w:numPr>
                <w:ilvl w:val="0"/>
                <w:numId w:val="6"/>
              </w:numPr>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本项目的特定资格要求：</w:t>
            </w:r>
            <w:r>
              <w:rPr>
                <w:rFonts w:hint="eastAsia" w:ascii="仿宋" w:hAnsi="仿宋" w:eastAsia="仿宋" w:cs="仿宋"/>
                <w:color w:val="auto"/>
                <w:szCs w:val="24"/>
                <w:highlight w:val="none"/>
                <w:lang w:eastAsia="zh-CN"/>
              </w:rPr>
              <w:t>无</w:t>
            </w:r>
          </w:p>
          <w:p>
            <w:pPr>
              <w:pStyle w:val="71"/>
              <w:numPr>
                <w:ilvl w:val="0"/>
                <w:numId w:val="6"/>
              </w:numPr>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三、获取招标文件 </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时间：</w:t>
            </w:r>
            <w:r>
              <w:rPr>
                <w:rFonts w:hint="eastAsia" w:ascii="仿宋" w:hAnsi="仿宋" w:eastAsia="仿宋" w:cs="仿宋"/>
                <w:color w:val="auto"/>
                <w:kern w:val="0"/>
                <w:sz w:val="24"/>
                <w:highlight w:val="none"/>
              </w:rPr>
              <w:t>202</w:t>
            </w:r>
            <w:r>
              <w:rPr>
                <w:rFonts w:hint="eastAsia" w:ascii="仿宋" w:hAnsi="仿宋" w:eastAsia="仿宋" w:cs="仿宋"/>
                <w:color w:val="auto"/>
                <w:kern w:val="0"/>
                <w:sz w:val="24"/>
                <w:highlight w:val="none"/>
                <w:lang w:val="en-US" w:eastAsia="zh-CN"/>
              </w:rPr>
              <w:t>3</w:t>
            </w:r>
            <w:r>
              <w:rPr>
                <w:rFonts w:hint="eastAsia" w:ascii="仿宋" w:hAnsi="仿宋" w:eastAsia="仿宋" w:cs="仿宋"/>
                <w:color w:val="auto"/>
                <w:kern w:val="0"/>
                <w:sz w:val="24"/>
                <w:highlight w:val="none"/>
              </w:rPr>
              <w:t>年月日至202</w:t>
            </w:r>
            <w:r>
              <w:rPr>
                <w:rFonts w:hint="eastAsia" w:ascii="仿宋" w:hAnsi="仿宋" w:eastAsia="仿宋" w:cs="仿宋"/>
                <w:color w:val="auto"/>
                <w:kern w:val="0"/>
                <w:sz w:val="24"/>
                <w:highlight w:val="none"/>
                <w:lang w:val="en-US" w:eastAsia="zh-CN"/>
              </w:rPr>
              <w:t>3</w:t>
            </w:r>
            <w:r>
              <w:rPr>
                <w:rFonts w:hint="eastAsia" w:ascii="仿宋" w:hAnsi="仿宋" w:eastAsia="仿宋" w:cs="仿宋"/>
                <w:color w:val="auto"/>
                <w:kern w:val="0"/>
                <w:sz w:val="24"/>
                <w:highlight w:val="none"/>
              </w:rPr>
              <w:t>年月日</w:t>
            </w:r>
            <w:r>
              <w:rPr>
                <w:rFonts w:hint="eastAsia" w:ascii="仿宋" w:hAnsi="仿宋" w:eastAsia="仿宋" w:cs="仿宋"/>
                <w:color w:val="auto"/>
                <w:szCs w:val="24"/>
                <w:highlight w:val="none"/>
              </w:rPr>
              <w:t>，每天上午</w:t>
            </w:r>
            <w:r>
              <w:rPr>
                <w:rFonts w:hint="eastAsia" w:ascii="仿宋" w:hAnsi="仿宋" w:eastAsia="仿宋" w:cs="仿宋"/>
                <w:color w:val="auto"/>
                <w:szCs w:val="24"/>
                <w:highlight w:val="none"/>
                <w:lang w:val="en-US" w:eastAsia="zh-CN"/>
              </w:rPr>
              <w:t>8</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0至</w:t>
            </w:r>
            <w:r>
              <w:rPr>
                <w:rFonts w:hint="eastAsia" w:ascii="仿宋" w:hAnsi="仿宋" w:eastAsia="仿宋" w:cs="仿宋"/>
                <w:color w:val="auto"/>
                <w:szCs w:val="24"/>
                <w:highlight w:val="none"/>
                <w:lang w:val="en-US" w:eastAsia="zh-CN"/>
              </w:rPr>
              <w:t>11</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0 ，下午</w:t>
            </w:r>
            <w:r>
              <w:rPr>
                <w:rFonts w:hint="eastAsia" w:ascii="仿宋" w:hAnsi="仿宋" w:eastAsia="仿宋" w:cs="仿宋"/>
                <w:color w:val="auto"/>
                <w:szCs w:val="24"/>
                <w:highlight w:val="none"/>
                <w:lang w:val="en-US" w:eastAsia="zh-CN"/>
              </w:rPr>
              <w:t>14</w:t>
            </w:r>
            <w:r>
              <w:rPr>
                <w:rFonts w:hint="eastAsia" w:ascii="仿宋" w:hAnsi="仿宋" w:eastAsia="仿宋" w:cs="仿宋"/>
                <w:color w:val="auto"/>
                <w:szCs w:val="24"/>
                <w:highlight w:val="none"/>
              </w:rPr>
              <w:t>:00至</w:t>
            </w:r>
            <w:r>
              <w:rPr>
                <w:rFonts w:hint="eastAsia" w:ascii="仿宋" w:hAnsi="仿宋" w:eastAsia="仿宋" w:cs="仿宋"/>
                <w:color w:val="auto"/>
                <w:szCs w:val="24"/>
                <w:highlight w:val="none"/>
                <w:lang w:val="en-US" w:eastAsia="zh-CN"/>
              </w:rPr>
              <w:t>16</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30</w:t>
            </w:r>
            <w:r>
              <w:rPr>
                <w:rFonts w:hint="eastAsia" w:ascii="仿宋" w:hAnsi="仿宋" w:eastAsia="仿宋" w:cs="仿宋"/>
                <w:color w:val="auto"/>
                <w:szCs w:val="24"/>
                <w:highlight w:val="none"/>
              </w:rPr>
              <w:t>（北京时间，线下获取文件法定节假日除外）</w:t>
            </w:r>
          </w:p>
          <w:p>
            <w:pPr>
              <w:pStyle w:val="71"/>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方</w:t>
            </w:r>
            <w:r>
              <w:rPr>
                <w:rFonts w:hint="eastAsia" w:ascii="仿宋" w:hAnsi="仿宋" w:eastAsia="仿宋" w:cs="仿宋"/>
                <w:color w:val="auto"/>
                <w:szCs w:val="24"/>
                <w:highlight w:val="none"/>
                <w:lang w:val="en-US" w:eastAsia="zh-CN"/>
              </w:rPr>
              <w:t>式：</w:t>
            </w:r>
            <w:r>
              <w:rPr>
                <w:rFonts w:hint="eastAsia" w:ascii="仿宋" w:hAnsi="仿宋" w:eastAsia="仿宋" w:cs="仿宋"/>
                <w:color w:val="auto"/>
                <w:szCs w:val="24"/>
                <w:highlight w:val="none"/>
                <w:lang w:val="en-US" w:eastAsia="zh-CN"/>
              </w:rPr>
              <w:fldChar w:fldCharType="begin"/>
            </w:r>
            <w:r>
              <w:rPr>
                <w:rFonts w:hint="eastAsia" w:ascii="仿宋" w:hAnsi="仿宋" w:eastAsia="仿宋" w:cs="仿宋"/>
                <w:color w:val="auto"/>
                <w:szCs w:val="24"/>
                <w:highlight w:val="none"/>
                <w:lang w:val="en-US" w:eastAsia="zh-CN"/>
              </w:rPr>
              <w:instrText xml:space="preserve"> HYPERLINK "mailto:网上报名，以扫描件邮件形式发至2429136371@qq.com邮箱内。（上述报名资料仅作为报名登记使用，报名时不对投标人资格是否符合作出评判）" </w:instrText>
            </w:r>
            <w:r>
              <w:rPr>
                <w:rFonts w:hint="eastAsia" w:ascii="仿宋" w:hAnsi="仿宋" w:eastAsia="仿宋" w:cs="仿宋"/>
                <w:color w:val="auto"/>
                <w:szCs w:val="24"/>
                <w:highlight w:val="none"/>
                <w:lang w:val="en-US" w:eastAsia="zh-CN"/>
              </w:rPr>
              <w:fldChar w:fldCharType="separate"/>
            </w:r>
            <w:r>
              <w:rPr>
                <w:rFonts w:hint="eastAsia" w:ascii="仿宋" w:hAnsi="仿宋" w:eastAsia="仿宋" w:cs="仿宋"/>
                <w:color w:val="auto"/>
                <w:szCs w:val="24"/>
                <w:highlight w:val="none"/>
                <w:lang w:val="en-US" w:eastAsia="zh-CN"/>
              </w:rPr>
              <w:t>网上报名，以扫描件邮件形式发至2429136371@qq.com邮箱内。（上述报名资料仅作为报名登记使用，报名时不对投标人资格是否符合作出评判）</w:t>
            </w:r>
            <w:r>
              <w:rPr>
                <w:rFonts w:hint="eastAsia" w:ascii="仿宋" w:hAnsi="仿宋" w:eastAsia="仿宋" w:cs="仿宋"/>
                <w:color w:val="auto"/>
                <w:szCs w:val="24"/>
                <w:highlight w:val="none"/>
                <w:lang w:val="en-US" w:eastAsia="zh-CN"/>
              </w:rPr>
              <w:fldChar w:fldCharType="end"/>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rPr>
              <w:t>报名资料：营业执照副本复印件、授权委托书或单位介绍信、授权委托人身份证复印件（备注：联系方式、邮箱）等（加盖公章）。</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售价（元）：</w:t>
            </w:r>
            <w:r>
              <w:rPr>
                <w:rFonts w:hint="eastAsia" w:ascii="仿宋" w:hAnsi="仿宋" w:eastAsia="仿宋" w:cs="仿宋"/>
                <w:color w:val="auto"/>
                <w:szCs w:val="24"/>
                <w:highlight w:val="none"/>
                <w:lang w:val="en-US" w:eastAsia="zh-CN"/>
              </w:rPr>
              <w:t>200</w:t>
            </w:r>
            <w:r>
              <w:rPr>
                <w:rFonts w:hint="eastAsia" w:ascii="仿宋" w:hAnsi="仿宋" w:eastAsia="仿宋" w:cs="仿宋"/>
                <w:color w:val="auto"/>
                <w:szCs w:val="24"/>
                <w:highlight w:val="none"/>
              </w:rPr>
              <w:t> </w:t>
            </w:r>
            <w:r>
              <w:rPr>
                <w:rFonts w:hint="eastAsia" w:ascii="仿宋" w:hAnsi="仿宋" w:eastAsia="仿宋" w:cs="仿宋"/>
                <w:color w:val="auto"/>
                <w:kern w:val="0"/>
                <w:sz w:val="24"/>
                <w:highlight w:val="none"/>
              </w:rPr>
              <w:t>（售后不退，支付宝账号：13656752180</w:t>
            </w:r>
            <w:r>
              <w:rPr>
                <w:rFonts w:hint="eastAsia" w:ascii="仿宋" w:hAnsi="仿宋" w:eastAsia="仿宋" w:cs="仿宋"/>
                <w:color w:val="auto"/>
                <w:kern w:val="0"/>
                <w:sz w:val="24"/>
                <w:highlight w:val="none"/>
                <w:lang w:eastAsia="zh-CN"/>
              </w:rPr>
              <w:t>，备注单位名称</w:t>
            </w:r>
            <w:r>
              <w:rPr>
                <w:rFonts w:hint="eastAsia" w:ascii="仿宋" w:hAnsi="仿宋" w:eastAsia="仿宋" w:cs="仿宋"/>
                <w:color w:val="auto"/>
                <w:kern w:val="0"/>
                <w:sz w:val="24"/>
                <w:highlight w:val="none"/>
              </w:rPr>
              <w:t>）</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四、提交投标文件截止时间、开标时间和地点</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提交投标文件截止时间：2023年月日 09:00（北京时间）</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投标地点：</w:t>
            </w:r>
            <w:r>
              <w:rPr>
                <w:rFonts w:hint="eastAsia" w:ascii="仿宋" w:hAnsi="仿宋" w:eastAsia="仿宋" w:cs="仿宋"/>
                <w:color w:val="auto"/>
                <w:kern w:val="0"/>
                <w:sz w:val="24"/>
                <w:highlight w:val="none"/>
              </w:rPr>
              <w:t>绍兴市越城区朝皇路58号正大综合楼601泰宇咨询会议室</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开标时间：2023年月日 09:00</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开标地点：</w:t>
            </w:r>
            <w:r>
              <w:rPr>
                <w:rFonts w:hint="eastAsia" w:ascii="仿宋" w:hAnsi="仿宋" w:eastAsia="仿宋" w:cs="仿宋"/>
                <w:color w:val="auto"/>
                <w:kern w:val="0"/>
                <w:sz w:val="24"/>
                <w:highlight w:val="none"/>
              </w:rPr>
              <w:t>绍兴市越城区朝皇路58号正大综合楼601会议室（泰宇咨询）</w:t>
            </w:r>
            <w:r>
              <w:rPr>
                <w:rFonts w:hint="eastAsia" w:ascii="仿宋" w:hAnsi="仿宋" w:eastAsia="仿宋" w:cs="仿宋"/>
                <w:color w:val="auto"/>
                <w:szCs w:val="24"/>
                <w:highlight w:val="none"/>
              </w:rPr>
              <w:t>。  </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五、公告期限 </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自本公告发布之日起5个工作日。</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六、其他补充事宜</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2.其他事项：（1）需要落实的政府采购政策：包括节约资源、保护环境、支持创新、促进中小企业发展等。详见招标文件的第二部分总则。</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.采购代理机构将拒绝接受未获取招标文件供应商的投标文件。</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4</w:t>
            </w:r>
            <w:r>
              <w:rPr>
                <w:rFonts w:hint="eastAsia" w:ascii="仿宋" w:hAnsi="仿宋" w:eastAsia="仿宋" w:cs="仿宋"/>
                <w:color w:val="auto"/>
                <w:szCs w:val="24"/>
                <w:highlight w:val="none"/>
              </w:rPr>
              <w:t>.招标文件的提供期限截止之日之后有潜在供应商提出获取招标文件的，采购代理机构将允许其获取。 </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七、对本次采购提出询问、质疑、投诉，请按以下方式联系</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1.采购人信息</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名称：绍兴市中医院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地址： 绍兴市越城区人民中路641号</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项目联系人（询问）：王宁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项目联系方式（询问）：0575-89102270</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质疑联系人： 沈勇</w:t>
            </w:r>
          </w:p>
          <w:p>
            <w:pPr>
              <w:widowControl/>
              <w:snapToGrid w:val="0"/>
              <w:spacing w:line="44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kern w:val="0"/>
                <w:sz w:val="24"/>
                <w:highlight w:val="none"/>
              </w:rPr>
              <w:t>质疑联系方式：0575-89107189</w:t>
            </w:r>
            <w:r>
              <w:rPr>
                <w:rFonts w:hint="eastAsia" w:ascii="仿宋" w:hAnsi="仿宋" w:eastAsia="仿宋" w:cs="仿宋"/>
                <w:color w:val="auto"/>
                <w:szCs w:val="24"/>
                <w:highlight w:val="none"/>
              </w:rPr>
              <w:t xml:space="preserve"> </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2.采购代理机构信息       </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w:t>
            </w:r>
            <w:r>
              <w:rPr>
                <w:rFonts w:hint="eastAsia" w:ascii="仿宋" w:hAnsi="仿宋" w:eastAsia="仿宋" w:cs="仿宋"/>
                <w:color w:val="auto"/>
                <w:szCs w:val="24"/>
                <w:highlight w:val="none"/>
                <w:lang w:eastAsia="zh-CN"/>
              </w:rPr>
              <w:t>泰宇建筑工程技术咨询有限公司</w:t>
            </w:r>
            <w:r>
              <w:rPr>
                <w:rFonts w:hint="eastAsia" w:ascii="仿宋" w:hAnsi="仿宋" w:eastAsia="仿宋" w:cs="仿宋"/>
                <w:color w:val="auto"/>
                <w:szCs w:val="24"/>
                <w:highlight w:val="none"/>
              </w:rPr>
              <w:t>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地址：绍兴市越城区朝皇路58号正大综合楼601</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项目联系人（询问）：金锦英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项目联系方式（询问）：0575-88226969/13656752180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质疑联系人：胡泽宇    </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kern w:val="0"/>
                <w:sz w:val="24"/>
                <w:highlight w:val="none"/>
              </w:rPr>
              <w:t>质疑联系方式：0575-85080066</w:t>
            </w:r>
            <w:r>
              <w:rPr>
                <w:rFonts w:hint="eastAsia" w:ascii="仿宋" w:hAnsi="仿宋" w:eastAsia="仿宋" w:cs="仿宋"/>
                <w:color w:val="auto"/>
                <w:szCs w:val="24"/>
                <w:highlight w:val="none"/>
              </w:rPr>
              <w:t> 　　　　　　   </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3.同级政府采购监督管理部门       </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名称：绍兴市财政局       </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地址：绍兴市越城区凤林西路151号       </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传真：0575-85209697       </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联系人 ：吴滟      </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监督投诉电话：0575-85209645       </w:t>
            </w:r>
          </w:p>
        </w:tc>
      </w:tr>
      <w:tr>
        <w:tblPrEx>
          <w:tblCellMar>
            <w:top w:w="0" w:type="dxa"/>
            <w:left w:w="0" w:type="dxa"/>
            <w:bottom w:w="0" w:type="dxa"/>
            <w:right w:w="0" w:type="dxa"/>
          </w:tblCellMar>
        </w:tblPrEx>
        <w:tc>
          <w:tcPr>
            <w:tcW w:w="8789" w:type="dxa"/>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w:t>
            </w:r>
          </w:p>
        </w:tc>
      </w:tr>
    </w:tbl>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highlight w:val="none"/>
        </w:rPr>
        <w:br w:type="page"/>
      </w:r>
    </w:p>
    <w:p>
      <w:pPr>
        <w:pageBreakBefore/>
        <w:ind w:left="238"/>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pPr>
        <w:ind w:left="238"/>
        <w:jc w:val="center"/>
        <w:rPr>
          <w:rFonts w:hint="eastAsia" w:ascii="仿宋" w:hAnsi="仿宋" w:eastAsia="仿宋" w:cs="仿宋"/>
          <w:b/>
          <w:color w:val="auto"/>
          <w:sz w:val="30"/>
          <w:szCs w:val="36"/>
          <w:highlight w:val="none"/>
        </w:rPr>
      </w:pPr>
      <w:bookmarkStart w:id="0" w:name="_Hlk47616320"/>
      <w:r>
        <w:rPr>
          <w:rFonts w:hint="eastAsia" w:ascii="仿宋" w:hAnsi="仿宋" w:eastAsia="仿宋" w:cs="仿宋"/>
          <w:b/>
          <w:color w:val="auto"/>
          <w:sz w:val="30"/>
          <w:szCs w:val="36"/>
          <w:highlight w:val="none"/>
        </w:rPr>
        <w:t>前附表</w:t>
      </w:r>
    </w:p>
    <w:tbl>
      <w:tblPr>
        <w:tblStyle w:val="4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pPr>
              <w:snapToGrid w:val="0"/>
              <w:spacing w:line="400" w:lineRule="exact"/>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pPr>
              <w:spacing w:line="40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pPr>
              <w:autoSpaceDE w:val="0"/>
              <w:autoSpaceDN w:val="0"/>
              <w:spacing w:line="400" w:lineRule="exact"/>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pPr>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pPr>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pPr>
              <w:spacing w:line="400" w:lineRule="exact"/>
              <w:ind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F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pPr>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正本一份、副本四份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pPr>
              <w:snapToGrid w:val="0"/>
              <w:spacing w:line="400" w:lineRule="exact"/>
              <w:rPr>
                <w:rFonts w:hint="eastAsia" w:ascii="仿宋" w:hAnsi="仿宋" w:eastAsia="仿宋" w:cs="仿宋"/>
                <w:bCs/>
                <w:color w:val="auto"/>
                <w:sz w:val="24"/>
                <w:highlight w:val="none"/>
              </w:rPr>
            </w:pPr>
            <w:r>
              <w:rPr>
                <w:rFonts w:hint="eastAsia" w:ascii="仿宋" w:hAnsi="仿宋" w:eastAsia="仿宋" w:cs="仿宋"/>
                <w:b/>
                <w:color w:val="auto"/>
                <w:sz w:val="24"/>
                <w:highlight w:val="none"/>
              </w:rPr>
              <w:t>开标前现场考察：</w:t>
            </w:r>
          </w:p>
          <w:p>
            <w:pPr>
              <w:spacing w:line="40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26322061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 xml:space="preserve"> A</w:t>
            </w:r>
            <w:r>
              <w:rPr>
                <w:rFonts w:hint="eastAsia" w:ascii="仿宋" w:hAnsi="仿宋" w:eastAsia="仿宋" w:cs="仿宋"/>
                <w:color w:val="auto"/>
                <w:sz w:val="24"/>
                <w:highlight w:val="none"/>
              </w:rPr>
              <w:t>不组织。</w:t>
            </w:r>
          </w:p>
          <w:p>
            <w:pPr>
              <w:autoSpaceDE w:val="0"/>
              <w:autoSpaceDN w:val="0"/>
              <w:spacing w:line="400" w:lineRule="exact"/>
              <w:textAlignment w:val="bottom"/>
              <w:rPr>
                <w:rFonts w:hint="eastAsia" w:ascii="仿宋" w:hAnsi="仿宋" w:eastAsia="仿宋" w:cs="仿宋"/>
                <w:b/>
                <w:color w:val="auto"/>
                <w:sz w:val="24"/>
                <w:highlight w:val="none"/>
              </w:rPr>
            </w:pPr>
            <w:sdt>
              <w:sdtPr>
                <w:rPr>
                  <w:rFonts w:hint="eastAsia" w:ascii="仿宋" w:hAnsi="仿宋" w:eastAsia="仿宋" w:cs="仿宋"/>
                  <w:color w:val="auto"/>
                  <w:kern w:val="0"/>
                  <w:sz w:val="24"/>
                  <w:highlight w:val="none"/>
                </w:rPr>
                <w:id w:val="-94006690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szCs w:val="20"/>
                <w:highlight w:val="none"/>
              </w:rPr>
              <w:t>。（该日后获取招标文件的投标人如需现场考察的，请在开标前采购人的工作时间进行联系）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r>
              <w:rPr>
                <w:rFonts w:hint="eastAsia" w:ascii="仿宋" w:hAnsi="仿宋" w:eastAsia="仿宋" w:cs="仿宋"/>
                <w:b/>
                <w:color w:val="auto"/>
                <w:sz w:val="24"/>
                <w:highlight w:val="none"/>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pPr>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b/>
                <w:color w:val="auto"/>
                <w:sz w:val="24"/>
                <w:highlight w:val="none"/>
              </w:rPr>
              <w:t>讲解演示：</w:t>
            </w:r>
            <w:r>
              <w:rPr>
                <w:rFonts w:hint="eastAsia" w:ascii="仿宋" w:hAnsi="仿宋" w:eastAsia="仿宋" w:cs="仿宋"/>
                <w:b/>
                <w:bCs/>
                <w:color w:val="auto"/>
                <w:sz w:val="24"/>
                <w:highlight w:val="none"/>
                <w:bdr w:val="single" w:color="auto" w:sz="4" w:space="0"/>
              </w:rPr>
              <w:t>01标</w:t>
            </w:r>
            <w:r>
              <w:rPr>
                <w:rFonts w:hint="eastAsia" w:ascii="仿宋" w:hAnsi="仿宋" w:eastAsia="仿宋" w:cs="仿宋"/>
                <w:color w:val="auto"/>
                <w:kern w:val="0"/>
                <w:sz w:val="24"/>
                <w:highlight w:val="none"/>
                <w:lang w:val="zh-CN"/>
              </w:rPr>
              <w:t>在评标时安排每个投标人进行</w:t>
            </w:r>
            <w:r>
              <w:rPr>
                <w:rFonts w:hint="eastAsia" w:ascii="仿宋" w:hAnsi="仿宋" w:eastAsia="仿宋" w:cs="仿宋"/>
                <w:b/>
                <w:bCs/>
                <w:color w:val="auto"/>
                <w:kern w:val="0"/>
                <w:sz w:val="24"/>
                <w:highlight w:val="none"/>
                <w:lang w:val="zh-CN"/>
              </w:rPr>
              <w:t>现场演示或</w:t>
            </w:r>
            <w:r>
              <w:rPr>
                <w:rFonts w:hint="eastAsia" w:ascii="仿宋" w:hAnsi="仿宋" w:eastAsia="仿宋" w:cs="仿宋"/>
                <w:b/>
                <w:bCs/>
                <w:color w:val="auto"/>
                <w:kern w:val="0"/>
                <w:sz w:val="24"/>
                <w:highlight w:val="none"/>
                <w:lang w:val="en-US" w:eastAsia="zh-CN"/>
              </w:rPr>
              <w:t>U盘录制演示</w:t>
            </w:r>
            <w:r>
              <w:rPr>
                <w:rFonts w:hint="eastAsia" w:ascii="仿宋" w:hAnsi="仿宋" w:eastAsia="仿宋" w:cs="仿宋"/>
                <w:color w:val="auto"/>
                <w:kern w:val="0"/>
                <w:sz w:val="24"/>
                <w:highlight w:val="none"/>
                <w:lang w:val="en-US" w:eastAsia="zh-CN"/>
              </w:rPr>
              <w:t>（</w:t>
            </w:r>
            <w:r>
              <w:rPr>
                <w:rFonts w:hint="eastAsia" w:ascii="仿宋" w:hAnsi="仿宋" w:eastAsia="仿宋" w:cs="仿宋"/>
                <w:color w:val="auto"/>
                <w:kern w:val="0"/>
                <w:sz w:val="24"/>
                <w:szCs w:val="24"/>
                <w:highlight w:val="none"/>
                <w:lang w:val="zh-CN"/>
              </w:rPr>
              <w:t>使用图片、PPT演示不得分</w:t>
            </w:r>
            <w:r>
              <w:rPr>
                <w:rFonts w:hint="eastAsia" w:ascii="仿宋" w:hAnsi="仿宋" w:eastAsia="仿宋" w:cs="仿宋"/>
                <w:color w:val="auto"/>
                <w:kern w:val="0"/>
                <w:sz w:val="24"/>
                <w:highlight w:val="none"/>
                <w:lang w:val="en-US" w:eastAsia="zh-CN"/>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sz w:val="24"/>
                <w:highlight w:val="none"/>
              </w:rPr>
              <w:t>演示</w:t>
            </w:r>
            <w:r>
              <w:rPr>
                <w:rFonts w:hint="eastAsia" w:ascii="仿宋" w:hAnsi="仿宋" w:eastAsia="仿宋" w:cs="仿宋"/>
                <w:color w:val="auto"/>
                <w:kern w:val="0"/>
                <w:sz w:val="24"/>
                <w:highlight w:val="none"/>
                <w:lang w:val="zh-CN"/>
              </w:rPr>
              <w:t>后按要求解答评标委员会的提问。</w:t>
            </w:r>
          </w:p>
          <w:p>
            <w:pPr>
              <w:spacing w:line="440" w:lineRule="exact"/>
              <w:rPr>
                <w:rFonts w:hint="eastAsia" w:ascii="仿宋" w:hAnsi="仿宋" w:eastAsia="仿宋" w:cs="仿宋"/>
                <w:color w:val="auto"/>
                <w:sz w:val="24"/>
                <w:highlight w:val="none"/>
              </w:rPr>
            </w:pPr>
            <w:r>
              <w:rPr>
                <w:rFonts w:hint="eastAsia" w:ascii="仿宋" w:hAnsi="仿宋" w:eastAsia="仿宋" w:cs="仿宋"/>
                <w:b/>
                <w:color w:val="auto"/>
                <w:kern w:val="0"/>
                <w:sz w:val="24"/>
                <w:highlight w:val="none"/>
                <w:lang w:val="zh-CN"/>
              </w:rPr>
              <w:t>演示设备：</w:t>
            </w:r>
            <w:r>
              <w:rPr>
                <w:rFonts w:hint="eastAsia" w:ascii="仿宋" w:hAnsi="仿宋" w:eastAsia="仿宋" w:cs="仿宋"/>
                <w:color w:val="auto"/>
                <w:sz w:val="24"/>
                <w:highlight w:val="none"/>
              </w:rPr>
              <w:t>演示所需设备由投标人自行准备。</w:t>
            </w:r>
          </w:p>
          <w:p>
            <w:pPr>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b/>
                <w:color w:val="auto"/>
                <w:kern w:val="0"/>
                <w:sz w:val="24"/>
                <w:highlight w:val="none"/>
                <w:lang w:val="zh-CN"/>
              </w:rPr>
              <w:t>演示时间：</w:t>
            </w:r>
            <w:r>
              <w:rPr>
                <w:rFonts w:hint="eastAsia" w:ascii="仿宋" w:hAnsi="仿宋" w:eastAsia="仿宋" w:cs="仿宋"/>
                <w:color w:val="auto"/>
                <w:kern w:val="0"/>
                <w:sz w:val="24"/>
                <w:highlight w:val="none"/>
                <w:lang w:val="zh-CN"/>
              </w:rPr>
              <w:t>每个投标人演示开始前的调试准备时间不超过1</w:t>
            </w:r>
            <w:r>
              <w:rPr>
                <w:rFonts w:hint="eastAsia" w:ascii="仿宋" w:hAnsi="仿宋" w:eastAsia="仿宋" w:cs="仿宋"/>
                <w:color w:val="auto"/>
                <w:kern w:val="0"/>
                <w:sz w:val="24"/>
                <w:highlight w:val="none"/>
                <w:lang w:val="en-US" w:eastAsia="zh-CN"/>
              </w:rPr>
              <w:t>0</w:t>
            </w:r>
            <w:r>
              <w:rPr>
                <w:rFonts w:hint="eastAsia" w:ascii="仿宋" w:hAnsi="仿宋" w:eastAsia="仿宋" w:cs="仿宋"/>
                <w:color w:val="auto"/>
                <w:kern w:val="0"/>
                <w:sz w:val="24"/>
                <w:highlight w:val="none"/>
                <w:lang w:val="zh-CN"/>
              </w:rPr>
              <w:t>分钟，演示时间不超过</w:t>
            </w:r>
            <w:r>
              <w:rPr>
                <w:rFonts w:hint="eastAsia" w:ascii="仿宋" w:hAnsi="仿宋" w:eastAsia="仿宋" w:cs="仿宋"/>
                <w:color w:val="auto"/>
                <w:kern w:val="0"/>
                <w:sz w:val="24"/>
                <w:highlight w:val="none"/>
                <w:lang w:val="en-US" w:eastAsia="zh-CN"/>
              </w:rPr>
              <w:t>20</w:t>
            </w:r>
            <w:r>
              <w:rPr>
                <w:rFonts w:hint="eastAsia" w:ascii="仿宋" w:hAnsi="仿宋" w:eastAsia="仿宋" w:cs="仿宋"/>
                <w:color w:val="auto"/>
                <w:kern w:val="0"/>
                <w:sz w:val="24"/>
                <w:highlight w:val="none"/>
                <w:lang w:val="zh-CN"/>
              </w:rPr>
              <w:t>分钟，</w:t>
            </w:r>
            <w:r>
              <w:rPr>
                <w:rFonts w:hint="eastAsia" w:ascii="仿宋" w:hAnsi="仿宋" w:eastAsia="仿宋" w:cs="仿宋"/>
                <w:color w:val="auto"/>
                <w:sz w:val="24"/>
                <w:highlight w:val="none"/>
              </w:rPr>
              <w:t>不包含评委提问解答时间。</w:t>
            </w:r>
          </w:p>
          <w:p>
            <w:pPr>
              <w:spacing w:line="420" w:lineRule="exact"/>
              <w:rPr>
                <w:rFonts w:hint="eastAsia" w:ascii="仿宋" w:hAnsi="仿宋" w:eastAsia="仿宋" w:cs="仿宋"/>
                <w:color w:val="auto"/>
                <w:kern w:val="0"/>
                <w:sz w:val="24"/>
                <w:highlight w:val="none"/>
                <w:lang w:val="zh-CN"/>
              </w:rPr>
            </w:pPr>
            <w:r>
              <w:rPr>
                <w:rFonts w:hint="eastAsia" w:ascii="仿宋" w:hAnsi="仿宋" w:eastAsia="仿宋" w:cs="仿宋"/>
                <w:b/>
                <w:color w:val="auto"/>
                <w:kern w:val="0"/>
                <w:sz w:val="24"/>
                <w:highlight w:val="none"/>
                <w:lang w:val="zh-CN"/>
              </w:rPr>
              <w:t>演示次序：</w:t>
            </w:r>
            <w:r>
              <w:rPr>
                <w:rFonts w:hint="eastAsia" w:ascii="仿宋" w:hAnsi="仿宋" w:eastAsia="仿宋" w:cs="仿宋"/>
                <w:color w:val="auto"/>
                <w:kern w:val="0"/>
                <w:sz w:val="24"/>
                <w:highlight w:val="none"/>
                <w:lang w:val="zh-CN"/>
              </w:rPr>
              <w:t>以</w:t>
            </w:r>
            <w:r>
              <w:rPr>
                <w:rFonts w:hint="eastAsia" w:ascii="仿宋" w:hAnsi="仿宋" w:eastAsia="仿宋" w:cs="仿宋"/>
                <w:bCs/>
                <w:color w:val="auto"/>
                <w:sz w:val="24"/>
                <w:highlight w:val="none"/>
              </w:rPr>
              <w:t>递交投标</w:t>
            </w:r>
            <w:r>
              <w:rPr>
                <w:rFonts w:hint="eastAsia" w:ascii="仿宋" w:hAnsi="仿宋" w:eastAsia="仿宋" w:cs="仿宋"/>
                <w:color w:val="auto"/>
                <w:kern w:val="0"/>
                <w:sz w:val="24"/>
                <w:highlight w:val="none"/>
                <w:lang w:val="zh-CN"/>
              </w:rPr>
              <w:t>文件先后顺序为准。</w:t>
            </w:r>
          </w:p>
          <w:p>
            <w:pPr>
              <w:spacing w:line="420" w:lineRule="exact"/>
              <w:rPr>
                <w:rFonts w:hint="eastAsia" w:ascii="仿宋" w:hAnsi="仿宋" w:eastAsia="仿宋" w:cs="仿宋"/>
                <w:b/>
                <w:color w:val="auto"/>
                <w:kern w:val="0"/>
                <w:sz w:val="24"/>
                <w:highlight w:val="none"/>
                <w:lang w:val="en-US" w:eastAsia="zh-CN"/>
              </w:rPr>
            </w:pPr>
            <w:r>
              <w:rPr>
                <w:rFonts w:hint="eastAsia" w:ascii="仿宋" w:hAnsi="仿宋" w:eastAsia="仿宋" w:cs="仿宋"/>
                <w:b/>
                <w:color w:val="auto"/>
                <w:kern w:val="0"/>
                <w:sz w:val="24"/>
                <w:highlight w:val="none"/>
                <w:lang w:val="zh-CN"/>
              </w:rPr>
              <w:t>视频邮寄地址及联系方式：</w:t>
            </w:r>
            <w:r>
              <w:rPr>
                <w:rFonts w:hint="eastAsia" w:ascii="仿宋" w:hAnsi="仿宋" w:eastAsia="仿宋" w:cs="仿宋"/>
                <w:b w:val="0"/>
                <w:bCs/>
                <w:color w:val="auto"/>
                <w:kern w:val="0"/>
                <w:sz w:val="24"/>
                <w:highlight w:val="none"/>
                <w:lang w:val="zh-CN"/>
              </w:rPr>
              <w:t>绍兴市越城区朝皇路</w:t>
            </w:r>
            <w:r>
              <w:rPr>
                <w:rFonts w:hint="eastAsia" w:ascii="仿宋" w:hAnsi="仿宋" w:eastAsia="仿宋" w:cs="仿宋"/>
                <w:b w:val="0"/>
                <w:bCs/>
                <w:color w:val="auto"/>
                <w:kern w:val="0"/>
                <w:sz w:val="24"/>
                <w:highlight w:val="none"/>
                <w:lang w:val="en-US" w:eastAsia="zh-CN"/>
              </w:rPr>
              <w:t>58号正大综合楼601招标室，收件人：金锦英，联系电话：13656752180。</w:t>
            </w:r>
          </w:p>
          <w:p>
            <w:pPr>
              <w:spacing w:line="420" w:lineRule="exact"/>
              <w:rPr>
                <w:rFonts w:hint="eastAsia" w:ascii="仿宋" w:hAnsi="仿宋" w:eastAsia="仿宋" w:cs="仿宋"/>
                <w:color w:val="auto"/>
                <w:sz w:val="24"/>
                <w:highlight w:val="none"/>
                <w:lang w:eastAsia="zh-CN"/>
              </w:rPr>
            </w:pPr>
            <w:r>
              <w:rPr>
                <w:rFonts w:hint="eastAsia" w:ascii="仿宋" w:hAnsi="仿宋" w:eastAsia="仿宋" w:cs="仿宋"/>
                <w:b/>
                <w:color w:val="auto"/>
                <w:kern w:val="0"/>
                <w:sz w:val="24"/>
                <w:highlight w:val="none"/>
                <w:lang w:val="zh-CN"/>
              </w:rPr>
              <w:t>录制视频接收时间：</w:t>
            </w:r>
            <w:r>
              <w:rPr>
                <w:rFonts w:hint="eastAsia" w:ascii="仿宋" w:hAnsi="仿宋" w:eastAsia="仿宋" w:cs="仿宋"/>
                <w:color w:val="auto"/>
                <w:sz w:val="24"/>
                <w:highlight w:val="none"/>
                <w:lang w:eastAsia="zh-CN"/>
              </w:rPr>
              <w:t>投标截止前</w:t>
            </w:r>
          </w:p>
          <w:p>
            <w:pPr>
              <w:spacing w:line="400" w:lineRule="exact"/>
              <w:rPr>
                <w:rFonts w:hint="eastAsia" w:ascii="仿宋" w:hAnsi="仿宋" w:eastAsia="仿宋" w:cs="仿宋"/>
                <w:color w:val="auto"/>
                <w:sz w:val="24"/>
                <w:highlight w:val="none"/>
                <w:lang w:val="en-US" w:eastAsia="zh-CN"/>
              </w:rPr>
            </w:pPr>
            <w:r>
              <w:rPr>
                <w:rFonts w:hint="eastAsia" w:ascii="仿宋" w:hAnsi="仿宋" w:eastAsia="仿宋" w:cs="仿宋"/>
                <w:b/>
                <w:bCs/>
                <w:color w:val="auto"/>
                <w:sz w:val="24"/>
                <w:highlight w:val="none"/>
              </w:rPr>
              <w:t>其他：</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eastAsia="zh-CN"/>
              </w:rPr>
              <w:t>视频录制后存储</w:t>
            </w:r>
            <w:r>
              <w:rPr>
                <w:rFonts w:hint="eastAsia" w:ascii="仿宋" w:hAnsi="仿宋" w:eastAsia="仿宋" w:cs="仿宋"/>
                <w:color w:val="auto"/>
                <w:sz w:val="24"/>
                <w:highlight w:val="none"/>
                <w:lang w:val="en-US" w:eastAsia="zh-CN"/>
              </w:rPr>
              <w:t>U盘内（投标人需自行承担U盘内视频破坏或无法打开等风险），</w:t>
            </w:r>
            <w:r>
              <w:rPr>
                <w:rFonts w:hint="eastAsia" w:ascii="仿宋" w:hAnsi="仿宋" w:eastAsia="仿宋" w:cs="仿宋"/>
                <w:color w:val="auto"/>
                <w:sz w:val="24"/>
                <w:highlight w:val="none"/>
              </w:rPr>
              <w:t>需</w:t>
            </w:r>
            <w:r>
              <w:rPr>
                <w:rFonts w:hint="eastAsia" w:ascii="仿宋" w:hAnsi="仿宋" w:eastAsia="仿宋" w:cs="仿宋"/>
                <w:color w:val="auto"/>
                <w:sz w:val="24"/>
                <w:highlight w:val="none"/>
                <w:lang w:eastAsia="zh-CN"/>
              </w:rPr>
              <w:t>密封包装、</w:t>
            </w:r>
            <w:r>
              <w:rPr>
                <w:rFonts w:hint="eastAsia" w:ascii="仿宋" w:hAnsi="仿宋" w:eastAsia="仿宋" w:cs="仿宋"/>
                <w:color w:val="auto"/>
                <w:sz w:val="24"/>
                <w:highlight w:val="none"/>
              </w:rPr>
              <w:t>贴有标注供应商名称且加盖</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公章的标签。</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2）中标人</w:t>
            </w:r>
            <w:r>
              <w:rPr>
                <w:rFonts w:hint="eastAsia" w:ascii="仿宋" w:hAnsi="仿宋" w:eastAsia="仿宋" w:cs="仿宋"/>
                <w:color w:val="auto"/>
                <w:sz w:val="24"/>
                <w:highlight w:val="none"/>
                <w:lang w:eastAsia="zh-CN"/>
              </w:rPr>
              <w:t>视频</w:t>
            </w:r>
            <w:r>
              <w:rPr>
                <w:rFonts w:hint="eastAsia" w:ascii="仿宋" w:hAnsi="仿宋" w:eastAsia="仿宋" w:cs="仿宋"/>
                <w:color w:val="auto"/>
                <w:sz w:val="24"/>
                <w:highlight w:val="none"/>
              </w:rPr>
              <w:t>不予退还，由采购人带回并妥善保管作为验收的参考；未中标人</w:t>
            </w:r>
            <w:r>
              <w:rPr>
                <w:rFonts w:hint="eastAsia" w:ascii="仿宋" w:hAnsi="仿宋" w:eastAsia="仿宋" w:cs="仿宋"/>
                <w:color w:val="auto"/>
                <w:sz w:val="24"/>
                <w:highlight w:val="none"/>
                <w:lang w:eastAsia="zh-CN"/>
              </w:rPr>
              <w:t>视频</w:t>
            </w:r>
            <w:r>
              <w:rPr>
                <w:rFonts w:hint="eastAsia" w:ascii="仿宋" w:hAnsi="仿宋" w:eastAsia="仿宋" w:cs="仿宋"/>
                <w:color w:val="auto"/>
                <w:sz w:val="24"/>
                <w:highlight w:val="none"/>
              </w:rPr>
              <w:t>开标结束后请自行带回，本</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不予保管</w:t>
            </w:r>
            <w:r>
              <w:rPr>
                <w:rFonts w:hint="eastAsia" w:ascii="仿宋" w:hAnsi="仿宋" w:eastAsia="仿宋" w:cs="仿宋"/>
                <w:color w:val="auto"/>
                <w:sz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pPr>
              <w:spacing w:line="400" w:lineRule="exact"/>
              <w:rPr>
                <w:rFonts w:hint="eastAsia"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75181343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本项目不允许采购进口产品。</w:t>
            </w:r>
          </w:p>
          <w:p>
            <w:pPr>
              <w:snapToGrid w:val="0"/>
              <w:spacing w:line="400" w:lineRule="exact"/>
              <w:rPr>
                <w:rFonts w:hint="eastAsia" w:ascii="仿宋" w:hAnsi="仿宋" w:eastAsia="仿宋" w:cs="仿宋"/>
                <w:b/>
                <w:color w:val="auto"/>
                <w:sz w:val="24"/>
                <w:highlight w:val="none"/>
              </w:rPr>
            </w:pPr>
            <w:sdt>
              <w:sdtPr>
                <w:rPr>
                  <w:rFonts w:hint="eastAsia" w:ascii="仿宋" w:hAnsi="仿宋" w:eastAsia="仿宋" w:cs="仿宋"/>
                  <w:color w:val="auto"/>
                  <w:kern w:val="0"/>
                  <w:sz w:val="24"/>
                  <w:highlight w:val="none"/>
                </w:rPr>
                <w:id w:val="-833212847"/>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pPr>
              <w:snapToGrid w:val="0"/>
              <w:spacing w:line="400" w:lineRule="exact"/>
              <w:ind w:left="-3" w:leftChars="-8" w:right="-50" w:rightChars="-24"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pPr>
              <w:spacing w:line="40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18727868"/>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8287135"/>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szCs w:val="21"/>
                          <w:highlight w:val="none"/>
                        </w:rPr>
                        <w:id w:val="4900522"/>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A8"/>
                        </w:r>
                      </w:sdtContent>
                    </w:sdt>
                  </w:sdtContent>
                </w:sdt>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napToGrid w:val="0"/>
              <w:spacing w:line="40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474885559"/>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470193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sdtContent>
            </w:sdt>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370" w:type="dxa"/>
            <w:gridSpan w:val="2"/>
            <w:vAlign w:val="center"/>
          </w:tcPr>
          <w:p>
            <w:pPr>
              <w:snapToGrid w:val="0"/>
              <w:spacing w:line="400" w:lineRule="exact"/>
              <w:ind w:left="-18" w:leftChars="-9" w:right="-50" w:rightChars="-24" w:hanging="1"/>
              <w:jc w:val="both"/>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p>
            <w:pPr>
              <w:snapToGrid w:val="0"/>
              <w:spacing w:line="40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标项一</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软件和信息技术服务业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00" w:lineRule="exact"/>
              <w:jc w:val="center"/>
              <w:rPr>
                <w:rFonts w:hint="eastAsia" w:ascii="仿宋" w:hAnsi="仿宋" w:eastAsia="仿宋" w:cs="仿宋"/>
                <w:color w:val="auto"/>
                <w:sz w:val="24"/>
                <w:highlight w:val="none"/>
              </w:rPr>
            </w:pPr>
          </w:p>
        </w:tc>
        <w:tc>
          <w:tcPr>
            <w:tcW w:w="855" w:type="dxa"/>
            <w:vMerge w:val="continue"/>
            <w:vAlign w:val="center"/>
          </w:tcPr>
          <w:p>
            <w:pPr>
              <w:snapToGrid w:val="0"/>
              <w:spacing w:line="400" w:lineRule="exact"/>
              <w:rPr>
                <w:rFonts w:hint="eastAsia" w:ascii="仿宋" w:hAnsi="仿宋" w:eastAsia="仿宋" w:cs="仿宋"/>
                <w:b/>
                <w:color w:val="auto"/>
                <w:sz w:val="24"/>
                <w:highlight w:val="none"/>
              </w:rPr>
            </w:pPr>
          </w:p>
        </w:tc>
        <w:tc>
          <w:tcPr>
            <w:tcW w:w="7515" w:type="dxa"/>
            <w:vAlign w:val="center"/>
          </w:tcPr>
          <w:p>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00" w:lineRule="exact"/>
              <w:jc w:val="center"/>
              <w:rPr>
                <w:rFonts w:hint="eastAsia" w:ascii="仿宋" w:hAnsi="仿宋" w:eastAsia="仿宋" w:cs="仿宋"/>
                <w:color w:val="auto"/>
                <w:sz w:val="24"/>
                <w:highlight w:val="none"/>
              </w:rPr>
            </w:pPr>
          </w:p>
        </w:tc>
        <w:tc>
          <w:tcPr>
            <w:tcW w:w="855" w:type="dxa"/>
            <w:vMerge w:val="continue"/>
            <w:vAlign w:val="center"/>
          </w:tcPr>
          <w:p>
            <w:pPr>
              <w:snapToGrid w:val="0"/>
              <w:spacing w:line="400" w:lineRule="exact"/>
              <w:rPr>
                <w:rFonts w:hint="eastAsia" w:ascii="仿宋" w:hAnsi="仿宋" w:eastAsia="仿宋" w:cs="仿宋"/>
                <w:b/>
                <w:color w:val="auto"/>
                <w:sz w:val="24"/>
                <w:highlight w:val="none"/>
              </w:rPr>
            </w:pPr>
          </w:p>
        </w:tc>
        <w:tc>
          <w:tcPr>
            <w:tcW w:w="7515" w:type="dxa"/>
            <w:vAlign w:val="center"/>
          </w:tcPr>
          <w:p>
            <w:pPr>
              <w:snapToGrid w:val="0"/>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pPr>
              <w:snapToGrid w:val="0"/>
              <w:spacing w:line="40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pPr>
              <w:snapToGrid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本项目采用纸质投标文件。若供应商参与投标，自行承担投标一切费用。投标文件允许投标单位通过邮寄快递方式送达（建议采用EMS或顺丰快递。邮寄送达地址：绍兴市朝皇路58号正大综合楼601泰宇建筑工程技术咨询有限公司招标代理部（泰宇建筑工程技术咨询有限公司，接收人：金锦英，联系方式：13656752180。快递寄出后，请将快递底单照片发送邮件至2429136371@qq.com，邮件名称为公司名称+联系人姓名+手机号，以便及时查收）。同时请充分考虑快递时间，确保在投标截止时间前送达。投标文件递交的时间以招标代理机构签收时间为准，除邮寄外包装外，投标文件仍需要按采购文件要求封包，但在邮寄过程中发生的包封缺损或保管过程中发生的一切事宜均由投标人自行承担。</w:t>
            </w:r>
          </w:p>
          <w:p>
            <w:pPr>
              <w:snapToGrid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 同时允许投标单位现场送达（即交即走）的方式，在投标截止时间前将投标文件递交至绍兴市朝皇路58号正大综合楼601（泰宇建筑工程技术咨询有限公司）会议室。</w:t>
            </w:r>
          </w:p>
          <w:p>
            <w:pPr>
              <w:snapToGrid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3.投标人的法定代表人或授权代表等均可不参加开标会议。若投标人法定代表人或授权代表不在现场参加开标会议的，取消开标现场的书面签字确认等有关操作要求，投标人需向采购代理机构工作人员告知其联系方式，以备询标等事宜。</w:t>
            </w:r>
          </w:p>
          <w:p>
            <w:pPr>
              <w:snapToGrid w:val="0"/>
              <w:spacing w:line="400" w:lineRule="exact"/>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4.本项目招标文件内对开标现场原件核验不作要求，采购人有权在标后对中标候选人进行原件核验。投标人对所提供的全部资料的真实性承担法律责任。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pPr>
              <w:spacing w:line="400" w:lineRule="exact"/>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00" w:lineRule="exact"/>
              <w:rPr>
                <w:rFonts w:hint="eastAsia" w:ascii="仿宋" w:hAnsi="仿宋" w:eastAsia="仿宋" w:cs="仿宋"/>
                <w:color w:val="auto"/>
                <w:sz w:val="24"/>
                <w:highlight w:val="none"/>
              </w:rPr>
            </w:pPr>
          </w:p>
        </w:tc>
        <w:tc>
          <w:tcPr>
            <w:tcW w:w="8370" w:type="dxa"/>
            <w:gridSpan w:val="2"/>
            <w:vAlign w:val="center"/>
          </w:tcPr>
          <w:p>
            <w:pPr>
              <w:adjustRightInd w:val="0"/>
              <w:spacing w:line="400" w:lineRule="exact"/>
              <w:rPr>
                <w:rFonts w:hint="eastAsia" w:ascii="仿宋" w:hAnsi="仿宋" w:eastAsia="仿宋" w:cs="仿宋"/>
                <w:snapToGrid w:val="0"/>
                <w:color w:val="auto"/>
                <w:kern w:val="28"/>
                <w:sz w:val="24"/>
                <w:highlight w:val="none"/>
              </w:rPr>
            </w:pPr>
            <w:sdt>
              <w:sdtPr>
                <w:rPr>
                  <w:rFonts w:hint="eastAsia" w:ascii="仿宋" w:hAnsi="仿宋" w:eastAsia="仿宋" w:cs="仿宋"/>
                  <w:color w:val="auto"/>
                  <w:kern w:val="0"/>
                  <w:sz w:val="24"/>
                  <w:szCs w:val="21"/>
                  <w:highlight w:val="none"/>
                </w:rPr>
                <w:id w:val="-1816336663"/>
              </w:sdtPr>
              <w:sdtEndPr>
                <w:rPr>
                  <w:rFonts w:hint="eastAsia" w:ascii="仿宋" w:hAnsi="仿宋" w:eastAsia="仿宋" w:cs="仿宋"/>
                  <w:color w:val="auto"/>
                  <w:kern w:val="0"/>
                  <w:sz w:val="24"/>
                  <w:szCs w:val="21"/>
                  <w:highlight w:val="none"/>
                </w:rPr>
              </w:sdtEndPr>
              <w:sdtContent>
                <w:sdt>
                  <w:sdtPr>
                    <w:rPr>
                      <w:rFonts w:hint="eastAsia" w:ascii="仿宋" w:hAnsi="仿宋" w:eastAsia="仿宋" w:cs="仿宋"/>
                      <w:color w:val="auto"/>
                      <w:kern w:val="0"/>
                      <w:sz w:val="24"/>
                      <w:szCs w:val="21"/>
                      <w:highlight w:val="none"/>
                    </w:rPr>
                    <w:id w:val="-232311894"/>
                  </w:sdtPr>
                  <w:sdtEndPr>
                    <w:rPr>
                      <w:rFonts w:hint="eastAsia" w:ascii="仿宋" w:hAnsi="仿宋" w:eastAsia="仿宋" w:cs="仿宋"/>
                      <w:color w:val="auto"/>
                      <w:kern w:val="0"/>
                      <w:sz w:val="24"/>
                      <w:szCs w:val="21"/>
                      <w:highlight w:val="none"/>
                    </w:rPr>
                  </w:sdtEndPr>
                  <w:sdtContent>
                    <w:r>
                      <w:rPr>
                        <w:rFonts w:hint="eastAsia" w:ascii="仿宋" w:hAnsi="仿宋" w:eastAsia="仿宋" w:cs="仿宋"/>
                        <w:color w:val="auto"/>
                        <w:kern w:val="0"/>
                        <w:sz w:val="24"/>
                        <w:highlight w:val="none"/>
                      </w:rPr>
                      <w:sym w:font="Wingdings" w:char="F0FE"/>
                    </w:r>
                  </w:sdtContent>
                </w:sdt>
              </w:sdtContent>
            </w:sdt>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pPr>
              <w:spacing w:line="400" w:lineRule="exact"/>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00" w:lineRule="exac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19</w:t>
            </w:r>
          </w:p>
        </w:tc>
        <w:tc>
          <w:tcPr>
            <w:tcW w:w="8370" w:type="dxa"/>
            <w:gridSpan w:val="2"/>
            <w:vAlign w:val="center"/>
          </w:tcPr>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采购代理服务费：</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中标人须向采购代理机构按如下标准和规定交纳代理服务费，并在投标报价中自行考虑：</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中标人须向采购代理机构按如下标准和规定交纳代理服务费，并在投标报价中自行考虑：</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以中标通知中确定的中标总金额作为代理服务费的计算基数，具体比例参照《国家计委关于印发&lt;招标代理服务收费管理暂行办法&gt;的通知》（计价格[2002]1980号）规定的标准*62%进行收费。服务费不到2000元按照2000元收取。</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（2）代理服务费的交纳方式：</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公司名称：泰宇建筑工程技术咨询有限公司绍兴分公司</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账号: 85010078801000000518</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开户银行:上海浦东发展银行绍兴分行</w:t>
            </w:r>
          </w:p>
          <w:p>
            <w:pPr>
              <w:numPr>
                <w:ilvl w:val="255"/>
                <w:numId w:val="0"/>
              </w:num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（3）领取中标通知书前交纳。</w:t>
            </w:r>
          </w:p>
          <w:p>
            <w:pPr>
              <w:spacing w:line="40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（4）招标专家评审费由代理机构垫付，再与招标人进行清算，即专家评审费由招标人承担。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解释：凡涉及本招标文件的解释权属于采购人和</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0"/>
    </w:tbl>
    <w:p>
      <w:pPr>
        <w:pageBreakBefore/>
        <w:snapToGrid w:val="0"/>
        <w:spacing w:line="30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一、总则</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 项目说明</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1.1本招标文件适用于该项目的招标、投标、开标、资格审查及信用信息查询、评标、定标、合同、验收等行为（法律、法规另有规定的，从其规定）。</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1.2投标人一旦参与本次招标活动，即被视为接受了本招标文件的所有内容，如有任何异议，均应在法定时间内提出。</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1.4本招标文件所称公章是指单位法定名称章或者冠以法定名称的投标业务专用章或单位法定名称公章。</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定义</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2.1政府采购当事人及监管部门</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2.1.1“采购人”系指采购公告中载明的本项目的采购人，即</w:t>
      </w: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（合同中的甲方）。</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2.1.2“采购代理机构”系指采购公告中载明的本项目的采购机构，即</w:t>
      </w:r>
      <w:r>
        <w:rPr>
          <w:rFonts w:hint="eastAsia" w:ascii="仿宋" w:hAnsi="仿宋" w:eastAsia="仿宋" w:cs="仿宋"/>
          <w:color w:val="auto"/>
          <w:sz w:val="24"/>
          <w:highlight w:val="none"/>
          <w:lang w:eastAsia="zh-CN"/>
        </w:rPr>
        <w:t>泰宇建筑工程技术咨询有限公司</w:t>
      </w:r>
      <w:r>
        <w:rPr>
          <w:rFonts w:hint="eastAsia" w:ascii="仿宋" w:hAnsi="仿宋" w:eastAsia="仿宋" w:cs="仿宋"/>
          <w:color w:val="auto"/>
          <w:sz w:val="24"/>
          <w:highlight w:val="none"/>
        </w:rPr>
        <w:t>。</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2.1.3“供应商”系指响应招标、参加投标竞争的法人、其他组织或者自然人为投标人，或经评审产生的中标候选人，或发布中标公告后并签订合同的中标人（合同中的乙方），</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2.1.4“监督单位”系指政府采购法定义监督管理部门，即绍兴市财政局。</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2.3“服务”系指招标文件规定投标人须承担的安装、调试、技术协助、校准、培训、技术指导以及其他类似的义务。</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2.4“项目”系指投标人按招标文件规定向采购人提供的产品和服务。</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2.5“授权代表”系指法定代表人的被授权委托人。</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 xml:space="preserve"> “★”系指实质性指标要求条款，“▲” 系指主要性能指标要求条款。如任意一条打“★”的指标出现负偏离视为实质性不响应招标文件要求，作无效投标处理；如任意一条打“▲”的指标出现负偏离按评分标准作扣分处理。“</w:t>
      </w:r>
      <w:sdt>
        <w:sdtPr>
          <w:rPr>
            <w:rFonts w:hint="eastAsia" w:ascii="仿宋" w:hAnsi="仿宋" w:eastAsia="仿宋" w:cs="仿宋"/>
            <w:color w:val="auto"/>
            <w:kern w:val="0"/>
            <w:sz w:val="24"/>
            <w:highlight w:val="none"/>
          </w:rPr>
          <w:id w:val="512970236"/>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 系指适用本项目的要求，“</w:t>
      </w:r>
      <w:sdt>
        <w:sdtPr>
          <w:rPr>
            <w:rFonts w:hint="eastAsia" w:ascii="仿宋" w:hAnsi="仿宋" w:eastAsia="仿宋" w:cs="仿宋"/>
            <w:color w:val="auto"/>
            <w:kern w:val="0"/>
            <w:sz w:val="24"/>
            <w:highlight w:val="none"/>
          </w:rPr>
          <w:id w:val="40488885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”系指不适用本项目的要求。</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因特殊原因需要使用冠以法定名称的业务专用章的，投标时须提供《业务专用章使用说明函》(详见附件)。</w:t>
      </w:r>
    </w:p>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3.2.3 修缮、装修类项目采购建材的，采购人应将绿色建筑和绿色建材性能、指标等作为实质性条件纳入招标文件和合同。</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企业价格扣除（2022年7月1日至2022年12月31日期间发布采购公告或者发出采购邀请的货物、服务采购项目按照下列规定执行,到期后按财库〔2022]19号文件规定执行。）</w:t>
      </w:r>
    </w:p>
    <w:p>
      <w:pPr>
        <w:spacing w:line="440" w:lineRule="exact"/>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3.3.7符合《关于促进残疾人就业政府采购政策的通知》（财库〔2017〕141号）规定的条件并提供《残疾人福利性单位声明函》（附件1）的残疾人福利性单位视同小微企业；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支持科技创新创新发展</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napToGrid w:val="0"/>
        <w:spacing w:beforeLines="50" w:afterLines="50"/>
        <w:jc w:val="center"/>
        <w:rPr>
          <w:rFonts w:hint="eastAsia" w:ascii="仿宋" w:hAnsi="仿宋" w:eastAsia="仿宋" w:cs="仿宋"/>
          <w:color w:val="auto"/>
          <w:sz w:val="24"/>
          <w:highlight w:val="none"/>
        </w:rPr>
      </w:pPr>
      <w:r>
        <w:rPr>
          <w:rFonts w:hint="eastAsia" w:ascii="仿宋" w:hAnsi="仿宋" w:eastAsia="仿宋" w:cs="仿宋"/>
          <w:b/>
          <w:color w:val="auto"/>
          <w:sz w:val="36"/>
          <w:szCs w:val="36"/>
          <w:highlight w:val="none"/>
        </w:rPr>
        <w:t>二、招标文件</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w:t>
      </w:r>
      <w:r>
        <w:rPr>
          <w:rFonts w:hint="eastAsia" w:ascii="仿宋" w:hAnsi="仿宋" w:eastAsia="仿宋" w:cs="仿宋"/>
          <w:b/>
          <w:color w:val="auto"/>
          <w:kern w:val="0"/>
          <w:sz w:val="24"/>
          <w:highlight w:val="none"/>
        </w:rPr>
        <w:t>公开招标</w:t>
      </w:r>
      <w:r>
        <w:rPr>
          <w:rFonts w:hint="eastAsia" w:ascii="仿宋" w:hAnsi="仿宋" w:eastAsia="仿宋" w:cs="仿宋"/>
          <w:color w:val="auto"/>
          <w:sz w:val="24"/>
          <w:highlight w:val="none"/>
        </w:rPr>
        <w:t>方式进行。</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pPr>
        <w:pStyle w:val="3"/>
        <w:snapToGrid w:val="0"/>
        <w:spacing w:after="0" w:line="440" w:lineRule="exact"/>
        <w:ind w:left="0" w:leftChars="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本项目为现场送达（即交即走）</w:t>
      </w:r>
      <w:r>
        <w:rPr>
          <w:rFonts w:hint="eastAsia" w:ascii="仿宋" w:hAnsi="仿宋" w:eastAsia="仿宋" w:cs="仿宋"/>
          <w:color w:val="auto"/>
          <w:sz w:val="24"/>
          <w:highlight w:val="none"/>
          <w:lang w:eastAsia="zh-CN"/>
        </w:rPr>
        <w:t>或邮寄</w:t>
      </w:r>
      <w:r>
        <w:rPr>
          <w:rFonts w:hint="eastAsia" w:ascii="仿宋" w:hAnsi="仿宋" w:eastAsia="仿宋" w:cs="仿宋"/>
          <w:color w:val="auto"/>
          <w:sz w:val="24"/>
          <w:highlight w:val="none"/>
        </w:rPr>
        <w:t>的方式递交投标文件，投标人的法定代表人或其授权代表或个体工商户不需要参加现场投标和开标。</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pPr>
        <w:pStyle w:val="17"/>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投标人应自行承担编制投标文件及参加本次投标所涉及的一切费用。不管投标结果如何，招标人对上述费用不负任何责任。对中标人免收政府采购代理服务费。</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4.1 </w:t>
      </w:r>
      <w:r>
        <w:rPr>
          <w:rFonts w:hint="eastAsia" w:ascii="仿宋" w:hAnsi="仿宋" w:eastAsia="仿宋" w:cs="仿宋"/>
          <w:bCs/>
          <w:color w:val="auto"/>
          <w:sz w:val="24"/>
          <w:highlight w:val="none"/>
        </w:rPr>
        <w:t>招标文件包括本招标文件及所有的招标答疑记录（澄清、修改）和发出的补充通知</w:t>
      </w:r>
      <w:r>
        <w:rPr>
          <w:rFonts w:hint="eastAsia" w:ascii="仿宋" w:hAnsi="仿宋" w:eastAsia="仿宋" w:cs="仿宋"/>
          <w:color w:val="auto"/>
          <w:sz w:val="24"/>
          <w:highlight w:val="none"/>
        </w:rPr>
        <w:t>。</w:t>
      </w:r>
    </w:p>
    <w:p>
      <w:pPr>
        <w:pStyle w:val="17"/>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 xml:space="preserve">4.2招标文件的澄清 </w:t>
      </w:r>
    </w:p>
    <w:p>
      <w:pPr>
        <w:pStyle w:val="17"/>
        <w:widowControl w:val="0"/>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7"/>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4.3招标文件的修改</w:t>
      </w:r>
    </w:p>
    <w:p>
      <w:pPr>
        <w:pStyle w:val="17"/>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pPr>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三、投标文件</w:t>
      </w:r>
    </w:p>
    <w:p>
      <w:pPr>
        <w:numPr>
          <w:ilvl w:val="0"/>
          <w:numId w:val="7"/>
        </w:num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投标文件的语言、计量单位、形式及效力</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投标文件的组成</w:t>
      </w:r>
    </w:p>
    <w:p>
      <w:pPr>
        <w:spacing w:line="440" w:lineRule="exact"/>
        <w:ind w:firstLine="480" w:firstLineChars="200"/>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投标文件由“报价文件资料”、“商务技术（资信）文件资料”两部分组成</w:t>
      </w:r>
      <w:r>
        <w:rPr>
          <w:rFonts w:hint="eastAsia" w:ascii="仿宋" w:hAnsi="仿宋" w:eastAsia="仿宋" w:cs="仿宋"/>
          <w:color w:val="auto"/>
          <w:sz w:val="24"/>
          <w:highlight w:val="none"/>
          <w:lang w:eastAsia="zh-CN"/>
        </w:rPr>
        <w:t>：</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 “报价文件资料”应包含以下内容：</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2.1.1投标响应函（格式见第六部分附件）； </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2.1.2开标一览表（格式见第六部分附件）；</w:t>
      </w:r>
    </w:p>
    <w:p>
      <w:pPr>
        <w:pStyle w:val="26"/>
        <w:spacing w:line="440" w:lineRule="exact"/>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2.1.3中小企业声明函（如有，格式见第六部分附件）；</w:t>
      </w:r>
    </w:p>
    <w:p>
      <w:pPr>
        <w:pStyle w:val="26"/>
        <w:spacing w:line="440" w:lineRule="exact"/>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2.1.4残疾人福利性单位声明函（如有，格式见第六部分附件）。</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以上文件组成“报价文件资料”。投标人在“报价文件资料”中应对招标文件作实质性响应，该项内容将作为评标重要指标。</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 “商务技术（资信）文件资料”应包括以下内容（正本用原件）：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2.2.1法定代表人授权委托书(格式见第六部分附件)；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2.2.2授权代表社保证明（格式见第六部分附件）；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2.2.3法定代表人身份证明书（格式见第六部分附件）；</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2.2.4</w:t>
      </w:r>
      <w:r>
        <w:rPr>
          <w:rFonts w:hint="eastAsia" w:ascii="仿宋" w:hAnsi="仿宋" w:eastAsia="仿宋" w:cs="仿宋"/>
          <w:color w:val="auto"/>
          <w:kern w:val="0"/>
          <w:sz w:val="24"/>
          <w:highlight w:val="none"/>
        </w:rPr>
        <w:t>供应商基本资格条件</w:t>
      </w:r>
      <w:r>
        <w:rPr>
          <w:rFonts w:hint="eastAsia" w:ascii="仿宋" w:hAnsi="仿宋" w:eastAsia="仿宋" w:cs="仿宋"/>
          <w:color w:val="auto"/>
          <w:sz w:val="24"/>
          <w:highlight w:val="none"/>
        </w:rPr>
        <w:t>书面承诺函（格式见第六部分附件）</w:t>
      </w:r>
      <w:r>
        <w:rPr>
          <w:rFonts w:hint="eastAsia" w:ascii="仿宋" w:hAnsi="仿宋" w:eastAsia="仿宋" w:cs="仿宋"/>
          <w:color w:val="auto"/>
          <w:kern w:val="0"/>
          <w:sz w:val="24"/>
          <w:highlight w:val="none"/>
        </w:rPr>
        <w:t>；</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2.2.5供应商</w:t>
      </w:r>
      <w:r>
        <w:rPr>
          <w:rFonts w:hint="eastAsia" w:ascii="仿宋" w:hAnsi="仿宋" w:eastAsia="仿宋" w:cs="仿宋"/>
          <w:color w:val="auto"/>
          <w:sz w:val="24"/>
          <w:highlight w:val="none"/>
        </w:rPr>
        <w:t>特定资格条件（如项目要求）的有关证明材料（复印件）；</w:t>
      </w:r>
    </w:p>
    <w:p>
      <w:pPr>
        <w:pStyle w:val="25"/>
        <w:snapToGrid w:val="0"/>
        <w:spacing w:line="440" w:lineRule="exact"/>
        <w:rPr>
          <w:rFonts w:hint="eastAsia" w:ascii="仿宋" w:hAnsi="仿宋" w:eastAsia="仿宋" w:cs="仿宋"/>
          <w:color w:val="auto"/>
          <w:sz w:val="24"/>
          <w:highlight w:val="none"/>
          <w:lang w:val="zh-CN"/>
        </w:rPr>
      </w:pPr>
      <w:bookmarkStart w:id="1" w:name="_Hlt68403820"/>
      <w:bookmarkEnd w:id="1"/>
      <w:bookmarkStart w:id="2" w:name="_Hlt68073093"/>
      <w:bookmarkEnd w:id="2"/>
      <w:bookmarkStart w:id="3" w:name="_Hlt68072998"/>
      <w:bookmarkEnd w:id="3"/>
      <w:r>
        <w:rPr>
          <w:rFonts w:hint="eastAsia" w:ascii="仿宋" w:hAnsi="仿宋" w:eastAsia="仿宋" w:cs="仿宋"/>
          <w:color w:val="auto"/>
          <w:sz w:val="24"/>
          <w:highlight w:val="none"/>
        </w:rPr>
        <w:t>2.2.6</w:t>
      </w:r>
      <w:r>
        <w:rPr>
          <w:rFonts w:hint="eastAsia" w:ascii="仿宋" w:hAnsi="仿宋" w:eastAsia="仿宋" w:cs="仿宋"/>
          <w:color w:val="auto"/>
          <w:sz w:val="24"/>
          <w:highlight w:val="none"/>
          <w:lang w:val="zh-CN"/>
        </w:rPr>
        <w:t>投标人应提供针对项目的完整技术解决方案：</w:t>
      </w:r>
    </w:p>
    <w:p>
      <w:pPr>
        <w:snapToGrid w:val="0"/>
        <w:spacing w:line="440" w:lineRule="exact"/>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如果本项目涉及硬件设备采购，还需提供相关设备完整配置方案（设备名称、品牌、规格型号、数量、主要技术参数等）</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提供主要投标产品的技术参数证明材料（如原厂技术说明、官网截图、产品彩页等），</w:t>
      </w:r>
      <w:r>
        <w:rPr>
          <w:rFonts w:hint="eastAsia" w:ascii="仿宋" w:hAnsi="仿宋" w:eastAsia="仿宋" w:cs="仿宋"/>
          <w:color w:val="auto"/>
          <w:sz w:val="24"/>
          <w:highlight w:val="none"/>
        </w:rPr>
        <w:t>明确表示该项指标所涉及的软硬件是标准配置还是选择配置</w:t>
      </w:r>
      <w:r>
        <w:rPr>
          <w:rFonts w:hint="eastAsia" w:ascii="仿宋" w:hAnsi="仿宋" w:eastAsia="仿宋" w:cs="仿宋"/>
          <w:b/>
          <w:color w:val="auto"/>
          <w:sz w:val="24"/>
          <w:highlight w:val="none"/>
        </w:rPr>
        <w:t>（所有技术指标表述均应采用中文，如当前公布的技术指标只有英文表述的，必须由投标人作出中文注释，否则</w:t>
      </w:r>
      <w:r>
        <w:rPr>
          <w:rFonts w:hint="eastAsia" w:ascii="仿宋" w:hAnsi="仿宋" w:eastAsia="仿宋" w:cs="仿宋"/>
          <w:b/>
          <w:color w:val="auto"/>
          <w:kern w:val="0"/>
          <w:sz w:val="24"/>
          <w:highlight w:val="none"/>
          <w:lang w:val="zh-CN"/>
        </w:rPr>
        <w:t>任何含糊不清的</w:t>
      </w:r>
      <w:r>
        <w:rPr>
          <w:rFonts w:hint="eastAsia" w:ascii="仿宋" w:hAnsi="仿宋" w:eastAsia="仿宋" w:cs="仿宋"/>
          <w:b/>
          <w:color w:val="auto"/>
          <w:sz w:val="24"/>
          <w:highlight w:val="none"/>
        </w:rPr>
        <w:t>表述导致</w:t>
      </w:r>
      <w:r>
        <w:rPr>
          <w:rFonts w:hint="eastAsia" w:ascii="仿宋" w:hAnsi="仿宋" w:eastAsia="仿宋" w:cs="仿宋"/>
          <w:b/>
          <w:color w:val="auto"/>
          <w:kern w:val="0"/>
          <w:sz w:val="24"/>
          <w:highlight w:val="none"/>
          <w:lang w:val="zh-CN"/>
        </w:rPr>
        <w:t>评标委员会技术扣分直至认定为投标无效都将是投标人的责任）</w:t>
      </w:r>
      <w:r>
        <w:rPr>
          <w:rFonts w:hint="eastAsia" w:ascii="仿宋" w:hAnsi="仿宋" w:eastAsia="仿宋" w:cs="仿宋"/>
          <w:color w:val="auto"/>
          <w:sz w:val="24"/>
          <w:highlight w:val="none"/>
        </w:rPr>
        <w:t>。</w:t>
      </w:r>
    </w:p>
    <w:p>
      <w:pPr>
        <w:tabs>
          <w:tab w:val="left" w:pos="3870"/>
          <w:tab w:val="left" w:pos="4085"/>
        </w:tabs>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2.2.7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2.2.9</w:t>
      </w:r>
      <w:r>
        <w:rPr>
          <w:rFonts w:hint="eastAsia" w:ascii="仿宋" w:hAnsi="仿宋" w:eastAsia="仿宋" w:cs="仿宋"/>
          <w:color w:val="auto"/>
          <w:sz w:val="24"/>
          <w:highlight w:val="none"/>
        </w:rPr>
        <w:t>投标人在投标文件技术偏离说明表中，</w:t>
      </w:r>
      <w:r>
        <w:rPr>
          <w:rFonts w:hint="eastAsia" w:ascii="仿宋" w:hAnsi="仿宋" w:eastAsia="仿宋" w:cs="仿宋"/>
          <w:color w:val="auto"/>
          <w:kern w:val="0"/>
          <w:sz w:val="24"/>
          <w:highlight w:val="none"/>
          <w:lang w:val="zh-CN"/>
        </w:rPr>
        <w:t>应对</w:t>
      </w:r>
      <w:r>
        <w:rPr>
          <w:rFonts w:hint="eastAsia" w:ascii="仿宋" w:hAnsi="仿宋" w:eastAsia="仿宋" w:cs="仿宋"/>
          <w:color w:val="auto"/>
          <w:sz w:val="24"/>
          <w:highlight w:val="none"/>
        </w:rPr>
        <w:t>项目技术规范和服务要求</w:t>
      </w:r>
      <w:r>
        <w:rPr>
          <w:rFonts w:hint="eastAsia" w:ascii="仿宋" w:hAnsi="仿宋" w:eastAsia="仿宋" w:cs="仿宋"/>
          <w:color w:val="auto"/>
          <w:kern w:val="0"/>
          <w:sz w:val="24"/>
          <w:highlight w:val="none"/>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2.2.10针对本项目建设的详细实施计划。本项目详细工作实施组织方案，包括(但不限于)以下内容：组织机构、工作时间进度表、工作程序和步骤、管理和协调方法、关键步骤的思路和要点；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2.2.14</w:t>
      </w:r>
      <w:r>
        <w:rPr>
          <w:rFonts w:hint="eastAsia" w:ascii="仿宋" w:hAnsi="仿宋" w:eastAsia="仿宋" w:cs="仿宋"/>
          <w:color w:val="auto"/>
          <w:kern w:val="0"/>
          <w:sz w:val="24"/>
          <w:highlight w:val="none"/>
          <w:lang w:val="zh-CN"/>
        </w:rPr>
        <w:t xml:space="preserve">培训计划（如有）； </w:t>
      </w:r>
    </w:p>
    <w:p>
      <w:pPr>
        <w:tabs>
          <w:tab w:val="left" w:pos="0"/>
          <w:tab w:val="left" w:pos="840"/>
        </w:tabs>
        <w:autoSpaceDE w:val="0"/>
        <w:autoSpaceDN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2.2.15验收方案；</w:t>
      </w:r>
    </w:p>
    <w:p>
      <w:pPr>
        <w:snapToGrid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kern w:val="0"/>
          <w:sz w:val="24"/>
          <w:highlight w:val="none"/>
        </w:rPr>
        <w:t>2.2.16</w:t>
      </w:r>
      <w:r>
        <w:rPr>
          <w:rFonts w:hint="eastAsia" w:ascii="仿宋" w:hAnsi="仿宋" w:eastAsia="仿宋" w:cs="仿宋"/>
          <w:snapToGrid w:val="0"/>
          <w:color w:val="auto"/>
          <w:sz w:val="24"/>
          <w:highlight w:val="none"/>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 w:hAnsi="仿宋" w:eastAsia="仿宋" w:cs="仿宋"/>
          <w:color w:val="auto"/>
          <w:sz w:val="24"/>
          <w:highlight w:val="none"/>
          <w:lang w:val="zh-CN"/>
        </w:rPr>
        <w:t>；</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zh-CN"/>
        </w:rPr>
        <w:t>2.2.17廉政承诺书</w:t>
      </w:r>
      <w:r>
        <w:rPr>
          <w:rFonts w:hint="eastAsia" w:ascii="仿宋" w:hAnsi="仿宋" w:eastAsia="仿宋" w:cs="仿宋"/>
          <w:color w:val="auto"/>
          <w:sz w:val="24"/>
          <w:highlight w:val="none"/>
        </w:rPr>
        <w:t>（格式见第六部分附件）；</w:t>
      </w:r>
    </w:p>
    <w:p>
      <w:pPr>
        <w:pStyle w:val="21"/>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2.2.18联合协议（如有）；</w:t>
      </w:r>
    </w:p>
    <w:p>
      <w:pPr>
        <w:pStyle w:val="21"/>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2.2.19分包意向协议（如有）；</w:t>
      </w:r>
    </w:p>
    <w:p>
      <w:pPr>
        <w:pStyle w:val="21"/>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2.2.20中小企业声明函（如有）；</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2.2.21</w:t>
      </w:r>
      <w:r>
        <w:rPr>
          <w:rFonts w:hint="eastAsia" w:ascii="仿宋" w:hAnsi="仿宋" w:eastAsia="仿宋" w:cs="仿宋"/>
          <w:color w:val="auto"/>
          <w:sz w:val="24"/>
          <w:highlight w:val="none"/>
          <w:u w:val="wave"/>
        </w:rPr>
        <w:t>未尽事宜请各投标单位按评分标准和相对应标项相关要求制作</w:t>
      </w:r>
      <w:r>
        <w:rPr>
          <w:rFonts w:hint="eastAsia" w:ascii="仿宋" w:hAnsi="仿宋" w:eastAsia="仿宋" w:cs="仿宋"/>
          <w:color w:val="auto"/>
          <w:sz w:val="24"/>
          <w:highlight w:val="none"/>
        </w:rPr>
        <w:t>；</w:t>
      </w:r>
    </w:p>
    <w:p>
      <w:pPr>
        <w:pStyle w:val="21"/>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2.2.22投标人需要说明的其他文件和说明（格式自拟）。</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以上文件组成“商务技术（资信）文件资料”。投标人在“商务技术（资信）文件资料”中应对招标文件作实质性响应，该项内容将作为评标重要指标。</w:t>
      </w:r>
    </w:p>
    <w:p>
      <w:pPr>
        <w:pStyle w:val="21"/>
        <w:tabs>
          <w:tab w:val="left" w:pos="1854"/>
          <w:tab w:val="clear" w:pos="482"/>
        </w:tabs>
        <w:spacing w:afterLines="0" w:line="440" w:lineRule="exact"/>
        <w:ind w:left="0" w:right="-78" w:rightChars="-37" w:firstLine="480" w:firstLineChars="200"/>
        <w:rPr>
          <w:rFonts w:hint="eastAsia" w:ascii="仿宋" w:hAnsi="仿宋" w:eastAsia="仿宋" w:cs="仿宋"/>
          <w:b/>
          <w:color w:val="auto"/>
          <w:highlight w:val="none"/>
        </w:rPr>
      </w:pPr>
      <w:r>
        <w:rPr>
          <w:rFonts w:hint="eastAsia" w:ascii="仿宋" w:hAnsi="仿宋" w:eastAsia="仿宋" w:cs="仿宋"/>
          <w:color w:val="auto"/>
          <w:highlight w:val="none"/>
        </w:rPr>
        <w:t>投标人不按招标文件的要求提供的投标文件，可能会被评标委员会视为未实质性响应，其风险应由投标人自行承担。</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投标报价</w:t>
      </w:r>
    </w:p>
    <w:p>
      <w:pPr>
        <w:pStyle w:val="25"/>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3.1投标人应按招标文件中《开标一览表》等附表要求填写。</w:t>
      </w:r>
    </w:p>
    <w:p>
      <w:pPr>
        <w:pStyle w:val="25"/>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3.2报价为采购人可以合格使用产品的价格，包括货款、包装、运输、保险、货到就位以及安装、调试、培训、保修及产品知识产权等一切费用。</w:t>
      </w:r>
    </w:p>
    <w:p>
      <w:pPr>
        <w:pStyle w:val="25"/>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3.3招标文件未列明，而投标人认为必需的费用也需列入报价。</w:t>
      </w:r>
    </w:p>
    <w:p>
      <w:pPr>
        <w:tabs>
          <w:tab w:val="left" w:pos="52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
          <w:color w:val="auto"/>
          <w:sz w:val="24"/>
          <w:highlight w:val="none"/>
        </w:rPr>
        <w:t>投标报价只允许有一个报价，有选择的报价将不予接受（除指定外）。</w:t>
      </w:r>
    </w:p>
    <w:p>
      <w:pPr>
        <w:pStyle w:val="17"/>
        <w:widowControl w:val="0"/>
        <w:tabs>
          <w:tab w:val="clear" w:pos="454"/>
        </w:tabs>
        <w:spacing w:afterLines="0" w:line="440" w:lineRule="atLeas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4.投标文件的有效期</w:t>
      </w:r>
    </w:p>
    <w:p>
      <w:pPr>
        <w:pStyle w:val="17"/>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4.1</w:t>
      </w:r>
      <w:r>
        <w:rPr>
          <w:rFonts w:hint="eastAsia" w:ascii="仿宋" w:hAnsi="仿宋" w:eastAsia="仿宋" w:cs="仿宋"/>
          <w:color w:val="auto"/>
          <w:highlight w:val="none"/>
        </w:rPr>
        <w:t>投标有效期为从提交投标文件的截止之日起90天。</w:t>
      </w:r>
      <w:r>
        <w:rPr>
          <w:rFonts w:hint="eastAsia" w:ascii="仿宋" w:hAnsi="仿宋" w:eastAsia="仿宋" w:cs="仿宋"/>
          <w:b/>
          <w:color w:val="auto"/>
          <w:highlight w:val="none"/>
        </w:rPr>
        <w:t>投标人的投标文件中承</w:t>
      </w:r>
      <w:r>
        <w:rPr>
          <w:rFonts w:hint="eastAsia" w:ascii="仿宋" w:hAnsi="仿宋" w:eastAsia="仿宋" w:cs="仿宋"/>
          <w:b/>
          <w:color w:val="auto"/>
          <w:szCs w:val="21"/>
          <w:highlight w:val="none"/>
        </w:rPr>
        <w:t>诺的投标有效期少于招标文件中载明的投标有效期的，投标无效。</w:t>
      </w:r>
    </w:p>
    <w:p>
      <w:pPr>
        <w:pStyle w:val="17"/>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4.2在特殊情况下，招标人可与投标人协商延长投标书的有效期，这种要求和答复均以书面形式进行。</w:t>
      </w:r>
    </w:p>
    <w:p>
      <w:pPr>
        <w:pStyle w:val="17"/>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4.3投标人可拒绝接受延期要求。同意延长有效期的投标人不能修改投标文件。</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5.投标文件的份数和规定</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5.1投标文件的正本需打印或用不褪色的墨水填写，不允许行间插字，并注明“正本”字样，投标文件正本除本招标须知中规定的可提供复印件外均须提供原件。副本为正本的复印件。</w:t>
      </w:r>
    </w:p>
    <w:p>
      <w:pPr>
        <w:pStyle w:val="25"/>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5.2投标文件由“商务技术（资信）文件资料”和“报价文件资料”两部分文件组成，应按统一格式填写，装订成册。并在封面处明确注明“商务技术（资信）文件资料”或“报价文件资料”。</w:t>
      </w:r>
    </w:p>
    <w:p>
      <w:pPr>
        <w:pStyle w:val="25"/>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5.3投标文件一式五份，其中正本一份，副本四份。</w:t>
      </w:r>
    </w:p>
    <w:p>
      <w:pPr>
        <w:pStyle w:val="25"/>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5.4投标文件须由投标人在规定位置盖章并由法定代表人或其授权代表签署，投标人应写全称。</w:t>
      </w:r>
    </w:p>
    <w:p>
      <w:pPr>
        <w:pStyle w:val="25"/>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5.5投标文件不得涂改，若有修改错漏处，须加盖单位公章或者法定代表人或其授权代表签字或盖章。</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5.6投标文件因字迹潦草或表达不清所引起的后果由投标人负责。</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5.7投标人应认真阅读招标文件中所有的内容。如果投标人编制的投标文件实质上不响应招标文件的要求，其投标文件将被招标人拒绝。</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5.8投标文件建议采用A4幅面，按顺序统一编目编码装订成册。</w:t>
      </w:r>
      <w:r>
        <w:rPr>
          <w:rFonts w:hint="eastAsia" w:ascii="仿宋" w:hAnsi="仿宋" w:eastAsia="仿宋" w:cs="仿宋"/>
          <w:b/>
          <w:color w:val="auto"/>
          <w:sz w:val="24"/>
          <w:highlight w:val="none"/>
        </w:rPr>
        <w:t>提倡双面打印</w:t>
      </w:r>
      <w:r>
        <w:rPr>
          <w:rFonts w:hint="eastAsia" w:ascii="仿宋" w:hAnsi="仿宋" w:eastAsia="仿宋" w:cs="仿宋"/>
          <w:color w:val="auto"/>
          <w:sz w:val="24"/>
          <w:highlight w:val="none"/>
        </w:rPr>
        <w:t>。</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 投标文件的密封、盖章和签署</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“商务技术（资信）文件资料”和“报价文件资料”</w:t>
      </w:r>
      <w:r>
        <w:rPr>
          <w:rFonts w:hint="eastAsia" w:ascii="仿宋" w:hAnsi="仿宋" w:eastAsia="仿宋" w:cs="仿宋"/>
          <w:b/>
          <w:color w:val="auto"/>
          <w:sz w:val="24"/>
          <w:highlight w:val="none"/>
        </w:rPr>
        <w:t>应分两部份分别密封封装</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没有密封包装的投标文件，将被拒收。</w:t>
      </w:r>
    </w:p>
    <w:p>
      <w:pPr>
        <w:snapToGrid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投标文件的装订采用胶订或线订形式，不采用活页装订方式（胶订或线订以外装订形式视为活页装订）。</w:t>
      </w: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各投标人在编制投标文件时请按照招标文件第六部分规定的格式进行，混乱的编排导致投标文件被误读或评标委员会查找不到有效文件是投标人的风险。并明确注明“商务技术（资信）文件资料或报价文件资料、项目名称、投标人名称”字样，同时封口处加盖骑缝单位公章。</w:t>
      </w:r>
    </w:p>
    <w:p>
      <w:pPr>
        <w:pStyle w:val="155"/>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7、投标文件的提交</w:t>
      </w:r>
    </w:p>
    <w:p>
      <w:pPr>
        <w:snapToGrid w:val="0"/>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投标人应按“招标公告”规定的时间、地点将投标文件提交给采购机构，</w:t>
      </w:r>
      <w:r>
        <w:rPr>
          <w:rFonts w:hint="eastAsia" w:ascii="仿宋" w:hAnsi="仿宋" w:eastAsia="仿宋" w:cs="仿宋"/>
          <w:b/>
          <w:color w:val="auto"/>
          <w:sz w:val="24"/>
          <w:highlight w:val="none"/>
        </w:rPr>
        <w:t>采购机构将拒绝接受逾期送达的投标文件。</w:t>
      </w:r>
    </w:p>
    <w:p>
      <w:pPr>
        <w:widowControl/>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8．</w:t>
      </w:r>
      <w:r>
        <w:rPr>
          <w:rFonts w:hint="eastAsia" w:ascii="仿宋" w:hAnsi="仿宋" w:eastAsia="仿宋" w:cs="仿宋"/>
          <w:b/>
          <w:color w:val="auto"/>
          <w:kern w:val="0"/>
          <w:sz w:val="24"/>
          <w:highlight w:val="none"/>
        </w:rPr>
        <w:t>投标文件的补充和修改</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投标截止时间前，投标人可以书面形式向招标人提出对投标文件进行补充和修改，相应部分以最后的补充和修改为准。该书面材料应密封，</w:t>
      </w:r>
      <w:r>
        <w:rPr>
          <w:rFonts w:hint="eastAsia" w:ascii="仿宋" w:hAnsi="仿宋" w:eastAsia="仿宋" w:cs="仿宋"/>
          <w:color w:val="auto"/>
          <w:sz w:val="24"/>
          <w:highlight w:val="none"/>
        </w:rPr>
        <w:t>并明确注明“</w:t>
      </w:r>
      <w:r>
        <w:rPr>
          <w:rFonts w:hint="eastAsia" w:ascii="仿宋" w:hAnsi="仿宋" w:eastAsia="仿宋" w:cs="仿宋"/>
          <w:color w:val="auto"/>
          <w:kern w:val="0"/>
          <w:sz w:val="24"/>
          <w:highlight w:val="none"/>
        </w:rPr>
        <w:t>修改（或补充）商务技术（资信）文件资料或报价文件资料、项目名称、投标人名称</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字样</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同时</w:t>
      </w:r>
      <w:r>
        <w:rPr>
          <w:rFonts w:hint="eastAsia" w:ascii="仿宋" w:hAnsi="仿宋" w:eastAsia="仿宋" w:cs="仿宋"/>
          <w:color w:val="auto"/>
          <w:sz w:val="24"/>
          <w:highlight w:val="none"/>
        </w:rPr>
        <w:t>封口处</w:t>
      </w:r>
      <w:r>
        <w:rPr>
          <w:rFonts w:hint="eastAsia" w:ascii="仿宋" w:hAnsi="仿宋" w:eastAsia="仿宋" w:cs="仿宋"/>
          <w:color w:val="auto"/>
          <w:kern w:val="0"/>
          <w:sz w:val="24"/>
          <w:highlight w:val="none"/>
        </w:rPr>
        <w:t>由</w:t>
      </w:r>
      <w:r>
        <w:rPr>
          <w:rFonts w:hint="eastAsia" w:ascii="仿宋" w:hAnsi="仿宋" w:eastAsia="仿宋" w:cs="仿宋"/>
          <w:color w:val="auto"/>
          <w:sz w:val="24"/>
          <w:highlight w:val="none"/>
        </w:rPr>
        <w:t>法定代表人或其授权代表签字或盖章</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投标人应于投标截止以前将该书面材料以现场送达（即交即走）</w:t>
      </w:r>
      <w:r>
        <w:rPr>
          <w:rFonts w:hint="eastAsia" w:ascii="仿宋" w:hAnsi="仿宋" w:eastAsia="仿宋" w:cs="仿宋"/>
          <w:color w:val="auto"/>
          <w:sz w:val="24"/>
          <w:highlight w:val="none"/>
          <w:lang w:eastAsia="zh-CN"/>
        </w:rPr>
        <w:t>或邮寄</w:t>
      </w:r>
      <w:r>
        <w:rPr>
          <w:rFonts w:hint="eastAsia" w:ascii="仿宋" w:hAnsi="仿宋" w:eastAsia="仿宋" w:cs="仿宋"/>
          <w:color w:val="auto"/>
          <w:sz w:val="24"/>
          <w:highlight w:val="none"/>
        </w:rPr>
        <w:t>的方式递交。</w:t>
      </w:r>
    </w:p>
    <w:p>
      <w:pPr>
        <w:spacing w:line="440" w:lineRule="exact"/>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四、开标和评标</w:t>
      </w:r>
    </w:p>
    <w:p>
      <w:pPr>
        <w:snapToGrid w:val="0"/>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1．开标大会程序</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1.1主持人宣布开标会开始。</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1.2检查投标文件密封情况。</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1.3启封投标文件商务技术（资信）资料。</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1.4评标委员会对商务技术（资信）文件进行评审。</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1.5主持人宣布商务技术得分及无效（废）投标情形（如有），宣读经商务技术（资信）评审符合招标文件要求的投标人名单及其商务技术得分。</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1.6启封报价文件资料，由唱读人当众宣读投标人名称、投标价格和投标文件的其他内容。未宣读的投标报价和招标文件未允许提供的备选投标方案等实质性内容，评标时不予承认。</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1.7评标委员会对投标文件报价文件资料进行评审，核准投标报价及计算价格分，汇总商务技术分、价格分，根据得分排序确定中标候选人并出具评审报告。</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1.8主持人向投标单位公布评审结果。</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2．评标</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2.1评标委员会由招标采购单位依法组建，负责评标活动。评标委员会遵循公开、公平、公正、科学合理、竞争择优的原则。</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2.2评标委员会由采购人代表和有关方面的专家组成，成员人数为三人以上单数。</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2.3评标委员会负责对投标人资格的最终审定。</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2.4评标委员会可以要求投标人对其投标文件中含义不明确的内容作必要的澄清或者说明，但澄清或者说明不得超过投标文件的范围或者改变投标文件的实质性内容。</w:t>
      </w:r>
    </w:p>
    <w:p>
      <w:pPr>
        <w:widowControl/>
        <w:snapToGrid w:val="0"/>
        <w:spacing w:line="48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2.5</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对投标文件的判定，只依据投标文件和招标文件内容本身，不依据任何外来证明。</w:t>
      </w:r>
    </w:p>
    <w:p>
      <w:pPr>
        <w:widowControl/>
        <w:snapToGrid w:val="0"/>
        <w:spacing w:line="48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2.6评标委员会不向落标方解释落标的原因，不退还投标文件。</w:t>
      </w:r>
    </w:p>
    <w:p>
      <w:pPr>
        <w:snapToGrid w:val="0"/>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3．投标文件的初审鉴定</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3.1资格性审查</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3.1.1依据法律、法规和招标文件规定，评标委员会对投标人进行资格审查，以确定投标人是否具备投标资格。</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3.2符合性审查</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3.3如果投标文件实质不响应招标文件的各项要求，评标委员会将予以拒绝，并且不允许投标人通过修改或撤销其不符合要求的差异或保留，使之成为具有实质性响应的投标。</w:t>
      </w:r>
    </w:p>
    <w:p>
      <w:pPr>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4. </w:t>
      </w:r>
      <w:r>
        <w:rPr>
          <w:rFonts w:hint="eastAsia" w:ascii="仿宋" w:hAnsi="仿宋" w:eastAsia="仿宋" w:cs="仿宋"/>
          <w:b/>
          <w:color w:val="auto"/>
          <w:sz w:val="24"/>
          <w:highlight w:val="none"/>
        </w:rPr>
        <w:t>投标文件报价出现前后不一致的，按照下列规定修正：</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4.1投标文件中开标一览表（报价表）内容与投标文件中相应内容不一致的，以开标一览表（报价表）为准；</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4.2大写金额和小写金额不一致的，以大写金额为准；</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4.3单价金额小数点或者百分比有明显错位的，以开标一览表的总价为准，并修改单价；</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4.4总价金额与按单价汇总金额不一致的，以单价金额计算结果为准。</w:t>
      </w:r>
    </w:p>
    <w:p>
      <w:pPr>
        <w:spacing w:line="440" w:lineRule="exact"/>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w:t>
      </w:r>
      <w:r>
        <w:rPr>
          <w:rFonts w:hint="eastAsia" w:ascii="仿宋" w:hAnsi="仿宋" w:eastAsia="仿宋" w:cs="仿宋"/>
          <w:bCs/>
          <w:color w:val="auto"/>
          <w:sz w:val="24"/>
          <w:highlight w:val="none"/>
        </w:rPr>
        <w:t>修正后的报价按照财政部公布第87号令《政府采购货物和服务招标投标管理办法》</w:t>
      </w:r>
      <w:r>
        <w:rPr>
          <w:rFonts w:hint="eastAsia" w:ascii="仿宋" w:hAnsi="仿宋" w:eastAsia="仿宋" w:cs="仿宋"/>
          <w:color w:val="auto"/>
          <w:sz w:val="24"/>
          <w:highlight w:val="none"/>
        </w:rPr>
        <w:t>第五十一条第二款的规定经投标人确认后产生约束力，投标人不确认的，其投标无效。</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5.投标文件的评审、比较和否决</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5.1评标委员会将对在实质上响应招标文件要求的投标文件进行评估和比较。</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5.2在评审过程中，评标委员会可以书面形式要求投标人就投标文件含义不明确的内容进行书面说明并提供相关材料，但不得超过投标文件的范围或者改变投标文件的实质性内容。</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5.3在评标过程中，如发现与招标文件要求相偏离的，评标委员会可对其偏离情形进行必要的核实。</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5.4在评审过程中，如属于实质性偏离或符合无效响应条件的，应当询问相关投标人，并可对其进行书面确认，但不允许对偏离条款进行补充、修正或撤回。</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5.5比较与评价。评标委员会应当按照评标标准，对符合性审查合格的投标文件进行商务和技术评估，综合比较与评价。</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5.6汇总（商务技术得分情况）。评标委员会各成员应当独立对每个投标人的商务技术（资信）文件资料文件进行评价，并汇总商务技术得分情况。</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 报价审核。对符合采购需求且通过商务技术（资信）评审的投标人的报价的合理性、准确性等进行审查核实。</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5.7.1评标委员会认为投标人的报价明显低于其他通过符合性审查投标人的报价，有可能影响产品质量或者不能诚信履约的，应当要求其在评标现场合理的时间内提供书面说明，必要时提交相关证明材料。</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5.7.2根据财政部发布的《政府采购促进中小企业发展暂行办法》规定，对于非专门面向中小企业的项目，对小型和微型企业产品的价格给予一定的扣除，用扣除后的价格参与评审。</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5.7.3如需投标价格修正，按财政部87号令第五十九条的规定对投标价格进行修正。</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5.8评标委员会依据招标文件规定的评标标准和方法，对投标文件进行评审和比较后，向采购代理机构提供书面评标报告，并按得分高低排序推荐中标候选供应商。</w:t>
      </w:r>
    </w:p>
    <w:p>
      <w:pPr>
        <w:pStyle w:val="17"/>
        <w:tabs>
          <w:tab w:val="clear" w:pos="454"/>
        </w:tabs>
        <w:spacing w:afterLines="0" w:line="440" w:lineRule="exact"/>
        <w:ind w:left="0" w:firstLine="0"/>
        <w:rPr>
          <w:rFonts w:hint="eastAsia" w:ascii="仿宋" w:hAnsi="仿宋" w:eastAsia="仿宋" w:cs="仿宋"/>
          <w:b/>
          <w:color w:val="auto"/>
          <w:highlight w:val="none"/>
        </w:rPr>
      </w:pPr>
      <w:r>
        <w:rPr>
          <w:rFonts w:hint="eastAsia" w:ascii="仿宋" w:hAnsi="仿宋" w:eastAsia="仿宋" w:cs="仿宋"/>
          <w:b/>
          <w:color w:val="auto"/>
          <w:highlight w:val="none"/>
        </w:rPr>
        <w:t>6.投标文件的澄清</w:t>
      </w:r>
    </w:p>
    <w:p>
      <w:pPr>
        <w:pStyle w:val="17"/>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要求投标人作书面澄清；投标人的书面澄清，应由法定代表人或授权代表签字，作为投标文件的补充部分，但澄清的内容不得改变投标文件的实质性内容。</w:t>
      </w:r>
    </w:p>
    <w:p>
      <w:pPr>
        <w:pStyle w:val="25"/>
        <w:snapToGrid w:val="0"/>
        <w:spacing w:line="440" w:lineRule="exact"/>
        <w:jc w:val="left"/>
        <w:rPr>
          <w:rFonts w:hint="eastAsia" w:ascii="仿宋" w:hAnsi="仿宋" w:eastAsia="仿宋" w:cs="仿宋"/>
          <w:b/>
          <w:color w:val="auto"/>
          <w:sz w:val="24"/>
          <w:szCs w:val="24"/>
          <w:highlight w:val="none"/>
        </w:rPr>
      </w:pPr>
      <w:bookmarkStart w:id="4" w:name="_Toc81372953"/>
      <w:bookmarkStart w:id="5" w:name="_Toc84325929"/>
      <w:bookmarkStart w:id="6" w:name="_Toc81372776"/>
      <w:r>
        <w:rPr>
          <w:rFonts w:hint="eastAsia" w:ascii="仿宋" w:hAnsi="仿宋" w:eastAsia="仿宋" w:cs="仿宋"/>
          <w:b/>
          <w:color w:val="auto"/>
          <w:sz w:val="24"/>
          <w:szCs w:val="24"/>
          <w:highlight w:val="none"/>
        </w:rPr>
        <w:t>7．无效投标的情形</w:t>
      </w:r>
    </w:p>
    <w:p>
      <w:pPr>
        <w:tabs>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7.1未按照招标文件规定要求密封封装、签署、盖章的；</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7.2单位负责人为同一人或者存在直接控股、管理关系的不同供应商参加同一合同项下的政府采购活动的（均无效）；</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7.3为采购项目提供整体设计、规范编制或者项目管理、监理、检测等服务的供应商再参加该采购项目的其他采购活动的；</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7.4投标人不具备招标文件中规定的资格要求的（投标人未提供有效的资格证明文件的，视为投标人不具备招标文件中规定的资格要求）；</w:t>
      </w:r>
    </w:p>
    <w:p>
      <w:pPr>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7.5</w:t>
      </w:r>
      <w:r>
        <w:rPr>
          <w:rFonts w:hint="eastAsia" w:ascii="仿宋" w:hAnsi="仿宋" w:eastAsia="仿宋" w:cs="仿宋"/>
          <w:b/>
          <w:color w:val="auto"/>
          <w:kern w:val="0"/>
          <w:sz w:val="24"/>
          <w:highlight w:val="none"/>
        </w:rPr>
        <w:t>《法定代表人身份证明书》与提供的身份证复印件信息不符的；《法定代表人授权委托书》与提供的身份证复印件信息不符的；</w:t>
      </w:r>
    </w:p>
    <w:p>
      <w:pPr>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7.6《法定代表人授权委托书》或《法定代表人身份证明书》填写不全、错误、未加盖公章(《法定代表人授权委托书》要求“公章”和“签字或盖章”缺一不可）的；7.7授权代表非投标单位正式职工的（以社保证明为准，如授权代表为离退休返聘人员的，需提供退休证明及单位聘用证明）；</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7.8投标文件中的投标函未加盖投标人的企业公章或填写不全的；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7.9</w:t>
      </w:r>
      <w:r>
        <w:rPr>
          <w:rFonts w:hint="eastAsia" w:ascii="仿宋" w:hAnsi="仿宋" w:eastAsia="仿宋" w:cs="仿宋"/>
          <w:b/>
          <w:color w:val="auto"/>
          <w:sz w:val="24"/>
          <w:highlight w:val="none"/>
        </w:rPr>
        <w:t>投标人递交两份或两份以上内容不同的投标书，且未声明哪一份有效的；</w:t>
      </w:r>
    </w:p>
    <w:p>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7.10</w:t>
      </w:r>
      <w:r>
        <w:rPr>
          <w:rFonts w:hint="eastAsia" w:ascii="仿宋" w:hAnsi="仿宋" w:eastAsia="仿宋" w:cs="仿宋"/>
          <w:b/>
          <w:color w:val="auto"/>
          <w:sz w:val="24"/>
          <w:highlight w:val="none"/>
        </w:rPr>
        <w:t>报价一经涂改，未在涂改处加盖投标单位公章或者未经法定代表人或其授权代表签字或盖章的；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7.11</w:t>
      </w:r>
      <w:r>
        <w:rPr>
          <w:rFonts w:hint="eastAsia" w:ascii="仿宋" w:hAnsi="仿宋" w:eastAsia="仿宋" w:cs="仿宋"/>
          <w:b/>
          <w:color w:val="auto"/>
          <w:sz w:val="24"/>
          <w:highlight w:val="none"/>
        </w:rPr>
        <w:t>因未按招标文件规定的格式填写，或</w:t>
      </w:r>
      <w:r>
        <w:rPr>
          <w:rFonts w:hint="eastAsia" w:ascii="仿宋" w:hAnsi="仿宋" w:eastAsia="仿宋" w:cs="仿宋"/>
          <w:b/>
          <w:color w:val="auto"/>
          <w:sz w:val="24"/>
          <w:szCs w:val="20"/>
          <w:highlight w:val="none"/>
        </w:rPr>
        <w:t>对招标</w:t>
      </w:r>
      <w:r>
        <w:rPr>
          <w:rFonts w:hint="eastAsia" w:ascii="仿宋" w:hAnsi="仿宋" w:eastAsia="仿宋" w:cs="仿宋"/>
          <w:b/>
          <w:color w:val="auto"/>
          <w:sz w:val="24"/>
          <w:highlight w:val="none"/>
        </w:rPr>
        <w:t>服务或技术或产品等要求</w:t>
      </w:r>
      <w:r>
        <w:rPr>
          <w:rFonts w:hint="eastAsia" w:ascii="仿宋" w:hAnsi="仿宋" w:eastAsia="仿宋" w:cs="仿宋"/>
          <w:b/>
          <w:color w:val="auto"/>
          <w:sz w:val="24"/>
          <w:szCs w:val="20"/>
          <w:highlight w:val="none"/>
        </w:rPr>
        <w:t>未详细应答或应答</w:t>
      </w:r>
      <w:r>
        <w:rPr>
          <w:rFonts w:hint="eastAsia" w:ascii="仿宋" w:hAnsi="仿宋" w:eastAsia="仿宋" w:cs="仿宋"/>
          <w:b/>
          <w:color w:val="auto"/>
          <w:sz w:val="24"/>
          <w:highlight w:val="none"/>
        </w:rPr>
        <w:t>内容不全、有缺失的,经评标委员会认定为无法评审的；</w:t>
      </w:r>
    </w:p>
    <w:p>
      <w:pPr>
        <w:pStyle w:val="25"/>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7.12出现同一标的物或本次招标产品(服务)内的主要产品(重要组成部分)出现</w:t>
      </w:r>
      <w:r>
        <w:rPr>
          <w:rFonts w:hint="eastAsia" w:ascii="仿宋" w:hAnsi="仿宋" w:eastAsia="仿宋" w:cs="仿宋"/>
          <w:b/>
          <w:color w:val="auto"/>
          <w:sz w:val="24"/>
          <w:highlight w:val="none"/>
        </w:rPr>
        <w:t>商务技术（资信）文件资料</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报价文件资料</w:t>
      </w:r>
      <w:r>
        <w:rPr>
          <w:rFonts w:hint="eastAsia" w:ascii="仿宋" w:hAnsi="仿宋" w:eastAsia="仿宋" w:cs="仿宋"/>
          <w:b/>
          <w:color w:val="auto"/>
          <w:sz w:val="24"/>
          <w:szCs w:val="24"/>
          <w:highlight w:val="none"/>
        </w:rPr>
        <w:t>描述不一致或前后描述不一致，经评标委员会认定后为无法评审的；</w:t>
      </w:r>
    </w:p>
    <w:p>
      <w:pPr>
        <w:pStyle w:val="25"/>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7.13《</w:t>
      </w:r>
      <w:r>
        <w:rPr>
          <w:rFonts w:hint="eastAsia" w:ascii="仿宋" w:hAnsi="仿宋" w:eastAsia="仿宋" w:cs="仿宋"/>
          <w:b/>
          <w:color w:val="auto"/>
          <w:sz w:val="24"/>
          <w:highlight w:val="none"/>
        </w:rPr>
        <w:t>技术偏离说明表</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不真实填写或弄虚作假的；</w:t>
      </w:r>
    </w:p>
    <w:p>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7.14</w:t>
      </w:r>
      <w:r>
        <w:rPr>
          <w:rFonts w:hint="eastAsia" w:ascii="仿宋" w:hAnsi="仿宋" w:eastAsia="仿宋" w:cs="仿宋"/>
          <w:b/>
          <w:color w:val="auto"/>
          <w:kern w:val="0"/>
          <w:sz w:val="24"/>
          <w:highlight w:val="none"/>
        </w:rPr>
        <w:t>投标文件含有采购人不能接受的附加条件；</w:t>
      </w:r>
    </w:p>
    <w:p>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7.15</w:t>
      </w:r>
      <w:r>
        <w:rPr>
          <w:rFonts w:hint="eastAsia" w:ascii="仿宋" w:hAnsi="仿宋" w:eastAsia="仿宋" w:cs="仿宋"/>
          <w:b/>
          <w:color w:val="auto"/>
          <w:sz w:val="24"/>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7.16报价超过招标文件中规定的预算金额或最高限价的；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7.17投标文件“商务技术（资信）文件资料”部分中出现《开标一览表》相关内容的；</w:t>
      </w:r>
    </w:p>
    <w:p>
      <w:pPr>
        <w:tabs>
          <w:tab w:val="left" w:pos="3870"/>
          <w:tab w:val="left" w:pos="4085"/>
        </w:tabs>
        <w:snapToGrid w:val="0"/>
        <w:spacing w:line="440" w:lineRule="exact"/>
        <w:jc w:val="left"/>
        <w:rPr>
          <w:rFonts w:hint="eastAsia" w:ascii="仿宋" w:hAnsi="仿宋" w:eastAsia="仿宋" w:cs="仿宋"/>
          <w:b/>
          <w:color w:val="auto"/>
          <w:sz w:val="24"/>
          <w:szCs w:val="21"/>
          <w:highlight w:val="none"/>
        </w:rPr>
      </w:pPr>
      <w:r>
        <w:rPr>
          <w:rFonts w:hint="eastAsia" w:ascii="仿宋" w:hAnsi="仿宋" w:eastAsia="仿宋" w:cs="仿宋"/>
          <w:b/>
          <w:color w:val="auto"/>
          <w:sz w:val="24"/>
          <w:szCs w:val="21"/>
          <w:highlight w:val="none"/>
        </w:rPr>
        <w:t>7.18采购人拟采购的产品属于政府强制采购的节能产品品目清单范围的，投标人未按招标文件要求提供国家确定的认证机构出具的、处于有效期之内的节能产品认证证书的；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7.19《开标一览表》填写不完整或字迹不能辨认或有漏项的，经评标委员会认定属于重大偏差的；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7.20投标人对根据修正原则修正后的报价不确认的；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7.21投标人提供虚假材料投标的（包括但不限于以下情节）；</w:t>
      </w:r>
    </w:p>
    <w:p>
      <w:pPr>
        <w:tabs>
          <w:tab w:val="left" w:pos="3870"/>
          <w:tab w:val="left" w:pos="4085"/>
        </w:tabs>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7.21.1使用伪造、变造的许可证件；</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7.21.2提供虚假的财务状况或者业绩；</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7.21.3提供虚假的项目负责人或者主要技术人员简历、劳动关系证明；</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7.21.4提供虚假的信用状况；</w:t>
      </w:r>
    </w:p>
    <w:p>
      <w:pPr>
        <w:tabs>
          <w:tab w:val="left" w:pos="3870"/>
          <w:tab w:val="left" w:pos="4085"/>
        </w:tabs>
        <w:snapToGrid w:val="0"/>
        <w:spacing w:line="440" w:lineRule="exact"/>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7.21.5其他弄虚作假的行为。</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7.22有下列情形之一的，视为投标人串通投标，其投标无效：</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7.22.1不同投标人的投标文件由同一单位或者个人编制；</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7.22.2不同投标人委托同一单位或者个人办理投标事宜；</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7.22.3不同投标人的投标文件载明的项目管理成员或者联系人员为同一人；</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7.22.4不同投标人的投标文件异常一致或者投标报价呈规律性差异；</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7.22.5不同投标人的投标文件相互混装；</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7.23有下列情形之一的，属于恶意串通，其投标无效：</w:t>
      </w:r>
    </w:p>
    <w:p>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7.23.1供应商直接或者间接从采购人或者采购机构处获得其他供应商的相关情况并修改其投标文件或者响应文件；</w:t>
      </w:r>
    </w:p>
    <w:p>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7.23.2供应商按照采购人或者采购机构的授意撤换、修改投标文件或者响应文件；</w:t>
      </w:r>
    </w:p>
    <w:p>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7.23.3供应商之间协商报价、技术方案等投标文件或者响应文件的实质性内容；</w:t>
      </w:r>
    </w:p>
    <w:p>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7.23.4属于同一集团、协会、商会等组织成员的供应商按照该组织要求协同参加政府采购活动；</w:t>
      </w:r>
    </w:p>
    <w:p>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7.23.5供应商之间事先约定由某一特定供应商中标、成交；</w:t>
      </w:r>
    </w:p>
    <w:p>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hint="eastAsia" w:ascii="仿宋" w:hAnsi="仿宋" w:eastAsia="仿宋" w:cs="仿宋"/>
          <w:b/>
          <w:color w:val="auto"/>
          <w:sz w:val="24"/>
          <w:highlight w:val="none"/>
        </w:rPr>
      </w:pPr>
      <w:r>
        <w:rPr>
          <w:rFonts w:hint="eastAsia" w:ascii="仿宋" w:hAnsi="仿宋" w:eastAsia="仿宋" w:cs="仿宋"/>
          <w:color w:val="auto"/>
          <w:sz w:val="24"/>
          <w:szCs w:val="21"/>
          <w:highlight w:val="none"/>
        </w:rPr>
        <w:t>7.23.7供应商与采购人或者采购机构之间、供应商相互之间，为谋求特定供应商中标、成交或者排斥其他供应商的其他串通行为。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szCs w:val="21"/>
          <w:highlight w:val="none"/>
        </w:rPr>
        <w:t>7.24</w:t>
      </w:r>
      <w:r>
        <w:rPr>
          <w:rFonts w:hint="eastAsia" w:ascii="仿宋" w:hAnsi="仿宋" w:eastAsia="仿宋" w:cs="仿宋"/>
          <w:b/>
          <w:color w:val="auto"/>
          <w:sz w:val="24"/>
          <w:highlight w:val="none"/>
        </w:rPr>
        <w:t>评标委员会认定有重大偏差或实质性不响应招标文件要求的；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7.25报价文件中出现2个(含)以上的报价或方案的；</w:t>
      </w:r>
    </w:p>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7.26其他违反法律、法规的情形。</w:t>
      </w:r>
    </w:p>
    <w:p>
      <w:pPr>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8. 评标过程保密</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pPr>
        <w:pStyle w:val="25"/>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五、授予合同</w:t>
      </w:r>
    </w:p>
    <w:bookmarkEnd w:id="4"/>
    <w:bookmarkEnd w:id="5"/>
    <w:bookmarkEnd w:id="6"/>
    <w:p>
      <w:pPr>
        <w:pStyle w:val="17"/>
        <w:tabs>
          <w:tab w:val="clear" w:pos="454"/>
        </w:tabs>
        <w:spacing w:afterLines="0" w:line="440" w:lineRule="exac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pPr>
        <w:pStyle w:val="17"/>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1.1投标文件基本符合招标文件要求；</w:t>
      </w:r>
    </w:p>
    <w:p>
      <w:pPr>
        <w:pStyle w:val="17"/>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1.2投标人有很好的执行合同的能力；</w:t>
      </w:r>
    </w:p>
    <w:p>
      <w:pPr>
        <w:pStyle w:val="17"/>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1.3实施方案最合理并对招标人最为有利，最大限度满足招标文件的要求；</w:t>
      </w:r>
    </w:p>
    <w:p>
      <w:pPr>
        <w:pStyle w:val="17"/>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1.4投标人能够提供质量技术、商务经济占综合优势的系统及服务。</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pPr>
        <w:pStyle w:val="155"/>
        <w:tabs>
          <w:tab w:val="left" w:pos="0"/>
        </w:tabs>
        <w:spacing w:before="0" w:line="440" w:lineRule="exact"/>
        <w:ind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3.1</w:t>
      </w:r>
      <w:r>
        <w:rPr>
          <w:rFonts w:hint="eastAsia" w:ascii="仿宋" w:hAnsi="仿宋" w:eastAsia="仿宋" w:cs="仿宋"/>
          <w:color w:val="auto"/>
          <w:kern w:val="0"/>
          <w:highlight w:val="none"/>
        </w:rPr>
        <w:t>采购代理机构</w:t>
      </w:r>
      <w:r>
        <w:rPr>
          <w:rFonts w:hint="eastAsia" w:ascii="仿宋" w:hAnsi="仿宋" w:eastAsia="仿宋" w:cs="仿宋"/>
          <w:color w:val="auto"/>
          <w:highlight w:val="none"/>
        </w:rPr>
        <w:t>对中标结果在指定媒体</w:t>
      </w:r>
      <w:r>
        <w:rPr>
          <w:rFonts w:hint="eastAsia" w:ascii="仿宋" w:hAnsi="仿宋" w:eastAsia="仿宋" w:cs="仿宋"/>
          <w:color w:val="auto"/>
          <w:kern w:val="0"/>
          <w:highlight w:val="none"/>
        </w:rPr>
        <w:t>发布中标公告，中标公告期限为1个工作日。</w:t>
      </w:r>
    </w:p>
    <w:p>
      <w:pPr>
        <w:tabs>
          <w:tab w:val="left" w:pos="0"/>
        </w:tabs>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3.2采购机构发送纸质中标通知书。在采购代理机构发出中标通知书前，中标供应商如有违反有关法律法规和本项目要求行为的，则取消该投标人的中标资格</w:t>
      </w:r>
      <w:r>
        <w:rPr>
          <w:rFonts w:hint="eastAsia" w:ascii="仿宋" w:hAnsi="仿宋" w:eastAsia="仿宋" w:cs="仿宋"/>
          <w:color w:val="auto"/>
          <w:kern w:val="0"/>
          <w:sz w:val="24"/>
          <w:highlight w:val="none"/>
          <w:lang w:val="zh-CN"/>
        </w:rPr>
        <w:t>。</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4.1采购人在签订合同时，按合同法规定可向中标人收取不高于中标额的</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％的履约保证金，采购人不得以供应商事先提交履约保证金作为签订合同的条件。鼓励采购人根据项目特点、供应商诚信等情况免收履约保证金或降低缴纳比例。</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4.2供应商在履行完合同约定事项后，采购人应及时退还履约保证金。</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5．合同备案</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color w:val="auto"/>
          <w:sz w:val="24"/>
          <w:highlight w:val="none"/>
        </w:rPr>
        <w:t>3个工作日内</w:t>
      </w:r>
      <w:r>
        <w:rPr>
          <w:rFonts w:hint="eastAsia" w:ascii="仿宋" w:hAnsi="仿宋" w:eastAsia="仿宋" w:cs="仿宋"/>
          <w:color w:val="auto"/>
          <w:sz w:val="24"/>
          <w:highlight w:val="none"/>
        </w:rPr>
        <w:t>，将</w:t>
      </w:r>
      <w:r>
        <w:rPr>
          <w:rFonts w:hint="eastAsia" w:ascii="仿宋" w:hAnsi="仿宋" w:eastAsia="仿宋" w:cs="仿宋"/>
          <w:b/>
          <w:color w:val="auto"/>
          <w:sz w:val="24"/>
          <w:highlight w:val="none"/>
        </w:rPr>
        <w:t>采购合同原件</w:t>
      </w:r>
      <w:r>
        <w:rPr>
          <w:rFonts w:hint="eastAsia" w:ascii="仿宋" w:hAnsi="仿宋" w:eastAsia="仿宋" w:cs="仿宋"/>
          <w:color w:val="auto"/>
          <w:sz w:val="24"/>
          <w:highlight w:val="none"/>
        </w:rPr>
        <w:t>报采购代理机构备案。</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5.2未领取中标通知书，采购双方自行签订的合同不予备案。</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6.验收</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 售后服务考核</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六、质疑与投诉</w:t>
      </w:r>
    </w:p>
    <w:p>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1.供应商询问</w:t>
      </w:r>
    </w:p>
    <w:p>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2.供应商质疑</w:t>
      </w:r>
    </w:p>
    <w:p>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（2）对采购过程提出质疑的，质疑期限为各采购程序环节结束之日起计算。</w:t>
      </w:r>
    </w:p>
    <w:p>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（3）对采购结果提出质疑的，质疑期限自采购结果公告（包括公示、预公告、结果变更公告等）期限届满之日起计算。</w:t>
      </w:r>
    </w:p>
    <w:p>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（4）供应商应在法定质疑期内一次性提出针对同一采购程序环节的质疑。</w:t>
      </w:r>
      <w:bookmarkStart w:id="174" w:name="_GoBack"/>
      <w:bookmarkEnd w:id="174"/>
    </w:p>
    <w:p>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3.供应商提交提出质疑应当提交质疑书和必要的证明材料，质疑书需一式三份，质疑书至少应包括下列主要内容：</w:t>
      </w:r>
    </w:p>
    <w:p>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（1）质疑人的名称、地址、邮政编码、联系人、联系电话，以及被质疑人名称及联系方式；</w:t>
      </w:r>
    </w:p>
    <w:p>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（2）被质疑采购项目名称、编号及采购内容；</w:t>
      </w:r>
    </w:p>
    <w:p>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（3）具体、明确的质疑事项和与质疑事项相关的请求</w:t>
      </w:r>
    </w:p>
    <w:p>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（4）事实依据；</w:t>
      </w:r>
    </w:p>
    <w:p>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（5）必要的法律依据；</w:t>
      </w:r>
    </w:p>
    <w:p>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（6）认为自己合法权益受到损害或可能受到损害的相关证据材料；</w:t>
      </w:r>
    </w:p>
    <w:p>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（7）提出质疑的日期。</w:t>
      </w:r>
    </w:p>
    <w:p>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（8） 质疑书应当署名。质疑人为自然人的，应当由本人签字并附有效身份证明；质疑人为法人或其他组织的，应当由法定代表人或主要负责人签字（或盖章）并加盖单位公章。</w:t>
      </w:r>
    </w:p>
    <w:p>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（9） 质疑人因故不能自行办理质疑事项的，可以委托代理人办理质疑事宜，但应当向被质疑人提交授权委托书，并载明委托代理的具体权限和事项。</w:t>
      </w:r>
    </w:p>
    <w:p>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（10）质疑人提供的相关材料中有外文资料的，应当将与质疑相关的外文资料完整、客观、真实地翻译为中文，并注明翻译人员姓名、工作单位、联系方式等信息。</w:t>
      </w:r>
    </w:p>
    <w:p>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原则上由采购人回复的质疑：</w:t>
      </w:r>
    </w:p>
    <w:p>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（1）对采购文件中特定资格条件、采购需求、评分办法提出的质疑；</w:t>
      </w:r>
    </w:p>
    <w:p>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（2）对采购过程中有关现场考察或开标前答疑会事项提出的质疑。</w:t>
      </w:r>
    </w:p>
    <w:p>
      <w:pPr>
        <w:pStyle w:val="25"/>
        <w:spacing w:line="360"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原则上由采购代理机构回复的质疑：</w:t>
      </w:r>
    </w:p>
    <w:p>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（1）除特定资格条件、采购需求、评分办法外，对采购文件中其他内容提出的质疑；</w:t>
      </w:r>
    </w:p>
    <w:p>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（2）除有关现场考察或开标前答疑会事项外，对采购过程中其它事项提出的质疑；</w:t>
      </w:r>
    </w:p>
    <w:p>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（3）对采购结果提出的质疑。</w:t>
      </w:r>
    </w:p>
    <w:p>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5.采购机构应当在收到供应商的书面质疑后七个工作日内作出答复，并以书面形式通知质疑供应商和其他与质疑处理结果有利害关系的政府采购当事人，但答复的内容不得涉及商业秘密。</w:t>
      </w:r>
    </w:p>
    <w:p>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6.询问或者质疑事项可能影响采购结果的，采购人应当暂停签订合同，已经签订合同的，应当中止履行合同。</w:t>
      </w:r>
    </w:p>
    <w:p>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7.质疑函范本、投诉书范本请到浙江政府采购网下载专区下载。</w:t>
      </w:r>
    </w:p>
    <w:p>
      <w:pPr>
        <w:pageBreakBefore/>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b/>
          <w:color w:val="auto"/>
          <w:sz w:val="24"/>
          <w:szCs w:val="24"/>
          <w:highlight w:val="none"/>
        </w:rPr>
      </w:pPr>
      <w:bookmarkStart w:id="7" w:name="_Toc80157775"/>
      <w:bookmarkStart w:id="8" w:name="_Toc81372964"/>
      <w:bookmarkStart w:id="9" w:name="_Toc81372787"/>
      <w:bookmarkStart w:id="10" w:name="_Toc84325981"/>
      <w:r>
        <w:rPr>
          <w:rFonts w:hint="eastAsia" w:ascii="仿宋" w:hAnsi="仿宋" w:eastAsia="仿宋" w:cs="仿宋"/>
          <w:b/>
          <w:bCs/>
          <w:color w:val="auto"/>
          <w:sz w:val="24"/>
          <w:szCs w:val="24"/>
          <w:highlight w:val="none"/>
        </w:rPr>
        <w:t xml:space="preserve"> 绍兴市中医院医保精细化管理大数据综合服务项目</w:t>
      </w:r>
      <w:r>
        <w:rPr>
          <w:rFonts w:hint="eastAsia" w:ascii="仿宋" w:hAnsi="仿宋" w:eastAsia="仿宋" w:cs="仿宋"/>
          <w:b/>
          <w:color w:val="auto"/>
          <w:sz w:val="24"/>
          <w:szCs w:val="24"/>
          <w:highlight w:val="none"/>
        </w:rPr>
        <w:t>，上限价：20万元</w:t>
      </w:r>
      <w:bookmarkStart w:id="11" w:name="_Toc519934413"/>
      <w:bookmarkStart w:id="12" w:name="_Toc20727508"/>
      <w:bookmarkStart w:id="13" w:name="_Toc50348104"/>
      <w:bookmarkStart w:id="14" w:name="_Toc523038542"/>
      <w:r>
        <w:rPr>
          <w:rFonts w:hint="eastAsia" w:ascii="仿宋" w:hAnsi="仿宋" w:eastAsia="仿宋" w:cs="仿宋"/>
          <w:b/>
          <w:color w:val="auto"/>
          <w:sz w:val="24"/>
          <w:szCs w:val="24"/>
          <w:highlight w:val="none"/>
        </w:rPr>
        <w:t>。</w:t>
      </w:r>
      <w:bookmarkEnd w:id="11"/>
      <w:bookmarkEnd w:id="12"/>
      <w:bookmarkEnd w:id="13"/>
      <w:bookmarkEnd w:id="14"/>
      <w:bookmarkStart w:id="15" w:name="_Toc137008688"/>
      <w:bookmarkEnd w:id="15"/>
      <w:r>
        <w:rPr>
          <w:rFonts w:hint="eastAsia" w:ascii="仿宋" w:hAnsi="仿宋" w:eastAsia="仿宋" w:cs="仿宋"/>
          <w:b/>
          <w:bCs/>
          <w:color w:val="auto"/>
          <w:sz w:val="24"/>
          <w:szCs w:val="24"/>
          <w:highlight w:val="none"/>
        </w:rPr>
        <w:t>合同期限：</w:t>
      </w:r>
      <w:r>
        <w:rPr>
          <w:rFonts w:hint="eastAsia" w:ascii="仿宋" w:hAnsi="仿宋" w:eastAsia="仿宋" w:cs="仿宋"/>
          <w:b/>
          <w:color w:val="auto"/>
          <w:sz w:val="24"/>
          <w:szCs w:val="24"/>
          <w:highlight w:val="none"/>
        </w:rPr>
        <w:t>自合同签订之日起一年。</w:t>
      </w:r>
    </w:p>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rPr>
        <w:t>一、</w:t>
      </w:r>
      <w:r>
        <w:rPr>
          <w:rFonts w:hint="eastAsia" w:ascii="仿宋" w:hAnsi="仿宋" w:eastAsia="仿宋" w:cs="仿宋"/>
          <w:b/>
          <w:bCs/>
          <w:color w:val="auto"/>
          <w:sz w:val="24"/>
          <w:szCs w:val="24"/>
          <w:highlight w:val="none"/>
        </w:rPr>
        <w:t>采购内容一览表</w:t>
      </w:r>
    </w:p>
    <w:tbl>
      <w:tblPr>
        <w:tblStyle w:val="43"/>
        <w:tblW w:w="0" w:type="auto"/>
        <w:tblInd w:w="10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5"/>
        <w:gridCol w:w="2640"/>
        <w:gridCol w:w="2355"/>
        <w:gridCol w:w="1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noWrap w:val="0"/>
            <w:vAlign w:val="top"/>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2640" w:type="dxa"/>
            <w:noWrap w:val="0"/>
            <w:vAlign w:val="top"/>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名称</w:t>
            </w:r>
          </w:p>
        </w:tc>
        <w:tc>
          <w:tcPr>
            <w:tcW w:w="2355" w:type="dxa"/>
            <w:noWrap w:val="0"/>
            <w:vAlign w:val="top"/>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功能要求</w:t>
            </w:r>
          </w:p>
        </w:tc>
        <w:tc>
          <w:tcPr>
            <w:tcW w:w="1470" w:type="dxa"/>
            <w:noWrap w:val="0"/>
            <w:vAlign w:val="top"/>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2640" w:type="dxa"/>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医保精细化管理大数据综合服务项目</w:t>
            </w:r>
          </w:p>
        </w:tc>
        <w:tc>
          <w:tcPr>
            <w:tcW w:w="2355" w:type="dxa"/>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详见技术参数要求表</w:t>
            </w:r>
          </w:p>
        </w:tc>
        <w:tc>
          <w:tcPr>
            <w:tcW w:w="1470" w:type="dxa"/>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1套</w:t>
            </w:r>
          </w:p>
        </w:tc>
      </w:tr>
    </w:tbl>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rPr>
        <w:t>二、</w:t>
      </w:r>
      <w:r>
        <w:rPr>
          <w:rFonts w:hint="eastAsia" w:ascii="仿宋" w:hAnsi="仿宋" w:eastAsia="仿宋" w:cs="仿宋"/>
          <w:b/>
          <w:bCs/>
          <w:color w:val="auto"/>
          <w:sz w:val="24"/>
          <w:szCs w:val="24"/>
          <w:highlight w:val="none"/>
        </w:rPr>
        <w:t>项目概况</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医疗保障基金是人民群众的“看病钱”“救命钱”，事关广大群众的切身利益。党中央、国务院高度重视医保基金安全问题，习近平总书记多次作出重要指示批示，明确要求要加强医保基金监管，要健全严密有力的基金监管机制，常抓不懈。国家医保局成立以来，一直把打击欺诈骗保作为首要任务来抓，初步构建起打击医保欺诈骗保的高压态势。</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为进一步加强医院对医保基金的使用管理，规范医生医疗服务行为，减少医保基金的不合理支出，提高基金的使用效率，确保医保基金运行安全和完整。通过建立医保基金精细化监管软件系统，构建起医保政策为核心的全方位医疗服务监控系统，利用信息化手段加强对医保费用的日常监管，确保基金的合理使用。</w:t>
      </w:r>
    </w:p>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rPr>
        <w:t>三、</w:t>
      </w:r>
      <w:r>
        <w:rPr>
          <w:rFonts w:hint="eastAsia" w:ascii="仿宋" w:hAnsi="仿宋" w:eastAsia="仿宋" w:cs="仿宋"/>
          <w:b/>
          <w:bCs/>
          <w:color w:val="auto"/>
          <w:sz w:val="24"/>
          <w:szCs w:val="24"/>
          <w:highlight w:val="none"/>
        </w:rPr>
        <w:t>医保基金精细化监管软件功能模块及其它要求</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利用医保基金精细化监管软件平台的建设来实时或亚实时获取门诊和住院相关的HIS数据，通过标准数据治理服务，依托平台提供的行业医保基金精细化规则知识引擎，实现门诊以及住院的医保基金全流程数智化管控。具体采购要求如下：</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仿宋" w:hAnsi="仿宋" w:eastAsia="仿宋" w:cs="仿宋"/>
          <w:b w:val="0"/>
          <w:bCs w:val="0"/>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b w:val="0"/>
          <w:bCs w:val="0"/>
          <w:color w:val="auto"/>
          <w:sz w:val="24"/>
          <w:szCs w:val="24"/>
          <w:highlight w:val="none"/>
        </w:rPr>
        <w:t>1.数据采集。依托原始数据、规划数据（按照医保基金稽核的要求结合国家医保局的规范进行编制）对HIS系统数据进行采集、加工。数据加工需满足在线编写加工脚本，也支持数据加工模版引入。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仿宋" w:hAnsi="仿宋" w:eastAsia="仿宋" w:cs="仿宋"/>
          <w:b w:val="0"/>
          <w:bCs w:val="0"/>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b w:val="0"/>
          <w:bCs w:val="0"/>
          <w:color w:val="auto"/>
          <w:sz w:val="24"/>
          <w:szCs w:val="24"/>
          <w:highlight w:val="none"/>
        </w:rPr>
        <w:t>2.事前预警。为住院和门诊医师在开具医嘱时提供实时提醒，警示临床科室避免医保基金违规使用医保基金。系统需提供标准API接口接入HIS系统。</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仿宋" w:hAnsi="仿宋" w:eastAsia="仿宋" w:cs="仿宋"/>
          <w:b w:val="0"/>
          <w:bCs w:val="0"/>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b w:val="0"/>
          <w:bCs w:val="0"/>
          <w:color w:val="auto"/>
          <w:sz w:val="24"/>
          <w:szCs w:val="24"/>
          <w:highlight w:val="none"/>
        </w:rPr>
        <w:t>3.事中控制。为临床医师提供T+1模式的医保规则自检，医护人员可以对前一天的违规情况进行浏览并及时进行处理。本模块提供“重复收费”、“超标准收费”、“超医保支付范围”、“串换”和“不规范收费”五大违规类型（标准按照浙江省医保局规定）的警示。</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仿宋" w:hAnsi="仿宋" w:eastAsia="仿宋" w:cs="仿宋"/>
          <w:b w:val="0"/>
          <w:bCs w:val="0"/>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b w:val="0"/>
          <w:bCs w:val="0"/>
          <w:color w:val="auto"/>
          <w:sz w:val="24"/>
          <w:szCs w:val="24"/>
          <w:highlight w:val="none"/>
        </w:rPr>
        <w:t>4.预结算审核。本模块为医护人员提供病人预结算审核的功能，及在出院前一天可对住院病人整个住院过程全部诊疗服务项目进行费用审核，及时发现是否存在违规情况，避免医保基金违规产生。</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仿宋" w:hAnsi="仿宋" w:eastAsia="仿宋" w:cs="仿宋"/>
          <w:b w:val="0"/>
          <w:bCs w:val="0"/>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b w:val="0"/>
          <w:bCs w:val="0"/>
          <w:color w:val="auto"/>
          <w:sz w:val="24"/>
          <w:szCs w:val="24"/>
          <w:highlight w:val="none"/>
        </w:rPr>
        <w:t>5.知识库管理。知识引擎包括知识库管理和规则库管理，并建立知识和审核规则的共享、反馈、优化机制。知识库管理实现知识的查询和维护。</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（1）基金监管知识库.基金监管知识库包括审核规则配置，实现本地监管规则和规则明细的配置</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（2）知识引擎调度。利用知识引擎对抓取的医保业务数据进行任务调度分配和分析的过程。</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仿宋" w:hAnsi="仿宋" w:eastAsia="仿宋" w:cs="仿宋"/>
          <w:b w:val="0"/>
          <w:bCs w:val="0"/>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b w:val="0"/>
          <w:bCs w:val="0"/>
          <w:color w:val="auto"/>
          <w:sz w:val="24"/>
          <w:szCs w:val="24"/>
          <w:highlight w:val="none"/>
        </w:rPr>
        <w:t>6.统计分析。对引擎调度任务分析得到的疑点和违规结果做展示。展示的维度包括按总体情况、违规情况、违规科室分布以及医生分布。从多个角度展示出医保业务数据的疑点和违规情况。</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仿宋" w:hAnsi="仿宋" w:eastAsia="仿宋" w:cs="仿宋"/>
          <w:b w:val="0"/>
          <w:bCs w:val="0"/>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b w:val="0"/>
          <w:bCs w:val="0"/>
          <w:color w:val="auto"/>
          <w:sz w:val="24"/>
          <w:szCs w:val="24"/>
          <w:highlight w:val="none"/>
        </w:rPr>
        <w:t>7.决策支持。建设医保精细化管理驾驶舱，根据不同的权限、院领导、医保办可以看到各自相关的信息，对各院区各科室的相关诊疗服务以及违规情况以直观画像形式进行展现。</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仿宋" w:hAnsi="仿宋" w:eastAsia="仿宋" w:cs="仿宋"/>
          <w:b w:val="0"/>
          <w:bCs w:val="0"/>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b w:val="0"/>
          <w:bCs w:val="0"/>
          <w:color w:val="auto"/>
          <w:sz w:val="24"/>
          <w:szCs w:val="24"/>
          <w:highlight w:val="none"/>
        </w:rPr>
        <w:t>8.系统管理。提供系统软件的用户管理、角色管理、部门管理、权限管理以及操作日志查询的功能。</w:t>
      </w:r>
    </w:p>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rPr>
        <w:t>四、</w:t>
      </w:r>
      <w:r>
        <w:rPr>
          <w:rFonts w:hint="eastAsia" w:ascii="仿宋" w:hAnsi="仿宋" w:eastAsia="仿宋" w:cs="仿宋"/>
          <w:b/>
          <w:bCs/>
          <w:color w:val="auto"/>
          <w:sz w:val="24"/>
          <w:szCs w:val="24"/>
          <w:highlight w:val="none"/>
        </w:rPr>
        <w:t>项目其他要求</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1、人员要求</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本项目要求供应商组建专业服务团队，</w:t>
      </w:r>
      <w:r>
        <w:rPr>
          <w:rFonts w:hint="eastAsia" w:ascii="仿宋" w:hAnsi="仿宋" w:eastAsia="仿宋" w:cs="仿宋"/>
          <w:color w:val="auto"/>
          <w:sz w:val="24"/>
          <w:szCs w:val="24"/>
          <w:highlight w:val="none"/>
          <w:lang w:eastAsia="zh-CN"/>
        </w:rPr>
        <w:t>一名项目负责人，</w:t>
      </w:r>
      <w:r>
        <w:rPr>
          <w:rFonts w:hint="eastAsia" w:ascii="仿宋" w:hAnsi="仿宋" w:eastAsia="仿宋" w:cs="仿宋"/>
          <w:color w:val="auto"/>
          <w:sz w:val="24"/>
          <w:szCs w:val="24"/>
          <w:highlight w:val="none"/>
        </w:rPr>
        <w:t>并配备具有计算机技术、大数据分析和软件开发等相关专业技术人员</w:t>
      </w:r>
      <w:r>
        <w:rPr>
          <w:rFonts w:hint="eastAsia" w:ascii="仿宋" w:hAnsi="仿宋" w:eastAsia="仿宋" w:cs="仿宋"/>
          <w:color w:val="auto"/>
          <w:sz w:val="24"/>
          <w:szCs w:val="24"/>
          <w:highlight w:val="none"/>
          <w:lang w:val="en-US" w:eastAsia="zh-CN"/>
        </w:rPr>
        <w:t>至少一人，</w:t>
      </w:r>
      <w:r>
        <w:rPr>
          <w:rFonts w:hint="eastAsia" w:ascii="仿宋" w:hAnsi="仿宋" w:eastAsia="仿宋" w:cs="仿宋"/>
          <w:color w:val="auto"/>
          <w:sz w:val="24"/>
          <w:szCs w:val="24"/>
          <w:highlight w:val="none"/>
        </w:rPr>
        <w:t>具有医学、药学、护理学等相关专业技术人员</w:t>
      </w:r>
      <w:r>
        <w:rPr>
          <w:rFonts w:hint="eastAsia" w:ascii="仿宋" w:hAnsi="仿宋" w:eastAsia="仿宋" w:cs="仿宋"/>
          <w:color w:val="auto"/>
          <w:sz w:val="24"/>
          <w:szCs w:val="24"/>
          <w:highlight w:val="none"/>
          <w:lang w:val="en-US" w:eastAsia="zh-CN"/>
        </w:rPr>
        <w:t>至少一人，</w:t>
      </w:r>
      <w:r>
        <w:rPr>
          <w:rFonts w:hint="eastAsia" w:ascii="仿宋" w:hAnsi="仿宋" w:eastAsia="仿宋" w:cs="仿宋"/>
          <w:color w:val="auto"/>
          <w:sz w:val="24"/>
          <w:szCs w:val="24"/>
          <w:highlight w:val="none"/>
        </w:rPr>
        <w:t>，具有会计和审计等相关专业技术人员</w:t>
      </w:r>
      <w:r>
        <w:rPr>
          <w:rFonts w:hint="eastAsia" w:ascii="仿宋" w:hAnsi="仿宋" w:eastAsia="仿宋" w:cs="仿宋"/>
          <w:color w:val="auto"/>
          <w:sz w:val="24"/>
          <w:szCs w:val="24"/>
          <w:highlight w:val="none"/>
          <w:lang w:val="en-US" w:eastAsia="zh-CN"/>
        </w:rPr>
        <w:t>至少一人，</w:t>
      </w:r>
      <w:r>
        <w:rPr>
          <w:rFonts w:hint="eastAsia" w:ascii="仿宋" w:hAnsi="仿宋" w:eastAsia="仿宋" w:cs="仿宋"/>
          <w:color w:val="auto"/>
          <w:sz w:val="24"/>
          <w:szCs w:val="24"/>
          <w:highlight w:val="none"/>
        </w:rPr>
        <w:t>，要求服务团队具有同类项目服务经验。</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2、保密要求</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必须承诺对本项目所涉及的所有电子数据、文件材料以及由采购方提供的所有内部资料、文档、医院商业秘密以及有关工作秘密和信息予以保密；未经采购方书面许可，不得以任何形式向第三方透露本项目的任何内容。</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3、自主知识产权要求</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为保证本项目的服务质量以及提升相关数据资料的安全性和保密性，在本项目服务过程中，要求供应商所使用的软件平台必须具有自主知识产权，并提供相关软件著作权证书。</w:t>
      </w:r>
    </w:p>
    <w:p>
      <w:pPr>
        <w:keepNext w:val="0"/>
        <w:keepLines w:val="0"/>
        <w:pageBreakBefore w:val="0"/>
        <w:widowControl/>
        <w:numPr>
          <w:ilvl w:val="0"/>
          <w:numId w:val="8"/>
        </w:numPr>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其他要求</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4.1、支持达到互联互通四级甲等及电子病历五级信息建设要求，须每年提供相关操作文档包括开发文档及数据采集相关材料。</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4.2、维保期内未涉及产品框架改造，中标方应按医院业务需求修改，不收取任何费用。</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4.3、该系统免费开放接口供其它系统使用及认证。</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4.5、系统应符合应用系统等保要求。</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4.6、此项目实施过程中所产生的一切实施费用均由中标方承担。</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4.7、针对与集成平台对接应承诺不收取任何费用。</w:t>
      </w:r>
    </w:p>
    <w:p>
      <w:pPr>
        <w:pStyle w:val="2"/>
        <w:keepNext w:val="0"/>
        <w:keepLines w:val="0"/>
        <w:pageBreakBefore w:val="0"/>
        <w:kinsoku/>
        <w:wordWrap/>
        <w:overflowPunct/>
        <w:topLinePunct w:val="0"/>
        <w:autoSpaceDE/>
        <w:autoSpaceDN/>
        <w:bidi w:val="0"/>
        <w:adjustRightInd/>
        <w:snapToGrid/>
        <w:spacing w:line="400" w:lineRule="exact"/>
        <w:ind w:firstLine="0" w:firstLineChars="0"/>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4.8、中标方提供免费接口供其它系统使用及认证并承担与本软件相关的His等相关医院信息系统接口费用。</w:t>
      </w:r>
    </w:p>
    <w:p>
      <w:pPr>
        <w:pStyle w:val="2"/>
        <w:keepNext w:val="0"/>
        <w:keepLines w:val="0"/>
        <w:pageBreakBefore w:val="0"/>
        <w:kinsoku/>
        <w:wordWrap/>
        <w:overflowPunct/>
        <w:topLinePunct w:val="0"/>
        <w:autoSpaceDE/>
        <w:autoSpaceDN/>
        <w:bidi w:val="0"/>
        <w:adjustRightInd/>
        <w:snapToGrid/>
        <w:spacing w:line="400" w:lineRule="exact"/>
        <w:ind w:firstLine="0" w:firstLineChars="0"/>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5、项目质保期1年</w:t>
      </w:r>
    </w:p>
    <w:p>
      <w:pPr>
        <w:pStyle w:val="2"/>
        <w:keepNext w:val="0"/>
        <w:keepLines w:val="0"/>
        <w:pageBreakBefore w:val="0"/>
        <w:kinsoku/>
        <w:wordWrap/>
        <w:overflowPunct/>
        <w:topLinePunct w:val="0"/>
        <w:autoSpaceDE/>
        <w:autoSpaceDN/>
        <w:bidi w:val="0"/>
        <w:adjustRightInd/>
        <w:snapToGrid/>
        <w:spacing w:line="400" w:lineRule="exact"/>
        <w:ind w:firstLine="0" w:firstLineChars="0"/>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投标人应承诺在正式验收通过后为本项目免费提供1年的系统运维服务（主要是确保本服务项目的正常运行技术支持服务）。</w:t>
      </w:r>
    </w:p>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rPr>
        <w:t>五、</w:t>
      </w:r>
      <w:r>
        <w:rPr>
          <w:rFonts w:hint="eastAsia" w:ascii="仿宋" w:hAnsi="仿宋" w:eastAsia="仿宋" w:cs="仿宋"/>
          <w:b/>
          <w:bCs/>
          <w:color w:val="auto"/>
          <w:sz w:val="24"/>
          <w:szCs w:val="24"/>
          <w:highlight w:val="none"/>
        </w:rPr>
        <w:t xml:space="preserve"> 付款方式</w:t>
      </w:r>
    </w:p>
    <w:p>
      <w:pPr>
        <w:keepNext w:val="0"/>
        <w:keepLines w:val="0"/>
        <w:pageBreakBefore w:val="0"/>
        <w:kinsoku/>
        <w:wordWrap/>
        <w:overflowPunct/>
        <w:topLinePunct w:val="0"/>
        <w:autoSpaceDE/>
        <w:autoSpaceDN/>
        <w:bidi w:val="0"/>
        <w:adjustRightInd/>
        <w:snapToGrid/>
        <w:spacing w:line="400" w:lineRule="exact"/>
        <w:ind w:firstLine="720" w:firstLineChars="300"/>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按《浙江省财政厅关于进一步发挥政府采购政策功能全力推动经济稳进提质的通知》（浙财采监[2022]3号）文件要求执行，具体付款方式由双方协商后在合同中明确。</w:t>
      </w:r>
    </w:p>
    <w:p>
      <w:pPr>
        <w:pStyle w:val="25"/>
        <w:pageBreakBefore/>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政府采购合同参考范本</w:t>
      </w: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pPr>
        <w:spacing w:line="480" w:lineRule="auto"/>
        <w:jc w:val="center"/>
        <w:rPr>
          <w:rFonts w:hint="eastAsia" w:ascii="仿宋" w:hAnsi="仿宋" w:eastAsia="仿宋" w:cs="仿宋"/>
          <w:b/>
          <w:color w:val="auto"/>
          <w:sz w:val="28"/>
          <w:szCs w:val="28"/>
          <w:highlight w:val="none"/>
        </w:rPr>
      </w:pPr>
    </w:p>
    <w:p>
      <w:pPr>
        <w:spacing w:line="480" w:lineRule="auto"/>
        <w:jc w:val="center"/>
        <w:rPr>
          <w:rFonts w:hint="eastAsia" w:ascii="仿宋" w:hAnsi="仿宋" w:eastAsia="仿宋" w:cs="仿宋"/>
          <w:b/>
          <w:color w:val="auto"/>
          <w:sz w:val="24"/>
          <w:highlight w:val="none"/>
        </w:rPr>
      </w:pPr>
    </w:p>
    <w:p>
      <w:pPr>
        <w:spacing w:line="480" w:lineRule="auto"/>
        <w:jc w:val="center"/>
        <w:rPr>
          <w:rFonts w:hint="eastAsia" w:ascii="仿宋" w:hAnsi="仿宋" w:eastAsia="仿宋" w:cs="仿宋"/>
          <w:b/>
          <w:color w:val="auto"/>
          <w:sz w:val="24"/>
          <w:highlight w:val="none"/>
        </w:rPr>
      </w:pPr>
    </w:p>
    <w:p>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pPr>
        <w:pStyle w:val="2"/>
        <w:rPr>
          <w:rFonts w:hint="eastAsia" w:ascii="仿宋" w:hAnsi="仿宋" w:eastAsia="仿宋" w:cs="仿宋"/>
          <w:color w:val="auto"/>
          <w:highlight w:val="none"/>
        </w:rPr>
      </w:pPr>
    </w:p>
    <w:p>
      <w:pPr>
        <w:pStyle w:val="2"/>
        <w:rPr>
          <w:rFonts w:hint="eastAsia" w:ascii="仿宋" w:hAnsi="仿宋" w:eastAsia="仿宋" w:cs="仿宋"/>
          <w:color w:val="auto"/>
          <w:highlight w:val="none"/>
        </w:rPr>
      </w:pPr>
    </w:p>
    <w:p>
      <w:pPr>
        <w:pStyle w:val="2"/>
        <w:ind w:firstLine="562"/>
        <w:jc w:val="center"/>
        <w:rPr>
          <w:rFonts w:hint="eastAsia" w:ascii="仿宋" w:hAnsi="仿宋" w:eastAsia="仿宋" w:cs="仿宋"/>
          <w:b/>
          <w:color w:val="auto"/>
          <w:sz w:val="28"/>
          <w:highlight w:val="none"/>
        </w:rPr>
      </w:pPr>
      <w:r>
        <w:rPr>
          <w:rFonts w:hint="eastAsia" w:ascii="仿宋" w:hAnsi="仿宋" w:eastAsia="仿宋" w:cs="仿宋"/>
          <w:b/>
          <w:color w:val="auto"/>
          <w:sz w:val="28"/>
          <w:highlight w:val="none"/>
        </w:rPr>
        <w:t>第一部分  合同书</w:t>
      </w:r>
    </w:p>
    <w:p>
      <w:pPr>
        <w:pStyle w:val="2"/>
        <w:rPr>
          <w:rFonts w:hint="eastAsia" w:ascii="仿宋" w:hAnsi="仿宋" w:eastAsia="仿宋" w:cs="仿宋"/>
          <w:color w:val="auto"/>
          <w:highlight w:val="none"/>
        </w:rPr>
      </w:pPr>
    </w:p>
    <w:p>
      <w:pPr>
        <w:pStyle w:val="2"/>
        <w:rPr>
          <w:rFonts w:hint="eastAsia" w:ascii="仿宋" w:hAnsi="仿宋" w:eastAsia="仿宋" w:cs="仿宋"/>
          <w:color w:val="auto"/>
          <w:highlight w:val="none"/>
        </w:rPr>
      </w:pPr>
    </w:p>
    <w:p>
      <w:pPr>
        <w:spacing w:before="120" w:line="22" w:lineRule="atLeast"/>
        <w:rPr>
          <w:rFonts w:hint="eastAsia" w:ascii="仿宋" w:hAnsi="仿宋" w:eastAsia="仿宋" w:cs="仿宋"/>
          <w:color w:val="auto"/>
          <w:sz w:val="24"/>
          <w:highlight w:val="none"/>
        </w:rPr>
      </w:pPr>
    </w:p>
    <w:p>
      <w:pPr>
        <w:spacing w:before="120" w:line="22" w:lineRule="atLeast"/>
        <w:ind w:left="96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p>
      <w:pPr>
        <w:pStyle w:val="283"/>
        <w:spacing w:before="120" w:line="22" w:lineRule="atLeast"/>
        <w:rPr>
          <w:rFonts w:hint="eastAsia" w:ascii="仿宋" w:hAnsi="仿宋" w:eastAsia="仿宋" w:cs="仿宋"/>
          <w:color w:val="auto"/>
          <w:szCs w:val="24"/>
          <w:highlight w:val="none"/>
        </w:rPr>
      </w:pPr>
    </w:p>
    <w:p>
      <w:pPr>
        <w:pStyle w:val="283"/>
        <w:spacing w:before="120" w:line="22" w:lineRule="atLeast"/>
        <w:rPr>
          <w:rFonts w:hint="eastAsia" w:ascii="仿宋" w:hAnsi="仿宋" w:eastAsia="仿宋" w:cs="仿宋"/>
          <w:color w:val="auto"/>
          <w:szCs w:val="24"/>
          <w:highlight w:val="none"/>
        </w:rPr>
      </w:pPr>
    </w:p>
    <w:p>
      <w:pPr>
        <w:rPr>
          <w:rFonts w:hint="eastAsia" w:ascii="仿宋" w:hAnsi="仿宋" w:eastAsia="仿宋" w:cs="仿宋"/>
          <w:color w:val="auto"/>
          <w:sz w:val="24"/>
          <w:highlight w:val="none"/>
        </w:rPr>
      </w:pPr>
    </w:p>
    <w:p>
      <w:pPr>
        <w:spacing w:before="120" w:line="22" w:lineRule="atLeast"/>
        <w:ind w:left="96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p>
    <w:p>
      <w:pPr>
        <w:spacing w:before="120" w:line="22" w:lineRule="atLeast"/>
        <w:rPr>
          <w:rFonts w:hint="eastAsia" w:ascii="仿宋" w:hAnsi="仿宋" w:eastAsia="仿宋" w:cs="仿宋"/>
          <w:color w:val="auto"/>
          <w:sz w:val="24"/>
          <w:highlight w:val="none"/>
        </w:rPr>
      </w:pPr>
    </w:p>
    <w:p>
      <w:pPr>
        <w:spacing w:before="120" w:line="22" w:lineRule="atLeast"/>
        <w:ind w:left="96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p>
    <w:p>
      <w:pPr>
        <w:spacing w:before="120" w:line="22" w:lineRule="atLeast"/>
        <w:rPr>
          <w:rFonts w:hint="eastAsia" w:ascii="仿宋" w:hAnsi="仿宋" w:eastAsia="仿宋" w:cs="仿宋"/>
          <w:color w:val="auto"/>
          <w:sz w:val="24"/>
          <w:highlight w:val="none"/>
        </w:rPr>
      </w:pPr>
    </w:p>
    <w:p>
      <w:pPr>
        <w:spacing w:before="120" w:line="22" w:lineRule="atLeast"/>
        <w:ind w:firstLine="960" w:firstLineChars="4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p>
    <w:p>
      <w:pPr>
        <w:spacing w:before="120" w:line="22" w:lineRule="atLeast"/>
        <w:rPr>
          <w:rFonts w:hint="eastAsia" w:ascii="仿宋" w:hAnsi="仿宋" w:eastAsia="仿宋" w:cs="仿宋"/>
          <w:color w:val="auto"/>
          <w:sz w:val="24"/>
          <w:highlight w:val="none"/>
        </w:rPr>
      </w:pPr>
    </w:p>
    <w:p>
      <w:pPr>
        <w:spacing w:before="120" w:line="22" w:lineRule="atLeast"/>
        <w:ind w:firstLine="960" w:firstLineChars="4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签订日期：年月日</w:t>
      </w:r>
    </w:p>
    <w:p>
      <w:pPr>
        <w:widowControl/>
        <w:jc w:val="left"/>
        <w:rPr>
          <w:rFonts w:hint="eastAsia" w:ascii="仿宋" w:hAnsi="仿宋" w:eastAsia="仿宋" w:cs="仿宋"/>
          <w:color w:val="auto"/>
          <w:kern w:val="0"/>
          <w:sz w:val="24"/>
          <w:highlight w:val="none"/>
        </w:rPr>
      </w:pPr>
    </w:p>
    <w:p>
      <w:pPr>
        <w:widowControl/>
        <w:jc w:val="left"/>
        <w:rPr>
          <w:rFonts w:hint="eastAsia" w:ascii="仿宋" w:hAnsi="仿宋" w:eastAsia="仿宋" w:cs="仿宋"/>
          <w:color w:val="auto"/>
          <w:kern w:val="0"/>
          <w:sz w:val="24"/>
          <w:highlight w:val="none"/>
        </w:rPr>
      </w:pPr>
    </w:p>
    <w:p>
      <w:pPr>
        <w:widowControl/>
        <w:jc w:val="left"/>
        <w:rPr>
          <w:rFonts w:hint="eastAsia" w:ascii="仿宋" w:hAnsi="仿宋" w:eastAsia="仿宋" w:cs="仿宋"/>
          <w:color w:val="auto"/>
          <w:kern w:val="0"/>
          <w:sz w:val="24"/>
          <w:highlight w:val="none"/>
        </w:rPr>
      </w:pPr>
    </w:p>
    <w:p>
      <w:pPr>
        <w:widowControl/>
        <w:jc w:val="left"/>
        <w:rPr>
          <w:rFonts w:hint="eastAsia" w:ascii="仿宋" w:hAnsi="仿宋" w:eastAsia="仿宋" w:cs="仿宋"/>
          <w:color w:val="auto"/>
          <w:kern w:val="0"/>
          <w:sz w:val="24"/>
          <w:highlight w:val="none"/>
        </w:rPr>
      </w:pPr>
    </w:p>
    <w:p>
      <w:pPr>
        <w:widowControl/>
        <w:jc w:val="left"/>
        <w:rPr>
          <w:rFonts w:hint="eastAsia" w:ascii="仿宋" w:hAnsi="仿宋" w:eastAsia="仿宋" w:cs="仿宋"/>
          <w:color w:val="auto"/>
          <w:kern w:val="0"/>
          <w:sz w:val="24"/>
          <w:highlight w:val="none"/>
        </w:rPr>
      </w:pPr>
    </w:p>
    <w:p>
      <w:pPr>
        <w:widowControl/>
        <w:jc w:val="left"/>
        <w:rPr>
          <w:rFonts w:hint="eastAsia" w:ascii="仿宋" w:hAnsi="仿宋" w:eastAsia="仿宋" w:cs="仿宋"/>
          <w:color w:val="auto"/>
          <w:kern w:val="0"/>
          <w:sz w:val="24"/>
          <w:highlight w:val="none"/>
        </w:rPr>
      </w:pPr>
    </w:p>
    <w:p>
      <w:pPr>
        <w:widowControl/>
        <w:jc w:val="left"/>
        <w:rPr>
          <w:rFonts w:hint="eastAsia" w:ascii="仿宋" w:hAnsi="仿宋" w:eastAsia="仿宋" w:cs="仿宋"/>
          <w:color w:val="auto"/>
          <w:kern w:val="0"/>
          <w:sz w:val="24"/>
          <w:highlight w:val="none"/>
        </w:rPr>
      </w:pPr>
    </w:p>
    <w:p>
      <w:pPr>
        <w:widowControl/>
        <w:jc w:val="left"/>
        <w:rPr>
          <w:rFonts w:hint="eastAsia" w:ascii="仿宋" w:hAnsi="仿宋" w:eastAsia="仿宋" w:cs="仿宋"/>
          <w:color w:val="auto"/>
          <w:kern w:val="0"/>
          <w:sz w:val="24"/>
          <w:highlight w:val="none"/>
        </w:rPr>
      </w:pPr>
    </w:p>
    <w:p>
      <w:pPr>
        <w:widowControl/>
        <w:jc w:val="left"/>
        <w:rPr>
          <w:rFonts w:hint="eastAsia" w:ascii="仿宋" w:hAnsi="仿宋" w:eastAsia="仿宋" w:cs="仿宋"/>
          <w:color w:val="auto"/>
          <w:kern w:val="0"/>
          <w:sz w:val="24"/>
          <w:highlight w:val="none"/>
        </w:rPr>
      </w:pPr>
    </w:p>
    <w:p>
      <w:pPr>
        <w:widowControl/>
        <w:jc w:val="left"/>
        <w:rPr>
          <w:rFonts w:hint="eastAsia" w:ascii="仿宋" w:hAnsi="仿宋" w:eastAsia="仿宋" w:cs="仿宋"/>
          <w:color w:val="auto"/>
          <w:kern w:val="0"/>
          <w:sz w:val="24"/>
          <w:highlight w:val="none"/>
        </w:rPr>
      </w:pPr>
    </w:p>
    <w:p>
      <w:pPr>
        <w:widowControl/>
        <w:jc w:val="left"/>
        <w:rPr>
          <w:rFonts w:hint="eastAsia" w:ascii="仿宋" w:hAnsi="仿宋" w:eastAsia="仿宋" w:cs="仿宋"/>
          <w:color w:val="auto"/>
          <w:kern w:val="0"/>
          <w:sz w:val="24"/>
          <w:highlight w:val="none"/>
        </w:rPr>
      </w:pPr>
    </w:p>
    <w:p>
      <w:pPr>
        <w:widowControl/>
        <w:jc w:val="left"/>
        <w:rPr>
          <w:rFonts w:hint="eastAsia" w:ascii="仿宋" w:hAnsi="仿宋" w:eastAsia="仿宋" w:cs="仿宋"/>
          <w:color w:val="auto"/>
          <w:kern w:val="0"/>
          <w:sz w:val="24"/>
          <w:highlight w:val="none"/>
        </w:rPr>
      </w:pPr>
    </w:p>
    <w:p>
      <w:pPr>
        <w:widowControl/>
        <w:jc w:val="left"/>
        <w:rPr>
          <w:rFonts w:hint="eastAsia" w:ascii="仿宋" w:hAnsi="仿宋" w:eastAsia="仿宋" w:cs="仿宋"/>
          <w:color w:val="auto"/>
          <w:kern w:val="0"/>
          <w:sz w:val="24"/>
          <w:highlight w:val="none"/>
        </w:rPr>
      </w:pP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年月日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（同前页项目名称）</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（中标供应商名称）</w:t>
      </w:r>
      <w:r>
        <w:rPr>
          <w:rFonts w:hint="eastAsia" w:ascii="仿宋" w:hAnsi="仿宋" w:eastAsia="仿宋" w:cs="仿宋"/>
          <w:color w:val="auto"/>
          <w:sz w:val="24"/>
          <w:highlight w:val="none"/>
        </w:rPr>
        <w:t>为该项目中标供应商。现于中标通知书发出之日起三十日内，按照采购文件确定的事项签订本合同。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pPr>
        <w:spacing w:line="560" w:lineRule="exact"/>
        <w:ind w:firstLine="482" w:firstLineChars="200"/>
        <w:outlineLvl w:val="0"/>
        <w:rPr>
          <w:rFonts w:hint="eastAsia" w:ascii="仿宋" w:hAnsi="仿宋" w:eastAsia="仿宋" w:cs="仿宋"/>
          <w:b/>
          <w:color w:val="auto"/>
          <w:sz w:val="24"/>
          <w:highlight w:val="none"/>
        </w:rPr>
      </w:pPr>
      <w:bookmarkStart w:id="16" w:name="_Toc2232"/>
      <w:bookmarkStart w:id="17" w:name="_Toc3029"/>
      <w:bookmarkStart w:id="18" w:name="_Toc24059"/>
      <w:r>
        <w:rPr>
          <w:rFonts w:hint="eastAsia" w:ascii="仿宋" w:hAnsi="仿宋" w:eastAsia="仿宋" w:cs="仿宋"/>
          <w:b/>
          <w:color w:val="auto"/>
          <w:sz w:val="24"/>
          <w:highlight w:val="none"/>
        </w:rPr>
        <w:t>1.1 合同组成部分</w:t>
      </w:r>
      <w:bookmarkEnd w:id="16"/>
      <w:bookmarkEnd w:id="17"/>
      <w:bookmarkEnd w:id="18"/>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中标通知书；</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投标文件（含澄清或者说明文件）；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1.1.4 招标文件（含澄清或者修改文件）；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pPr>
        <w:spacing w:line="560" w:lineRule="exact"/>
        <w:ind w:firstLine="482" w:firstLineChars="200"/>
        <w:outlineLvl w:val="0"/>
        <w:rPr>
          <w:rFonts w:hint="eastAsia" w:ascii="仿宋" w:hAnsi="仿宋" w:eastAsia="仿宋" w:cs="仿宋"/>
          <w:b/>
          <w:color w:val="auto"/>
          <w:sz w:val="24"/>
          <w:highlight w:val="none"/>
        </w:rPr>
      </w:pPr>
      <w:bookmarkStart w:id="19" w:name="_Toc21295"/>
      <w:bookmarkStart w:id="20" w:name="_Toc24300"/>
      <w:bookmarkStart w:id="21" w:name="_Toc27126"/>
      <w:r>
        <w:rPr>
          <w:rFonts w:hint="eastAsia" w:ascii="仿宋" w:hAnsi="仿宋" w:eastAsia="仿宋" w:cs="仿宋"/>
          <w:b/>
          <w:color w:val="auto"/>
          <w:sz w:val="24"/>
          <w:highlight w:val="none"/>
        </w:rPr>
        <w:t xml:space="preserve">1.2 </w:t>
      </w:r>
      <w:bookmarkEnd w:id="19"/>
      <w:bookmarkEnd w:id="20"/>
      <w:bookmarkEnd w:id="21"/>
      <w:r>
        <w:rPr>
          <w:rFonts w:hint="eastAsia" w:ascii="仿宋" w:hAnsi="仿宋" w:eastAsia="仿宋" w:cs="仿宋"/>
          <w:b/>
          <w:color w:val="auto"/>
          <w:sz w:val="24"/>
          <w:highlight w:val="none"/>
        </w:rPr>
        <w:t>服务</w:t>
      </w:r>
    </w:p>
    <w:p>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服务名称：；</w:t>
      </w:r>
    </w:p>
    <w:p>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服务期限和内容：；</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1.2.3 服务提供地点及方式：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22" w:name="_Toc21551"/>
      <w:bookmarkStart w:id="23" w:name="_Toc21631"/>
      <w:bookmarkStart w:id="24" w:name="_Toc23292"/>
      <w:r>
        <w:rPr>
          <w:rFonts w:hint="eastAsia" w:ascii="仿宋" w:hAnsi="仿宋" w:eastAsia="仿宋" w:cs="仿宋"/>
          <w:b/>
          <w:color w:val="auto"/>
          <w:sz w:val="24"/>
          <w:highlight w:val="none"/>
        </w:rPr>
        <w:t>1.3 价款</w:t>
      </w:r>
      <w:bookmarkEnd w:id="22"/>
      <w:bookmarkEnd w:id="23"/>
      <w:bookmarkEnd w:id="24"/>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本合同总价为：￥元（大写：元人民币）。</w:t>
      </w:r>
    </w:p>
    <w:p>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color w:val="auto"/>
                <w:sz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color w:val="auto"/>
                <w:sz w:val="24"/>
                <w:szCs w:val="24"/>
                <w:highlight w:val="none"/>
              </w:rPr>
            </w:pPr>
          </w:p>
        </w:tc>
      </w:tr>
    </w:tbl>
    <w:p>
      <w:pPr>
        <w:spacing w:line="440" w:lineRule="exact"/>
        <w:ind w:firstLine="482" w:firstLineChars="200"/>
        <w:outlineLvl w:val="0"/>
        <w:rPr>
          <w:rFonts w:hint="eastAsia" w:ascii="仿宋" w:hAnsi="仿宋" w:eastAsia="仿宋" w:cs="仿宋"/>
          <w:b/>
          <w:color w:val="auto"/>
          <w:sz w:val="24"/>
          <w:highlight w:val="none"/>
        </w:rPr>
      </w:pPr>
      <w:bookmarkStart w:id="25" w:name="_Toc10340"/>
      <w:bookmarkStart w:id="26" w:name="_Toc22618"/>
      <w:bookmarkStart w:id="27" w:name="_Toc1814"/>
      <w:bookmarkStart w:id="28" w:name="_Toc19304"/>
      <w:bookmarkStart w:id="29" w:name="_Toc2846"/>
      <w:bookmarkStart w:id="30" w:name="_Toc32071"/>
      <w:r>
        <w:rPr>
          <w:rFonts w:hint="eastAsia" w:ascii="仿宋" w:hAnsi="仿宋" w:eastAsia="仿宋" w:cs="仿宋"/>
          <w:b/>
          <w:color w:val="auto"/>
          <w:sz w:val="24"/>
          <w:highlight w:val="none"/>
        </w:rPr>
        <w:t>1.4 付款</w:t>
      </w:r>
      <w:bookmarkEnd w:id="25"/>
      <w:bookmarkEnd w:id="26"/>
      <w:bookmarkEnd w:id="27"/>
      <w:r>
        <w:rPr>
          <w:rFonts w:hint="eastAsia" w:ascii="仿宋" w:hAnsi="仿宋" w:eastAsia="仿宋" w:cs="仿宋"/>
          <w:b/>
          <w:color w:val="auto"/>
          <w:sz w:val="24"/>
          <w:highlight w:val="none"/>
        </w:rPr>
        <w:t>方式、时间和条件</w:t>
      </w:r>
    </w:p>
    <w:p>
      <w:pPr>
        <w:pStyle w:val="285"/>
        <w:spacing w:before="0" w:beforeAutospacing="0" w:after="0" w:afterAutospacing="0" w:line="440" w:lineRule="exact"/>
        <w:ind w:firstLine="480"/>
        <w:rPr>
          <w:rFonts w:hint="eastAsia" w:ascii="仿宋" w:hAnsi="仿宋" w:eastAsia="仿宋" w:cs="仿宋"/>
          <w:color w:val="auto"/>
          <w:highlight w:val="none"/>
        </w:rPr>
      </w:pPr>
      <w:r>
        <w:rPr>
          <w:rFonts w:hint="eastAsia" w:ascii="仿宋" w:hAnsi="仿宋" w:eastAsia="仿宋" w:cs="仿宋"/>
          <w:color w:val="auto"/>
          <w:highlight w:val="none"/>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1.4.2付款方式按《浙江省财政厅关于坚决打赢疫情防控阻击战进一步做好政府采购资金支持企业发展工作的通知》（浙财采监〔2020〕3号）和《浙江省财政厅关于进一步发挥政府采购政策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功能全力推动经济稳进提质的通知》（浙财采监〔2022〕3号）文件要求执行，具体付款方式由双方协商后在合同中明确。不得把履约保证金转为质量保证金或收取质量保证金。</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1.4.3甲方迟延支付乙方款项的，向乙方支付逾期利息。双方可以在合同专用条款中约定逾期利率，约定利率不得低于合同订立时1年期贷款市场报价利率；未作约定的，按照每日利率万分之五支付逾期利息。</w:t>
      </w:r>
    </w:p>
    <w:p>
      <w:pPr>
        <w:spacing w:line="440" w:lineRule="exact"/>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1.4.4资金支付的方式、时间和条件详见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28"/>
      <w:bookmarkEnd w:id="29"/>
      <w:bookmarkEnd w:id="30"/>
      <w:bookmarkStart w:id="31" w:name="_Toc21423"/>
      <w:bookmarkStart w:id="32" w:name="_Toc19554"/>
      <w:bookmarkStart w:id="33" w:name="_Toc27250"/>
      <w:r>
        <w:rPr>
          <w:rFonts w:hint="eastAsia" w:ascii="仿宋" w:hAnsi="仿宋" w:eastAsia="仿宋" w:cs="仿宋"/>
          <w:b/>
          <w:color w:val="auto"/>
          <w:sz w:val="24"/>
          <w:highlight w:val="none"/>
        </w:rPr>
        <w:t>违约责任</w:t>
      </w:r>
      <w:bookmarkEnd w:id="31"/>
      <w:bookmarkEnd w:id="32"/>
      <w:bookmarkEnd w:id="33"/>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1.5.1 除不可抗力外，如果乙方没有按照本合同约定的期限、地点和方式提供服务，那么甲方可要求乙方支付违约金，违约金按元/次计算，最高限额为本合同总价的%；未按要求提供服务的违约金计算数额达到前述最高限额之日起，甲方有权在要求乙方支付违约金的同时，书面通知乙方解除本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1.5.2 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pPr>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1.5.3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1.5.6 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rPr>
          <w:rFonts w:hint="eastAsia" w:ascii="仿宋" w:hAnsi="仿宋" w:eastAsia="仿宋" w:cs="仿宋"/>
          <w:color w:val="auto"/>
          <w:highlight w:val="none"/>
        </w:rPr>
      </w:pPr>
      <w:r>
        <w:rPr>
          <w:rFonts w:hint="eastAsia" w:ascii="仿宋" w:hAnsi="仿宋" w:eastAsia="仿宋" w:cs="仿宋"/>
          <w:color w:val="auto"/>
          <w:sz w:val="24"/>
          <w:highlight w:val="none"/>
        </w:rPr>
        <w:t>1.5.7违约责任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p>
      <w:pPr>
        <w:spacing w:line="560" w:lineRule="exact"/>
        <w:ind w:firstLine="482" w:firstLineChars="200"/>
        <w:outlineLvl w:val="0"/>
        <w:rPr>
          <w:rFonts w:hint="eastAsia" w:ascii="仿宋" w:hAnsi="仿宋" w:eastAsia="仿宋" w:cs="仿宋"/>
          <w:b/>
          <w:color w:val="auto"/>
          <w:sz w:val="24"/>
          <w:highlight w:val="none"/>
        </w:rPr>
      </w:pPr>
      <w:bookmarkStart w:id="34" w:name="_Toc16021"/>
      <w:bookmarkStart w:id="35" w:name="_Toc28375"/>
      <w:bookmarkStart w:id="36" w:name="_Toc15583"/>
      <w:r>
        <w:rPr>
          <w:rFonts w:hint="eastAsia" w:ascii="仿宋" w:hAnsi="仿宋" w:eastAsia="仿宋" w:cs="仿宋"/>
          <w:b/>
          <w:color w:val="auto"/>
          <w:sz w:val="24"/>
          <w:highlight w:val="none"/>
        </w:rPr>
        <w:t>1.6合同争议的解决</w:t>
      </w:r>
      <w:bookmarkEnd w:id="34"/>
      <w:bookmarkEnd w:id="35"/>
      <w:bookmarkEnd w:id="36"/>
    </w:p>
    <w:p>
      <w:pPr>
        <w:spacing w:line="560" w:lineRule="exact"/>
        <w:ind w:left="-61" w:leftChars="-29" w:right="-420" w:rightChars="-200"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合同专用条款  </w:t>
      </w:r>
      <w:r>
        <w:rPr>
          <w:rFonts w:hint="eastAsia" w:ascii="仿宋" w:hAnsi="仿宋" w:eastAsia="仿宋" w:cs="仿宋"/>
          <w:color w:val="auto"/>
          <w:sz w:val="24"/>
          <w:highlight w:val="none"/>
        </w:rPr>
        <w:t>条款规定的方式解决：</w:t>
      </w:r>
    </w:p>
    <w:p>
      <w:pPr>
        <w:spacing w:line="560" w:lineRule="exact"/>
        <w:ind w:left="-420" w:leftChars="-200" w:right="-420" w:rightChars="-200" w:firstLine="600" w:firstLineChars="250"/>
        <w:rPr>
          <w:rFonts w:hint="eastAsia" w:ascii="仿宋" w:hAnsi="仿宋" w:eastAsia="仿宋" w:cs="仿宋"/>
          <w:color w:val="auto"/>
          <w:sz w:val="24"/>
          <w:highlight w:val="none"/>
        </w:rPr>
      </w:pPr>
      <w:r>
        <w:rPr>
          <w:rFonts w:hint="eastAsia" w:ascii="仿宋" w:hAnsi="仿宋" w:eastAsia="仿宋" w:cs="仿宋"/>
          <w:color w:val="auto"/>
          <w:sz w:val="24"/>
          <w:highlight w:val="none"/>
        </w:rPr>
        <w:t>1.6.1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pPr>
        <w:spacing w:line="560" w:lineRule="exact"/>
        <w:ind w:left="-420" w:leftChars="-200" w:right="-420" w:rightChars="-200" w:firstLine="600" w:firstLineChars="250"/>
        <w:rPr>
          <w:rFonts w:hint="eastAsia" w:ascii="仿宋" w:hAnsi="仿宋" w:eastAsia="仿宋" w:cs="仿宋"/>
          <w:color w:val="auto"/>
          <w:sz w:val="24"/>
          <w:highlight w:val="none"/>
        </w:rPr>
      </w:pPr>
      <w:r>
        <w:rPr>
          <w:rFonts w:hint="eastAsia" w:ascii="仿宋" w:hAnsi="仿宋" w:eastAsia="仿宋" w:cs="仿宋"/>
          <w:color w:val="auto"/>
          <w:sz w:val="24"/>
          <w:highlight w:val="none"/>
        </w:rPr>
        <w:t>1.6.2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pPr>
        <w:spacing w:line="560" w:lineRule="exact"/>
        <w:ind w:firstLine="482" w:firstLineChars="200"/>
        <w:outlineLvl w:val="0"/>
        <w:rPr>
          <w:rFonts w:hint="eastAsia" w:ascii="仿宋" w:hAnsi="仿宋" w:eastAsia="仿宋" w:cs="仿宋"/>
          <w:b/>
          <w:color w:val="auto"/>
          <w:sz w:val="24"/>
          <w:highlight w:val="none"/>
        </w:rPr>
      </w:pPr>
      <w:bookmarkStart w:id="37" w:name="_Toc11173"/>
      <w:bookmarkStart w:id="38" w:name="_Toc7245"/>
      <w:bookmarkStart w:id="39" w:name="_Toc15322"/>
      <w:r>
        <w:rPr>
          <w:rFonts w:hint="eastAsia" w:ascii="仿宋" w:hAnsi="仿宋" w:eastAsia="仿宋" w:cs="仿宋"/>
          <w:b/>
          <w:color w:val="auto"/>
          <w:sz w:val="24"/>
          <w:highlight w:val="none"/>
        </w:rPr>
        <w:t>1.7合同生效</w:t>
      </w:r>
      <w:bookmarkEnd w:id="37"/>
      <w:bookmarkEnd w:id="38"/>
      <w:bookmarkEnd w:id="39"/>
    </w:p>
    <w:p>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本合同自双方当事人盖章或者签字时生效。</w:t>
      </w:r>
    </w:p>
    <w:p>
      <w:pPr>
        <w:autoSpaceDE w:val="0"/>
        <w:autoSpaceDN w:val="0"/>
        <w:spacing w:line="560" w:lineRule="exact"/>
        <w:rPr>
          <w:rFonts w:hint="eastAsia" w:ascii="仿宋" w:hAnsi="仿宋" w:eastAsia="仿宋" w:cs="仿宋"/>
          <w:color w:val="auto"/>
          <w:sz w:val="24"/>
          <w:highlight w:val="none"/>
          <w:lang w:val="zh-CN"/>
        </w:rPr>
      </w:pP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统一社会信用代码：统一社会信用代码或身份证号码：</w:t>
      </w:r>
    </w:p>
    <w:p>
      <w:pPr>
        <w:autoSpaceDE w:val="0"/>
        <w:autoSpaceDN w:val="0"/>
        <w:spacing w:line="560" w:lineRule="exact"/>
        <w:rPr>
          <w:rFonts w:hint="eastAsia" w:ascii="仿宋" w:hAnsi="仿宋" w:eastAsia="仿宋" w:cs="仿宋"/>
          <w:color w:val="auto"/>
          <w:sz w:val="24"/>
          <w:highlight w:val="none"/>
          <w:lang w:val="zh-CN"/>
        </w:rPr>
      </w:pP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住所：住所：</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法定代表人或法定代表人</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或授权代表（签字）: </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联系人：联系人：</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约定送达地址：约定送达地址：</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邮政编码：邮政编码：</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电子邮箱：电子邮箱：</w:t>
      </w:r>
    </w:p>
    <w:p>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开户账号：开户账号：</w:t>
      </w:r>
    </w:p>
    <w:p>
      <w:pPr>
        <w:rPr>
          <w:rFonts w:hint="eastAsia" w:ascii="仿宋" w:hAnsi="仿宋" w:eastAsia="仿宋" w:cs="仿宋"/>
          <w:color w:val="auto"/>
          <w:sz w:val="24"/>
          <w:highlight w:val="none"/>
          <w:u w:val="single"/>
        </w:rPr>
      </w:pPr>
    </w:p>
    <w:p>
      <w:pPr>
        <w:pStyle w:val="284"/>
        <w:pageBreakBefore/>
        <w:spacing w:line="560" w:lineRule="exact"/>
        <w:ind w:firstLine="723"/>
        <w:jc w:val="center"/>
        <w:rPr>
          <w:rFonts w:hint="eastAsia" w:ascii="仿宋" w:hAnsi="仿宋" w:eastAsia="仿宋" w:cs="仿宋"/>
          <w:b/>
          <w:color w:val="auto"/>
          <w:sz w:val="36"/>
          <w:szCs w:val="36"/>
          <w:highlight w:val="none"/>
        </w:rPr>
      </w:pPr>
      <w:bookmarkStart w:id="40" w:name="_Toc331685783"/>
      <w:r>
        <w:rPr>
          <w:rFonts w:hint="eastAsia" w:ascii="仿宋" w:hAnsi="仿宋" w:eastAsia="仿宋" w:cs="仿宋"/>
          <w:b/>
          <w:color w:val="auto"/>
          <w:sz w:val="36"/>
          <w:szCs w:val="36"/>
          <w:highlight w:val="none"/>
        </w:rPr>
        <w:t>第二部分合同一般条款</w:t>
      </w:r>
      <w:bookmarkEnd w:id="40"/>
    </w:p>
    <w:p>
      <w:pPr>
        <w:spacing w:line="560" w:lineRule="exact"/>
        <w:ind w:firstLine="482" w:firstLineChars="200"/>
        <w:outlineLvl w:val="0"/>
        <w:rPr>
          <w:rFonts w:hint="eastAsia" w:ascii="仿宋" w:hAnsi="仿宋" w:eastAsia="仿宋" w:cs="仿宋"/>
          <w:b/>
          <w:color w:val="auto"/>
          <w:sz w:val="24"/>
          <w:highlight w:val="none"/>
        </w:rPr>
      </w:pPr>
      <w:bookmarkStart w:id="41" w:name="_Ref467379094"/>
      <w:bookmarkStart w:id="42" w:name="_Ref467378404"/>
      <w:bookmarkStart w:id="43" w:name="_Ref467379195"/>
      <w:bookmarkStart w:id="44" w:name="_Ref467379225"/>
      <w:bookmarkStart w:id="45" w:name="_Ref467378463"/>
      <w:bookmarkStart w:id="46" w:name="_Ref467379109"/>
      <w:bookmarkStart w:id="47" w:name="_Toc279701240"/>
      <w:bookmarkStart w:id="48" w:name="_Toc487900349"/>
      <w:bookmarkStart w:id="49" w:name="_Toc16917"/>
      <w:bookmarkStart w:id="50" w:name="_Toc28763"/>
      <w:bookmarkStart w:id="51" w:name="_Ref467379205"/>
      <w:bookmarkStart w:id="52" w:name="_Ref467378499"/>
      <w:bookmarkStart w:id="53" w:name="_Ref467379214"/>
      <w:bookmarkStart w:id="54" w:name="_Toc19614"/>
      <w:bookmarkStart w:id="55" w:name="_Ref467379101"/>
      <w:bookmarkStart w:id="56" w:name="_Toc259093669"/>
      <w:r>
        <w:rPr>
          <w:rFonts w:hint="eastAsia" w:ascii="仿宋" w:hAnsi="仿宋" w:eastAsia="仿宋" w:cs="仿宋"/>
          <w:b/>
          <w:color w:val="auto"/>
          <w:sz w:val="24"/>
          <w:highlight w:val="none"/>
        </w:rPr>
        <w:t>2.1 定义</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“合同价”系指根据合同约定，中标供应商在完全履行合同义务后，采购人应支付给中标供应商的价格。</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“货物”系指中标供应商根据合同约定应向采购人交付的一切各种形态和种类的物品，包括原材料、燃料、设备、机械、仪表、备件、计算机软件、产品等，并包括工具、手册等其他相关资料。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hint="eastAsia" w:ascii="仿宋" w:hAnsi="仿宋" w:eastAsia="仿宋" w:cs="仿宋"/>
          <w:color w:val="auto"/>
          <w:sz w:val="24"/>
          <w:highlight w:val="none"/>
        </w:rPr>
      </w:pPr>
      <w:bookmarkStart w:id="57" w:name="_Ref467378840"/>
      <w:r>
        <w:rPr>
          <w:rFonts w:hint="eastAsia" w:ascii="仿宋" w:hAnsi="仿宋" w:eastAsia="仿宋" w:cs="仿宋"/>
          <w:color w:val="auto"/>
          <w:sz w:val="24"/>
          <w:highlight w:val="none"/>
        </w:rPr>
        <w:t>2.1.4 “甲方”系指与中标供应商签署合同的采购人</w:t>
      </w:r>
      <w:bookmarkEnd w:id="57"/>
      <w:r>
        <w:rPr>
          <w:rFonts w:hint="eastAsia" w:ascii="仿宋" w:hAnsi="仿宋" w:eastAsia="仿宋" w:cs="仿宋"/>
          <w:color w:val="auto"/>
          <w:sz w:val="24"/>
          <w:highlight w:val="none"/>
        </w:rPr>
        <w:t>。</w:t>
      </w:r>
    </w:p>
    <w:p>
      <w:pPr>
        <w:spacing w:line="560" w:lineRule="exact"/>
        <w:ind w:firstLine="480" w:firstLineChars="200"/>
        <w:rPr>
          <w:rFonts w:hint="eastAsia" w:ascii="仿宋" w:hAnsi="仿宋" w:eastAsia="仿宋" w:cs="仿宋"/>
          <w:color w:val="auto"/>
          <w:sz w:val="24"/>
          <w:highlight w:val="none"/>
        </w:rPr>
      </w:pPr>
      <w:bookmarkStart w:id="58" w:name="_Ref467379400"/>
      <w:r>
        <w:rPr>
          <w:rFonts w:hint="eastAsia" w:ascii="仿宋" w:hAnsi="仿宋" w:eastAsia="仿宋" w:cs="仿宋"/>
          <w:color w:val="auto"/>
          <w:sz w:val="24"/>
          <w:highlight w:val="none"/>
        </w:rPr>
        <w:t>2.1.5 “乙方”系指根据合同约定交付货物的中标供应商</w:t>
      </w:r>
      <w:bookmarkEnd w:id="58"/>
      <w:r>
        <w:rPr>
          <w:rFonts w:hint="eastAsia" w:ascii="仿宋" w:hAnsi="仿宋" w:eastAsia="仿宋" w:cs="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color w:val="auto"/>
          <w:sz w:val="24"/>
          <w:highlight w:val="none"/>
        </w:rPr>
      </w:pPr>
      <w:bookmarkStart w:id="59" w:name="_Ref467379436"/>
      <w:r>
        <w:rPr>
          <w:rFonts w:hint="eastAsia" w:ascii="仿宋" w:hAnsi="仿宋" w:eastAsia="仿宋" w:cs="仿宋"/>
          <w:color w:val="auto"/>
          <w:sz w:val="24"/>
          <w:highlight w:val="none"/>
        </w:rPr>
        <w:t>2.1.6 “现场”系指合同约定货物将要运至或者安装的地点。</w:t>
      </w:r>
      <w:bookmarkEnd w:id="59"/>
    </w:p>
    <w:p>
      <w:pPr>
        <w:spacing w:line="560" w:lineRule="exact"/>
        <w:ind w:firstLine="482" w:firstLineChars="200"/>
        <w:outlineLvl w:val="0"/>
        <w:rPr>
          <w:rFonts w:hint="eastAsia" w:ascii="仿宋" w:hAnsi="仿宋" w:eastAsia="仿宋" w:cs="仿宋"/>
          <w:b/>
          <w:color w:val="auto"/>
          <w:sz w:val="24"/>
          <w:highlight w:val="none"/>
        </w:rPr>
      </w:pPr>
      <w:bookmarkStart w:id="60" w:name="_Toc32504"/>
      <w:bookmarkStart w:id="61" w:name="_Toc27635"/>
      <w:bookmarkStart w:id="62" w:name="_Toc259093670"/>
      <w:bookmarkStart w:id="63" w:name="_Toc13336"/>
      <w:bookmarkStart w:id="64" w:name="_Toc487900350"/>
      <w:bookmarkStart w:id="65" w:name="_Toc279701241"/>
      <w:r>
        <w:rPr>
          <w:rFonts w:hint="eastAsia" w:ascii="仿宋" w:hAnsi="仿宋" w:eastAsia="仿宋" w:cs="仿宋"/>
          <w:b/>
          <w:color w:val="auto"/>
          <w:sz w:val="24"/>
          <w:highlight w:val="none"/>
        </w:rPr>
        <w:t>2.2 技术规范</w:t>
      </w:r>
      <w:bookmarkEnd w:id="60"/>
      <w:bookmarkEnd w:id="61"/>
      <w:bookmarkEnd w:id="62"/>
      <w:bookmarkEnd w:id="63"/>
      <w:bookmarkEnd w:id="64"/>
      <w:bookmarkEnd w:id="65"/>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color w:val="auto"/>
          <w:sz w:val="24"/>
          <w:highlight w:val="none"/>
        </w:rPr>
      </w:pPr>
      <w:bookmarkStart w:id="66" w:name="_Toc27853"/>
      <w:bookmarkStart w:id="67" w:name="_Toc279701242"/>
      <w:bookmarkStart w:id="68" w:name="_Toc9829"/>
      <w:bookmarkStart w:id="69" w:name="_Toc487900351"/>
      <w:bookmarkStart w:id="70" w:name="_Toc259093671"/>
      <w:bookmarkStart w:id="71" w:name="_Toc31634"/>
      <w:r>
        <w:rPr>
          <w:rFonts w:hint="eastAsia" w:ascii="仿宋" w:hAnsi="仿宋" w:eastAsia="仿宋" w:cs="仿宋"/>
          <w:b/>
          <w:color w:val="auto"/>
          <w:sz w:val="24"/>
          <w:highlight w:val="none"/>
        </w:rPr>
        <w:t>2.3 知识产权</w:t>
      </w:r>
      <w:bookmarkEnd w:id="66"/>
      <w:bookmarkEnd w:id="67"/>
      <w:bookmarkEnd w:id="68"/>
      <w:bookmarkEnd w:id="69"/>
      <w:bookmarkEnd w:id="70"/>
      <w:bookmarkEnd w:id="71"/>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2.3.2具有知识产权的计算机软件等货物的知识产权归属，详见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72" w:name="_Toc29149"/>
      <w:bookmarkStart w:id="73" w:name="_Toc4194"/>
      <w:bookmarkStart w:id="74" w:name="_Toc11932"/>
      <w:r>
        <w:rPr>
          <w:rFonts w:hint="eastAsia" w:ascii="仿宋" w:hAnsi="仿宋" w:eastAsia="仿宋" w:cs="仿宋"/>
          <w:b/>
          <w:color w:val="auto"/>
          <w:sz w:val="24"/>
          <w:highlight w:val="none"/>
        </w:rPr>
        <w:t>2.4 包装和装运</w:t>
      </w:r>
      <w:bookmarkEnd w:id="72"/>
      <w:bookmarkEnd w:id="73"/>
      <w:bookmarkEnd w:id="74"/>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装运货物的要求和通知，详见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75" w:name="_Ref467378591"/>
      <w:bookmarkStart w:id="76" w:name="_Toc259093674"/>
      <w:bookmarkStart w:id="77" w:name="_Ref467379536"/>
      <w:bookmarkStart w:id="78" w:name="_Toc487900354"/>
      <w:bookmarkStart w:id="79" w:name="_Ref467378541"/>
      <w:bookmarkStart w:id="80" w:name="_Ref467379542"/>
      <w:bookmarkStart w:id="81" w:name="_Ref467379527"/>
      <w:bookmarkStart w:id="82" w:name="_Toc279701245"/>
      <w:bookmarkStart w:id="83" w:name="_Toc30272"/>
      <w:bookmarkStart w:id="84" w:name="_Toc19074"/>
      <w:bookmarkStart w:id="85" w:name="_Toc26182"/>
      <w:r>
        <w:rPr>
          <w:rFonts w:hint="eastAsia" w:ascii="仿宋" w:hAnsi="仿宋" w:eastAsia="仿宋" w:cs="仿宋"/>
          <w:b/>
          <w:color w:val="auto"/>
          <w:sz w:val="24"/>
          <w:highlight w:val="none"/>
        </w:rPr>
        <w:t>2.</w:t>
      </w:r>
      <w:bookmarkEnd w:id="75"/>
      <w:bookmarkEnd w:id="76"/>
      <w:bookmarkEnd w:id="77"/>
      <w:bookmarkEnd w:id="78"/>
      <w:bookmarkEnd w:id="79"/>
      <w:bookmarkEnd w:id="80"/>
      <w:bookmarkEnd w:id="81"/>
      <w:bookmarkEnd w:id="82"/>
      <w:r>
        <w:rPr>
          <w:rFonts w:hint="eastAsia" w:ascii="仿宋" w:hAnsi="仿宋" w:eastAsia="仿宋" w:cs="仿宋"/>
          <w:b/>
          <w:color w:val="auto"/>
          <w:sz w:val="24"/>
          <w:highlight w:val="none"/>
        </w:rPr>
        <w:t>5 履约检查和问题反馈</w:t>
      </w:r>
      <w:bookmarkEnd w:id="83"/>
      <w:bookmarkEnd w:id="84"/>
      <w:bookmarkEnd w:id="85"/>
    </w:p>
    <w:p>
      <w:pPr>
        <w:spacing w:line="560" w:lineRule="exact"/>
        <w:ind w:firstLine="480" w:firstLineChars="200"/>
        <w:rPr>
          <w:rFonts w:hint="eastAsia" w:ascii="仿宋" w:hAnsi="仿宋" w:eastAsia="仿宋" w:cs="仿宋"/>
          <w:color w:val="auto"/>
          <w:sz w:val="24"/>
          <w:highlight w:val="none"/>
        </w:rPr>
      </w:pPr>
      <w:bookmarkStart w:id="86" w:name="_Ref467379657"/>
      <w:r>
        <w:rPr>
          <w:rFonts w:hint="eastAsia" w:ascii="仿宋" w:hAnsi="仿宋" w:eastAsia="仿宋" w:cs="仿宋"/>
          <w:color w:val="auto"/>
          <w:sz w:val="24"/>
          <w:highlight w:val="none"/>
        </w:rPr>
        <w:t>2.5.1</w:t>
      </w:r>
      <w:bookmarkEnd w:id="86"/>
      <w:bookmarkStart w:id="87" w:name="_Toc186431854"/>
      <w:bookmarkStart w:id="88" w:name="_Ref467379793"/>
      <w:bookmarkStart w:id="89" w:name="_Toc279701247"/>
      <w:bookmarkStart w:id="90" w:name="_Toc487900357"/>
      <w:bookmarkStart w:id="91" w:name="_Toc259093676"/>
      <w:bookmarkStart w:id="92" w:name="_Ref467379807"/>
      <w:r>
        <w:rPr>
          <w:rFonts w:hint="eastAsia" w:ascii="仿宋" w:hAnsi="仿宋" w:eastAsia="仿宋"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2.5.2 合同履行期间，甲方有权将履行过程中出现的问题反馈给乙方，双方当事人应以书面形式约定需要完善和改进的内容</w:t>
      </w:r>
      <w:bookmarkEnd w:id="87"/>
      <w:bookmarkStart w:id="93" w:name="_Toc186431855"/>
      <w:r>
        <w:rPr>
          <w:rFonts w:hint="eastAsia" w:ascii="仿宋" w:hAnsi="仿宋" w:eastAsia="仿宋" w:cs="仿宋"/>
          <w:color w:val="auto"/>
          <w:sz w:val="24"/>
          <w:highlight w:val="none"/>
        </w:rPr>
        <w:t>。</w:t>
      </w:r>
    </w:p>
    <w:bookmarkEnd w:id="88"/>
    <w:bookmarkEnd w:id="89"/>
    <w:bookmarkEnd w:id="90"/>
    <w:bookmarkEnd w:id="91"/>
    <w:bookmarkEnd w:id="92"/>
    <w:bookmarkEnd w:id="93"/>
    <w:p>
      <w:pPr>
        <w:spacing w:line="560" w:lineRule="exact"/>
        <w:ind w:firstLine="482" w:firstLineChars="200"/>
        <w:outlineLvl w:val="0"/>
        <w:rPr>
          <w:rFonts w:hint="eastAsia" w:ascii="仿宋" w:hAnsi="仿宋" w:eastAsia="仿宋" w:cs="仿宋"/>
          <w:b/>
          <w:color w:val="auto"/>
          <w:sz w:val="24"/>
          <w:highlight w:val="none"/>
        </w:rPr>
      </w:pPr>
      <w:bookmarkStart w:id="94" w:name="_Ref467379863"/>
      <w:bookmarkStart w:id="95" w:name="_Toc279701248"/>
      <w:bookmarkStart w:id="96" w:name="_Ref467379852"/>
      <w:bookmarkStart w:id="97" w:name="_Toc259093677"/>
      <w:bookmarkStart w:id="98" w:name="_Toc487900358"/>
      <w:bookmarkStart w:id="99" w:name="_Ref467379923"/>
      <w:bookmarkStart w:id="100" w:name="_Toc774"/>
      <w:bookmarkStart w:id="101" w:name="_Toc16110"/>
      <w:bookmarkStart w:id="102" w:name="_Toc3225"/>
      <w:r>
        <w:rPr>
          <w:rFonts w:hint="eastAsia" w:ascii="仿宋" w:hAnsi="仿宋" w:eastAsia="仿宋" w:cs="仿宋"/>
          <w:b/>
          <w:color w:val="auto"/>
          <w:sz w:val="24"/>
          <w:highlight w:val="none"/>
        </w:rPr>
        <w:t>2.6 技术资料</w:t>
      </w:r>
      <w:bookmarkEnd w:id="94"/>
      <w:bookmarkEnd w:id="95"/>
      <w:bookmarkEnd w:id="96"/>
      <w:bookmarkEnd w:id="97"/>
      <w:bookmarkEnd w:id="98"/>
      <w:bookmarkEnd w:id="99"/>
      <w:r>
        <w:rPr>
          <w:rFonts w:hint="eastAsia" w:ascii="仿宋" w:hAnsi="仿宋" w:eastAsia="仿宋" w:cs="仿宋"/>
          <w:b/>
          <w:color w:val="auto"/>
          <w:sz w:val="24"/>
          <w:highlight w:val="none"/>
        </w:rPr>
        <w:t>和保密义务</w:t>
      </w:r>
      <w:bookmarkEnd w:id="100"/>
      <w:bookmarkEnd w:id="101"/>
      <w:bookmarkEnd w:id="102"/>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color w:val="auto"/>
          <w:sz w:val="24"/>
          <w:highlight w:val="none"/>
        </w:rPr>
      </w:pPr>
      <w:bookmarkStart w:id="103" w:name="_Toc7860"/>
      <w:r>
        <w:rPr>
          <w:rFonts w:hint="eastAsia" w:ascii="仿宋" w:hAnsi="仿宋" w:eastAsia="仿宋" w:cs="仿宋"/>
          <w:b/>
          <w:color w:val="auto"/>
          <w:sz w:val="24"/>
          <w:highlight w:val="none"/>
        </w:rPr>
        <w:t>2.7 质量保证</w:t>
      </w:r>
      <w:bookmarkEnd w:id="103"/>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color w:val="auto"/>
          <w:sz w:val="24"/>
          <w:highlight w:val="none"/>
        </w:rPr>
      </w:pPr>
      <w:bookmarkStart w:id="104" w:name="_Toc17244"/>
      <w:bookmarkStart w:id="105" w:name="_Toc259093681"/>
      <w:bookmarkStart w:id="106" w:name="_Toc279701252"/>
      <w:bookmarkStart w:id="107" w:name="_Toc487900362"/>
      <w:r>
        <w:rPr>
          <w:rFonts w:hint="eastAsia" w:ascii="仿宋" w:hAnsi="仿宋" w:eastAsia="仿宋" w:cs="仿宋"/>
          <w:b/>
          <w:color w:val="auto"/>
          <w:sz w:val="24"/>
          <w:highlight w:val="none"/>
        </w:rPr>
        <w:t>2.8 货物的风险负担</w:t>
      </w:r>
      <w:bookmarkEnd w:id="104"/>
    </w:p>
    <w:p>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货物或者在途货物或者交付给第一承运人后的货物毁损、灭失的风险负担详见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108" w:name="_Toc14055"/>
      <w:r>
        <w:rPr>
          <w:rFonts w:hint="eastAsia" w:ascii="仿宋" w:hAnsi="仿宋" w:eastAsia="仿宋" w:cs="仿宋"/>
          <w:b/>
          <w:color w:val="auto"/>
          <w:sz w:val="24"/>
          <w:highlight w:val="none"/>
        </w:rPr>
        <w:t>2.9 延迟交货</w:t>
      </w:r>
      <w:bookmarkEnd w:id="105"/>
      <w:bookmarkEnd w:id="106"/>
      <w:bookmarkEnd w:id="107"/>
      <w:bookmarkEnd w:id="108"/>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hint="eastAsia" w:ascii="仿宋" w:hAnsi="仿宋" w:eastAsia="仿宋" w:cs="仿宋"/>
          <w:b/>
          <w:color w:val="auto"/>
          <w:sz w:val="24"/>
          <w:highlight w:val="none"/>
        </w:rPr>
      </w:pPr>
      <w:bookmarkStart w:id="109" w:name="_Toc7502"/>
      <w:bookmarkStart w:id="110" w:name="_Toc279701254"/>
      <w:bookmarkStart w:id="111" w:name="_Ref467378121"/>
      <w:bookmarkStart w:id="112" w:name="_Toc487900364"/>
      <w:bookmarkStart w:id="113" w:name="_Toc259093683"/>
      <w:r>
        <w:rPr>
          <w:rFonts w:hint="eastAsia" w:ascii="仿宋" w:hAnsi="仿宋" w:eastAsia="仿宋" w:cs="仿宋"/>
          <w:b/>
          <w:color w:val="auto"/>
          <w:sz w:val="24"/>
          <w:highlight w:val="none"/>
        </w:rPr>
        <w:t>2.10 合同变更</w:t>
      </w:r>
      <w:bookmarkEnd w:id="10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14" w:name="_Toc487900369"/>
      <w:bookmarkStart w:id="115" w:name="_Toc279701259"/>
      <w:bookmarkStart w:id="116" w:name="_Toc259093688"/>
    </w:p>
    <w:p>
      <w:pPr>
        <w:spacing w:line="560" w:lineRule="exact"/>
        <w:ind w:firstLine="482" w:firstLineChars="200"/>
        <w:outlineLvl w:val="0"/>
        <w:rPr>
          <w:rFonts w:hint="eastAsia" w:ascii="仿宋" w:hAnsi="仿宋" w:eastAsia="仿宋" w:cs="仿宋"/>
          <w:b/>
          <w:color w:val="auto"/>
          <w:sz w:val="24"/>
          <w:highlight w:val="none"/>
        </w:rPr>
      </w:pPr>
      <w:bookmarkStart w:id="117" w:name="_Toc15237"/>
      <w:bookmarkStart w:id="118" w:name="_Toc10366"/>
      <w:bookmarkStart w:id="119" w:name="_Toc22955"/>
      <w:r>
        <w:rPr>
          <w:rFonts w:hint="eastAsia" w:ascii="仿宋" w:hAnsi="仿宋" w:eastAsia="仿宋" w:cs="仿宋"/>
          <w:b/>
          <w:color w:val="auto"/>
          <w:sz w:val="24"/>
          <w:highlight w:val="none"/>
        </w:rPr>
        <w:t>2.11 合同转让</w:t>
      </w:r>
      <w:bookmarkEnd w:id="114"/>
      <w:bookmarkEnd w:id="115"/>
      <w:bookmarkEnd w:id="116"/>
      <w:r>
        <w:rPr>
          <w:rFonts w:hint="eastAsia" w:ascii="仿宋" w:hAnsi="仿宋" w:eastAsia="仿宋" w:cs="仿宋"/>
          <w:b/>
          <w:color w:val="auto"/>
          <w:sz w:val="24"/>
          <w:highlight w:val="none"/>
        </w:rPr>
        <w:t>和分包</w:t>
      </w:r>
      <w:bookmarkEnd w:id="117"/>
      <w:bookmarkEnd w:id="118"/>
      <w:bookmarkEnd w:id="119"/>
      <w:r>
        <w:rPr>
          <w:rFonts w:hint="eastAsia" w:ascii="仿宋" w:hAnsi="仿宋" w:eastAsia="仿宋" w:cs="仿宋"/>
          <w:b/>
          <w:color w:val="auto"/>
          <w:sz w:val="24"/>
          <w:highlight w:val="none"/>
        </w:rPr>
        <w:t>（如有）</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2.11.2乙方采取分包方式履行合同的，甲方可直接向分包供应商支付款项。</w:t>
      </w:r>
    </w:p>
    <w:p>
      <w:pPr>
        <w:spacing w:line="560" w:lineRule="exact"/>
        <w:ind w:firstLine="482" w:firstLineChars="200"/>
        <w:outlineLvl w:val="0"/>
        <w:rPr>
          <w:rFonts w:hint="eastAsia" w:ascii="仿宋" w:hAnsi="仿宋" w:eastAsia="仿宋" w:cs="仿宋"/>
          <w:b/>
          <w:color w:val="auto"/>
          <w:sz w:val="24"/>
          <w:highlight w:val="none"/>
        </w:rPr>
      </w:pPr>
      <w:bookmarkStart w:id="120" w:name="_Toc14066"/>
      <w:bookmarkStart w:id="121" w:name="_Toc16508"/>
      <w:bookmarkStart w:id="122" w:name="_Toc13566"/>
      <w:r>
        <w:rPr>
          <w:rFonts w:hint="eastAsia" w:ascii="仿宋" w:hAnsi="仿宋" w:eastAsia="仿宋" w:cs="仿宋"/>
          <w:b/>
          <w:color w:val="auto"/>
          <w:sz w:val="24"/>
          <w:highlight w:val="none"/>
        </w:rPr>
        <w:t>2.12 不可抗力</w:t>
      </w:r>
      <w:bookmarkEnd w:id="120"/>
      <w:bookmarkEnd w:id="121"/>
      <w:bookmarkEnd w:id="122"/>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2.12.2 因不可抗力致使不能实现合同目的的，当事人可以解除合同；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pPr>
        <w:spacing w:line="560" w:lineRule="exact"/>
        <w:ind w:firstLine="482" w:firstLineChars="200"/>
        <w:outlineLvl w:val="0"/>
        <w:rPr>
          <w:rFonts w:hint="eastAsia" w:ascii="仿宋" w:hAnsi="仿宋" w:eastAsia="仿宋" w:cs="仿宋"/>
          <w:b/>
          <w:color w:val="auto"/>
          <w:sz w:val="24"/>
          <w:highlight w:val="none"/>
        </w:rPr>
      </w:pPr>
      <w:bookmarkStart w:id="123" w:name="_Toc487900365"/>
      <w:bookmarkStart w:id="124" w:name="_Toc259093684"/>
      <w:bookmarkStart w:id="125" w:name="_Toc30676"/>
      <w:bookmarkStart w:id="126" w:name="_Toc689"/>
      <w:bookmarkStart w:id="127" w:name="_Toc279701255"/>
      <w:bookmarkStart w:id="128" w:name="_Toc6969"/>
      <w:r>
        <w:rPr>
          <w:rFonts w:hint="eastAsia" w:ascii="仿宋" w:hAnsi="仿宋" w:eastAsia="仿宋" w:cs="仿宋"/>
          <w:b/>
          <w:color w:val="auto"/>
          <w:sz w:val="24"/>
          <w:highlight w:val="none"/>
        </w:rPr>
        <w:t>2.13 税费</w:t>
      </w:r>
      <w:bookmarkEnd w:id="123"/>
      <w:bookmarkEnd w:id="124"/>
      <w:bookmarkEnd w:id="125"/>
      <w:bookmarkEnd w:id="126"/>
      <w:bookmarkEnd w:id="127"/>
      <w:bookmarkEnd w:id="128"/>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w:t>
      </w:r>
    </w:p>
    <w:p>
      <w:pPr>
        <w:spacing w:line="560" w:lineRule="exact"/>
        <w:ind w:firstLine="482" w:firstLineChars="200"/>
        <w:outlineLvl w:val="0"/>
        <w:rPr>
          <w:rFonts w:hint="eastAsia" w:ascii="仿宋" w:hAnsi="仿宋" w:eastAsia="仿宋" w:cs="仿宋"/>
          <w:b/>
          <w:color w:val="auto"/>
          <w:sz w:val="24"/>
          <w:highlight w:val="none"/>
        </w:rPr>
      </w:pPr>
      <w:bookmarkStart w:id="129" w:name="_Toc487900368"/>
      <w:bookmarkStart w:id="130" w:name="_Toc8298"/>
      <w:bookmarkStart w:id="131" w:name="_Toc259093687"/>
      <w:bookmarkStart w:id="132" w:name="_Toc7102"/>
      <w:bookmarkStart w:id="133" w:name="_Toc16959"/>
      <w:bookmarkStart w:id="134" w:name="_Toc279701258"/>
      <w:r>
        <w:rPr>
          <w:rFonts w:hint="eastAsia" w:ascii="仿宋" w:hAnsi="仿宋" w:eastAsia="仿宋" w:cs="仿宋"/>
          <w:b/>
          <w:color w:val="auto"/>
          <w:sz w:val="24"/>
          <w:highlight w:val="none"/>
        </w:rPr>
        <w:t>2.14乙方破产</w:t>
      </w:r>
      <w:bookmarkEnd w:id="129"/>
      <w:bookmarkEnd w:id="130"/>
      <w:bookmarkEnd w:id="131"/>
      <w:bookmarkEnd w:id="132"/>
      <w:bookmarkEnd w:id="133"/>
      <w:bookmarkEnd w:id="134"/>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color w:val="auto"/>
          <w:sz w:val="24"/>
          <w:highlight w:val="none"/>
        </w:rPr>
      </w:pPr>
      <w:bookmarkStart w:id="135" w:name="_Toc15387"/>
      <w:bookmarkStart w:id="136" w:name="_Toc29333"/>
      <w:bookmarkStart w:id="137" w:name="_Toc6134"/>
      <w:r>
        <w:rPr>
          <w:rFonts w:hint="eastAsia" w:ascii="仿宋" w:hAnsi="仿宋" w:eastAsia="仿宋" w:cs="仿宋"/>
          <w:b/>
          <w:color w:val="auto"/>
          <w:sz w:val="24"/>
          <w:highlight w:val="none"/>
        </w:rPr>
        <w:t>2.15 合同中止、终止</w:t>
      </w:r>
      <w:bookmarkEnd w:id="135"/>
      <w:bookmarkEnd w:id="136"/>
      <w:bookmarkEnd w:id="137"/>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双方当事人不得擅自中止或者终止合同；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auto"/>
          <w:sz w:val="24"/>
          <w:highlight w:val="none"/>
        </w:rPr>
      </w:pPr>
      <w:bookmarkStart w:id="138" w:name="_Toc6596"/>
      <w:bookmarkStart w:id="139" w:name="_Toc1125"/>
      <w:bookmarkStart w:id="140" w:name="_Toc14563"/>
      <w:r>
        <w:rPr>
          <w:rFonts w:hint="eastAsia" w:ascii="仿宋" w:hAnsi="仿宋" w:eastAsia="仿宋" w:cs="仿宋"/>
          <w:b/>
          <w:color w:val="auto"/>
          <w:sz w:val="24"/>
          <w:highlight w:val="none"/>
        </w:rPr>
        <w:t>2.16检验和验收</w:t>
      </w:r>
      <w:bookmarkEnd w:id="138"/>
      <w:bookmarkEnd w:id="139"/>
      <w:bookmarkEnd w:id="140"/>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2.16.1货物交付前，乙方应对货物的质量、数量等方面进行详细、全面的检验，并向甲方出具证明货物符合合同约定的文件；货物交付时，乙方在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约定时间内组织验收，并可依法邀请相关方参加，验收应出具验收书。</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bookmarkEnd w:id="110"/>
    <w:bookmarkEnd w:id="111"/>
    <w:bookmarkEnd w:id="112"/>
    <w:bookmarkEnd w:id="113"/>
    <w:p>
      <w:pPr>
        <w:spacing w:line="560" w:lineRule="exact"/>
        <w:ind w:firstLine="482" w:firstLineChars="200"/>
        <w:outlineLvl w:val="0"/>
        <w:rPr>
          <w:rFonts w:hint="eastAsia" w:ascii="仿宋" w:hAnsi="仿宋" w:eastAsia="仿宋" w:cs="仿宋"/>
          <w:b/>
          <w:color w:val="auto"/>
          <w:sz w:val="24"/>
          <w:highlight w:val="none"/>
        </w:rPr>
      </w:pPr>
      <w:bookmarkStart w:id="141" w:name="_Toc279701261"/>
      <w:bookmarkStart w:id="142" w:name="_Toc487900371"/>
      <w:bookmarkStart w:id="143" w:name="_Toc259093690"/>
      <w:bookmarkStart w:id="144" w:name="_Toc25182"/>
      <w:bookmarkStart w:id="145" w:name="_Toc11284"/>
      <w:bookmarkStart w:id="146" w:name="_Toc19604"/>
      <w:r>
        <w:rPr>
          <w:rFonts w:hint="eastAsia" w:ascii="仿宋" w:hAnsi="仿宋" w:eastAsia="仿宋" w:cs="仿宋"/>
          <w:b/>
          <w:color w:val="auto"/>
          <w:sz w:val="24"/>
          <w:highlight w:val="none"/>
        </w:rPr>
        <w:t>2.17 通知</w:t>
      </w:r>
      <w:bookmarkEnd w:id="141"/>
      <w:bookmarkEnd w:id="142"/>
      <w:bookmarkEnd w:id="143"/>
      <w:r>
        <w:rPr>
          <w:rFonts w:hint="eastAsia" w:ascii="仿宋" w:hAnsi="仿宋" w:eastAsia="仿宋" w:cs="仿宋"/>
          <w:b/>
          <w:color w:val="auto"/>
          <w:sz w:val="24"/>
          <w:highlight w:val="none"/>
        </w:rPr>
        <w:t>和送达</w:t>
      </w:r>
      <w:bookmarkEnd w:id="144"/>
      <w:bookmarkEnd w:id="145"/>
      <w:bookmarkEnd w:id="146"/>
    </w:p>
    <w:p>
      <w:pPr>
        <w:spacing w:line="560" w:lineRule="exact"/>
        <w:ind w:firstLine="480" w:firstLineChars="200"/>
        <w:rPr>
          <w:rFonts w:hint="eastAsia" w:ascii="仿宋" w:hAnsi="仿宋" w:eastAsia="仿宋" w:cs="仿宋"/>
          <w:color w:val="auto"/>
          <w:sz w:val="24"/>
          <w:highlight w:val="none"/>
        </w:rPr>
      </w:pPr>
      <w:bookmarkStart w:id="147" w:name="_Toc6698"/>
      <w:bookmarkStart w:id="148" w:name="_Toc3135"/>
      <w:bookmarkStart w:id="149" w:name="_Toc487900372"/>
      <w:bookmarkStart w:id="150" w:name="_Toc279701262"/>
      <w:bookmarkStart w:id="151" w:name="_Toc259093691"/>
      <w:r>
        <w:rPr>
          <w:rFonts w:hint="eastAsia" w:ascii="仿宋" w:hAnsi="仿宋" w:eastAsia="仿宋" w:cs="仿宋"/>
          <w:color w:val="auto"/>
          <w:sz w:val="24"/>
          <w:highlight w:val="none"/>
        </w:rPr>
        <w:t>2.17.1任何一方因履行合同而以合同第一部分尾部所列明的传真或电子邮件发出的所有通知、文件、材料，均视为已向对方当事人送达；任何一方变更上述送达方式或者地址的，应于个工作日内书面通知对方当事人，在对方当事人收到有关变更通知之前，变更前的约定送达方式或者地址仍视为有效。</w:t>
      </w:r>
      <w:bookmarkEnd w:id="147"/>
      <w:bookmarkEnd w:id="148"/>
    </w:p>
    <w:p>
      <w:pPr>
        <w:spacing w:line="560" w:lineRule="exact"/>
        <w:ind w:firstLine="480" w:firstLineChars="200"/>
        <w:rPr>
          <w:rFonts w:hint="eastAsia" w:ascii="仿宋" w:hAnsi="仿宋" w:eastAsia="仿宋" w:cs="仿宋"/>
          <w:color w:val="auto"/>
          <w:sz w:val="24"/>
          <w:highlight w:val="none"/>
        </w:rPr>
      </w:pPr>
      <w:bookmarkStart w:id="152" w:name="_Toc23128"/>
      <w:bookmarkStart w:id="153" w:name="_Toc23294"/>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2"/>
      <w:bookmarkEnd w:id="153"/>
    </w:p>
    <w:p>
      <w:pPr>
        <w:spacing w:line="560" w:lineRule="exact"/>
        <w:ind w:firstLine="482" w:firstLineChars="200"/>
        <w:outlineLvl w:val="0"/>
        <w:rPr>
          <w:rFonts w:hint="eastAsia" w:ascii="仿宋" w:hAnsi="仿宋" w:eastAsia="仿宋" w:cs="仿宋"/>
          <w:b/>
          <w:color w:val="auto"/>
          <w:sz w:val="24"/>
          <w:highlight w:val="none"/>
        </w:rPr>
      </w:pPr>
      <w:bookmarkStart w:id="154" w:name="_Toc30599"/>
      <w:bookmarkStart w:id="155" w:name="_Toc18540"/>
      <w:bookmarkStart w:id="156" w:name="_Toc4355"/>
      <w:r>
        <w:rPr>
          <w:rFonts w:hint="eastAsia" w:ascii="仿宋" w:hAnsi="仿宋" w:eastAsia="仿宋" w:cs="仿宋"/>
          <w:b/>
          <w:color w:val="auto"/>
          <w:sz w:val="24"/>
          <w:highlight w:val="none"/>
        </w:rPr>
        <w:t>2.18 计量单位</w:t>
      </w:r>
      <w:bookmarkEnd w:id="149"/>
      <w:bookmarkEnd w:id="150"/>
      <w:bookmarkEnd w:id="151"/>
      <w:bookmarkEnd w:id="154"/>
      <w:bookmarkEnd w:id="155"/>
      <w:bookmarkEnd w:id="156"/>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color w:val="auto"/>
          <w:sz w:val="24"/>
          <w:highlight w:val="none"/>
        </w:rPr>
      </w:pPr>
      <w:bookmarkStart w:id="157" w:name="_Toc12773"/>
      <w:bookmarkStart w:id="158" w:name="_Toc279701263"/>
      <w:bookmarkStart w:id="159" w:name="_Toc259093692"/>
      <w:bookmarkStart w:id="160" w:name="_Toc487900373"/>
      <w:bookmarkStart w:id="161" w:name="_Toc10330"/>
      <w:bookmarkStart w:id="162" w:name="_Toc18567"/>
      <w:r>
        <w:rPr>
          <w:rFonts w:hint="eastAsia" w:ascii="仿宋" w:hAnsi="仿宋" w:eastAsia="仿宋" w:cs="仿宋"/>
          <w:b/>
          <w:color w:val="auto"/>
          <w:sz w:val="24"/>
          <w:highlight w:val="none"/>
        </w:rPr>
        <w:t>2.19 合同使用的文字和适用的法律</w:t>
      </w:r>
      <w:bookmarkEnd w:id="157"/>
      <w:bookmarkEnd w:id="158"/>
      <w:bookmarkEnd w:id="159"/>
      <w:bookmarkEnd w:id="160"/>
      <w:bookmarkEnd w:id="161"/>
      <w:bookmarkEnd w:id="162"/>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pPr>
        <w:spacing w:line="560" w:lineRule="exact"/>
        <w:ind w:firstLine="482" w:firstLineChars="200"/>
        <w:outlineLvl w:val="0"/>
        <w:rPr>
          <w:rFonts w:hint="eastAsia" w:ascii="仿宋" w:hAnsi="仿宋" w:eastAsia="仿宋" w:cs="仿宋"/>
          <w:b/>
          <w:color w:val="auto"/>
          <w:sz w:val="24"/>
          <w:highlight w:val="none"/>
        </w:rPr>
      </w:pPr>
      <w:bookmarkStart w:id="163" w:name="_Toc279701264"/>
      <w:bookmarkStart w:id="164" w:name="_Toc16673"/>
      <w:bookmarkStart w:id="165" w:name="_Toc12004"/>
      <w:bookmarkStart w:id="166" w:name="_Toc259093693"/>
      <w:bookmarkStart w:id="167" w:name="_Toc3148"/>
      <w:bookmarkStart w:id="168" w:name="_Toc487900374"/>
      <w:r>
        <w:rPr>
          <w:rFonts w:hint="eastAsia" w:ascii="仿宋" w:hAnsi="仿宋" w:eastAsia="仿宋" w:cs="仿宋"/>
          <w:b/>
          <w:color w:val="auto"/>
          <w:sz w:val="24"/>
          <w:highlight w:val="none"/>
        </w:rPr>
        <w:t>2.20 履约保证金</w:t>
      </w:r>
      <w:bookmarkEnd w:id="163"/>
      <w:bookmarkEnd w:id="164"/>
      <w:bookmarkEnd w:id="165"/>
      <w:bookmarkEnd w:id="166"/>
      <w:bookmarkEnd w:id="167"/>
    </w:p>
    <w:p>
      <w:pPr>
        <w:pStyle w:val="285"/>
        <w:spacing w:before="0" w:beforeAutospacing="0" w:after="0" w:afterAutospacing="0" w:line="360" w:lineRule="auto"/>
        <w:ind w:firstLine="420"/>
        <w:rPr>
          <w:rFonts w:hint="eastAsia" w:ascii="仿宋" w:hAnsi="仿宋" w:eastAsia="仿宋" w:cs="仿宋"/>
          <w:color w:val="auto"/>
          <w:highlight w:val="none"/>
        </w:rPr>
      </w:pPr>
      <w:r>
        <w:rPr>
          <w:rFonts w:hint="eastAsia" w:ascii="仿宋" w:hAnsi="仿宋" w:eastAsia="仿宋" w:cs="仿宋"/>
          <w:color w:val="auto"/>
          <w:highlight w:val="none"/>
        </w:rPr>
        <w:t>2.20.1 采购文件要求乙方提交履约保证金的，乙方应按</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rPr>
        <w:t>约定的方式，以支票、汇票、本票或者金融机构、担保机构出具的保函等非现金形式，提交不超过合同金额1%的履约保证金；鼓励和支持乙方以银行、保险公司出具的保函形式提供履约保证。</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2.20.2  履约保证金在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约定期间内不予退还。乙方在前述约定期间届满前能履行完合同约定义务事项的，甲方在前述约定期间届满之日起个工作日内，按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 xml:space="preserve">约定的方式将履约保证金退还乙方，逾期退还的，乙方可要求甲方支付违约金，违约金按每迟延退还一日的应退还而未退还金额的%计算，最高限额为本合同履约保证金的%； </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2.20.4甲方在乙方履行完合同约定义务事项后及时退还，延迟退还的，应当按照合同约定和法律规定承担相应的赔偿责任。</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2.21对于因甲方原因导致变更、中止或者终止政府采购合同的，甲方应当依照合同约定对供应商受到的损失予以赔偿或者补偿。</w:t>
      </w:r>
    </w:p>
    <w:bookmarkEnd w:id="168"/>
    <w:p>
      <w:pPr>
        <w:spacing w:line="560" w:lineRule="exact"/>
        <w:ind w:firstLine="482" w:firstLineChars="200"/>
        <w:outlineLvl w:val="0"/>
        <w:rPr>
          <w:rFonts w:hint="eastAsia" w:ascii="仿宋" w:hAnsi="仿宋" w:eastAsia="仿宋" w:cs="仿宋"/>
          <w:b/>
          <w:color w:val="auto"/>
          <w:sz w:val="24"/>
          <w:highlight w:val="none"/>
        </w:rPr>
      </w:pPr>
      <w:bookmarkStart w:id="169" w:name="_Toc14001"/>
      <w:bookmarkStart w:id="170" w:name="_Toc6885"/>
      <w:bookmarkStart w:id="171" w:name="_Toc19890"/>
      <w:r>
        <w:rPr>
          <w:rFonts w:hint="eastAsia" w:ascii="仿宋" w:hAnsi="仿宋" w:eastAsia="仿宋" w:cs="仿宋"/>
          <w:b/>
          <w:color w:val="auto"/>
          <w:sz w:val="24"/>
          <w:highlight w:val="none"/>
        </w:rPr>
        <w:t>2.22合同份数</w:t>
      </w:r>
      <w:bookmarkEnd w:id="169"/>
      <w:bookmarkEnd w:id="170"/>
      <w:bookmarkEnd w:id="171"/>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2.23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 </w:t>
      </w:r>
    </w:p>
    <w:p>
      <w:pPr>
        <w:pStyle w:val="284"/>
        <w:spacing w:line="560" w:lineRule="exact"/>
        <w:jc w:val="center"/>
        <w:rPr>
          <w:rFonts w:hint="eastAsia" w:ascii="仿宋" w:hAnsi="仿宋" w:eastAsia="仿宋" w:cs="仿宋"/>
          <w:b/>
          <w:color w:val="auto"/>
          <w:szCs w:val="24"/>
          <w:highlight w:val="none"/>
        </w:rPr>
      </w:pPr>
      <w:r>
        <w:rPr>
          <w:rFonts w:hint="eastAsia" w:ascii="仿宋" w:hAnsi="仿宋" w:eastAsia="仿宋" w:cs="仿宋"/>
          <w:color w:val="auto"/>
          <w:kern w:val="0"/>
          <w:szCs w:val="24"/>
          <w:highlight w:val="none"/>
        </w:rPr>
        <w:br w:type="page"/>
      </w:r>
      <w:bookmarkStart w:id="172" w:name="_Toc331685784"/>
      <w:bookmarkEnd w:id="172"/>
      <w:r>
        <w:rPr>
          <w:rFonts w:hint="eastAsia" w:ascii="仿宋" w:hAnsi="仿宋" w:eastAsia="仿宋" w:cs="仿宋"/>
          <w:b/>
          <w:color w:val="auto"/>
          <w:szCs w:val="24"/>
          <w:highlight w:val="none"/>
        </w:rPr>
        <w:t>第三部分合同专用条款</w:t>
      </w:r>
    </w:p>
    <w:p>
      <w:pPr>
        <w:spacing w:line="560" w:lineRule="exact"/>
        <w:ind w:left="-420" w:leftChars="-200" w:right="-420" w:rightChars="-20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275"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1.4.4</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1.6.7</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275" w:type="dxa"/>
            <w:vAlign w:val="center"/>
          </w:tcPr>
          <w:p>
            <w:pPr>
              <w:spacing w:line="360" w:lineRule="auto"/>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2.4.1</w:t>
            </w:r>
          </w:p>
        </w:tc>
        <w:tc>
          <w:tcPr>
            <w:tcW w:w="8275" w:type="dxa"/>
            <w:vAlign w:val="center"/>
          </w:tcPr>
          <w:p>
            <w:pPr>
              <w:spacing w:line="360" w:lineRule="auto"/>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2.4.2</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2.8 </w:t>
            </w:r>
          </w:p>
        </w:tc>
        <w:tc>
          <w:tcPr>
            <w:tcW w:w="8275" w:type="dxa"/>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2.12.3</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2.12.4</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2.16.1</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2.16.3</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2.20.1</w:t>
            </w:r>
          </w:p>
        </w:tc>
        <w:tc>
          <w:tcPr>
            <w:tcW w:w="8275" w:type="dxa"/>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2.20.2 </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ind w:left="-420" w:leftChars="-200" w:right="-420" w:rightChars="-200"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2.22</w:t>
            </w:r>
          </w:p>
        </w:tc>
        <w:tc>
          <w:tcPr>
            <w:tcW w:w="8275" w:type="dxa"/>
            <w:vAlign w:val="center"/>
          </w:tcPr>
          <w:p>
            <w:pPr>
              <w:spacing w:line="360" w:lineRule="auto"/>
              <w:rPr>
                <w:rFonts w:hint="eastAsia" w:ascii="仿宋" w:hAnsi="仿宋" w:eastAsia="仿宋" w:cs="仿宋"/>
                <w:color w:val="auto"/>
                <w:sz w:val="24"/>
                <w:highlight w:val="none"/>
              </w:rPr>
            </w:pPr>
          </w:p>
        </w:tc>
      </w:tr>
    </w:tbl>
    <w:p>
      <w:pPr>
        <w:spacing w:line="360" w:lineRule="auto"/>
        <w:ind w:left="-420" w:leftChars="-200" w:right="-420" w:rightChars="-200" w:firstLine="480" w:firstLineChars="200"/>
        <w:rPr>
          <w:rFonts w:hint="eastAsia" w:ascii="仿宋" w:hAnsi="仿宋" w:eastAsia="仿宋" w:cs="仿宋"/>
          <w:color w:val="auto"/>
          <w:sz w:val="24"/>
          <w:highlight w:val="none"/>
        </w:rPr>
      </w:pPr>
    </w:p>
    <w:p>
      <w:pPr>
        <w:spacing w:line="38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（注：在正式签约时，根据上述精神应拟就更为详尽的合同书）</w:t>
      </w:r>
    </w:p>
    <w:p>
      <w:pPr>
        <w:pStyle w:val="25"/>
        <w:pageBreakBefore/>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0分，价格分</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0分。评分依下述所列为评标打分依据，分值如下（计算分值时，按其算术平均值保留小数2位）。</w:t>
      </w:r>
    </w:p>
    <w:p>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7</w:t>
      </w:r>
      <w:r>
        <w:rPr>
          <w:rFonts w:hint="eastAsia" w:ascii="仿宋" w:hAnsi="仿宋" w:eastAsia="仿宋" w:cs="仿宋"/>
          <w:b/>
          <w:bCs/>
          <w:iCs/>
          <w:color w:val="auto"/>
          <w:sz w:val="24"/>
          <w:highlight w:val="none"/>
        </w:rPr>
        <w:t>0分）</w:t>
      </w:r>
    </w:p>
    <w:tbl>
      <w:tblPr>
        <w:tblStyle w:val="43"/>
        <w:tblW w:w="92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1140"/>
        <w:gridCol w:w="6855"/>
        <w:gridCol w:w="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634" w:type="dxa"/>
            <w:noWrap/>
            <w:vAlign w:val="center"/>
          </w:tcPr>
          <w:p>
            <w:pPr>
              <w:widowControl/>
              <w:contextualSpacing/>
              <w:jc w:val="center"/>
              <w:rPr>
                <w:rFonts w:hint="eastAsia" w:ascii="仿宋" w:hAnsi="仿宋" w:eastAsia="仿宋" w:cs="仿宋"/>
                <w:b/>
                <w:bCs/>
                <w:color w:val="auto"/>
                <w:szCs w:val="20"/>
                <w:highlight w:val="none"/>
              </w:rPr>
            </w:pPr>
            <w:bookmarkStart w:id="173" w:name="_Hlk43039012"/>
            <w:r>
              <w:rPr>
                <w:rFonts w:hint="eastAsia" w:ascii="仿宋" w:hAnsi="仿宋" w:eastAsia="仿宋" w:cs="仿宋"/>
                <w:b/>
                <w:bCs/>
                <w:color w:val="auto"/>
                <w:szCs w:val="20"/>
                <w:highlight w:val="none"/>
              </w:rPr>
              <w:t>序号</w:t>
            </w:r>
          </w:p>
        </w:tc>
        <w:tc>
          <w:tcPr>
            <w:tcW w:w="1140" w:type="dxa"/>
            <w:noWrap w:val="0"/>
            <w:vAlign w:val="center"/>
          </w:tcPr>
          <w:p>
            <w:pPr>
              <w:widowControl/>
              <w:contextualSpacing/>
              <w:jc w:val="center"/>
              <w:rPr>
                <w:rFonts w:hint="eastAsia" w:ascii="仿宋" w:hAnsi="仿宋" w:eastAsia="仿宋" w:cs="仿宋"/>
                <w:b/>
                <w:bCs/>
                <w:color w:val="auto"/>
                <w:szCs w:val="20"/>
                <w:highlight w:val="none"/>
              </w:rPr>
            </w:pPr>
            <w:r>
              <w:rPr>
                <w:rFonts w:hint="eastAsia" w:ascii="仿宋" w:hAnsi="仿宋" w:eastAsia="仿宋" w:cs="仿宋"/>
                <w:b/>
                <w:bCs/>
                <w:color w:val="auto"/>
                <w:szCs w:val="20"/>
                <w:highlight w:val="none"/>
              </w:rPr>
              <w:t>评审项目</w:t>
            </w:r>
          </w:p>
        </w:tc>
        <w:tc>
          <w:tcPr>
            <w:tcW w:w="6855" w:type="dxa"/>
            <w:noWrap w:val="0"/>
            <w:vAlign w:val="center"/>
          </w:tcPr>
          <w:p>
            <w:pPr>
              <w:widowControl/>
              <w:contextualSpacing/>
              <w:jc w:val="center"/>
              <w:rPr>
                <w:rFonts w:hint="eastAsia" w:ascii="仿宋" w:hAnsi="仿宋" w:eastAsia="仿宋" w:cs="仿宋"/>
                <w:b/>
                <w:bCs/>
                <w:color w:val="auto"/>
                <w:szCs w:val="20"/>
                <w:highlight w:val="none"/>
              </w:rPr>
            </w:pPr>
            <w:r>
              <w:rPr>
                <w:rFonts w:hint="eastAsia" w:ascii="仿宋" w:hAnsi="仿宋" w:eastAsia="仿宋" w:cs="仿宋"/>
                <w:b/>
                <w:bCs/>
                <w:color w:val="auto"/>
                <w:szCs w:val="20"/>
                <w:highlight w:val="none"/>
              </w:rPr>
              <w:t>评审标准</w:t>
            </w:r>
          </w:p>
        </w:tc>
        <w:tc>
          <w:tcPr>
            <w:tcW w:w="623" w:type="dxa"/>
            <w:noWrap w:val="0"/>
            <w:vAlign w:val="center"/>
          </w:tcPr>
          <w:p>
            <w:pPr>
              <w:widowControl/>
              <w:contextualSpacing/>
              <w:jc w:val="center"/>
              <w:rPr>
                <w:rFonts w:hint="eastAsia" w:ascii="仿宋" w:hAnsi="仿宋" w:eastAsia="仿宋" w:cs="仿宋"/>
                <w:b/>
                <w:bCs/>
                <w:color w:val="auto"/>
                <w:szCs w:val="20"/>
                <w:highlight w:val="none"/>
              </w:rPr>
            </w:pPr>
            <w:r>
              <w:rPr>
                <w:rFonts w:hint="eastAsia" w:ascii="仿宋" w:hAnsi="仿宋" w:eastAsia="仿宋" w:cs="仿宋"/>
                <w:b/>
                <w:bCs/>
                <w:color w:val="auto"/>
                <w:szCs w:val="20"/>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4" w:type="dxa"/>
            <w:noWrap/>
            <w:vAlign w:val="center"/>
          </w:tcPr>
          <w:p>
            <w:pPr>
              <w:widowControl/>
              <w:contextualSpacing/>
              <w:jc w:val="center"/>
              <w:rPr>
                <w:rFonts w:hint="eastAsia" w:ascii="仿宋" w:hAnsi="仿宋" w:eastAsia="仿宋" w:cs="仿宋"/>
                <w:color w:val="auto"/>
                <w:szCs w:val="20"/>
                <w:highlight w:val="none"/>
                <w:lang w:val="en-US" w:eastAsia="zh-CN"/>
              </w:rPr>
            </w:pPr>
            <w:r>
              <w:rPr>
                <w:rFonts w:hint="eastAsia" w:ascii="仿宋" w:hAnsi="仿宋" w:eastAsia="仿宋" w:cs="仿宋"/>
                <w:color w:val="auto"/>
                <w:szCs w:val="20"/>
                <w:highlight w:val="none"/>
                <w:lang w:val="en-US" w:eastAsia="zh-CN"/>
              </w:rPr>
              <w:t>1</w:t>
            </w:r>
          </w:p>
        </w:tc>
        <w:tc>
          <w:tcPr>
            <w:tcW w:w="1140" w:type="dxa"/>
            <w:noWrap w:val="0"/>
            <w:vAlign w:val="center"/>
          </w:tcPr>
          <w:p>
            <w:pPr>
              <w:widowControl/>
              <w:contextualSpacing/>
              <w:jc w:val="center"/>
              <w:rPr>
                <w:rFonts w:hint="eastAsia" w:ascii="仿宋" w:hAnsi="仿宋" w:eastAsia="仿宋" w:cs="仿宋"/>
                <w:color w:val="auto"/>
                <w:szCs w:val="20"/>
                <w:highlight w:val="none"/>
              </w:rPr>
            </w:pPr>
            <w:r>
              <w:rPr>
                <w:rFonts w:hint="eastAsia" w:ascii="仿宋" w:hAnsi="仿宋" w:eastAsia="仿宋" w:cs="仿宋"/>
                <w:color w:val="auto"/>
                <w:szCs w:val="20"/>
                <w:highlight w:val="none"/>
              </w:rPr>
              <w:t>综合实力</w:t>
            </w:r>
          </w:p>
        </w:tc>
        <w:tc>
          <w:tcPr>
            <w:tcW w:w="6855" w:type="dxa"/>
            <w:noWrap w:val="0"/>
            <w:vAlign w:val="center"/>
          </w:tcPr>
          <w:p>
            <w:pPr>
              <w:widowControl/>
              <w:contextualSpacing/>
              <w:rPr>
                <w:rFonts w:hint="eastAsia" w:ascii="仿宋" w:hAnsi="仿宋" w:eastAsia="仿宋" w:cs="仿宋"/>
                <w:color w:val="auto"/>
                <w:szCs w:val="20"/>
                <w:highlight w:val="none"/>
              </w:rPr>
            </w:pPr>
            <w:r>
              <w:rPr>
                <w:rFonts w:hint="eastAsia" w:ascii="仿宋" w:hAnsi="仿宋" w:eastAsia="仿宋" w:cs="仿宋"/>
                <w:color w:val="auto"/>
                <w:szCs w:val="20"/>
                <w:highlight w:val="none"/>
              </w:rPr>
              <w:t>投标人通过ISO9001质量管理体系认证，通过ISO20000信息技术服务管理体系认证，通过ISO27001信息安全体系认证，通过ISO14001环境管理体系认证，通过ISO45001职业健康安全管理体系认证，每提供一个证书2分,最高10分</w:t>
            </w:r>
            <w:r>
              <w:rPr>
                <w:rFonts w:hint="eastAsia" w:ascii="仿宋" w:hAnsi="仿宋" w:eastAsia="仿宋" w:cs="仿宋"/>
                <w:color w:val="auto"/>
                <w:szCs w:val="20"/>
                <w:highlight w:val="none"/>
                <w:lang w:eastAsia="zh-CN"/>
              </w:rPr>
              <w:t>，需提供证书复印件加盖投标人公章，未提供不得分</w:t>
            </w:r>
            <w:r>
              <w:rPr>
                <w:rFonts w:hint="eastAsia" w:ascii="仿宋" w:hAnsi="仿宋" w:eastAsia="仿宋" w:cs="仿宋"/>
                <w:color w:val="auto"/>
                <w:szCs w:val="20"/>
                <w:highlight w:val="none"/>
              </w:rPr>
              <w:t>。</w:t>
            </w:r>
          </w:p>
        </w:tc>
        <w:tc>
          <w:tcPr>
            <w:tcW w:w="623" w:type="dxa"/>
            <w:noWrap w:val="0"/>
            <w:vAlign w:val="center"/>
          </w:tcPr>
          <w:p>
            <w:pPr>
              <w:widowControl/>
              <w:contextualSpacing/>
              <w:jc w:val="center"/>
              <w:rPr>
                <w:rFonts w:hint="eastAsia" w:ascii="仿宋" w:hAnsi="仿宋" w:eastAsia="仿宋" w:cs="仿宋"/>
                <w:color w:val="auto"/>
                <w:szCs w:val="20"/>
                <w:highlight w:val="none"/>
              </w:rPr>
            </w:pPr>
            <w:r>
              <w:rPr>
                <w:rFonts w:hint="eastAsia" w:ascii="仿宋" w:hAnsi="仿宋" w:eastAsia="仿宋" w:cs="仿宋"/>
                <w:color w:val="auto"/>
                <w:szCs w:val="20"/>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634" w:type="dxa"/>
            <w:noWrap/>
            <w:vAlign w:val="center"/>
          </w:tcPr>
          <w:p>
            <w:pPr>
              <w:widowControl/>
              <w:contextualSpacing/>
              <w:jc w:val="center"/>
              <w:rPr>
                <w:rFonts w:hint="eastAsia" w:ascii="仿宋" w:hAnsi="仿宋" w:eastAsia="仿宋" w:cs="仿宋"/>
                <w:color w:val="auto"/>
                <w:kern w:val="2"/>
                <w:sz w:val="21"/>
                <w:szCs w:val="20"/>
                <w:highlight w:val="none"/>
                <w:lang w:val="en-US" w:eastAsia="zh-CN" w:bidi="ar-SA"/>
              </w:rPr>
            </w:pPr>
            <w:r>
              <w:rPr>
                <w:rFonts w:hint="eastAsia" w:ascii="仿宋" w:hAnsi="仿宋" w:eastAsia="仿宋" w:cs="仿宋"/>
                <w:color w:val="auto"/>
                <w:szCs w:val="20"/>
                <w:highlight w:val="none"/>
              </w:rPr>
              <w:t>2</w:t>
            </w:r>
          </w:p>
        </w:tc>
        <w:tc>
          <w:tcPr>
            <w:tcW w:w="1140" w:type="dxa"/>
            <w:noWrap w:val="0"/>
            <w:vAlign w:val="center"/>
          </w:tcPr>
          <w:p>
            <w:pPr>
              <w:widowControl/>
              <w:contextualSpacing/>
              <w:jc w:val="center"/>
              <w:rPr>
                <w:rFonts w:hint="eastAsia" w:ascii="仿宋" w:hAnsi="仿宋" w:eastAsia="仿宋" w:cs="仿宋"/>
                <w:color w:val="auto"/>
                <w:szCs w:val="20"/>
                <w:highlight w:val="none"/>
              </w:rPr>
            </w:pPr>
            <w:r>
              <w:rPr>
                <w:rFonts w:hint="eastAsia" w:ascii="仿宋" w:hAnsi="仿宋" w:eastAsia="仿宋" w:cs="仿宋"/>
                <w:color w:val="auto"/>
                <w:szCs w:val="20"/>
                <w:highlight w:val="none"/>
              </w:rPr>
              <w:t>自主知识产权</w:t>
            </w:r>
          </w:p>
        </w:tc>
        <w:tc>
          <w:tcPr>
            <w:tcW w:w="6855" w:type="dxa"/>
            <w:noWrap w:val="0"/>
            <w:vAlign w:val="center"/>
          </w:tcPr>
          <w:p>
            <w:pPr>
              <w:widowControl/>
              <w:contextualSpacing/>
              <w:rPr>
                <w:rFonts w:hint="eastAsia" w:ascii="仿宋" w:hAnsi="仿宋" w:eastAsia="仿宋" w:cs="仿宋"/>
                <w:color w:val="auto"/>
                <w:szCs w:val="20"/>
                <w:highlight w:val="none"/>
              </w:rPr>
            </w:pPr>
            <w:r>
              <w:rPr>
                <w:rFonts w:hint="eastAsia" w:ascii="仿宋" w:hAnsi="仿宋" w:eastAsia="仿宋" w:cs="仿宋"/>
                <w:color w:val="auto"/>
                <w:szCs w:val="20"/>
                <w:highlight w:val="none"/>
              </w:rPr>
              <w:t>投标人具有医院大数据融合平台、医院医保精细化管理平台、医院医保基金大数据风控平台、医院医保基金智能审核系统、医院医保基金稽核系统、医院医保基金内部管控系统等与医院医保精细化管理相关的软件产品著作权登记证书，每提供一个证书得2分,最高8分</w:t>
            </w:r>
            <w:r>
              <w:rPr>
                <w:rFonts w:hint="eastAsia" w:ascii="仿宋" w:hAnsi="仿宋" w:eastAsia="仿宋" w:cs="仿宋"/>
                <w:color w:val="auto"/>
                <w:szCs w:val="20"/>
                <w:highlight w:val="none"/>
                <w:lang w:eastAsia="zh-CN"/>
              </w:rPr>
              <w:t>，</w:t>
            </w:r>
            <w:r>
              <w:rPr>
                <w:rFonts w:hint="eastAsia" w:ascii="仿宋" w:hAnsi="仿宋" w:eastAsia="仿宋" w:cs="仿宋"/>
                <w:color w:val="auto"/>
                <w:szCs w:val="20"/>
                <w:highlight w:val="none"/>
                <w:lang w:eastAsia="zh-CN"/>
              </w:rPr>
              <w:t>需提供相关证书复印件加盖投标人公章，未提供不得分</w:t>
            </w:r>
            <w:r>
              <w:rPr>
                <w:rFonts w:hint="eastAsia" w:ascii="仿宋" w:hAnsi="仿宋" w:eastAsia="仿宋" w:cs="仿宋"/>
                <w:color w:val="auto"/>
                <w:szCs w:val="20"/>
                <w:highlight w:val="none"/>
              </w:rPr>
              <w:t>。</w:t>
            </w:r>
          </w:p>
        </w:tc>
        <w:tc>
          <w:tcPr>
            <w:tcW w:w="623" w:type="dxa"/>
            <w:noWrap w:val="0"/>
            <w:vAlign w:val="center"/>
          </w:tcPr>
          <w:p>
            <w:pPr>
              <w:widowControl/>
              <w:contextualSpacing/>
              <w:jc w:val="center"/>
              <w:rPr>
                <w:rFonts w:hint="eastAsia" w:ascii="仿宋" w:hAnsi="仿宋" w:eastAsia="仿宋" w:cs="仿宋"/>
                <w:color w:val="auto"/>
                <w:szCs w:val="20"/>
                <w:highlight w:val="none"/>
              </w:rPr>
            </w:pPr>
            <w:r>
              <w:rPr>
                <w:rFonts w:hint="eastAsia" w:ascii="仿宋" w:hAnsi="仿宋" w:eastAsia="仿宋" w:cs="仿宋"/>
                <w:color w:val="auto"/>
                <w:szCs w:val="20"/>
                <w:highlight w:val="none"/>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634" w:type="dxa"/>
            <w:noWrap/>
            <w:vAlign w:val="center"/>
          </w:tcPr>
          <w:p>
            <w:pPr>
              <w:widowControl/>
              <w:contextualSpacing/>
              <w:jc w:val="center"/>
              <w:rPr>
                <w:rFonts w:hint="eastAsia" w:ascii="仿宋" w:hAnsi="仿宋" w:eastAsia="仿宋" w:cs="仿宋"/>
                <w:color w:val="auto"/>
                <w:kern w:val="2"/>
                <w:sz w:val="21"/>
                <w:szCs w:val="20"/>
                <w:highlight w:val="none"/>
                <w:lang w:val="en-US" w:eastAsia="zh-CN" w:bidi="ar-SA"/>
              </w:rPr>
            </w:pPr>
            <w:r>
              <w:rPr>
                <w:rFonts w:hint="eastAsia" w:ascii="仿宋" w:hAnsi="仿宋" w:eastAsia="仿宋" w:cs="仿宋"/>
                <w:color w:val="auto"/>
                <w:szCs w:val="20"/>
                <w:highlight w:val="none"/>
              </w:rPr>
              <w:t>3</w:t>
            </w:r>
          </w:p>
        </w:tc>
        <w:tc>
          <w:tcPr>
            <w:tcW w:w="1140" w:type="dxa"/>
            <w:noWrap w:val="0"/>
            <w:vAlign w:val="center"/>
          </w:tcPr>
          <w:p>
            <w:pPr>
              <w:widowControl/>
              <w:contextualSpacing/>
              <w:jc w:val="center"/>
              <w:rPr>
                <w:rFonts w:hint="eastAsia" w:ascii="仿宋" w:hAnsi="仿宋" w:eastAsia="仿宋" w:cs="仿宋"/>
                <w:color w:val="auto"/>
                <w:szCs w:val="20"/>
                <w:highlight w:val="none"/>
              </w:rPr>
            </w:pPr>
            <w:r>
              <w:rPr>
                <w:rFonts w:hint="eastAsia" w:ascii="仿宋" w:hAnsi="仿宋" w:eastAsia="仿宋" w:cs="仿宋"/>
                <w:color w:val="auto"/>
                <w:szCs w:val="20"/>
                <w:highlight w:val="none"/>
              </w:rPr>
              <w:t>类似项目业绩</w:t>
            </w:r>
          </w:p>
        </w:tc>
        <w:tc>
          <w:tcPr>
            <w:tcW w:w="6855" w:type="dxa"/>
            <w:noWrap w:val="0"/>
            <w:vAlign w:val="center"/>
          </w:tcPr>
          <w:p>
            <w:pPr>
              <w:widowControl/>
              <w:contextualSpacing/>
              <w:rPr>
                <w:rFonts w:hint="eastAsia" w:ascii="仿宋" w:hAnsi="仿宋" w:eastAsia="仿宋" w:cs="仿宋"/>
                <w:color w:val="auto"/>
                <w:szCs w:val="20"/>
                <w:highlight w:val="none"/>
              </w:rPr>
            </w:pPr>
            <w:r>
              <w:rPr>
                <w:rFonts w:hint="eastAsia" w:ascii="仿宋" w:hAnsi="仿宋" w:eastAsia="仿宋" w:cs="仿宋"/>
                <w:color w:val="auto"/>
                <w:szCs w:val="20"/>
                <w:highlight w:val="none"/>
              </w:rPr>
              <w:t>投标人提供2020年1月1日以来完成的医院医保精细化管理服务类似项目业绩，每提供一个合同得</w:t>
            </w:r>
            <w:r>
              <w:rPr>
                <w:rFonts w:hint="eastAsia" w:ascii="仿宋" w:hAnsi="仿宋" w:eastAsia="仿宋" w:cs="仿宋"/>
                <w:color w:val="auto"/>
                <w:szCs w:val="20"/>
                <w:highlight w:val="none"/>
                <w:lang w:val="en-US" w:eastAsia="zh-CN"/>
              </w:rPr>
              <w:t>1</w:t>
            </w:r>
            <w:r>
              <w:rPr>
                <w:rFonts w:hint="eastAsia" w:ascii="仿宋" w:hAnsi="仿宋" w:eastAsia="仿宋" w:cs="仿宋"/>
                <w:color w:val="auto"/>
                <w:szCs w:val="20"/>
                <w:highlight w:val="none"/>
              </w:rPr>
              <w:t>分，最高3分</w:t>
            </w:r>
            <w:r>
              <w:rPr>
                <w:rFonts w:hint="eastAsia" w:ascii="仿宋" w:hAnsi="仿宋" w:eastAsia="仿宋" w:cs="仿宋"/>
                <w:color w:val="auto"/>
                <w:szCs w:val="20"/>
                <w:highlight w:val="none"/>
                <w:lang w:eastAsia="zh-CN"/>
              </w:rPr>
              <w:t>，需提供合同复印机加盖投标人公章，未提供不得分，</w:t>
            </w:r>
            <w:r>
              <w:rPr>
                <w:rFonts w:hint="eastAsia" w:ascii="仿宋" w:hAnsi="仿宋" w:eastAsia="仿宋" w:cs="仿宋"/>
                <w:color w:val="auto"/>
                <w:szCs w:val="20"/>
                <w:highlight w:val="none"/>
              </w:rPr>
              <w:t>同一业主单位只能计算一次。</w:t>
            </w:r>
          </w:p>
        </w:tc>
        <w:tc>
          <w:tcPr>
            <w:tcW w:w="623" w:type="dxa"/>
            <w:noWrap w:val="0"/>
            <w:vAlign w:val="center"/>
          </w:tcPr>
          <w:p>
            <w:pPr>
              <w:widowControl/>
              <w:contextualSpacing/>
              <w:jc w:val="center"/>
              <w:rPr>
                <w:rFonts w:hint="eastAsia" w:ascii="仿宋" w:hAnsi="仿宋" w:eastAsia="仿宋" w:cs="仿宋"/>
                <w:color w:val="auto"/>
                <w:szCs w:val="20"/>
                <w:highlight w:val="none"/>
              </w:rPr>
            </w:pPr>
            <w:r>
              <w:rPr>
                <w:rFonts w:hint="eastAsia" w:ascii="仿宋" w:hAnsi="仿宋" w:eastAsia="仿宋" w:cs="仿宋"/>
                <w:color w:val="auto"/>
                <w:szCs w:val="20"/>
                <w:highlight w:val="none"/>
              </w:rPr>
              <w:t>3</w:t>
            </w:r>
          </w:p>
        </w:tc>
      </w:tr>
      <w:bookmarkEnd w:id="17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4" w:type="dxa"/>
            <w:noWrap/>
            <w:vAlign w:val="center"/>
          </w:tcPr>
          <w:p>
            <w:pPr>
              <w:widowControl/>
              <w:contextualSpacing/>
              <w:jc w:val="center"/>
              <w:rPr>
                <w:rFonts w:hint="eastAsia" w:ascii="仿宋" w:hAnsi="仿宋" w:eastAsia="仿宋" w:cs="仿宋"/>
                <w:color w:val="auto"/>
                <w:kern w:val="2"/>
                <w:sz w:val="21"/>
                <w:szCs w:val="20"/>
                <w:highlight w:val="none"/>
                <w:lang w:val="en-US" w:eastAsia="zh-CN" w:bidi="ar-SA"/>
              </w:rPr>
            </w:pPr>
            <w:r>
              <w:rPr>
                <w:rFonts w:hint="eastAsia" w:ascii="仿宋" w:hAnsi="仿宋" w:eastAsia="仿宋" w:cs="仿宋"/>
                <w:color w:val="auto"/>
                <w:szCs w:val="20"/>
                <w:highlight w:val="none"/>
              </w:rPr>
              <w:t>4</w:t>
            </w:r>
          </w:p>
        </w:tc>
        <w:tc>
          <w:tcPr>
            <w:tcW w:w="1140" w:type="dxa"/>
            <w:noWrap w:val="0"/>
            <w:vAlign w:val="center"/>
          </w:tcPr>
          <w:p>
            <w:pPr>
              <w:widowControl/>
              <w:contextualSpacing/>
              <w:jc w:val="center"/>
              <w:rPr>
                <w:rFonts w:hint="eastAsia" w:ascii="仿宋" w:hAnsi="仿宋" w:eastAsia="仿宋" w:cs="仿宋"/>
                <w:color w:val="auto"/>
                <w:szCs w:val="20"/>
                <w:highlight w:val="none"/>
              </w:rPr>
            </w:pPr>
            <w:r>
              <w:rPr>
                <w:rFonts w:hint="eastAsia" w:ascii="仿宋" w:hAnsi="仿宋" w:eastAsia="仿宋" w:cs="仿宋"/>
                <w:color w:val="auto"/>
                <w:szCs w:val="20"/>
                <w:highlight w:val="none"/>
              </w:rPr>
              <w:t>项目建设方案</w:t>
            </w:r>
          </w:p>
        </w:tc>
        <w:tc>
          <w:tcPr>
            <w:tcW w:w="6855" w:type="dxa"/>
            <w:noWrap w:val="0"/>
            <w:vAlign w:val="center"/>
          </w:tcPr>
          <w:p>
            <w:pPr>
              <w:widowControl/>
              <w:contextualSpacing/>
              <w:rPr>
                <w:rFonts w:hint="eastAsia" w:ascii="仿宋" w:hAnsi="仿宋" w:eastAsia="仿宋" w:cs="仿宋"/>
                <w:color w:val="auto"/>
                <w:szCs w:val="20"/>
                <w:highlight w:val="none"/>
              </w:rPr>
            </w:pPr>
            <w:r>
              <w:rPr>
                <w:rFonts w:hint="eastAsia" w:ascii="仿宋" w:hAnsi="仿宋" w:eastAsia="仿宋" w:cs="仿宋"/>
                <w:color w:val="auto"/>
                <w:szCs w:val="20"/>
                <w:highlight w:val="none"/>
              </w:rPr>
              <w:t>投标人根据本项目需求，制定科学合理的项目建设方案，主要包括数据采集、数据处理、数据库建设、数据建模（事项规则和事项方法体系）分析、平台功能设计等必须的方案内容</w:t>
            </w:r>
            <w:r>
              <w:rPr>
                <w:rFonts w:hint="eastAsia" w:ascii="仿宋" w:hAnsi="仿宋" w:eastAsia="仿宋" w:cs="仿宋"/>
                <w:color w:val="auto"/>
                <w:szCs w:val="20"/>
                <w:highlight w:val="none"/>
                <w:lang w:eastAsia="zh-CN"/>
              </w:rPr>
              <w:t>进行评审</w:t>
            </w:r>
            <w:r>
              <w:rPr>
                <w:rFonts w:hint="eastAsia" w:ascii="仿宋" w:hAnsi="仿宋" w:eastAsia="仿宋" w:cs="仿宋"/>
                <w:color w:val="auto"/>
                <w:szCs w:val="20"/>
                <w:highlight w:val="none"/>
              </w:rPr>
              <w:t>：</w:t>
            </w:r>
          </w:p>
          <w:p>
            <w:pPr>
              <w:widowControl/>
              <w:contextualSpacing/>
              <w:rPr>
                <w:rFonts w:hint="eastAsia" w:ascii="仿宋" w:hAnsi="仿宋" w:eastAsia="仿宋" w:cs="仿宋"/>
                <w:color w:val="auto"/>
                <w:szCs w:val="20"/>
                <w:highlight w:val="none"/>
              </w:rPr>
            </w:pPr>
            <w:r>
              <w:rPr>
                <w:rFonts w:hint="eastAsia" w:ascii="仿宋" w:hAnsi="仿宋" w:eastAsia="仿宋" w:cs="仿宋"/>
                <w:color w:val="auto"/>
                <w:szCs w:val="20"/>
                <w:highlight w:val="none"/>
              </w:rPr>
              <w:t>1、项目理解准确，建设方案可行性高，对本项目涉及的事项规则以及方法体系内容合理、细化且优于采购需求的，7.1-10分；</w:t>
            </w:r>
          </w:p>
          <w:p>
            <w:pPr>
              <w:widowControl/>
              <w:contextualSpacing/>
              <w:rPr>
                <w:rFonts w:hint="eastAsia" w:ascii="仿宋" w:hAnsi="仿宋" w:eastAsia="仿宋" w:cs="仿宋"/>
                <w:color w:val="auto"/>
                <w:szCs w:val="20"/>
                <w:highlight w:val="none"/>
              </w:rPr>
            </w:pPr>
            <w:r>
              <w:rPr>
                <w:rFonts w:hint="eastAsia" w:ascii="仿宋" w:hAnsi="仿宋" w:eastAsia="仿宋" w:cs="仿宋"/>
                <w:color w:val="auto"/>
                <w:szCs w:val="20"/>
                <w:highlight w:val="none"/>
              </w:rPr>
              <w:t>2、项目理解较准确，建设方案较为可行，对本项目涉及的事项规则以及方法体系内容较为完整，能够满足采购需求的，5.1-7分；</w:t>
            </w:r>
          </w:p>
          <w:p>
            <w:pPr>
              <w:rPr>
                <w:rFonts w:hint="eastAsia" w:ascii="仿宋" w:hAnsi="仿宋" w:eastAsia="仿宋" w:cs="仿宋"/>
                <w:color w:val="auto"/>
                <w:szCs w:val="20"/>
                <w:highlight w:val="none"/>
              </w:rPr>
            </w:pPr>
            <w:r>
              <w:rPr>
                <w:rFonts w:hint="eastAsia" w:ascii="仿宋" w:hAnsi="仿宋" w:eastAsia="仿宋" w:cs="仿宋"/>
                <w:color w:val="auto"/>
                <w:szCs w:val="20"/>
                <w:highlight w:val="none"/>
              </w:rPr>
              <w:t>3、项目理解基本准确，建设方案基本可行，对本项目涉及的事项规则以及方法体系内容基本满足采购需求的，0-5分；</w:t>
            </w:r>
          </w:p>
        </w:tc>
        <w:tc>
          <w:tcPr>
            <w:tcW w:w="623" w:type="dxa"/>
            <w:noWrap w:val="0"/>
            <w:vAlign w:val="center"/>
          </w:tcPr>
          <w:p>
            <w:pPr>
              <w:widowControl/>
              <w:contextualSpacing/>
              <w:jc w:val="center"/>
              <w:rPr>
                <w:rFonts w:hint="eastAsia" w:ascii="仿宋" w:hAnsi="仿宋" w:eastAsia="仿宋" w:cs="仿宋"/>
                <w:color w:val="auto"/>
                <w:szCs w:val="20"/>
                <w:highlight w:val="none"/>
              </w:rPr>
            </w:pPr>
            <w:r>
              <w:rPr>
                <w:rFonts w:hint="eastAsia" w:ascii="仿宋" w:hAnsi="仿宋" w:eastAsia="仿宋" w:cs="仿宋"/>
                <w:color w:val="auto"/>
                <w:szCs w:val="20"/>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634" w:type="dxa"/>
            <w:noWrap/>
            <w:vAlign w:val="center"/>
          </w:tcPr>
          <w:p>
            <w:pPr>
              <w:widowControl/>
              <w:contextualSpacing/>
              <w:jc w:val="center"/>
              <w:rPr>
                <w:rFonts w:hint="eastAsia" w:ascii="仿宋" w:hAnsi="仿宋" w:eastAsia="仿宋" w:cs="仿宋"/>
                <w:color w:val="auto"/>
                <w:kern w:val="2"/>
                <w:sz w:val="21"/>
                <w:szCs w:val="20"/>
                <w:highlight w:val="none"/>
                <w:lang w:val="en-US" w:eastAsia="zh-CN" w:bidi="ar-SA"/>
              </w:rPr>
            </w:pPr>
            <w:r>
              <w:rPr>
                <w:rFonts w:hint="eastAsia" w:ascii="仿宋" w:hAnsi="仿宋" w:eastAsia="仿宋" w:cs="仿宋"/>
                <w:color w:val="auto"/>
                <w:szCs w:val="20"/>
                <w:highlight w:val="none"/>
              </w:rPr>
              <w:t>5</w:t>
            </w:r>
          </w:p>
        </w:tc>
        <w:tc>
          <w:tcPr>
            <w:tcW w:w="1140" w:type="dxa"/>
            <w:noWrap w:val="0"/>
            <w:vAlign w:val="center"/>
          </w:tcPr>
          <w:p>
            <w:pPr>
              <w:widowControl/>
              <w:contextualSpacing/>
              <w:jc w:val="center"/>
              <w:rPr>
                <w:rFonts w:hint="eastAsia" w:ascii="仿宋" w:hAnsi="仿宋" w:eastAsia="仿宋" w:cs="仿宋"/>
                <w:color w:val="auto"/>
                <w:szCs w:val="20"/>
                <w:highlight w:val="none"/>
              </w:rPr>
            </w:pPr>
            <w:r>
              <w:rPr>
                <w:rFonts w:hint="eastAsia" w:ascii="仿宋" w:hAnsi="仿宋" w:eastAsia="仿宋" w:cs="仿宋"/>
                <w:color w:val="auto"/>
                <w:szCs w:val="20"/>
                <w:highlight w:val="none"/>
              </w:rPr>
              <w:t>项目实施方案</w:t>
            </w:r>
          </w:p>
        </w:tc>
        <w:tc>
          <w:tcPr>
            <w:tcW w:w="6855" w:type="dxa"/>
            <w:noWrap w:val="0"/>
            <w:vAlign w:val="center"/>
          </w:tcPr>
          <w:p>
            <w:pPr>
              <w:widowControl/>
              <w:contextualSpacing/>
              <w:rPr>
                <w:rFonts w:hint="eastAsia" w:ascii="仿宋" w:hAnsi="仿宋" w:eastAsia="仿宋" w:cs="仿宋"/>
                <w:color w:val="auto"/>
                <w:szCs w:val="20"/>
                <w:highlight w:val="none"/>
              </w:rPr>
            </w:pPr>
            <w:r>
              <w:rPr>
                <w:rFonts w:hint="eastAsia" w:ascii="仿宋" w:hAnsi="仿宋" w:eastAsia="仿宋" w:cs="仿宋"/>
                <w:color w:val="auto"/>
                <w:szCs w:val="20"/>
                <w:highlight w:val="none"/>
              </w:rPr>
              <w:t>投标人根据本项目需求，制定科学合理的项目实施方案，主要包括项目组织管理、项目实施进度安排及控制措施、项目质量管理及保障措施、保密管理等必须的方案内容，打分条件：</w:t>
            </w:r>
          </w:p>
          <w:p>
            <w:pPr>
              <w:widowControl/>
              <w:contextualSpacing/>
              <w:rPr>
                <w:rFonts w:hint="eastAsia" w:ascii="仿宋" w:hAnsi="仿宋" w:eastAsia="仿宋" w:cs="仿宋"/>
                <w:color w:val="auto"/>
                <w:szCs w:val="20"/>
                <w:highlight w:val="none"/>
              </w:rPr>
            </w:pPr>
            <w:r>
              <w:rPr>
                <w:rFonts w:hint="eastAsia" w:ascii="仿宋" w:hAnsi="仿宋" w:eastAsia="仿宋" w:cs="仿宋"/>
                <w:color w:val="auto"/>
                <w:szCs w:val="20"/>
                <w:highlight w:val="none"/>
              </w:rPr>
              <w:t>1、项目整体实施方案的科学性、合理性、可操作性优于项目整体需求，5.1-7分；</w:t>
            </w:r>
          </w:p>
          <w:p>
            <w:pPr>
              <w:widowControl/>
              <w:contextualSpacing/>
              <w:rPr>
                <w:rFonts w:hint="eastAsia" w:ascii="仿宋" w:hAnsi="仿宋" w:eastAsia="仿宋" w:cs="仿宋"/>
                <w:color w:val="auto"/>
                <w:szCs w:val="20"/>
                <w:highlight w:val="none"/>
              </w:rPr>
            </w:pPr>
            <w:r>
              <w:rPr>
                <w:rFonts w:hint="eastAsia" w:ascii="仿宋" w:hAnsi="仿宋" w:eastAsia="仿宋" w:cs="仿宋"/>
                <w:color w:val="auto"/>
                <w:szCs w:val="20"/>
                <w:highlight w:val="none"/>
              </w:rPr>
              <w:t>2、项目整体实施方案的科学性、合理性、可操作性完全符合项目整体需求，3.1-5分；</w:t>
            </w:r>
          </w:p>
          <w:p>
            <w:pPr>
              <w:widowControl/>
              <w:contextualSpacing/>
              <w:rPr>
                <w:rFonts w:hint="eastAsia" w:ascii="仿宋" w:hAnsi="仿宋" w:eastAsia="仿宋" w:cs="仿宋"/>
                <w:color w:val="auto"/>
                <w:szCs w:val="20"/>
                <w:highlight w:val="none"/>
              </w:rPr>
            </w:pPr>
            <w:r>
              <w:rPr>
                <w:rFonts w:hint="eastAsia" w:ascii="仿宋" w:hAnsi="仿宋" w:eastAsia="仿宋" w:cs="仿宋"/>
                <w:color w:val="auto"/>
                <w:szCs w:val="20"/>
                <w:highlight w:val="none"/>
              </w:rPr>
              <w:t>3、项目整体实施方案的科学性、合理性、可操作性基本满足项目整体需求，0-3分。</w:t>
            </w:r>
          </w:p>
        </w:tc>
        <w:tc>
          <w:tcPr>
            <w:tcW w:w="623" w:type="dxa"/>
            <w:noWrap w:val="0"/>
            <w:vAlign w:val="center"/>
          </w:tcPr>
          <w:p>
            <w:pPr>
              <w:widowControl/>
              <w:contextualSpacing/>
              <w:jc w:val="center"/>
              <w:rPr>
                <w:rFonts w:hint="eastAsia" w:ascii="仿宋" w:hAnsi="仿宋" w:eastAsia="仿宋" w:cs="仿宋"/>
                <w:color w:val="auto"/>
                <w:szCs w:val="20"/>
                <w:highlight w:val="none"/>
              </w:rPr>
            </w:pPr>
            <w:r>
              <w:rPr>
                <w:rFonts w:hint="eastAsia" w:ascii="仿宋" w:hAnsi="仿宋" w:eastAsia="仿宋" w:cs="仿宋"/>
                <w:color w:val="auto"/>
                <w:szCs w:val="20"/>
                <w:highlight w:val="none"/>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634" w:type="dxa"/>
            <w:noWrap/>
            <w:vAlign w:val="center"/>
          </w:tcPr>
          <w:p>
            <w:pPr>
              <w:widowControl/>
              <w:contextualSpacing/>
              <w:jc w:val="center"/>
              <w:rPr>
                <w:rFonts w:hint="eastAsia" w:ascii="仿宋" w:hAnsi="仿宋" w:eastAsia="仿宋" w:cs="仿宋"/>
                <w:color w:val="auto"/>
                <w:kern w:val="2"/>
                <w:sz w:val="21"/>
                <w:szCs w:val="20"/>
                <w:highlight w:val="none"/>
                <w:lang w:val="en-US" w:eastAsia="zh-CN" w:bidi="ar-SA"/>
              </w:rPr>
            </w:pPr>
            <w:r>
              <w:rPr>
                <w:rFonts w:hint="eastAsia" w:ascii="仿宋" w:hAnsi="仿宋" w:eastAsia="仿宋" w:cs="仿宋"/>
                <w:color w:val="auto"/>
                <w:szCs w:val="20"/>
                <w:highlight w:val="none"/>
              </w:rPr>
              <w:t>6</w:t>
            </w:r>
          </w:p>
        </w:tc>
        <w:tc>
          <w:tcPr>
            <w:tcW w:w="1140" w:type="dxa"/>
            <w:noWrap w:val="0"/>
            <w:vAlign w:val="center"/>
          </w:tcPr>
          <w:p>
            <w:pPr>
              <w:widowControl/>
              <w:contextualSpacing/>
              <w:jc w:val="center"/>
              <w:rPr>
                <w:rFonts w:hint="eastAsia" w:ascii="仿宋" w:hAnsi="仿宋" w:eastAsia="仿宋" w:cs="仿宋"/>
                <w:color w:val="auto"/>
                <w:szCs w:val="20"/>
                <w:highlight w:val="none"/>
              </w:rPr>
            </w:pPr>
            <w:r>
              <w:rPr>
                <w:rFonts w:hint="eastAsia" w:ascii="仿宋" w:hAnsi="仿宋" w:eastAsia="仿宋" w:cs="仿宋"/>
                <w:color w:val="auto"/>
                <w:szCs w:val="20"/>
                <w:highlight w:val="none"/>
              </w:rPr>
              <w:t>服务人员配置</w:t>
            </w:r>
          </w:p>
        </w:tc>
        <w:tc>
          <w:tcPr>
            <w:tcW w:w="6855" w:type="dxa"/>
            <w:noWrap w:val="0"/>
            <w:vAlign w:val="center"/>
          </w:tcPr>
          <w:p>
            <w:pPr>
              <w:widowControl/>
              <w:contextualSpacing w:val="0"/>
              <w:rPr>
                <w:rFonts w:hint="eastAsia" w:ascii="仿宋" w:hAnsi="仿宋" w:eastAsia="仿宋" w:cs="仿宋"/>
                <w:color w:val="auto"/>
                <w:szCs w:val="20"/>
                <w:highlight w:val="none"/>
              </w:rPr>
            </w:pPr>
            <w:r>
              <w:rPr>
                <w:rFonts w:hint="eastAsia" w:ascii="仿宋" w:hAnsi="仿宋" w:eastAsia="仿宋" w:cs="仿宋"/>
                <w:color w:val="auto"/>
                <w:szCs w:val="20"/>
                <w:highlight w:val="none"/>
              </w:rPr>
              <w:t>投标人服务人员配置需包含计算机技术、大数据分析和软件开发，医学、药学和护理学，会计和审计等各类相关专业技术人员，并提供人员证书材料，要求如下：</w:t>
            </w:r>
          </w:p>
          <w:p>
            <w:pPr>
              <w:widowControl/>
              <w:contextualSpacing w:val="0"/>
              <w:rPr>
                <w:rFonts w:hint="eastAsia" w:ascii="仿宋" w:hAnsi="仿宋" w:eastAsia="仿宋" w:cs="仿宋"/>
                <w:color w:val="auto"/>
                <w:szCs w:val="20"/>
                <w:highlight w:val="none"/>
              </w:rPr>
            </w:pPr>
            <w:r>
              <w:rPr>
                <w:rFonts w:hint="eastAsia" w:ascii="仿宋" w:hAnsi="仿宋" w:eastAsia="仿宋" w:cs="仿宋"/>
                <w:color w:val="auto"/>
                <w:szCs w:val="20"/>
                <w:highlight w:val="none"/>
              </w:rPr>
              <w:t>1、项目负责人具有PMP项目管理资质证书，得3分，没有不得分；</w:t>
            </w:r>
          </w:p>
          <w:p>
            <w:pPr>
              <w:widowControl/>
              <w:contextualSpacing w:val="0"/>
              <w:rPr>
                <w:rFonts w:hint="eastAsia" w:ascii="仿宋" w:hAnsi="仿宋" w:eastAsia="仿宋" w:cs="仿宋"/>
                <w:color w:val="auto"/>
                <w:szCs w:val="20"/>
                <w:highlight w:val="none"/>
              </w:rPr>
            </w:pPr>
            <w:r>
              <w:rPr>
                <w:rFonts w:hint="eastAsia" w:ascii="仿宋" w:hAnsi="仿宋" w:eastAsia="仿宋" w:cs="仿宋"/>
                <w:color w:val="auto"/>
                <w:szCs w:val="20"/>
                <w:highlight w:val="none"/>
              </w:rPr>
              <w:t>2、项目组成员具有计算机技术、大数据分析和软件开发等相关专业人员，</w:t>
            </w:r>
            <w:r>
              <w:rPr>
                <w:rFonts w:hint="eastAsia" w:ascii="仿宋" w:hAnsi="仿宋" w:eastAsia="仿宋" w:cs="仿宋"/>
                <w:color w:val="auto"/>
                <w:szCs w:val="20"/>
                <w:highlight w:val="none"/>
                <w:lang w:eastAsia="zh-CN"/>
              </w:rPr>
              <w:t>在满足招标文件要求的基础上</w:t>
            </w:r>
            <w:r>
              <w:rPr>
                <w:rFonts w:hint="eastAsia" w:ascii="仿宋" w:hAnsi="仿宋" w:eastAsia="仿宋" w:cs="仿宋"/>
                <w:color w:val="auto"/>
                <w:szCs w:val="20"/>
                <w:highlight w:val="none"/>
              </w:rPr>
              <w:t>每</w:t>
            </w:r>
            <w:r>
              <w:rPr>
                <w:rFonts w:hint="eastAsia" w:ascii="仿宋" w:hAnsi="仿宋" w:eastAsia="仿宋" w:cs="仿宋"/>
                <w:color w:val="auto"/>
                <w:szCs w:val="20"/>
                <w:highlight w:val="none"/>
                <w:lang w:val="en-US" w:eastAsia="zh-CN"/>
              </w:rPr>
              <w:t>增加</w:t>
            </w:r>
            <w:r>
              <w:rPr>
                <w:rFonts w:hint="eastAsia" w:ascii="仿宋" w:hAnsi="仿宋" w:eastAsia="仿宋" w:cs="仿宋"/>
                <w:color w:val="auto"/>
                <w:szCs w:val="20"/>
                <w:highlight w:val="none"/>
              </w:rPr>
              <w:t>一名得1分，最多得3分；</w:t>
            </w:r>
          </w:p>
          <w:p>
            <w:pPr>
              <w:widowControl/>
              <w:contextualSpacing w:val="0"/>
              <w:rPr>
                <w:rFonts w:hint="eastAsia" w:ascii="仿宋" w:hAnsi="仿宋" w:eastAsia="仿宋" w:cs="仿宋"/>
                <w:color w:val="auto"/>
                <w:szCs w:val="20"/>
                <w:highlight w:val="none"/>
              </w:rPr>
            </w:pPr>
            <w:r>
              <w:rPr>
                <w:rFonts w:hint="eastAsia" w:ascii="仿宋" w:hAnsi="仿宋" w:eastAsia="仿宋" w:cs="仿宋"/>
                <w:color w:val="auto"/>
                <w:szCs w:val="20"/>
                <w:highlight w:val="none"/>
              </w:rPr>
              <w:t>3、项目组成员具有医学、药学和护理学等相关专业人员，提供资质证书，</w:t>
            </w:r>
            <w:r>
              <w:rPr>
                <w:rFonts w:hint="eastAsia" w:ascii="仿宋" w:hAnsi="仿宋" w:eastAsia="仿宋" w:cs="仿宋"/>
                <w:color w:val="auto"/>
                <w:szCs w:val="20"/>
                <w:highlight w:val="none"/>
                <w:lang w:eastAsia="zh-CN"/>
              </w:rPr>
              <w:t>在满足招标文件要求的基础上</w:t>
            </w:r>
            <w:r>
              <w:rPr>
                <w:rFonts w:hint="eastAsia" w:ascii="仿宋" w:hAnsi="仿宋" w:eastAsia="仿宋" w:cs="仿宋"/>
                <w:color w:val="auto"/>
                <w:szCs w:val="20"/>
                <w:highlight w:val="none"/>
              </w:rPr>
              <w:t>每</w:t>
            </w:r>
            <w:r>
              <w:rPr>
                <w:rFonts w:hint="eastAsia" w:ascii="仿宋" w:hAnsi="仿宋" w:eastAsia="仿宋" w:cs="仿宋"/>
                <w:color w:val="auto"/>
                <w:szCs w:val="20"/>
                <w:highlight w:val="none"/>
                <w:lang w:val="en-US" w:eastAsia="zh-CN"/>
              </w:rPr>
              <w:t>增加</w:t>
            </w:r>
            <w:r>
              <w:rPr>
                <w:rFonts w:hint="eastAsia" w:ascii="仿宋" w:hAnsi="仿宋" w:eastAsia="仿宋" w:cs="仿宋"/>
                <w:color w:val="auto"/>
                <w:szCs w:val="20"/>
                <w:highlight w:val="none"/>
              </w:rPr>
              <w:t>一名得1分，最多得2分；</w:t>
            </w:r>
          </w:p>
          <w:p>
            <w:pPr>
              <w:widowControl/>
              <w:contextualSpacing w:val="0"/>
              <w:rPr>
                <w:rFonts w:hint="eastAsia" w:ascii="仿宋" w:hAnsi="仿宋" w:eastAsia="仿宋" w:cs="仿宋"/>
                <w:color w:val="auto"/>
                <w:szCs w:val="20"/>
                <w:highlight w:val="none"/>
              </w:rPr>
            </w:pPr>
            <w:r>
              <w:rPr>
                <w:rFonts w:hint="eastAsia" w:ascii="仿宋" w:hAnsi="仿宋" w:eastAsia="仿宋" w:cs="仿宋"/>
                <w:color w:val="auto"/>
                <w:szCs w:val="20"/>
                <w:highlight w:val="none"/>
              </w:rPr>
              <w:t>4、项目组成员具有会计和审计等相关专业人员，提供资质证书，</w:t>
            </w:r>
            <w:r>
              <w:rPr>
                <w:rFonts w:hint="eastAsia" w:ascii="仿宋" w:hAnsi="仿宋" w:eastAsia="仿宋" w:cs="仿宋"/>
                <w:color w:val="auto"/>
                <w:szCs w:val="20"/>
                <w:highlight w:val="none"/>
                <w:lang w:eastAsia="zh-CN"/>
              </w:rPr>
              <w:t>在满足招标文件要求的基础上</w:t>
            </w:r>
            <w:r>
              <w:rPr>
                <w:rFonts w:hint="eastAsia" w:ascii="仿宋" w:hAnsi="仿宋" w:eastAsia="仿宋" w:cs="仿宋"/>
                <w:color w:val="auto"/>
                <w:szCs w:val="20"/>
                <w:highlight w:val="none"/>
              </w:rPr>
              <w:t>每</w:t>
            </w:r>
            <w:r>
              <w:rPr>
                <w:rFonts w:hint="eastAsia" w:ascii="仿宋" w:hAnsi="仿宋" w:eastAsia="仿宋" w:cs="仿宋"/>
                <w:color w:val="auto"/>
                <w:szCs w:val="20"/>
                <w:highlight w:val="none"/>
                <w:lang w:val="en-US" w:eastAsia="zh-CN"/>
              </w:rPr>
              <w:t>增加</w:t>
            </w:r>
            <w:r>
              <w:rPr>
                <w:rFonts w:hint="eastAsia" w:ascii="仿宋" w:hAnsi="仿宋" w:eastAsia="仿宋" w:cs="仿宋"/>
                <w:color w:val="auto"/>
                <w:szCs w:val="20"/>
                <w:highlight w:val="none"/>
              </w:rPr>
              <w:t>一名得1分，最多得2分。</w:t>
            </w:r>
          </w:p>
          <w:p>
            <w:pPr>
              <w:widowControl/>
              <w:contextualSpacing w:val="0"/>
              <w:rPr>
                <w:rFonts w:hint="eastAsia" w:ascii="仿宋" w:hAnsi="仿宋" w:eastAsia="仿宋" w:cs="仿宋"/>
                <w:color w:val="auto"/>
                <w:szCs w:val="20"/>
                <w:highlight w:val="none"/>
              </w:rPr>
            </w:pPr>
            <w:r>
              <w:rPr>
                <w:rFonts w:hint="eastAsia" w:ascii="仿宋" w:hAnsi="仿宋" w:eastAsia="仿宋" w:cs="仿宋"/>
                <w:color w:val="auto"/>
                <w:szCs w:val="20"/>
                <w:highlight w:val="none"/>
              </w:rPr>
              <w:t>(以上评审每人只能计算1个证书，</w:t>
            </w:r>
            <w:r>
              <w:rPr>
                <w:rFonts w:hint="eastAsia" w:ascii="仿宋" w:hAnsi="仿宋" w:eastAsia="仿宋" w:cs="仿宋"/>
                <w:color w:val="auto"/>
                <w:szCs w:val="20"/>
                <w:highlight w:val="none"/>
              </w:rPr>
              <w:t>需提供身份证、学历学位证书、相关专业资质证书、与投标人</w:t>
            </w:r>
            <w:r>
              <w:rPr>
                <w:rFonts w:hint="eastAsia" w:ascii="仿宋" w:hAnsi="仿宋" w:eastAsia="仿宋" w:cs="仿宋"/>
                <w:color w:val="auto"/>
                <w:szCs w:val="20"/>
                <w:highlight w:val="none"/>
                <w:lang w:eastAsia="zh-CN"/>
              </w:rPr>
              <w:t>为其缴纳的近三个月社保证明</w:t>
            </w:r>
            <w:r>
              <w:rPr>
                <w:rFonts w:hint="eastAsia" w:ascii="仿宋" w:hAnsi="仿宋" w:eastAsia="仿宋" w:cs="仿宋"/>
                <w:color w:val="auto"/>
                <w:szCs w:val="20"/>
                <w:highlight w:val="none"/>
              </w:rPr>
              <w:t>复印件并加盖公章。</w:t>
            </w:r>
            <w:r>
              <w:rPr>
                <w:rFonts w:hint="eastAsia" w:ascii="仿宋" w:hAnsi="仿宋" w:eastAsia="仿宋" w:cs="仿宋"/>
                <w:color w:val="auto"/>
                <w:szCs w:val="20"/>
                <w:highlight w:val="none"/>
              </w:rPr>
              <w:t>以上人员不得与第</w:t>
            </w:r>
            <w:r>
              <w:rPr>
                <w:rFonts w:hint="eastAsia" w:ascii="仿宋" w:hAnsi="仿宋" w:eastAsia="仿宋" w:cs="仿宋"/>
                <w:color w:val="auto"/>
                <w:szCs w:val="20"/>
                <w:highlight w:val="none"/>
                <w:lang w:val="en-US" w:eastAsia="zh-CN"/>
              </w:rPr>
              <w:t>7</w:t>
            </w:r>
            <w:r>
              <w:rPr>
                <w:rFonts w:hint="eastAsia" w:ascii="仿宋" w:hAnsi="仿宋" w:eastAsia="仿宋" w:cs="仿宋"/>
                <w:color w:val="auto"/>
                <w:szCs w:val="20"/>
                <w:highlight w:val="none"/>
              </w:rPr>
              <w:t>条医学专家库人员重复）</w:t>
            </w:r>
          </w:p>
        </w:tc>
        <w:tc>
          <w:tcPr>
            <w:tcW w:w="623" w:type="dxa"/>
            <w:noWrap w:val="0"/>
            <w:vAlign w:val="center"/>
          </w:tcPr>
          <w:p>
            <w:pPr>
              <w:widowControl/>
              <w:contextualSpacing/>
              <w:jc w:val="center"/>
              <w:rPr>
                <w:rFonts w:hint="eastAsia" w:ascii="仿宋" w:hAnsi="仿宋" w:eastAsia="仿宋" w:cs="仿宋"/>
                <w:color w:val="auto"/>
                <w:szCs w:val="20"/>
                <w:highlight w:val="none"/>
              </w:rPr>
            </w:pPr>
            <w:r>
              <w:rPr>
                <w:rFonts w:hint="eastAsia" w:ascii="仿宋" w:hAnsi="仿宋" w:eastAsia="仿宋" w:cs="仿宋"/>
                <w:color w:val="auto"/>
                <w:szCs w:val="20"/>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634" w:type="dxa"/>
            <w:noWrap/>
            <w:vAlign w:val="center"/>
          </w:tcPr>
          <w:p>
            <w:pPr>
              <w:widowControl/>
              <w:contextualSpacing/>
              <w:jc w:val="center"/>
              <w:rPr>
                <w:rFonts w:hint="eastAsia" w:ascii="仿宋" w:hAnsi="仿宋" w:eastAsia="仿宋" w:cs="仿宋"/>
                <w:color w:val="auto"/>
                <w:kern w:val="2"/>
                <w:sz w:val="21"/>
                <w:szCs w:val="20"/>
                <w:highlight w:val="none"/>
                <w:lang w:val="en-US" w:eastAsia="zh-CN" w:bidi="ar-SA"/>
              </w:rPr>
            </w:pPr>
            <w:r>
              <w:rPr>
                <w:rFonts w:hint="eastAsia" w:ascii="仿宋" w:hAnsi="仿宋" w:eastAsia="仿宋" w:cs="仿宋"/>
                <w:color w:val="auto"/>
                <w:szCs w:val="20"/>
                <w:highlight w:val="none"/>
              </w:rPr>
              <w:t>7</w:t>
            </w:r>
          </w:p>
        </w:tc>
        <w:tc>
          <w:tcPr>
            <w:tcW w:w="1140" w:type="dxa"/>
            <w:noWrap w:val="0"/>
            <w:vAlign w:val="center"/>
          </w:tcPr>
          <w:p>
            <w:pPr>
              <w:widowControl/>
              <w:contextualSpacing/>
              <w:jc w:val="center"/>
              <w:rPr>
                <w:rFonts w:hint="eastAsia" w:ascii="仿宋" w:hAnsi="仿宋" w:eastAsia="仿宋" w:cs="仿宋"/>
                <w:color w:val="auto"/>
                <w:szCs w:val="20"/>
                <w:highlight w:val="none"/>
              </w:rPr>
            </w:pPr>
            <w:r>
              <w:rPr>
                <w:rFonts w:hint="eastAsia" w:ascii="仿宋" w:hAnsi="仿宋" w:eastAsia="仿宋" w:cs="仿宋"/>
                <w:color w:val="auto"/>
                <w:szCs w:val="20"/>
                <w:highlight w:val="none"/>
              </w:rPr>
              <w:t>医学专家库储备</w:t>
            </w:r>
          </w:p>
        </w:tc>
        <w:tc>
          <w:tcPr>
            <w:tcW w:w="6855" w:type="dxa"/>
            <w:noWrap w:val="0"/>
            <w:vAlign w:val="center"/>
          </w:tcPr>
          <w:p>
            <w:pPr>
              <w:widowControl/>
              <w:contextualSpacing/>
              <w:rPr>
                <w:rFonts w:hint="eastAsia" w:ascii="仿宋" w:hAnsi="仿宋" w:eastAsia="仿宋" w:cs="仿宋"/>
                <w:color w:val="auto"/>
                <w:szCs w:val="20"/>
                <w:highlight w:val="none"/>
              </w:rPr>
            </w:pPr>
            <w:r>
              <w:rPr>
                <w:rFonts w:hint="eastAsia" w:ascii="仿宋" w:hAnsi="仿宋" w:eastAsia="仿宋" w:cs="仿宋"/>
                <w:color w:val="auto"/>
                <w:szCs w:val="20"/>
                <w:highlight w:val="none"/>
              </w:rPr>
              <w:t>投标人为本项目组建副高级（含）以上职称的医学专家库，人数在20人（含）以上的，得10分；人数在10-19人的，得6分；人数在5-9人的，得3分，少于</w:t>
            </w:r>
            <w:r>
              <w:rPr>
                <w:rFonts w:hint="eastAsia" w:ascii="仿宋" w:hAnsi="仿宋" w:eastAsia="仿宋" w:cs="仿宋"/>
                <w:color w:val="auto"/>
                <w:szCs w:val="20"/>
                <w:highlight w:val="none"/>
                <w:lang w:val="en-US" w:eastAsia="zh-CN"/>
              </w:rPr>
              <w:t>4</w:t>
            </w:r>
            <w:r>
              <w:rPr>
                <w:rFonts w:hint="eastAsia" w:ascii="仿宋" w:hAnsi="仿宋" w:eastAsia="仿宋" w:cs="仿宋"/>
                <w:color w:val="auto"/>
                <w:szCs w:val="20"/>
                <w:highlight w:val="none"/>
              </w:rPr>
              <w:t>人的，不得分。</w:t>
            </w:r>
          </w:p>
          <w:p>
            <w:pPr>
              <w:widowControl/>
              <w:contextualSpacing/>
              <w:rPr>
                <w:rFonts w:hint="eastAsia" w:ascii="仿宋" w:hAnsi="仿宋" w:eastAsia="仿宋" w:cs="仿宋"/>
                <w:color w:val="auto"/>
                <w:szCs w:val="20"/>
                <w:highlight w:val="none"/>
              </w:rPr>
            </w:pPr>
            <w:r>
              <w:rPr>
                <w:rFonts w:hint="eastAsia" w:ascii="仿宋" w:hAnsi="仿宋" w:eastAsia="仿宋" w:cs="仿宋"/>
                <w:color w:val="auto"/>
                <w:szCs w:val="20"/>
                <w:highlight w:val="none"/>
              </w:rPr>
              <w:t>注：需提供专家库人员的外聘协议，以及专家的身份证、职称证书的复印件</w:t>
            </w:r>
            <w:r>
              <w:rPr>
                <w:rFonts w:hint="eastAsia" w:ascii="仿宋" w:hAnsi="仿宋" w:eastAsia="仿宋" w:cs="仿宋"/>
                <w:color w:val="auto"/>
                <w:szCs w:val="20"/>
                <w:highlight w:val="none"/>
                <w:lang w:eastAsia="zh-CN"/>
              </w:rPr>
              <w:t>均加盖投标人公章，不提供不得分</w:t>
            </w:r>
            <w:r>
              <w:rPr>
                <w:rFonts w:hint="eastAsia" w:ascii="仿宋" w:hAnsi="仿宋" w:eastAsia="仿宋" w:cs="仿宋"/>
                <w:color w:val="auto"/>
                <w:szCs w:val="20"/>
                <w:highlight w:val="none"/>
              </w:rPr>
              <w:t>。</w:t>
            </w:r>
          </w:p>
        </w:tc>
        <w:tc>
          <w:tcPr>
            <w:tcW w:w="623" w:type="dxa"/>
            <w:noWrap w:val="0"/>
            <w:vAlign w:val="center"/>
          </w:tcPr>
          <w:p>
            <w:pPr>
              <w:widowControl/>
              <w:contextualSpacing/>
              <w:jc w:val="center"/>
              <w:rPr>
                <w:rFonts w:hint="eastAsia" w:ascii="仿宋" w:hAnsi="仿宋" w:eastAsia="仿宋" w:cs="仿宋"/>
                <w:color w:val="auto"/>
                <w:szCs w:val="20"/>
                <w:highlight w:val="none"/>
              </w:rPr>
            </w:pPr>
            <w:r>
              <w:rPr>
                <w:rFonts w:hint="eastAsia" w:ascii="仿宋" w:hAnsi="仿宋" w:eastAsia="仿宋" w:cs="仿宋"/>
                <w:color w:val="auto"/>
                <w:szCs w:val="20"/>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634" w:type="dxa"/>
            <w:noWrap/>
            <w:vAlign w:val="center"/>
          </w:tcPr>
          <w:p>
            <w:pPr>
              <w:widowControl/>
              <w:contextualSpacing/>
              <w:jc w:val="center"/>
              <w:rPr>
                <w:rFonts w:hint="eastAsia" w:ascii="仿宋" w:hAnsi="仿宋" w:eastAsia="仿宋" w:cs="仿宋"/>
                <w:color w:val="auto"/>
                <w:szCs w:val="20"/>
                <w:highlight w:val="none"/>
              </w:rPr>
            </w:pPr>
            <w:r>
              <w:rPr>
                <w:rFonts w:hint="eastAsia" w:ascii="仿宋" w:hAnsi="仿宋" w:eastAsia="仿宋" w:cs="仿宋"/>
                <w:color w:val="auto"/>
                <w:szCs w:val="20"/>
                <w:highlight w:val="none"/>
              </w:rPr>
              <w:t>8</w:t>
            </w:r>
          </w:p>
        </w:tc>
        <w:tc>
          <w:tcPr>
            <w:tcW w:w="1140" w:type="dxa"/>
            <w:noWrap w:val="0"/>
            <w:vAlign w:val="center"/>
          </w:tcPr>
          <w:p>
            <w:pPr>
              <w:widowControl/>
              <w:contextualSpacing/>
              <w:jc w:val="center"/>
              <w:rPr>
                <w:rFonts w:hint="eastAsia" w:ascii="仿宋" w:hAnsi="仿宋" w:eastAsia="仿宋" w:cs="仿宋"/>
                <w:color w:val="auto"/>
                <w:szCs w:val="20"/>
                <w:highlight w:val="none"/>
              </w:rPr>
            </w:pPr>
            <w:r>
              <w:rPr>
                <w:rFonts w:hint="eastAsia" w:ascii="仿宋" w:hAnsi="仿宋" w:eastAsia="仿宋" w:cs="仿宋"/>
                <w:color w:val="auto"/>
                <w:szCs w:val="20"/>
                <w:highlight w:val="none"/>
              </w:rPr>
              <w:t>现场演示</w:t>
            </w:r>
          </w:p>
        </w:tc>
        <w:tc>
          <w:tcPr>
            <w:tcW w:w="6855" w:type="dxa"/>
            <w:noWrap w:val="0"/>
            <w:vAlign w:val="center"/>
          </w:tcPr>
          <w:p>
            <w:pPr>
              <w:widowControl/>
              <w:tabs>
                <w:tab w:val="left" w:pos="0"/>
              </w:tabs>
              <w:contextualSpacing/>
              <w:jc w:val="left"/>
              <w:rPr>
                <w:rFonts w:hint="eastAsia" w:ascii="仿宋" w:hAnsi="仿宋" w:eastAsia="仿宋" w:cs="仿宋"/>
                <w:color w:val="auto"/>
                <w:szCs w:val="20"/>
                <w:highlight w:val="none"/>
              </w:rPr>
            </w:pPr>
            <w:r>
              <w:rPr>
                <w:rFonts w:hint="eastAsia" w:ascii="仿宋" w:hAnsi="仿宋" w:eastAsia="仿宋" w:cs="仿宋"/>
                <w:color w:val="auto"/>
                <w:szCs w:val="20"/>
                <w:highlight w:val="none"/>
              </w:rPr>
              <w:t>投标人须</w:t>
            </w:r>
            <w:r>
              <w:rPr>
                <w:rFonts w:hint="eastAsia" w:ascii="仿宋" w:hAnsi="仿宋" w:eastAsia="仿宋" w:cs="仿宋"/>
                <w:color w:val="auto"/>
                <w:szCs w:val="20"/>
                <w:highlight w:val="none"/>
                <w:lang w:eastAsia="zh-CN"/>
              </w:rPr>
              <w:t>对</w:t>
            </w:r>
            <w:r>
              <w:rPr>
                <w:rFonts w:hint="eastAsia" w:ascii="仿宋" w:hAnsi="仿宋" w:eastAsia="仿宋" w:cs="仿宋"/>
                <w:color w:val="auto"/>
                <w:szCs w:val="20"/>
                <w:highlight w:val="none"/>
              </w:rPr>
              <w:t>医保精细化管理软件平台</w:t>
            </w:r>
            <w:r>
              <w:rPr>
                <w:rFonts w:hint="eastAsia" w:ascii="仿宋" w:hAnsi="仿宋" w:eastAsia="仿宋" w:cs="仿宋"/>
                <w:color w:val="auto"/>
                <w:szCs w:val="20"/>
                <w:highlight w:val="none"/>
                <w:lang w:eastAsia="zh-CN"/>
              </w:rPr>
              <w:t>进行</w:t>
            </w:r>
            <w:r>
              <w:rPr>
                <w:rFonts w:hint="eastAsia" w:ascii="仿宋" w:hAnsi="仿宋" w:eastAsia="仿宋" w:cs="仿宋"/>
                <w:color w:val="auto"/>
                <w:szCs w:val="20"/>
                <w:highlight w:val="none"/>
                <w:lang w:val="zh-CN"/>
              </w:rPr>
              <w:t>现场演示或</w:t>
            </w:r>
            <w:r>
              <w:rPr>
                <w:rFonts w:hint="eastAsia" w:ascii="仿宋" w:hAnsi="仿宋" w:eastAsia="仿宋" w:cs="仿宋"/>
                <w:color w:val="auto"/>
                <w:szCs w:val="20"/>
                <w:highlight w:val="none"/>
                <w:lang w:val="zh-CN" w:eastAsia="zh-CN"/>
              </w:rPr>
              <w:t>U盘</w:t>
            </w:r>
            <w:r>
              <w:rPr>
                <w:rFonts w:hint="eastAsia" w:ascii="仿宋" w:hAnsi="仿宋" w:eastAsia="仿宋" w:cs="仿宋"/>
                <w:color w:val="auto"/>
                <w:szCs w:val="20"/>
                <w:highlight w:val="none"/>
                <w:lang w:val="zh-CN"/>
              </w:rPr>
              <w:t>录制视频演示</w:t>
            </w:r>
            <w:r>
              <w:rPr>
                <w:rFonts w:hint="eastAsia" w:ascii="仿宋" w:hAnsi="仿宋" w:eastAsia="仿宋" w:cs="仿宋"/>
                <w:color w:val="auto"/>
                <w:szCs w:val="20"/>
                <w:highlight w:val="none"/>
              </w:rPr>
              <w:t>，演示时间不超过</w:t>
            </w:r>
            <w:r>
              <w:rPr>
                <w:rFonts w:hint="eastAsia" w:ascii="仿宋" w:hAnsi="仿宋" w:eastAsia="仿宋" w:cs="仿宋"/>
                <w:color w:val="auto"/>
                <w:szCs w:val="20"/>
                <w:highlight w:val="none"/>
                <w:lang w:val="en-US" w:eastAsia="zh-CN"/>
              </w:rPr>
              <w:t>20</w:t>
            </w:r>
            <w:r>
              <w:rPr>
                <w:rFonts w:hint="eastAsia" w:ascii="仿宋" w:hAnsi="仿宋" w:eastAsia="仿宋" w:cs="仿宋"/>
                <w:color w:val="auto"/>
                <w:szCs w:val="20"/>
                <w:highlight w:val="none"/>
              </w:rPr>
              <w:t>分钟，采用ppt，图片彩页形式不得分，完整完成1项功能演示，该项演示得分，否则该项演示不得分：</w:t>
            </w:r>
          </w:p>
          <w:p>
            <w:pPr>
              <w:widowControl/>
              <w:numPr>
                <w:ilvl w:val="0"/>
                <w:numId w:val="9"/>
              </w:numPr>
              <w:tabs>
                <w:tab w:val="left" w:pos="0"/>
              </w:tabs>
              <w:contextualSpacing/>
              <w:jc w:val="left"/>
              <w:rPr>
                <w:rFonts w:hint="eastAsia" w:ascii="仿宋" w:hAnsi="仿宋" w:eastAsia="仿宋" w:cs="仿宋"/>
                <w:color w:val="auto"/>
                <w:szCs w:val="20"/>
                <w:highlight w:val="none"/>
              </w:rPr>
            </w:pPr>
            <w:r>
              <w:rPr>
                <w:rFonts w:hint="eastAsia" w:ascii="仿宋" w:hAnsi="仿宋" w:eastAsia="仿宋" w:cs="仿宋"/>
                <w:color w:val="auto"/>
                <w:szCs w:val="20"/>
                <w:highlight w:val="none"/>
              </w:rPr>
              <w:t>数据采集，符合前提数据转换匹配，数据采集设定能时间T+1的模式，医保数据规划符合整体业务分析要求的。0-2分；</w:t>
            </w:r>
          </w:p>
          <w:p>
            <w:pPr>
              <w:widowControl/>
              <w:numPr>
                <w:ilvl w:val="0"/>
                <w:numId w:val="9"/>
              </w:numPr>
              <w:tabs>
                <w:tab w:val="left" w:pos="0"/>
              </w:tabs>
              <w:contextualSpacing/>
              <w:jc w:val="left"/>
              <w:rPr>
                <w:rFonts w:hint="eastAsia" w:ascii="仿宋" w:hAnsi="仿宋" w:eastAsia="仿宋" w:cs="仿宋"/>
                <w:color w:val="auto"/>
                <w:szCs w:val="20"/>
                <w:highlight w:val="none"/>
              </w:rPr>
            </w:pPr>
            <w:r>
              <w:rPr>
                <w:rFonts w:hint="eastAsia" w:ascii="仿宋" w:hAnsi="仿宋" w:eastAsia="仿宋" w:cs="仿宋"/>
                <w:color w:val="auto"/>
                <w:szCs w:val="20"/>
                <w:highlight w:val="none"/>
              </w:rPr>
              <w:t>事前预警，能做到医护人员事前开单预警，且预警提示简介，符合医保相关政策规定的。0-1.5分；</w:t>
            </w:r>
          </w:p>
          <w:p>
            <w:pPr>
              <w:widowControl/>
              <w:numPr>
                <w:ilvl w:val="0"/>
                <w:numId w:val="9"/>
              </w:numPr>
              <w:tabs>
                <w:tab w:val="left" w:pos="0"/>
              </w:tabs>
              <w:contextualSpacing/>
              <w:jc w:val="left"/>
              <w:rPr>
                <w:rFonts w:hint="eastAsia" w:ascii="仿宋" w:hAnsi="仿宋" w:eastAsia="仿宋" w:cs="仿宋"/>
                <w:color w:val="auto"/>
                <w:szCs w:val="20"/>
                <w:highlight w:val="none"/>
              </w:rPr>
            </w:pPr>
            <w:r>
              <w:rPr>
                <w:rFonts w:hint="eastAsia" w:ascii="仿宋" w:hAnsi="仿宋" w:eastAsia="仿宋" w:cs="仿宋"/>
                <w:color w:val="auto"/>
                <w:szCs w:val="20"/>
                <w:highlight w:val="none"/>
              </w:rPr>
              <w:t>事中控制，能做到T+1以上模式的医保规则自检，实现医护人员对前一天的违规情况进行浏览并及时进行处理的。0-1.5分；</w:t>
            </w:r>
          </w:p>
          <w:p>
            <w:pPr>
              <w:widowControl/>
              <w:numPr>
                <w:ilvl w:val="0"/>
                <w:numId w:val="9"/>
              </w:numPr>
              <w:tabs>
                <w:tab w:val="left" w:pos="0"/>
              </w:tabs>
              <w:contextualSpacing/>
              <w:jc w:val="left"/>
              <w:rPr>
                <w:rFonts w:hint="eastAsia" w:ascii="仿宋" w:hAnsi="仿宋" w:eastAsia="仿宋" w:cs="仿宋"/>
                <w:color w:val="auto"/>
                <w:szCs w:val="20"/>
                <w:highlight w:val="none"/>
              </w:rPr>
            </w:pPr>
            <w:r>
              <w:rPr>
                <w:rFonts w:hint="eastAsia" w:ascii="仿宋" w:hAnsi="仿宋" w:eastAsia="仿宋" w:cs="仿宋"/>
                <w:color w:val="auto"/>
                <w:szCs w:val="20"/>
                <w:highlight w:val="none"/>
              </w:rPr>
              <w:t>预结算审核，能在出院前一天可对住院病人整个住院过程全部诊疗服务项目进行费用审核的。0-1.5分。</w:t>
            </w:r>
          </w:p>
          <w:p>
            <w:pPr>
              <w:widowControl/>
              <w:numPr>
                <w:ilvl w:val="0"/>
                <w:numId w:val="9"/>
              </w:numPr>
              <w:tabs>
                <w:tab w:val="left" w:pos="0"/>
              </w:tabs>
              <w:contextualSpacing/>
              <w:jc w:val="left"/>
              <w:rPr>
                <w:rFonts w:hint="eastAsia" w:ascii="仿宋" w:hAnsi="仿宋" w:eastAsia="仿宋" w:cs="仿宋"/>
                <w:color w:val="auto"/>
                <w:szCs w:val="20"/>
                <w:highlight w:val="none"/>
              </w:rPr>
            </w:pPr>
            <w:r>
              <w:rPr>
                <w:rFonts w:hint="eastAsia" w:ascii="仿宋" w:hAnsi="仿宋" w:eastAsia="仿宋" w:cs="仿宋"/>
                <w:color w:val="auto"/>
                <w:szCs w:val="20"/>
                <w:highlight w:val="none"/>
              </w:rPr>
              <w:t>知识库管理，能实现对知识库管和规则库的可视化管理和配置，主要包括基金监管规则库、药品知识库、监管案例库和规则上架等配置。0-3分。</w:t>
            </w:r>
          </w:p>
          <w:p>
            <w:pPr>
              <w:widowControl/>
              <w:numPr>
                <w:ilvl w:val="0"/>
                <w:numId w:val="9"/>
              </w:numPr>
              <w:tabs>
                <w:tab w:val="left" w:pos="0"/>
              </w:tabs>
              <w:contextualSpacing/>
              <w:jc w:val="left"/>
              <w:rPr>
                <w:rFonts w:hint="eastAsia" w:ascii="仿宋" w:hAnsi="仿宋" w:eastAsia="仿宋" w:cs="仿宋"/>
                <w:color w:val="auto"/>
                <w:szCs w:val="20"/>
                <w:highlight w:val="none"/>
              </w:rPr>
            </w:pPr>
            <w:r>
              <w:rPr>
                <w:rFonts w:hint="eastAsia" w:ascii="仿宋" w:hAnsi="仿宋" w:eastAsia="仿宋" w:cs="仿宋"/>
                <w:color w:val="auto"/>
                <w:szCs w:val="20"/>
                <w:highlight w:val="none"/>
              </w:rPr>
              <w:t>统计分析，对引擎调度任务分析得到的疑点和违规结果做展示。展示的维度包括按违规科室分布以及医生分布等。0-0.5分。</w:t>
            </w:r>
          </w:p>
          <w:p>
            <w:pPr>
              <w:widowControl/>
              <w:numPr>
                <w:ilvl w:val="0"/>
                <w:numId w:val="9"/>
              </w:numPr>
              <w:tabs>
                <w:tab w:val="left" w:pos="0"/>
              </w:tabs>
              <w:contextualSpacing/>
              <w:jc w:val="left"/>
              <w:rPr>
                <w:rFonts w:hint="eastAsia" w:ascii="仿宋" w:hAnsi="仿宋" w:eastAsia="仿宋" w:cs="仿宋"/>
                <w:color w:val="auto"/>
                <w:szCs w:val="20"/>
                <w:highlight w:val="none"/>
              </w:rPr>
            </w:pPr>
            <w:r>
              <w:rPr>
                <w:rFonts w:hint="eastAsia" w:ascii="仿宋" w:hAnsi="仿宋" w:eastAsia="仿宋" w:cs="仿宋"/>
                <w:color w:val="auto"/>
                <w:szCs w:val="20"/>
                <w:highlight w:val="none"/>
              </w:rPr>
              <w:t>决策支持，构建医保精细化管理驾驶舱，能实现院内各科室的相关诊疗服务以及违规情况直观画像展现。0-1.5分。</w:t>
            </w:r>
          </w:p>
          <w:p>
            <w:pPr>
              <w:widowControl/>
              <w:numPr>
                <w:ilvl w:val="0"/>
                <w:numId w:val="9"/>
              </w:numPr>
              <w:tabs>
                <w:tab w:val="left" w:pos="0"/>
              </w:tabs>
              <w:contextualSpacing/>
              <w:jc w:val="left"/>
              <w:rPr>
                <w:rFonts w:hint="eastAsia" w:ascii="仿宋" w:hAnsi="仿宋" w:eastAsia="仿宋" w:cs="仿宋"/>
                <w:color w:val="auto"/>
                <w:szCs w:val="20"/>
                <w:highlight w:val="none"/>
              </w:rPr>
            </w:pPr>
            <w:r>
              <w:rPr>
                <w:rFonts w:hint="eastAsia" w:ascii="仿宋" w:hAnsi="仿宋" w:eastAsia="仿宋" w:cs="仿宋"/>
                <w:color w:val="auto"/>
                <w:szCs w:val="20"/>
                <w:highlight w:val="none"/>
              </w:rPr>
              <w:t>系统管理，提供系统软件的用户管理、角色管理、部门管理、权限管理以及操作日志查询的功能。0-0.5分。</w:t>
            </w:r>
          </w:p>
        </w:tc>
        <w:tc>
          <w:tcPr>
            <w:tcW w:w="623" w:type="dxa"/>
            <w:noWrap w:val="0"/>
            <w:vAlign w:val="center"/>
          </w:tcPr>
          <w:p>
            <w:pPr>
              <w:widowControl/>
              <w:contextualSpacing/>
              <w:jc w:val="center"/>
              <w:rPr>
                <w:rFonts w:hint="eastAsia" w:ascii="仿宋" w:hAnsi="仿宋" w:eastAsia="仿宋" w:cs="仿宋"/>
                <w:color w:val="auto"/>
                <w:szCs w:val="20"/>
                <w:highlight w:val="none"/>
              </w:rPr>
            </w:pPr>
            <w:r>
              <w:rPr>
                <w:rFonts w:hint="eastAsia" w:ascii="仿宋" w:hAnsi="仿宋" w:eastAsia="仿宋" w:cs="仿宋"/>
                <w:color w:val="auto"/>
                <w:szCs w:val="20"/>
                <w:highlight w:val="none"/>
              </w:rPr>
              <w:t>12</w:t>
            </w:r>
          </w:p>
        </w:tc>
      </w:tr>
    </w:tbl>
    <w:p>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注：对省级以上主管部门认定的首台套产品，自纳入《省推广应用指导目录》起三年内参加政府采购活动，视同已具备相应销售业绩，业绩分为满分。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3</w:t>
      </w:r>
      <w:r>
        <w:rPr>
          <w:rFonts w:hint="eastAsia" w:ascii="仿宋" w:hAnsi="仿宋" w:eastAsia="仿宋" w:cs="仿宋"/>
          <w:b/>
          <w:bCs/>
          <w:iCs/>
          <w:color w:val="auto"/>
          <w:sz w:val="24"/>
          <w:highlight w:val="none"/>
        </w:rPr>
        <w:t>0分）</w:t>
      </w:r>
    </w:p>
    <w:p>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
          <w:color w:val="auto"/>
          <w:sz w:val="36"/>
          <w:szCs w:val="20"/>
          <w:highlight w:val="none"/>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lang w:val="en-US" w:eastAsia="zh-CN"/>
        </w:rPr>
        <w:t>3</w:t>
      </w:r>
      <w:r>
        <w:rPr>
          <w:rFonts w:hint="eastAsia" w:ascii="仿宋" w:hAnsi="仿宋" w:eastAsia="仿宋" w:cs="仿宋"/>
          <w:bCs/>
          <w:iCs/>
          <w:color w:val="auto"/>
          <w:sz w:val="24"/>
          <w:highlight w:val="none"/>
        </w:rPr>
        <w:t>0</w:t>
      </w:r>
      <w:bookmarkEnd w:id="7"/>
      <w:bookmarkEnd w:id="8"/>
      <w:bookmarkEnd w:id="9"/>
      <w:bookmarkEnd w:id="10"/>
    </w:p>
    <w:p>
      <w:pPr>
        <w:pageBreakBefore/>
        <w:snapToGrid w:val="0"/>
        <w:spacing w:line="360" w:lineRule="auto"/>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r>
        <w:rPr>
          <w:rFonts w:hint="eastAsia" w:ascii="仿宋" w:hAnsi="仿宋" w:eastAsia="仿宋" w:cs="仿宋"/>
          <w:b/>
          <w:color w:val="auto"/>
          <w:sz w:val="36"/>
          <w:szCs w:val="36"/>
          <w:highlight w:val="none"/>
        </w:rPr>
        <w:t>投标文件</w:t>
      </w:r>
      <w:r>
        <w:rPr>
          <w:rFonts w:hint="eastAsia" w:ascii="仿宋" w:hAnsi="仿宋" w:eastAsia="仿宋" w:cs="仿宋"/>
          <w:b/>
          <w:color w:val="auto"/>
          <w:sz w:val="36"/>
          <w:szCs w:val="20"/>
          <w:highlight w:val="none"/>
        </w:rPr>
        <w:t>应提交的有关格式范例</w:t>
      </w:r>
    </w:p>
    <w:p>
      <w:pPr>
        <w:spacing w:line="360" w:lineRule="auto"/>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投标人按照以下格式编制投标文件，并将报价文件、商务技术（资信）文件分别编制成册。</w:t>
      </w:r>
    </w:p>
    <w:p>
      <w:pPr>
        <w:spacing w:line="360" w:lineRule="auto"/>
        <w:ind w:firstLine="480" w:firstLineChars="200"/>
        <w:outlineLvl w:val="0"/>
        <w:rPr>
          <w:rFonts w:hint="eastAsia" w:ascii="仿宋" w:hAnsi="仿宋" w:eastAsia="仿宋" w:cs="仿宋"/>
          <w:color w:val="auto"/>
          <w:sz w:val="24"/>
          <w:highlight w:val="none"/>
        </w:rPr>
      </w:pPr>
    </w:p>
    <w:p>
      <w:pPr>
        <w:spacing w:line="360" w:lineRule="auto"/>
        <w:ind w:firstLine="480" w:firstLineChars="200"/>
        <w:outlineLvl w:val="0"/>
        <w:rPr>
          <w:rFonts w:hint="eastAsia" w:ascii="仿宋" w:hAnsi="仿宋" w:eastAsia="仿宋" w:cs="仿宋"/>
          <w:color w:val="auto"/>
          <w:sz w:val="24"/>
          <w:highlight w:val="none"/>
        </w:rPr>
      </w:pPr>
    </w:p>
    <w:p>
      <w:pPr>
        <w:spacing w:line="360" w:lineRule="auto"/>
        <w:ind w:firstLine="480" w:firstLineChars="200"/>
        <w:outlineLvl w:val="0"/>
        <w:rPr>
          <w:rFonts w:hint="eastAsia" w:ascii="仿宋" w:hAnsi="仿宋" w:eastAsia="仿宋" w:cs="仿宋"/>
          <w:color w:val="auto"/>
          <w:sz w:val="24"/>
          <w:highlight w:val="none"/>
        </w:rPr>
      </w:pPr>
    </w:p>
    <w:p>
      <w:pPr>
        <w:spacing w:line="360" w:lineRule="auto"/>
        <w:ind w:firstLine="480" w:firstLineChars="200"/>
        <w:outlineLvl w:val="0"/>
        <w:rPr>
          <w:rFonts w:hint="eastAsia" w:ascii="仿宋" w:hAnsi="仿宋" w:eastAsia="仿宋" w:cs="仿宋"/>
          <w:color w:val="auto"/>
          <w:sz w:val="24"/>
          <w:highlight w:val="none"/>
        </w:rPr>
      </w:pPr>
    </w:p>
    <w:p>
      <w:pPr>
        <w:spacing w:line="360" w:lineRule="auto"/>
        <w:ind w:firstLine="480" w:firstLineChars="200"/>
        <w:outlineLvl w:val="0"/>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pacing w:line="360" w:lineRule="auto"/>
        <w:jc w:val="center"/>
        <w:outlineLvl w:val="0"/>
        <w:rPr>
          <w:rFonts w:hint="eastAsia" w:ascii="仿宋" w:hAnsi="仿宋" w:eastAsia="仿宋" w:cs="仿宋"/>
          <w:b/>
          <w:color w:val="auto"/>
          <w:kern w:val="0"/>
          <w:sz w:val="24"/>
          <w:highlight w:val="none"/>
        </w:r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（1）投标响应函……………………………………………………（页码）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（2）开标一览表……………………………………………………（页码）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（3）中小企业声明函………………………………………………（页码）</w:t>
      </w:r>
    </w:p>
    <w:p>
      <w:pPr>
        <w:spacing w:line="360" w:lineRule="auto"/>
        <w:outlineLvl w:val="0"/>
        <w:rPr>
          <w:rFonts w:hint="eastAsia" w:ascii="仿宋" w:hAnsi="仿宋" w:eastAsia="仿宋" w:cs="仿宋"/>
          <w:b/>
          <w:color w:val="auto"/>
          <w:sz w:val="36"/>
          <w:szCs w:val="36"/>
          <w:highlight w:val="none"/>
        </w:rPr>
      </w:pPr>
      <w:r>
        <w:rPr>
          <w:rFonts w:hint="eastAsia" w:ascii="仿宋" w:hAnsi="仿宋" w:eastAsia="仿宋" w:cs="仿宋"/>
          <w:color w:val="auto"/>
          <w:sz w:val="24"/>
          <w:highlight w:val="none"/>
        </w:rPr>
        <w:t>（4）残疾人福利性单位声明函</w:t>
      </w:r>
      <w:r>
        <w:rPr>
          <w:rFonts w:hint="eastAsia" w:ascii="仿宋" w:hAnsi="仿宋" w:eastAsia="仿宋" w:cs="仿宋"/>
          <w:color w:val="auto"/>
          <w:kern w:val="0"/>
          <w:sz w:val="24"/>
          <w:highlight w:val="none"/>
        </w:rPr>
        <w:t>……………………………………（页码）</w:t>
      </w:r>
    </w:p>
    <w:p>
      <w:pPr>
        <w:pStyle w:val="3"/>
        <w:spacing w:line="800" w:lineRule="atLeast"/>
        <w:ind w:left="0" w:leftChars="0"/>
        <w:rPr>
          <w:rFonts w:hint="eastAsia" w:ascii="仿宋" w:hAnsi="仿宋" w:eastAsia="仿宋" w:cs="仿宋"/>
          <w:b/>
          <w:color w:val="auto"/>
          <w:sz w:val="36"/>
          <w:szCs w:val="36"/>
          <w:highlight w:val="none"/>
        </w:rPr>
      </w:pPr>
    </w:p>
    <w:p>
      <w:pPr>
        <w:pStyle w:val="3"/>
        <w:spacing w:line="800" w:lineRule="atLeast"/>
        <w:ind w:left="0" w:leftChars="0"/>
        <w:rPr>
          <w:rFonts w:hint="eastAsia" w:ascii="仿宋" w:hAnsi="仿宋" w:eastAsia="仿宋" w:cs="仿宋"/>
          <w:b/>
          <w:color w:val="auto"/>
          <w:sz w:val="36"/>
          <w:szCs w:val="36"/>
          <w:highlight w:val="none"/>
        </w:rPr>
      </w:pPr>
    </w:p>
    <w:p>
      <w:pPr>
        <w:pStyle w:val="3"/>
        <w:spacing w:line="800" w:lineRule="atLeast"/>
        <w:ind w:left="0" w:leftChars="0"/>
        <w:rPr>
          <w:rFonts w:hint="eastAsia" w:ascii="仿宋" w:hAnsi="仿宋" w:eastAsia="仿宋" w:cs="仿宋"/>
          <w:b/>
          <w:color w:val="auto"/>
          <w:sz w:val="36"/>
          <w:szCs w:val="36"/>
          <w:highlight w:val="none"/>
        </w:rPr>
      </w:pPr>
    </w:p>
    <w:p>
      <w:pPr>
        <w:rPr>
          <w:rFonts w:hint="eastAsia" w:ascii="仿宋" w:hAnsi="仿宋" w:eastAsia="仿宋" w:cs="仿宋"/>
          <w:b/>
          <w:color w:val="auto"/>
          <w:sz w:val="30"/>
          <w:szCs w:val="30"/>
          <w:highlight w:val="none"/>
        </w:rPr>
      </w:pPr>
    </w:p>
    <w:p>
      <w:pPr>
        <w:rPr>
          <w:rFonts w:hint="eastAsia" w:ascii="仿宋" w:hAnsi="仿宋" w:eastAsia="仿宋" w:cs="仿宋"/>
          <w:b/>
          <w:color w:val="auto"/>
          <w:sz w:val="30"/>
          <w:szCs w:val="30"/>
          <w:highlight w:val="none"/>
        </w:rPr>
      </w:pPr>
    </w:p>
    <w:p>
      <w:pPr>
        <w:pageBreakBefore/>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1、投标响应函（格式）</w:t>
      </w:r>
    </w:p>
    <w:p>
      <w:pPr>
        <w:pStyle w:val="71"/>
        <w:spacing w:afterLines="0" w:line="440" w:lineRule="exact"/>
        <w:ind w:firstLine="0" w:firstLineChars="0"/>
        <w:rPr>
          <w:rFonts w:hint="eastAsia" w:ascii="仿宋" w:hAnsi="仿宋" w:eastAsia="仿宋" w:cs="仿宋"/>
          <w:color w:val="auto"/>
          <w:szCs w:val="24"/>
          <w:highlight w:val="none"/>
        </w:rPr>
      </w:pPr>
    </w:p>
    <w:p>
      <w:pPr>
        <w:pStyle w:val="71"/>
        <w:spacing w:afterLines="0" w:line="440" w:lineRule="exact"/>
        <w:ind w:firstLine="0" w:firstLineChars="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lang w:eastAsia="zh-CN"/>
        </w:rPr>
        <w:t>绍兴市中医院</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u w:val="single"/>
          <w:lang w:eastAsia="zh-CN"/>
        </w:rPr>
        <w:t>泰宇建筑工程技术咨询有限公司</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pPr>
        <w:pStyle w:val="16"/>
        <w:tabs>
          <w:tab w:val="clear" w:pos="1697"/>
        </w:tabs>
        <w:spacing w:afterLines="0" w:line="440" w:lineRule="exact"/>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w:t>
      </w:r>
      <w:r>
        <w:rPr>
          <w:rFonts w:hint="eastAsia" w:ascii="仿宋" w:hAnsi="仿宋" w:eastAsia="仿宋" w:cs="仿宋"/>
          <w:color w:val="auto"/>
          <w:highlight w:val="none"/>
        </w:rPr>
        <w:t>我方同意在投标人</w:t>
      </w:r>
      <w:r>
        <w:rPr>
          <w:rFonts w:hint="eastAsia" w:ascii="仿宋" w:hAnsi="仿宋" w:eastAsia="仿宋" w:cs="仿宋"/>
          <w:color w:val="auto"/>
          <w:kern w:val="44"/>
          <w:highlight w:val="none"/>
        </w:rPr>
        <w:t>须知</w:t>
      </w:r>
      <w:r>
        <w:rPr>
          <w:rFonts w:hint="eastAsia" w:ascii="仿宋" w:hAnsi="仿宋" w:eastAsia="仿宋" w:cs="仿宋"/>
          <w:color w:val="auto"/>
          <w:highlight w:val="none"/>
        </w:rPr>
        <w:t>规定的开标日期起遵守本投标文件中的承诺且在投标有效期满之前均具有约束力</w:t>
      </w:r>
      <w:r>
        <w:rPr>
          <w:rFonts w:hint="eastAsia" w:ascii="仿宋" w:hAnsi="仿宋" w:eastAsia="仿宋" w:cs="仿宋"/>
          <w:color w:val="auto"/>
          <w:szCs w:val="24"/>
          <w:highlight w:val="none"/>
        </w:rPr>
        <w:t>。</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pPr>
        <w:pStyle w:val="71"/>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3.</w:t>
      </w:r>
      <w:r>
        <w:rPr>
          <w:rFonts w:hint="eastAsia" w:ascii="仿宋" w:hAnsi="仿宋" w:eastAsia="仿宋" w:cs="仿宋"/>
          <w:color w:val="auto"/>
          <w:highlight w:val="none"/>
        </w:rPr>
        <w:t>本公司投标文件中填列的技术参数、配置、服务、数量等相关内容都是真实、准确的。保证在本次项目中所提供的资料全部真实和合法。同意向</w:t>
      </w:r>
      <w:r>
        <w:rPr>
          <w:rFonts w:hint="eastAsia" w:ascii="仿宋" w:hAnsi="仿宋" w:eastAsia="仿宋" w:cs="仿宋"/>
          <w:color w:val="auto"/>
          <w:highlight w:val="none"/>
          <w:lang w:eastAsia="zh-CN"/>
        </w:rPr>
        <w:t>泰宇建筑工程技术咨询有限公司</w:t>
      </w:r>
      <w:r>
        <w:rPr>
          <w:rFonts w:hint="eastAsia" w:ascii="仿宋" w:hAnsi="仿宋" w:eastAsia="仿宋" w:cs="仿宋"/>
          <w:color w:val="auto"/>
          <w:highlight w:val="none"/>
        </w:rPr>
        <w:t>提供可能另外要求的与投标有关的任何数据或资料。</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pPr>
        <w:pStyle w:val="16"/>
        <w:tabs>
          <w:tab w:val="clear" w:pos="1697"/>
        </w:tabs>
        <w:spacing w:afterLines="0" w:line="440" w:lineRule="exact"/>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highlight w:val="none"/>
        </w:rPr>
        <w:t>5.</w:t>
      </w:r>
      <w:r>
        <w:rPr>
          <w:rFonts w:hint="eastAsia" w:ascii="仿宋" w:hAnsi="仿宋" w:eastAsia="仿宋" w:cs="仿宋"/>
          <w:color w:val="auto"/>
          <w:szCs w:val="24"/>
          <w:highlight w:val="none"/>
        </w:rPr>
        <w:t>本投标自开标之日（投标截止之日）起90天内有效。</w:t>
      </w:r>
    </w:p>
    <w:p>
      <w:pPr>
        <w:pStyle w:val="71"/>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6</w:t>
      </w:r>
      <w:r>
        <w:rPr>
          <w:rFonts w:hint="eastAsia" w:ascii="仿宋" w:hAnsi="仿宋" w:eastAsia="仿宋" w:cs="仿宋"/>
          <w:color w:val="auto"/>
          <w:highlight w:val="none"/>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电话：                              传真：</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pPr>
        <w:pStyle w:val="71"/>
        <w:spacing w:afterLines="0" w:line="440" w:lineRule="exact"/>
        <w:ind w:firstLine="480"/>
        <w:rPr>
          <w:rFonts w:hint="eastAsia" w:ascii="仿宋" w:hAnsi="仿宋" w:eastAsia="仿宋" w:cs="仿宋"/>
          <w:b/>
          <w:color w:val="auto"/>
          <w:sz w:val="30"/>
          <w:szCs w:val="30"/>
          <w:highlight w:val="none"/>
        </w:rPr>
      </w:pPr>
      <w:r>
        <w:rPr>
          <w:rFonts w:hint="eastAsia" w:ascii="仿宋" w:hAnsi="仿宋" w:eastAsia="仿宋" w:cs="仿宋"/>
          <w:color w:val="auto"/>
          <w:szCs w:val="24"/>
          <w:highlight w:val="none"/>
        </w:rPr>
        <w:t>投标人(</w:t>
      </w:r>
      <w:r>
        <w:rPr>
          <w:rFonts w:hint="eastAsia" w:ascii="仿宋" w:hAnsi="仿宋" w:eastAsia="仿宋" w:cs="仿宋"/>
          <w:color w:val="auto"/>
          <w:szCs w:val="24"/>
          <w:highlight w:val="none"/>
          <w:lang w:eastAsia="zh-CN"/>
        </w:rPr>
        <w:t>盖章</w:t>
      </w:r>
      <w:r>
        <w:rPr>
          <w:rFonts w:hint="eastAsia" w:ascii="仿宋" w:hAnsi="仿宋" w:eastAsia="仿宋" w:cs="仿宋"/>
          <w:color w:val="auto"/>
          <w:szCs w:val="24"/>
          <w:highlight w:val="none"/>
        </w:rPr>
        <w:t xml:space="preserve">)：　　　　　　　　　日期：   </w:t>
      </w:r>
    </w:p>
    <w:p>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2、开标一览表（格式）</w:t>
      </w:r>
    </w:p>
    <w:p>
      <w:pPr>
        <w:spacing w:line="400" w:lineRule="exact"/>
        <w:rPr>
          <w:rFonts w:hint="eastAsia" w:ascii="仿宋" w:hAnsi="仿宋" w:eastAsia="仿宋" w:cs="仿宋"/>
          <w:color w:val="auto"/>
          <w:sz w:val="24"/>
          <w:highlight w:val="none"/>
        </w:rPr>
      </w:pPr>
    </w:p>
    <w:p>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w:t>
      </w:r>
    </w:p>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标    项：</w:t>
      </w:r>
    </w:p>
    <w:p>
      <w:pPr>
        <w:snapToGrid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招标编号：</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单位：元</w:t>
      </w:r>
    </w:p>
    <w:tbl>
      <w:tblPr>
        <w:tblStyle w:val="43"/>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名称</w:t>
            </w:r>
          </w:p>
        </w:tc>
        <w:tc>
          <w:tcPr>
            <w:tcW w:w="1261" w:type="dxa"/>
            <w:tcBorders>
              <w:left w:val="single" w:color="auto" w:sz="4" w:space="0"/>
            </w:tcBorders>
            <w:vAlign w:val="center"/>
          </w:tcPr>
          <w:p>
            <w:pPr>
              <w:adjustRightInd w:val="0"/>
              <w:snapToGrid w:val="0"/>
              <w:ind w:left="-107" w:leftChars="-51" w:right="-107" w:rightChars="-51"/>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货物的制造商或服务的提供商</w:t>
            </w:r>
          </w:p>
        </w:tc>
        <w:tc>
          <w:tcPr>
            <w:tcW w:w="900" w:type="dxa"/>
            <w:vAlign w:val="center"/>
          </w:tcPr>
          <w:p>
            <w:pPr>
              <w:adjustRightInd w:val="0"/>
              <w:snapToGrid w:val="0"/>
              <w:ind w:left="-107" w:leftChars="-51" w:right="-107" w:rightChars="-51" w:firstLine="1"/>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品牌（如有）</w:t>
            </w:r>
          </w:p>
        </w:tc>
        <w:tc>
          <w:tcPr>
            <w:tcW w:w="720" w:type="dxa"/>
            <w:vAlign w:val="center"/>
          </w:tcPr>
          <w:p>
            <w:pPr>
              <w:adjustRightInd w:val="0"/>
              <w:snapToGrid w:val="0"/>
              <w:ind w:left="-107" w:leftChars="-51" w:right="-107" w:rightChars="-51"/>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数量</w:t>
            </w:r>
          </w:p>
        </w:tc>
        <w:tc>
          <w:tcPr>
            <w:tcW w:w="1440" w:type="dxa"/>
            <w:vAlign w:val="center"/>
          </w:tcPr>
          <w:p>
            <w:pPr>
              <w:adjustRightInd w:val="0"/>
              <w:snapToGrid w:val="0"/>
              <w:ind w:left="-107" w:leftChars="-51" w:right="-107" w:rightChars="-51" w:firstLine="1"/>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型号和规格</w:t>
            </w:r>
            <w:r>
              <w:rPr>
                <w:rFonts w:hint="eastAsia" w:ascii="仿宋" w:hAnsi="仿宋" w:eastAsia="仿宋" w:cs="仿宋"/>
                <w:b/>
                <w:color w:val="auto"/>
                <w:sz w:val="18"/>
                <w:szCs w:val="18"/>
                <w:highlight w:val="none"/>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总价</w:t>
            </w:r>
          </w:p>
        </w:tc>
        <w:tc>
          <w:tcPr>
            <w:tcW w:w="720" w:type="dxa"/>
            <w:vAlign w:val="center"/>
          </w:tcPr>
          <w:p>
            <w:pPr>
              <w:adjustRightInd w:val="0"/>
              <w:snapToGrid w:val="0"/>
              <w:ind w:left="0" w:leftChars="-51" w:right="-107" w:rightChars="-51" w:hanging="107" w:hangingChars="49"/>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交货期</w:t>
            </w:r>
          </w:p>
        </w:tc>
        <w:tc>
          <w:tcPr>
            <w:tcW w:w="1078" w:type="dxa"/>
            <w:vAlign w:val="center"/>
          </w:tcPr>
          <w:p>
            <w:pPr>
              <w:tabs>
                <w:tab w:val="left" w:pos="1224"/>
              </w:tabs>
              <w:adjustRightInd w:val="0"/>
              <w:snapToGrid w:val="0"/>
              <w:ind w:right="-107" w:rightChars="-51"/>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1</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44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2</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3</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4</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hint="eastAsia" w:ascii="仿宋" w:hAnsi="仿宋" w:eastAsia="仿宋" w:cs="仿宋"/>
                <w:color w:val="auto"/>
                <w:spacing w:val="20"/>
                <w:sz w:val="18"/>
                <w:szCs w:val="18"/>
                <w:highlight w:val="none"/>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大写：</w:t>
            </w:r>
          </w:p>
        </w:tc>
      </w:tr>
    </w:tbl>
    <w:p>
      <w:pPr>
        <w:snapToGrid w:val="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 1.报价一经涂改，应在涂改处加盖单位</w:t>
      </w:r>
      <w:r>
        <w:rPr>
          <w:rFonts w:hint="eastAsia" w:ascii="仿宋" w:hAnsi="仿宋" w:eastAsia="仿宋" w:cs="仿宋"/>
          <w:color w:val="auto"/>
          <w:sz w:val="24"/>
          <w:highlight w:val="none"/>
          <w:lang w:eastAsia="zh-CN"/>
        </w:rPr>
        <w:t>公章</w:t>
      </w:r>
      <w:r>
        <w:rPr>
          <w:rFonts w:hint="eastAsia" w:ascii="仿宋" w:hAnsi="仿宋" w:eastAsia="仿宋" w:cs="仿宋"/>
          <w:color w:val="auto"/>
          <w:sz w:val="24"/>
          <w:highlight w:val="none"/>
        </w:rPr>
        <w:t>或者由法定代表人或其授权代表签字或盖章，否则其投标作无效投标处理。</w:t>
      </w:r>
    </w:p>
    <w:p>
      <w:pPr>
        <w:snapToGrid w:val="0"/>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2.招标人不接受某一标项中有2个(含)以上的报价或方案，若投标人在此表中有2个（含）以上的报价或方案，其投标作无效投标处理。</w:t>
      </w:r>
    </w:p>
    <w:p>
      <w:pPr>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3.投标人需按本表格式填写，如无对应内容，则填写：“无或/”。</w:t>
      </w:r>
    </w:p>
    <w:p>
      <w:pPr>
        <w:snapToGrid w:val="0"/>
        <w:ind w:left="48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4.有关本项目实施所涉及的一切费用均计入报价。</w:t>
      </w:r>
    </w:p>
    <w:p>
      <w:pPr>
        <w:snapToGrid w:val="0"/>
        <w:ind w:firstLine="480" w:firstLineChars="200"/>
        <w:jc w:val="left"/>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val="zh-CN"/>
        </w:rPr>
        <w:t>5.以上表格要求细分项目及报价。</w:t>
      </w:r>
    </w:p>
    <w:p>
      <w:pPr>
        <w:spacing w:line="360" w:lineRule="auto"/>
        <w:ind w:left="-3" w:leftChars="-72" w:right="-817" w:rightChars="-389" w:hanging="148" w:hangingChars="62"/>
        <w:rPr>
          <w:rFonts w:hint="eastAsia" w:ascii="仿宋" w:hAnsi="仿宋" w:eastAsia="仿宋" w:cs="仿宋"/>
          <w:color w:val="auto"/>
          <w:sz w:val="24"/>
          <w:highlight w:val="none"/>
        </w:rPr>
      </w:pPr>
    </w:p>
    <w:p>
      <w:pPr>
        <w:spacing w:line="360" w:lineRule="auto"/>
        <w:ind w:left="-4" w:leftChars="-2" w:right="-817" w:rightChars="-389" w:firstLine="2"/>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w:t>
      </w:r>
    </w:p>
    <w:p>
      <w:pPr>
        <w:spacing w:line="360" w:lineRule="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法定代表人或其授权代表（签字或盖章）：            日期：    年   月   日</w:t>
      </w:r>
    </w:p>
    <w:p>
      <w:pPr>
        <w:pageBreakBefore/>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商务技术（资信）文件部分</w:t>
      </w:r>
    </w:p>
    <w:p>
      <w:pPr>
        <w:spacing w:line="360" w:lineRule="auto"/>
        <w:jc w:val="center"/>
        <w:outlineLvl w:val="0"/>
        <w:rPr>
          <w:rFonts w:hint="eastAsia" w:ascii="仿宋" w:hAnsi="仿宋" w:eastAsia="仿宋" w:cs="仿宋"/>
          <w:b/>
          <w:color w:val="auto"/>
          <w:kern w:val="0"/>
          <w:sz w:val="24"/>
          <w:highlight w:val="none"/>
        </w:rPr>
      </w:pPr>
    </w:p>
    <w:p>
      <w:pPr>
        <w:spacing w:line="360"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（1）法定代表人授权书 …………………………………………………………（页码）</w:t>
      </w:r>
    </w:p>
    <w:p>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（2）授权代表社保证明（复印件）………………………………………………（页码）</w:t>
      </w:r>
    </w:p>
    <w:p>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（3）法定代表人及其授权代表的身份证（复印件）……………………………（页码）</w:t>
      </w:r>
    </w:p>
    <w:p>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（4）法定代表人身份证明书………………………………………………………（页码）</w:t>
      </w:r>
    </w:p>
    <w:p>
      <w:pPr>
        <w:spacing w:line="360" w:lineRule="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（5）资格审查有关的书面承诺函</w:t>
      </w:r>
      <w:r>
        <w:rPr>
          <w:rFonts w:hint="eastAsia" w:ascii="仿宋" w:hAnsi="仿宋" w:eastAsia="仿宋" w:cs="仿宋"/>
          <w:color w:val="auto"/>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pStyle w:val="195"/>
        <w:spacing w:line="360" w:lineRule="auto"/>
        <w:ind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（6）符合特定资格条件（如果项目要求）的有关证明材料（复印件）………（页码）</w:t>
      </w:r>
    </w:p>
    <w:p>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（7）</w:t>
      </w:r>
      <w:r>
        <w:rPr>
          <w:rFonts w:hint="eastAsia" w:ascii="仿宋" w:hAnsi="仿宋" w:eastAsia="仿宋" w:cs="仿宋"/>
          <w:snapToGrid w:val="0"/>
          <w:color w:val="auto"/>
          <w:highlight w:val="none"/>
        </w:rPr>
        <w:t>投标人售后服务证明材料</w:t>
      </w:r>
      <w:r>
        <w:rPr>
          <w:rFonts w:hint="eastAsia" w:ascii="仿宋" w:hAnsi="仿宋" w:eastAsia="仿宋" w:cs="仿宋"/>
          <w:color w:val="auto"/>
          <w:highlight w:val="none"/>
        </w:rPr>
        <w:t>……………………………………………………（页码）</w:t>
      </w:r>
    </w:p>
    <w:p>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（8）</w:t>
      </w:r>
      <w:r>
        <w:rPr>
          <w:rFonts w:hint="eastAsia" w:ascii="仿宋" w:hAnsi="仿宋" w:eastAsia="仿宋" w:cs="仿宋"/>
          <w:color w:val="auto"/>
          <w:highlight w:val="none"/>
          <w:lang w:val="zh-CN"/>
        </w:rPr>
        <w:t>主要业绩证明…………………………………………………</w:t>
      </w:r>
      <w:r>
        <w:rPr>
          <w:rFonts w:hint="eastAsia" w:ascii="仿宋" w:hAnsi="仿宋" w:eastAsia="仿宋" w:cs="仿宋"/>
          <w:color w:val="auto"/>
          <w:highlight w:val="none"/>
        </w:rPr>
        <w:t>…………</w:t>
      </w:r>
      <w:r>
        <w:rPr>
          <w:rFonts w:hint="eastAsia" w:ascii="仿宋" w:hAnsi="仿宋" w:eastAsia="仿宋" w:cs="仿宋"/>
          <w:color w:val="auto"/>
          <w:highlight w:val="none"/>
          <w:lang w:val="zh-CN"/>
        </w:rPr>
        <w:t>…</w:t>
      </w:r>
      <w:r>
        <w:rPr>
          <w:rFonts w:hint="eastAsia" w:ascii="仿宋" w:hAnsi="仿宋" w:eastAsia="仿宋" w:cs="仿宋"/>
          <w:color w:val="auto"/>
          <w:highlight w:val="none"/>
        </w:rPr>
        <w:t>（页码）</w:t>
      </w:r>
    </w:p>
    <w:p>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（9）廉政承诺书 …………………………………………………………………（页码）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（11）技术偏离说明表………………………………………………</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（12）组织实施方案……………………………………………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（13）售后服务方案……………………………………………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（19）</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（页码）（20）</w:t>
      </w:r>
      <w:r>
        <w:rPr>
          <w:rFonts w:hint="eastAsia" w:ascii="仿宋" w:hAnsi="仿宋" w:eastAsia="仿宋" w:cs="仿宋"/>
          <w:color w:val="auto"/>
          <w:kern w:val="0"/>
          <w:sz w:val="24"/>
          <w:highlight w:val="none"/>
          <w:lang w:val="zh-CN"/>
        </w:rPr>
        <w:t>联合协议（如有）……………………………………………………</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（21）</w:t>
      </w:r>
      <w:r>
        <w:rPr>
          <w:rFonts w:hint="eastAsia" w:ascii="仿宋" w:hAnsi="仿宋" w:eastAsia="仿宋" w:cs="仿宋"/>
          <w:color w:val="auto"/>
          <w:kern w:val="0"/>
          <w:sz w:val="24"/>
          <w:highlight w:val="none"/>
          <w:lang w:val="zh-CN"/>
        </w:rPr>
        <w:t>分包意向协议（如有）…………………………………………</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（22）中小企业声明函</w:t>
      </w:r>
      <w:r>
        <w:rPr>
          <w:rFonts w:hint="eastAsia" w:ascii="仿宋" w:hAnsi="仿宋" w:eastAsia="仿宋" w:cs="仿宋"/>
          <w:color w:val="auto"/>
          <w:kern w:val="0"/>
          <w:sz w:val="24"/>
          <w:highlight w:val="none"/>
          <w:lang w:val="zh-CN"/>
        </w:rPr>
        <w:t>（如有）</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注：以上目录是基本格式要求，各投标人可根据自身情况和评分标准进一步细化。</w:t>
      </w:r>
    </w:p>
    <w:p>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1、法定代表人授权委托书（格式） </w:t>
      </w:r>
      <w:r>
        <w:rPr>
          <w:rFonts w:hint="eastAsia" w:ascii="仿宋" w:hAnsi="仿宋" w:eastAsia="仿宋" w:cs="仿宋"/>
          <w:b/>
          <w:color w:val="auto"/>
          <w:kern w:val="0"/>
          <w:sz w:val="32"/>
          <w:szCs w:val="32"/>
          <w:highlight w:val="none"/>
          <w:lang w:val="zh-CN"/>
        </w:rPr>
        <w:t>（适用于非联合体投标）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eastAsia="zh-CN"/>
        </w:rPr>
        <w:t>绍兴市中医院</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泰宇建筑工程技术咨询有限公司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eastAsia="zh-CN"/>
        </w:rPr>
        <w:t>医保精细化管理大数据综合服务项目</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ind w:firstLine="4920" w:firstLineChars="2050"/>
        <w:jc w:val="left"/>
        <w:rPr>
          <w:rFonts w:hint="eastAsia" w:ascii="仿宋" w:hAnsi="仿宋" w:eastAsia="仿宋" w:cs="仿宋"/>
          <w:color w:val="auto"/>
          <w:sz w:val="24"/>
          <w:highlight w:val="none"/>
        </w:rPr>
      </w:pPr>
    </w:p>
    <w:p>
      <w:pPr>
        <w:spacing w:line="800" w:lineRule="exact"/>
        <w:rPr>
          <w:rFonts w:hint="eastAsia" w:ascii="仿宋" w:hAnsi="仿宋" w:eastAsia="仿宋" w:cs="仿宋"/>
          <w:b/>
          <w:color w:val="auto"/>
          <w:sz w:val="24"/>
          <w:highlight w:val="none"/>
        </w:rPr>
      </w:pPr>
    </w:p>
    <w:p>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eastAsia="zh-CN"/>
        </w:rPr>
        <w:t>绍兴市中医院</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泰宇建筑工程技术咨询有限公司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eastAsia="zh-CN"/>
        </w:rPr>
        <w:t>医保精细化管理大数据综合服务项目</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jc w:val="center"/>
        <w:rPr>
          <w:rFonts w:hint="eastAsia" w:ascii="仿宋" w:hAnsi="仿宋" w:eastAsia="仿宋" w:cs="仿宋"/>
          <w:b/>
          <w:color w:val="auto"/>
          <w:kern w:val="0"/>
          <w:sz w:val="32"/>
          <w:szCs w:val="32"/>
          <w:highlight w:val="none"/>
        </w:rPr>
      </w:pPr>
    </w:p>
    <w:p>
      <w:pPr>
        <w:rPr>
          <w:rFonts w:hint="eastAsia" w:ascii="仿宋" w:hAnsi="仿宋" w:eastAsia="仿宋" w:cs="仿宋"/>
          <w:color w:val="auto"/>
          <w:highlight w:val="none"/>
        </w:rPr>
      </w:pP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pacing w:line="800" w:lineRule="exact"/>
        <w:rPr>
          <w:rFonts w:hint="eastAsia" w:ascii="仿宋" w:hAnsi="仿宋" w:eastAsia="仿宋" w:cs="仿宋"/>
          <w:b/>
          <w:color w:val="auto"/>
          <w:sz w:val="24"/>
          <w:highlight w:val="none"/>
        </w:rPr>
      </w:pPr>
    </w:p>
    <w:p>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2、授权代表社保证明（复印件）</w:t>
      </w:r>
    </w:p>
    <w:p>
      <w:pPr>
        <w:spacing w:line="800" w:lineRule="exact"/>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auto"/>
          <w:sz w:val="24"/>
          <w:highlight w:val="none"/>
        </w:rPr>
        <w:t>未提供上述证明的投标做无效投标处理。</w:t>
      </w:r>
    </w:p>
    <w:p>
      <w:pPr>
        <w:spacing w:line="800" w:lineRule="exact"/>
        <w:ind w:firstLine="4320" w:firstLineChars="1800"/>
        <w:rPr>
          <w:rFonts w:hint="eastAsia" w:ascii="仿宋" w:hAnsi="仿宋" w:eastAsia="仿宋" w:cs="仿宋"/>
          <w:color w:val="auto"/>
          <w:sz w:val="24"/>
          <w:highlight w:val="none"/>
        </w:rPr>
      </w:pPr>
    </w:p>
    <w:p>
      <w:pPr>
        <w:spacing w:line="800" w:lineRule="exact"/>
        <w:ind w:firstLine="4337" w:firstLineChars="1800"/>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3、法定代表人及其授权代表身份证复印件（正反面）</w:t>
      </w: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4、法定代表人身份证明书(格式)</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pPr>
        <w:spacing w:line="440" w:lineRule="exact"/>
        <w:rPr>
          <w:rFonts w:hint="eastAsia" w:ascii="仿宋" w:hAnsi="仿宋" w:eastAsia="仿宋" w:cs="仿宋"/>
          <w:color w:val="auto"/>
          <w:sz w:val="24"/>
          <w:highlight w:val="none"/>
        </w:rPr>
      </w:pP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                             （</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w:t>
      </w:r>
    </w:p>
    <w:p>
      <w:pPr>
        <w:spacing w:line="440" w:lineRule="exact"/>
        <w:ind w:right="480"/>
        <w:rPr>
          <w:rFonts w:hint="eastAsia" w:ascii="仿宋" w:hAnsi="仿宋" w:eastAsia="仿宋" w:cs="仿宋"/>
          <w:color w:val="auto"/>
          <w:sz w:val="24"/>
          <w:highlight w:val="none"/>
        </w:rPr>
      </w:pPr>
    </w:p>
    <w:p>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pPr>
        <w:pageBreakBefore/>
        <w:spacing w:afterLines="100"/>
        <w:rPr>
          <w:rFonts w:hint="eastAsia" w:ascii="仿宋" w:hAnsi="仿宋" w:eastAsia="仿宋" w:cs="仿宋"/>
          <w:b/>
          <w:color w:val="auto"/>
          <w:kern w:val="0"/>
          <w:sz w:val="32"/>
          <w:szCs w:val="32"/>
          <w:highlight w:val="none"/>
        </w:rPr>
      </w:pPr>
      <w:r>
        <w:rPr>
          <w:rFonts w:hint="eastAsia" w:ascii="仿宋" w:hAnsi="仿宋" w:eastAsia="仿宋" w:cs="仿宋"/>
          <w:b/>
          <w:color w:val="auto"/>
          <w:sz w:val="30"/>
          <w:szCs w:val="30"/>
          <w:highlight w:val="none"/>
        </w:rPr>
        <w:t>5、资格审查有关的书面承诺函</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泰宇建筑工程技术咨询有限公司</w:t>
      </w:r>
      <w:r>
        <w:rPr>
          <w:rFonts w:hint="eastAsia" w:ascii="仿宋" w:hAnsi="仿宋" w:eastAsia="仿宋" w:cs="仿宋"/>
          <w:color w:val="auto"/>
          <w:kern w:val="0"/>
          <w:sz w:val="24"/>
          <w:highlight w:val="none"/>
          <w:lang w:val="zh-CN"/>
        </w:rPr>
        <w:t>：</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我方郑重承诺，已具有</w:t>
      </w:r>
      <w:r>
        <w:rPr>
          <w:rFonts w:hint="eastAsia" w:ascii="仿宋" w:hAnsi="仿宋" w:eastAsia="仿宋" w:cs="仿宋"/>
          <w:color w:val="auto"/>
          <w:sz w:val="24"/>
          <w:highlight w:val="none"/>
          <w:lang w:eastAsia="zh-CN"/>
        </w:rPr>
        <w:t>绍兴市中医院医保精细化管理大数据综合服务项目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TYJZ2023</w:t>
      </w:r>
      <w:r>
        <w:rPr>
          <w:rFonts w:hint="eastAsia" w:ascii="仿宋" w:hAnsi="仿宋" w:eastAsia="仿宋" w:cs="仿宋"/>
          <w:color w:val="auto"/>
          <w:sz w:val="24"/>
          <w:highlight w:val="none"/>
        </w:rPr>
        <w:t>）招标文件中关于申请人资格要求的下列条件：</w:t>
      </w:r>
    </w:p>
    <w:p>
      <w:pPr>
        <w:pStyle w:val="71"/>
        <w:widowControl w:val="0"/>
        <w:spacing w:afterLines="0" w:line="440" w:lineRule="exact"/>
        <w:ind w:firstLine="480"/>
        <w:jc w:val="left"/>
        <w:rPr>
          <w:rFonts w:hint="eastAsia" w:ascii="仿宋" w:hAnsi="仿宋" w:eastAsia="仿宋" w:cs="仿宋"/>
          <w:color w:val="auto"/>
          <w:highlight w:val="none"/>
        </w:rPr>
      </w:pPr>
      <w:r>
        <w:rPr>
          <w:rFonts w:hint="eastAsia" w:ascii="仿宋" w:hAnsi="仿宋" w:eastAsia="仿宋" w:cs="仿宋"/>
          <w:color w:val="auto"/>
          <w:highlight w:val="none"/>
        </w:rPr>
        <w:t>1、</w:t>
      </w:r>
      <w:r>
        <w:rPr>
          <w:rFonts w:hint="eastAsia" w:ascii="仿宋" w:hAnsi="仿宋" w:eastAsia="仿宋" w:cs="仿宋"/>
          <w:color w:val="auto"/>
          <w:szCs w:val="24"/>
          <w:highlight w:val="none"/>
        </w:rPr>
        <w:t>符合《中华人民共和国政府采购法》第二十二条的规定：</w:t>
      </w:r>
      <w:r>
        <w:rPr>
          <w:rFonts w:hint="eastAsia" w:ascii="仿宋" w:hAnsi="仿宋" w:eastAsia="仿宋" w:cs="仿宋"/>
          <w:color w:val="auto"/>
          <w:highlight w:val="none"/>
        </w:rPr>
        <w:t xml:space="preserve"> </w:t>
      </w:r>
    </w:p>
    <w:p>
      <w:pPr>
        <w:pStyle w:val="25"/>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(二）具有良好的商业信誉和健全的财务会计制度；</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(三）具有履行合同所必需的设备和专业技术能力；</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(四）有依法缴纳税收和社会保障资金的良好记录；</w:t>
      </w:r>
    </w:p>
    <w:p>
      <w:pP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(五）参加政府采购活动前三年内，在经营活动中没有重大违法记录。</w:t>
      </w:r>
    </w:p>
    <w:p>
      <w:pPr>
        <w:spacing w:line="440" w:lineRule="exact"/>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kern w:val="0"/>
          <w:sz w:val="24"/>
          <w:highlight w:val="none"/>
        </w:rPr>
        <w:t>2、</w:t>
      </w:r>
      <w:r>
        <w:rPr>
          <w:rFonts w:hint="eastAsia" w:ascii="仿宋" w:hAnsi="仿宋" w:eastAsia="仿宋" w:cs="仿宋"/>
          <w:color w:val="auto"/>
          <w:kern w:val="0"/>
          <w:sz w:val="24"/>
          <w:highlight w:val="none"/>
          <w:lang w:val="zh-CN"/>
        </w:rPr>
        <w:t>我公司</w:t>
      </w:r>
      <w:r>
        <w:rPr>
          <w:rFonts w:hint="eastAsia" w:ascii="仿宋" w:hAnsi="仿宋" w:eastAsia="仿宋" w:cs="仿宋"/>
          <w:color w:val="auto"/>
          <w:sz w:val="24"/>
          <w:highlight w:val="none"/>
        </w:rPr>
        <w:t>声明参加本次政府采购活动前三年内未</w:t>
      </w:r>
      <w:r>
        <w:rPr>
          <w:rFonts w:hint="eastAsia" w:ascii="仿宋" w:hAnsi="仿宋" w:eastAsia="仿宋" w:cs="仿宋"/>
          <w:color w:val="auto"/>
          <w:sz w:val="24"/>
          <w:szCs w:val="20"/>
          <w:highlight w:val="none"/>
        </w:rPr>
        <w:t>被列入“黑名单”</w:t>
      </w:r>
      <w:r>
        <w:rPr>
          <w:rFonts w:hint="eastAsia" w:ascii="仿宋" w:hAnsi="仿宋" w:eastAsia="仿宋" w:cs="仿宋"/>
          <w:color w:val="auto"/>
          <w:sz w:val="24"/>
          <w:highlight w:val="none"/>
        </w:rPr>
        <w:t>，</w:t>
      </w:r>
      <w:r>
        <w:rPr>
          <w:rFonts w:hint="eastAsia" w:ascii="仿宋" w:hAnsi="仿宋" w:eastAsia="仿宋" w:cs="仿宋"/>
          <w:color w:val="auto"/>
          <w:sz w:val="24"/>
          <w:szCs w:val="20"/>
          <w:highlight w:val="none"/>
        </w:rPr>
        <w:t>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napToGrid w:val="0"/>
        <w:spacing w:line="360" w:lineRule="auto"/>
        <w:rPr>
          <w:rFonts w:hint="eastAsia" w:ascii="仿宋" w:hAnsi="仿宋" w:eastAsia="仿宋" w:cs="仿宋"/>
          <w:b/>
          <w:color w:val="auto"/>
          <w:sz w:val="30"/>
          <w:szCs w:val="30"/>
          <w:highlight w:val="none"/>
        </w:rPr>
      </w:pPr>
    </w:p>
    <w:p>
      <w:pPr>
        <w:pageBreakBefore/>
        <w:spacing w:line="360" w:lineRule="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6、特定资格条件要求的资质文件（复印件）</w:t>
      </w:r>
    </w:p>
    <w:p>
      <w:pPr>
        <w:widowControl/>
        <w:spacing w:line="360" w:lineRule="auto"/>
        <w:ind w:firstLine="480" w:firstLineChars="200"/>
        <w:jc w:val="left"/>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（由投标人根据招标公告合格的投标人应具备的特定资格条件要求编制）</w:t>
      </w: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7、投标人售后服务能力证明材料</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8、</w:t>
      </w:r>
      <w:r>
        <w:rPr>
          <w:rFonts w:hint="eastAsia" w:ascii="仿宋" w:hAnsi="仿宋" w:eastAsia="仿宋" w:cs="仿宋"/>
          <w:b/>
          <w:color w:val="auto"/>
          <w:kern w:val="0"/>
          <w:sz w:val="32"/>
          <w:szCs w:val="32"/>
          <w:highlight w:val="none"/>
          <w:lang w:val="zh-CN"/>
        </w:rPr>
        <w:t>主要业绩证明</w:t>
      </w:r>
    </w:p>
    <w:p>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4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注：投标人可按上述的格式自行编制，须随表提交相应的合同复印件和用户单位验收证明并注明页码。</w:t>
      </w: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Style w:val="196"/>
        <w:pageBreakBefore/>
        <w:ind w:firstLine="0"/>
        <w:jc w:val="both"/>
        <w:rPr>
          <w:rFonts w:hint="eastAsia" w:ascii="仿宋" w:hAnsi="仿宋" w:eastAsia="仿宋" w:cs="仿宋"/>
          <w:color w:val="auto"/>
          <w:highlight w:val="none"/>
        </w:rPr>
      </w:pPr>
      <w:r>
        <w:rPr>
          <w:rFonts w:hint="eastAsia" w:ascii="仿宋" w:hAnsi="仿宋" w:eastAsia="仿宋" w:cs="仿宋"/>
          <w:color w:val="auto"/>
          <w:highlight w:val="none"/>
        </w:rPr>
        <w:t>9、廉政承诺书</w:t>
      </w:r>
    </w:p>
    <w:p>
      <w:pPr>
        <w:autoSpaceDE w:val="0"/>
        <w:autoSpaceDN w:val="0"/>
        <w:spacing w:line="360" w:lineRule="auto"/>
        <w:ind w:left="2"/>
        <w:jc w:val="lef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kern w:val="0"/>
          <w:sz w:val="24"/>
          <w:highlight w:val="none"/>
          <w:lang w:val="zh-CN"/>
        </w:rPr>
        <w:t xml:space="preserve">：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四、不为项目有关人员及部门出国（境）、旅游等提供方便；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10、技术解决方案</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spacing w:line="360" w:lineRule="auto"/>
        <w:jc w:val="center"/>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4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2.5pt;" o:ole="t" filled="f" o:preferrelative="t" stroked="f" coordsize="21600,21600">
            <v:path/>
            <v:fill on="f" focussize="0,0"/>
            <v:stroke on="f" joinstyle="miter"/>
            <v:imagedata r:id="rId10" o:title=""/>
            <o:lock v:ext="edit" aspectratio="t"/>
            <w10:wrap type="none"/>
            <w10:anchorlock/>
          </v:shape>
          <o:OLEObject Type="Embed" ProgID="Package" ShapeID="_x0000_i1025" DrawAspect="Content" ObjectID="_1468075725" r:id="rId9">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75pt;" o:ole="t" filled="f" o:preferrelative="t" stroked="f" coordsize="21600,21600">
            <v:path/>
            <v:fill on="f" focussize="0,0"/>
            <v:stroke on="f" joinstyle="miter"/>
            <v:imagedata r:id="rId12" o:title=""/>
            <o:lock v:ext="edit" aspectratio="t"/>
            <w10:wrap type="none"/>
            <w10:anchorlock/>
          </v:shape>
          <o:OLEObject Type="Embed" ProgID="Package" ShapeID="_x0000_i1026" DrawAspect="Content" ObjectID="_1468075726" r:id="rId11">
            <o:LockedField>false</o:LockedField>
          </o:OLEObject>
        </w:object>
      </w: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11、技术偏离说明表</w:t>
      </w:r>
    </w:p>
    <w:p>
      <w:pPr>
        <w:spacing w:line="360" w:lineRule="auto"/>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（由投标人根据采购需求及招标文件要求编制）</w:t>
      </w:r>
    </w:p>
    <w:tbl>
      <w:tblPr>
        <w:tblStyle w:val="43"/>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招标文件技术要求</w:t>
            </w:r>
          </w:p>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bl>
    <w:p>
      <w:pPr>
        <w:tabs>
          <w:tab w:val="left" w:pos="570"/>
        </w:tabs>
        <w:spacing w:line="440" w:lineRule="exact"/>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注：1.此表须与</w:t>
      </w:r>
      <w:r>
        <w:rPr>
          <w:rFonts w:hint="eastAsia" w:ascii="仿宋" w:hAnsi="仿宋" w:eastAsia="仿宋" w:cs="仿宋"/>
          <w:color w:val="auto"/>
          <w:kern w:val="0"/>
          <w:sz w:val="24"/>
          <w:highlight w:val="none"/>
        </w:rPr>
        <w:t>招标文件“</w:t>
      </w:r>
      <w:r>
        <w:rPr>
          <w:rFonts w:hint="eastAsia" w:ascii="仿宋" w:hAnsi="仿宋" w:eastAsia="仿宋" w:cs="仿宋"/>
          <w:color w:val="auto"/>
          <w:sz w:val="24"/>
          <w:highlight w:val="none"/>
        </w:rPr>
        <w:t>招标项目说明及要求</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相应标项内的所有技术规格相比较且一一对应真实逐条填列。</w:t>
      </w:r>
    </w:p>
    <w:p>
      <w:pPr>
        <w:tabs>
          <w:tab w:val="left" w:pos="570"/>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2、投标人递交的技术规格书中必须真实逐条列明，否则由投标人自行承担相关风险。</w:t>
      </w:r>
    </w:p>
    <w:p>
      <w:pPr>
        <w:autoSpaceDE w:val="0"/>
        <w:autoSpaceDN w:val="0"/>
        <w:spacing w:line="360" w:lineRule="auto"/>
        <w:ind w:firstLine="5040" w:firstLineChars="2100"/>
        <w:rPr>
          <w:rFonts w:hint="eastAsia" w:ascii="仿宋" w:hAnsi="仿宋" w:eastAsia="仿宋" w:cs="仿宋"/>
          <w:color w:val="auto"/>
          <w:kern w:val="0"/>
          <w:sz w:val="24"/>
          <w:highlight w:val="none"/>
          <w:lang w:val="zh-CN"/>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pageBreakBefore/>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12、组织实施方案</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4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both"/>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13、售后服务方案</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4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bl>
    <w:p>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4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bl>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14、项目小组人员名单</w:t>
      </w:r>
    </w:p>
    <w:p>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4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4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bl>
    <w:p>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b/>
          <w:bCs/>
          <w:color w:val="auto"/>
          <w:sz w:val="32"/>
          <w:szCs w:val="32"/>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15、</w:t>
      </w:r>
      <w:r>
        <w:rPr>
          <w:rFonts w:hint="eastAsia" w:ascii="仿宋" w:hAnsi="仿宋" w:eastAsia="仿宋" w:cs="仿宋"/>
          <w:b/>
          <w:color w:val="auto"/>
          <w:kern w:val="0"/>
          <w:sz w:val="32"/>
          <w:szCs w:val="32"/>
          <w:highlight w:val="none"/>
          <w:lang w:val="zh-CN"/>
        </w:rPr>
        <w:t>优惠条件及特殊承诺</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hint="eastAsia" w:ascii="仿宋" w:hAnsi="仿宋" w:eastAsia="仿宋" w:cs="仿宋"/>
          <w:color w:val="auto"/>
          <w:sz w:val="18"/>
          <w:szCs w:val="18"/>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rPr>
          <w:rFonts w:hint="eastAsia" w:ascii="仿宋" w:hAnsi="仿宋" w:eastAsia="仿宋" w:cs="仿宋"/>
          <w:b/>
          <w:bCs/>
          <w:color w:val="auto"/>
          <w:sz w:val="18"/>
          <w:szCs w:val="18"/>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16、</w:t>
      </w:r>
      <w:r>
        <w:rPr>
          <w:rFonts w:hint="eastAsia" w:ascii="仿宋" w:hAnsi="仿宋" w:eastAsia="仿宋" w:cs="仿宋"/>
          <w:b/>
          <w:color w:val="auto"/>
          <w:kern w:val="0"/>
          <w:sz w:val="32"/>
          <w:szCs w:val="32"/>
          <w:highlight w:val="none"/>
          <w:lang w:val="zh-CN"/>
        </w:rPr>
        <w:t>备品备件及供选择的配套零部件清单</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napToGrid w:val="0"/>
        <w:spacing w:line="360" w:lineRule="auto"/>
        <w:ind w:right="1440"/>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17、</w:t>
      </w:r>
      <w:r>
        <w:rPr>
          <w:rFonts w:hint="eastAsia" w:ascii="仿宋" w:hAnsi="仿宋" w:eastAsia="仿宋" w:cs="仿宋"/>
          <w:b/>
          <w:color w:val="auto"/>
          <w:kern w:val="0"/>
          <w:sz w:val="32"/>
          <w:szCs w:val="32"/>
          <w:highlight w:val="none"/>
          <w:lang w:val="zh-CN"/>
        </w:rPr>
        <w:t>培训计划</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4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 w:hAnsi="仿宋" w:eastAsia="仿宋" w:cs="仿宋"/>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 w:hAnsi="仿宋" w:eastAsia="仿宋" w:cs="仿宋"/>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18、验收方案</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jc w:val="center"/>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jc w:val="center"/>
        <w:rPr>
          <w:rFonts w:hint="eastAsia" w:ascii="仿宋" w:hAnsi="仿宋" w:eastAsia="仿宋" w:cs="仿宋"/>
          <w:b/>
          <w:bCs/>
          <w:color w:val="auto"/>
          <w:sz w:val="30"/>
          <w:szCs w:val="30"/>
          <w:highlight w:val="none"/>
        </w:rPr>
      </w:pPr>
    </w:p>
    <w:p>
      <w:pPr>
        <w:spacing w:line="360" w:lineRule="auto"/>
        <w:jc w:val="center"/>
        <w:rPr>
          <w:rFonts w:hint="eastAsia" w:ascii="仿宋" w:hAnsi="仿宋" w:eastAsia="仿宋" w:cs="仿宋"/>
          <w:b/>
          <w:bCs/>
          <w:color w:val="auto"/>
          <w:sz w:val="30"/>
          <w:szCs w:val="30"/>
          <w:highlight w:val="none"/>
        </w:rPr>
      </w:pPr>
    </w:p>
    <w:p>
      <w:pPr>
        <w:spacing w:line="360" w:lineRule="auto"/>
        <w:jc w:val="center"/>
        <w:rPr>
          <w:rFonts w:hint="eastAsia" w:ascii="仿宋" w:hAnsi="仿宋" w:eastAsia="仿宋" w:cs="仿宋"/>
          <w:b/>
          <w:bCs/>
          <w:color w:val="auto"/>
          <w:sz w:val="24"/>
          <w:highlight w:val="none"/>
        </w:rPr>
      </w:pPr>
    </w:p>
    <w:p>
      <w:pPr>
        <w:spacing w:line="360" w:lineRule="auto"/>
        <w:jc w:val="center"/>
        <w:rPr>
          <w:rFonts w:hint="eastAsia" w:ascii="仿宋" w:hAnsi="仿宋" w:eastAsia="仿宋" w:cs="仿宋"/>
          <w:b/>
          <w:bCs/>
          <w:color w:val="auto"/>
          <w:sz w:val="24"/>
          <w:highlight w:val="none"/>
        </w:rPr>
      </w:pPr>
    </w:p>
    <w:p>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19、认为需要的</w:t>
      </w:r>
      <w:r>
        <w:rPr>
          <w:rFonts w:hint="eastAsia" w:ascii="仿宋" w:hAnsi="仿宋" w:eastAsia="仿宋" w:cs="仿宋"/>
          <w:b/>
          <w:color w:val="auto"/>
          <w:kern w:val="0"/>
          <w:sz w:val="32"/>
          <w:szCs w:val="32"/>
          <w:highlight w:val="none"/>
          <w:lang w:val="zh-CN"/>
        </w:rPr>
        <w:t>其他商务技术（资信）文件或说明</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pStyle w:val="52"/>
        <w:rPr>
          <w:rFonts w:hint="eastAsia" w:ascii="仿宋" w:hAnsi="仿宋" w:eastAsia="仿宋" w:cs="仿宋"/>
          <w:color w:val="auto"/>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20、联合协议</w:t>
      </w:r>
    </w:p>
    <w:p>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四、</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（未预留份额专门面向中小企业采购的的采购项目，以及预留份额中的非预留部分采购包，接受联合体投标的，联合体其中一方提供的货物全部由小微企业制造，且其合同份额占到合同总金额 30%以上，对联合体报价给予4%的扣除，须提供《中小企业声明函》。）</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3、本协议提交采购人、采购机构后，联合体各方不得以任何形式对上述内容进行修改或撤销。</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联合体成员名称(盖章/公章)：</w:t>
      </w:r>
    </w:p>
    <w:p>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napToGrid w:val="0"/>
        <w:spacing w:line="360" w:lineRule="auto"/>
        <w:ind w:right="480"/>
        <w:rPr>
          <w:rFonts w:hint="eastAsia" w:ascii="仿宋" w:hAnsi="仿宋" w:eastAsia="仿宋" w:cs="仿宋"/>
          <w:b/>
          <w:color w:val="auto"/>
          <w:kern w:val="0"/>
          <w:sz w:val="32"/>
          <w:szCs w:val="32"/>
          <w:highlight w:val="none"/>
          <w:lang w:val="zh-CN"/>
        </w:rPr>
        <w:sectPr>
          <w:footerReference r:id="rId4" w:type="first"/>
          <w:footerReference r:id="rId3" w:type="default"/>
          <w:pgSz w:w="11906" w:h="16838"/>
          <w:pgMar w:top="1276" w:right="1418" w:bottom="1247" w:left="1418" w:header="851" w:footer="992" w:gutter="0"/>
          <w:cols w:space="720" w:num="1"/>
          <w:titlePg/>
          <w:docGrid w:linePitch="312" w:charSpace="0"/>
        </w:sectPr>
      </w:pPr>
    </w:p>
    <w:p>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21、分包意向协议</w:t>
      </w:r>
    </w:p>
    <w:p>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snapToGrid w:val="0"/>
        <w:spacing w:line="360" w:lineRule="auto"/>
        <w:ind w:firstLine="576"/>
        <w:rPr>
          <w:rFonts w:hint="eastAsia" w:ascii="仿宋" w:hAnsi="仿宋" w:eastAsia="仿宋" w:cs="仿宋"/>
          <w:color w:val="auto"/>
          <w:highlight w:val="none"/>
        </w:rPr>
      </w:pPr>
      <w:r>
        <w:rPr>
          <w:rFonts w:hint="eastAsia" w:ascii="仿宋" w:hAnsi="仿宋" w:eastAsia="仿宋" w:cs="仿宋"/>
          <w:color w:val="auto"/>
          <w:kern w:val="0"/>
          <w:sz w:val="24"/>
          <w:highlight w:val="none"/>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二、分包工作履行期限、地点、方式</w:t>
      </w:r>
    </w:p>
    <w:p>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三、质量</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四、价款或者报酬</w:t>
      </w:r>
    </w:p>
    <w:p>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五、违约责任</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六、争议解决的办法</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七、其他</w:t>
      </w:r>
    </w:p>
    <w:p>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u w:val="single"/>
        </w:rPr>
        <w:t>（分包供应商名称）提供的货物全部由小微企业制造，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的采购项目，以及预留份额中的非预留部分采购包，允许分包的，分包供应商提供的货物全部由小微企业制造，且其合同份额占到合同总金额30%以上的，对大中型企业的报价给予4%的扣除）</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投标人名称(盖章)：</w:t>
      </w:r>
    </w:p>
    <w:p>
      <w:pPr>
        <w:snapToGrid w:val="0"/>
        <w:spacing w:line="360" w:lineRule="auto"/>
        <w:ind w:firstLine="5640" w:firstLineChars="23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22、落实政府采购政策需满足的资格要求</w:t>
      </w:r>
    </w:p>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（根据招标公告落实政府采购政策需满足的资格要求选择提供相应的材料；未要求的，无需提供）</w:t>
      </w:r>
    </w:p>
    <w:p>
      <w:pPr>
        <w:snapToGrid w:val="0"/>
        <w:spacing w:line="44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.专门面向中小企业，货物全部由符合政策要求的中小企业（或小微企业）制造或者服务全部由符合政策要求的中小企业（或小微企业）承接的，提供相应的</w:t>
      </w:r>
      <w:r>
        <w:rPr>
          <w:rFonts w:hint="eastAsia" w:ascii="仿宋" w:hAnsi="仿宋" w:eastAsia="仿宋" w:cs="仿宋"/>
          <w:b/>
          <w:color w:val="auto"/>
          <w:sz w:val="24"/>
          <w:highlight w:val="none"/>
        </w:rPr>
        <w:t>中小企业声明函</w:t>
      </w:r>
      <w:r>
        <w:rPr>
          <w:rFonts w:hint="eastAsia" w:ascii="仿宋" w:hAnsi="仿宋" w:eastAsia="仿宋" w:cs="仿宋"/>
          <w:color w:val="auto"/>
          <w:sz w:val="24"/>
          <w:highlight w:val="none"/>
        </w:rPr>
        <w:t xml:space="preserve">（附件）。 </w:t>
      </w:r>
    </w:p>
    <w:p>
      <w:pPr>
        <w:widowControl/>
        <w:spacing w:line="44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要求以联合体形式参加的，提供联合协议和</w:t>
      </w:r>
      <w:r>
        <w:rPr>
          <w:rFonts w:hint="eastAsia" w:ascii="仿宋" w:hAnsi="仿宋" w:eastAsia="仿宋" w:cs="仿宋"/>
          <w:b/>
          <w:color w:val="auto"/>
          <w:sz w:val="24"/>
          <w:highlight w:val="none"/>
        </w:rPr>
        <w:t>中小企业声明函</w:t>
      </w:r>
      <w:r>
        <w:rPr>
          <w:rFonts w:hint="eastAsia" w:ascii="仿宋" w:hAnsi="仿宋" w:eastAsia="仿宋" w:cs="仿宋"/>
          <w:color w:val="auto"/>
          <w:sz w:val="24"/>
          <w:highlight w:val="none"/>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hint="eastAsia" w:ascii="仿宋" w:hAnsi="仿宋" w:eastAsia="仿宋" w:cs="仿宋"/>
          <w:b/>
          <w:color w:val="auto"/>
          <w:kern w:val="0"/>
          <w:sz w:val="32"/>
          <w:szCs w:val="32"/>
          <w:highlight w:val="none"/>
          <w:lang w:val="zh-CN"/>
        </w:rPr>
      </w:pPr>
    </w:p>
    <w:p>
      <w:pPr>
        <w:adjustRightInd w:val="0"/>
        <w:snapToGrid w:val="0"/>
        <w:spacing w:before="50" w:after="50"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联合协议</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w:t>
      </w: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3、本协议提交采购人、采购机构后，联合体各方不得以任何形式对上述内容进行修改或撤销。</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联合体成员名称(签名/公章)：</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联合体成员名称(签名/公章)：</w:t>
      </w:r>
    </w:p>
    <w:p>
      <w:pPr>
        <w:snapToGrid w:val="0"/>
        <w:spacing w:line="360" w:lineRule="auto"/>
        <w:ind w:firstLine="5760" w:firstLineChars="2400"/>
        <w:jc w:val="center"/>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pacing w:line="360" w:lineRule="auto"/>
        <w:ind w:firstLine="480" w:firstLineChars="200"/>
        <w:rPr>
          <w:rFonts w:hint="eastAsia" w:ascii="仿宋" w:hAnsi="仿宋" w:eastAsia="仿宋" w:cs="仿宋"/>
          <w:color w:val="auto"/>
          <w:sz w:val="24"/>
          <w:highlight w:val="none"/>
        </w:rPr>
      </w:pPr>
    </w:p>
    <w:p>
      <w:pPr>
        <w:spacing w:line="360" w:lineRule="auto"/>
        <w:ind w:firstLine="482" w:firstLineChars="200"/>
        <w:rPr>
          <w:rFonts w:hint="eastAsia" w:ascii="仿宋" w:hAnsi="仿宋" w:eastAsia="仿宋" w:cs="仿宋"/>
          <w:b/>
          <w:color w:val="auto"/>
          <w:sz w:val="24"/>
          <w:highlight w:val="none"/>
        </w:rPr>
      </w:pPr>
    </w:p>
    <w:p>
      <w:pPr>
        <w:spacing w:line="360" w:lineRule="auto"/>
        <w:ind w:firstLine="482" w:firstLineChars="200"/>
        <w:rPr>
          <w:rFonts w:hint="eastAsia" w:ascii="仿宋" w:hAnsi="仿宋" w:eastAsia="仿宋" w:cs="仿宋"/>
          <w:b/>
          <w:color w:val="auto"/>
          <w:sz w:val="24"/>
          <w:highlight w:val="none"/>
        </w:rPr>
      </w:pPr>
    </w:p>
    <w:p>
      <w:pPr>
        <w:spacing w:line="360" w:lineRule="auto"/>
        <w:ind w:firstLine="482" w:firstLineChars="200"/>
        <w:rPr>
          <w:rFonts w:hint="eastAsia" w:ascii="仿宋" w:hAnsi="仿宋" w:eastAsia="仿宋" w:cs="仿宋"/>
          <w:b/>
          <w:color w:val="auto"/>
          <w:sz w:val="24"/>
          <w:highlight w:val="none"/>
        </w:rPr>
      </w:pPr>
    </w:p>
    <w:p>
      <w:pPr>
        <w:pageBreakBefore/>
        <w:spacing w:line="360" w:lineRule="auto"/>
        <w:ind w:firstLine="482" w:firstLineChars="200"/>
        <w:rPr>
          <w:rFonts w:hint="eastAsia" w:ascii="仿宋" w:hAnsi="仿宋" w:eastAsia="仿宋" w:cs="仿宋"/>
          <w:b/>
          <w:color w:val="auto"/>
          <w:kern w:val="0"/>
          <w:sz w:val="32"/>
          <w:szCs w:val="32"/>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要求合同分包的，提供分包意向协议和</w:t>
      </w:r>
      <w:r>
        <w:rPr>
          <w:rFonts w:hint="eastAsia" w:ascii="仿宋" w:hAnsi="仿宋" w:eastAsia="仿宋" w:cs="仿宋"/>
          <w:b/>
          <w:color w:val="auto"/>
          <w:sz w:val="24"/>
          <w:highlight w:val="none"/>
        </w:rPr>
        <w:t>中小企业声明函（附件）</w:t>
      </w:r>
      <w:r>
        <w:rPr>
          <w:rFonts w:hint="eastAsia" w:ascii="仿宋" w:hAnsi="仿宋" w:eastAsia="仿宋" w:cs="仿宋"/>
          <w:color w:val="auto"/>
          <w:sz w:val="24"/>
          <w:highlight w:val="none"/>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分包意向协议</w:t>
      </w:r>
    </w:p>
    <w:p>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（某分包供</w:t>
      </w:r>
      <w:r>
        <w:rPr>
          <w:rFonts w:hint="eastAsia" w:ascii="仿宋" w:hAnsi="仿宋" w:eastAsia="仿宋" w:cs="仿宋"/>
          <w:color w:val="auto"/>
          <w:kern w:val="0"/>
          <w:sz w:val="24"/>
          <w:highlight w:val="none"/>
          <w:lang w:val="zh-CN"/>
        </w:rPr>
        <w:t>应商名称），具备承担XX工作内容相应资质条件且不得再次分包；</w:t>
      </w:r>
    </w:p>
    <w:p>
      <w:pPr>
        <w:snapToGrid w:val="0"/>
        <w:spacing w:line="360" w:lineRule="auto"/>
        <w:ind w:firstLine="964" w:firstLineChars="400"/>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二、分包工作履行期限、地点、方式</w:t>
      </w:r>
    </w:p>
    <w:p>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三、质量</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四、价款或者报酬</w:t>
      </w:r>
    </w:p>
    <w:p>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五、违约责任</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六、争议解决的办法</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七、其他</w:t>
      </w:r>
    </w:p>
    <w:p>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投标人名称(签名)：</w:t>
      </w:r>
    </w:p>
    <w:p>
      <w:pPr>
        <w:snapToGrid w:val="0"/>
        <w:spacing w:line="360" w:lineRule="auto"/>
        <w:ind w:firstLine="5880" w:firstLineChars="24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w:t>
      </w:r>
    </w:p>
    <w:p>
      <w:pPr>
        <w:snapToGrid w:val="0"/>
        <w:spacing w:line="360" w:lineRule="auto"/>
        <w:ind w:firstLine="6000" w:firstLineChars="25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pageBreakBefore/>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业务专用章使用说明函</w:t>
      </w:r>
    </w:p>
    <w:p>
      <w:pPr>
        <w:spacing w:line="360" w:lineRule="auto"/>
        <w:rPr>
          <w:rFonts w:hint="eastAsia" w:ascii="仿宋" w:hAnsi="仿宋" w:eastAsia="仿宋" w:cs="仿宋"/>
          <w:color w:val="auto"/>
          <w:sz w:val="24"/>
          <w:highlight w:val="none"/>
          <w:u w:val="single"/>
        </w:rPr>
      </w:pP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你方组织的（项目名称）项目【招标编号：（采购编号）】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w:pict>
          <v:rect id="Rectangle 17" o:spid="_x0000_s2082" o:spt="1" style="position:absolute;left:0pt;margin-left:238.9pt;margin-top:28.05pt;height:177.45pt;width:212.95pt;z-index:-25165721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">
            <v:path/>
            <v:fill focussize="0,0"/>
            <v:stroke miterlimit="2"/>
            <v:imagedata o:title=""/>
            <o:lock v:ext="edit"/>
          </v:rect>
        </w:pict>
      </w:r>
      <w:r>
        <w:rPr>
          <w:rFonts w:hint="eastAsia" w:ascii="仿宋" w:hAnsi="仿宋" w:eastAsia="仿宋" w:cs="仿宋"/>
          <w:b/>
          <w:bCs/>
          <w:color w:val="auto"/>
          <w:sz w:val="24"/>
          <w:highlight w:val="none"/>
        </w:rPr>
        <w:pict>
          <v:rect id="Rectangle 16" o:spid="_x0000_s2083" o:spt="1" style="position:absolute;left:0pt;margin-left:-7.2pt;margin-top:30.3pt;height:177.45pt;width:208.5pt;z-index:-25165619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">
            <v:path/>
            <v:fill focussize="0,0"/>
            <v:stroke miterlimit="2"/>
            <v:imagedata o:title=""/>
            <o:lock v:ext="edit"/>
          </v:rect>
        </w:pict>
      </w:r>
      <w:r>
        <w:rPr>
          <w:rFonts w:hint="eastAsia" w:ascii="仿宋" w:hAnsi="仿宋" w:eastAsia="仿宋" w:cs="仿宋"/>
          <w:color w:val="auto"/>
          <w:sz w:val="24"/>
          <w:highlight w:val="none"/>
        </w:rPr>
        <w:t>投标单位法定名称章（印模）                投标单位“XX专用章”（印模）</w:t>
      </w: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pageBreakBefore/>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w:t>
      </w:r>
    </w:p>
    <w:p>
      <w:pPr>
        <w:rPr>
          <w:rFonts w:hint="eastAsia" w:ascii="仿宋" w:hAnsi="仿宋" w:eastAsia="仿宋" w:cs="仿宋"/>
          <w:b/>
          <w:color w:val="auto"/>
          <w:sz w:val="32"/>
          <w:szCs w:val="32"/>
          <w:highlight w:val="none"/>
        </w:rPr>
      </w:pPr>
      <w:r>
        <w:rPr>
          <w:rFonts w:hint="eastAsia" w:ascii="仿宋" w:hAnsi="仿宋" w:eastAsia="仿宋" w:cs="仿宋"/>
          <w:b/>
          <w:color w:val="auto"/>
          <w:sz w:val="24"/>
          <w:highlight w:val="none"/>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p>
    <w:p>
      <w:pPr>
        <w:pageBreakBefore/>
        <w:rPr>
          <w:rFonts w:hint="eastAsia" w:ascii="仿宋" w:hAnsi="仿宋" w:eastAsia="仿宋" w:cs="仿宋"/>
          <w:b/>
          <w:color w:val="auto"/>
          <w:sz w:val="32"/>
          <w:szCs w:val="32"/>
          <w:highlight w:val="none"/>
        </w:rPr>
      </w:pPr>
    </w:p>
    <w:p>
      <w:pPr>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中小企业声明函（货物）</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本公司（联合体）郑重声明，根据《政府采购促进中小企业发展管理办法》 （财库﹝2020﹞46 号）的规定，本公司（联合体）参加</w:t>
      </w:r>
      <w:r>
        <w:rPr>
          <w:rFonts w:hint="eastAsia" w:ascii="仿宋" w:hAnsi="仿宋" w:eastAsia="仿宋" w:cs="仿宋"/>
          <w:color w:val="auto"/>
          <w:sz w:val="24"/>
          <w:highlight w:val="none"/>
          <w:u w:val="single"/>
        </w:rPr>
        <w:t xml:space="preserve"> xxx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xxx项目</w:t>
      </w:r>
      <w:r>
        <w:rPr>
          <w:rFonts w:hint="eastAsia" w:ascii="仿宋" w:hAnsi="仿宋" w:eastAsia="仿宋" w:cs="仿宋"/>
          <w:color w:val="auto"/>
          <w:sz w:val="24"/>
          <w:highlight w:val="none"/>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ind w:right="420" w:firstLine="5880" w:firstLineChars="2450"/>
        <w:jc w:val="left"/>
        <w:rPr>
          <w:rFonts w:hint="eastAsia" w:ascii="仿宋" w:hAnsi="仿宋" w:eastAsia="仿宋" w:cs="仿宋"/>
          <w:color w:val="auto"/>
          <w:sz w:val="24"/>
          <w:highlight w:val="none"/>
        </w:rPr>
      </w:pPr>
    </w:p>
    <w:p>
      <w:pPr>
        <w:ind w:right="420" w:firstLine="5880" w:firstLineChars="24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企业名称（盖章）： </w:t>
      </w:r>
    </w:p>
    <w:p>
      <w:pPr>
        <w:ind w:right="420" w:firstLine="5520" w:firstLineChars="2300"/>
        <w:rPr>
          <w:rFonts w:hint="eastAsia"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pPr>
        <w:jc w:val="center"/>
        <w:rPr>
          <w:rFonts w:hint="eastAsia" w:ascii="仿宋" w:hAnsi="仿宋" w:eastAsia="仿宋" w:cs="仿宋"/>
          <w:b/>
          <w:color w:val="auto"/>
          <w:sz w:val="18"/>
          <w:highlight w:val="none"/>
        </w:rPr>
      </w:pPr>
    </w:p>
    <w:p>
      <w:pPr>
        <w:jc w:val="center"/>
        <w:rPr>
          <w:rFonts w:hint="eastAsia" w:ascii="仿宋" w:hAnsi="仿宋" w:eastAsia="仿宋" w:cs="仿宋"/>
          <w:b/>
          <w:color w:val="auto"/>
          <w:sz w:val="32"/>
          <w:highlight w:val="none"/>
        </w:rPr>
      </w:pPr>
    </w:p>
    <w:p>
      <w:pPr>
        <w:jc w:val="center"/>
        <w:rPr>
          <w:rFonts w:hint="eastAsia" w:ascii="仿宋" w:hAnsi="仿宋" w:eastAsia="仿宋" w:cs="仿宋"/>
          <w:b/>
          <w:color w:val="auto"/>
          <w:sz w:val="32"/>
          <w:highlight w:val="none"/>
        </w:rPr>
      </w:pP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highlight w:val="none"/>
        </w:rPr>
        <w:t>如国家颁布新的企业划型标准，则按最新标准执行。</w:t>
      </w:r>
      <w:r>
        <w:rPr>
          <w:rFonts w:hint="eastAsia" w:ascii="仿宋" w:hAnsi="仿宋" w:eastAsia="仿宋" w:cs="仿宋"/>
          <w:b/>
          <w:color w:val="auto"/>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2.根据《政府采购促进中小企业发展管理办法》的通知（财库〔2020〕46号）规定，中标、成交供应商享受中小企业扶持政策的，采购代理机构将随中标、成交结果公开中标、成交供应商的《中小企业声明函》。 </w:t>
      </w:r>
    </w:p>
    <w:p>
      <w:pPr>
        <w:pageBreakBefore/>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中小企业声明函（工程、服务）</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本公司（联合体）郑重声明，根据《政府采购促进中小企业发展管理办法》 （财库﹝2020﹞46 号）的规定，本公司（联合体）参加</w:t>
      </w:r>
      <w:r>
        <w:rPr>
          <w:rFonts w:hint="eastAsia" w:ascii="仿宋" w:hAnsi="仿宋" w:eastAsia="仿宋" w:cs="仿宋"/>
          <w:color w:val="auto"/>
          <w:sz w:val="24"/>
          <w:highlight w:val="none"/>
          <w:u w:val="single"/>
        </w:rPr>
        <w:t xml:space="preserve"> xxx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xxx项目</w:t>
      </w:r>
      <w:r>
        <w:rPr>
          <w:rFonts w:hint="eastAsia" w:ascii="仿宋" w:hAnsi="仿宋" w:eastAsia="仿宋" w:cs="仿宋"/>
          <w:color w:val="auto"/>
          <w:sz w:val="24"/>
          <w:highlight w:val="none"/>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（采购文件中明确的所属行业）行业</w:t>
      </w:r>
      <w:r>
        <w:rPr>
          <w:rFonts w:hint="eastAsia" w:ascii="仿宋" w:hAnsi="仿宋" w:eastAsia="仿宋" w:cs="仿宋"/>
          <w:color w:val="auto"/>
          <w:sz w:val="24"/>
          <w:highlight w:val="none"/>
        </w:rPr>
        <w:t>；承建（承接）企业为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（采购文件中明确的所属行业）行业</w:t>
      </w:r>
      <w:r>
        <w:rPr>
          <w:rFonts w:hint="eastAsia" w:ascii="仿宋" w:hAnsi="仿宋" w:eastAsia="仿宋" w:cs="仿宋"/>
          <w:color w:val="auto"/>
          <w:sz w:val="24"/>
          <w:highlight w:val="none"/>
        </w:rPr>
        <w:t>；承建（承接）企业为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 ，属于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ind w:right="420" w:firstLine="5880" w:firstLineChars="2450"/>
        <w:jc w:val="left"/>
        <w:rPr>
          <w:rFonts w:hint="eastAsia" w:ascii="仿宋" w:hAnsi="仿宋" w:eastAsia="仿宋" w:cs="仿宋"/>
          <w:color w:val="auto"/>
          <w:sz w:val="24"/>
          <w:highlight w:val="none"/>
        </w:rPr>
      </w:pPr>
    </w:p>
    <w:p>
      <w:pPr>
        <w:ind w:right="420" w:firstLine="5880" w:firstLineChars="24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企业名称（盖章）： </w:t>
      </w:r>
    </w:p>
    <w:p>
      <w:pPr>
        <w:ind w:right="420" w:firstLine="5520" w:firstLineChars="2300"/>
        <w:rPr>
          <w:rFonts w:hint="eastAsia"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highlight w:val="none"/>
        </w:rPr>
        <w:t>如国家颁布新的企业划型标准，则按最新标准执行。</w:t>
      </w:r>
      <w:r>
        <w:rPr>
          <w:rFonts w:hint="eastAsia" w:ascii="仿宋" w:hAnsi="仿宋" w:eastAsia="仿宋" w:cs="仿宋"/>
          <w:b/>
          <w:color w:val="auto"/>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2.根据《政府采购促进中小企业发展管理办法》的通知（财库〔2020〕46号）规定，中标、成交供应商享受中小企业扶持政策的，采购代理机构将随中标、成交结果公开中标、成交供应商的《中小企业声明函》。</w:t>
      </w:r>
    </w:p>
    <w:p>
      <w:pPr>
        <w:rPr>
          <w:rFonts w:hint="eastAsia" w:ascii="仿宋" w:hAnsi="仿宋" w:eastAsia="仿宋" w:cs="仿宋"/>
          <w:color w:val="auto"/>
          <w:sz w:val="24"/>
          <w:highlight w:val="none"/>
        </w:rPr>
      </w:pPr>
    </w:p>
    <w:p>
      <w:pPr>
        <w:pageBreakBefore/>
        <w:spacing w:line="588" w:lineRule="exact"/>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p>
      <w:pPr>
        <w:spacing w:line="588" w:lineRule="exact"/>
        <w:rPr>
          <w:rFonts w:hint="eastAsia" w:ascii="仿宋" w:hAnsi="仿宋" w:eastAsia="仿宋" w:cs="仿宋"/>
          <w:b/>
          <w:color w:val="auto"/>
          <w:spacing w:val="6"/>
          <w:sz w:val="30"/>
          <w:szCs w:val="30"/>
          <w:highlight w:val="none"/>
        </w:rPr>
      </w:pPr>
    </w:p>
    <w:p>
      <w:pPr>
        <w:spacing w:line="588"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项目</w:t>
      </w:r>
      <w:r>
        <w:rPr>
          <w:rFonts w:hint="eastAsia" w:ascii="仿宋" w:hAnsi="仿宋" w:eastAsia="仿宋" w:cs="仿宋"/>
          <w:color w:val="auto"/>
          <w:sz w:val="24"/>
          <w:highlight w:val="none"/>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spacing w:line="588" w:lineRule="exact"/>
        <w:ind w:firstLine="480" w:firstLineChars="200"/>
        <w:rPr>
          <w:rFonts w:hint="eastAsia" w:ascii="仿宋" w:hAnsi="仿宋" w:eastAsia="仿宋" w:cs="仿宋"/>
          <w:color w:val="auto"/>
          <w:sz w:val="24"/>
          <w:highlight w:val="none"/>
        </w:rPr>
      </w:pPr>
    </w:p>
    <w:p>
      <w:pPr>
        <w:spacing w:line="588" w:lineRule="exact"/>
        <w:ind w:firstLine="480" w:firstLineChars="200"/>
        <w:rPr>
          <w:rFonts w:hint="eastAsia" w:ascii="仿宋" w:hAnsi="仿宋" w:eastAsia="仿宋" w:cs="仿宋"/>
          <w:color w:val="auto"/>
          <w:sz w:val="24"/>
          <w:highlight w:val="none"/>
        </w:rPr>
      </w:pPr>
    </w:p>
    <w:p>
      <w:pPr>
        <w:ind w:right="420" w:firstLine="5880" w:firstLineChars="24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声明单位（盖章）： </w:t>
      </w:r>
    </w:p>
    <w:p>
      <w:pPr>
        <w:ind w:right="420" w:firstLine="5520" w:firstLineChars="2300"/>
        <w:rPr>
          <w:rFonts w:hint="eastAsia"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注：根据《财政部 民政部 中国残疾人联合会关于促进残疾人就业政府采购政策的通知》（财库〔2017〕141号）规定填报。</w:t>
      </w:r>
    </w:p>
    <w:p>
      <w:pPr>
        <w:rPr>
          <w:rFonts w:hint="eastAsia" w:ascii="仿宋" w:hAnsi="仿宋" w:eastAsia="仿宋" w:cs="仿宋"/>
          <w:color w:val="auto"/>
          <w:highlight w:val="none"/>
        </w:rPr>
      </w:pPr>
    </w:p>
    <w:p>
      <w:pPr>
        <w:tabs>
          <w:tab w:val="left" w:pos="4860"/>
        </w:tabs>
        <w:ind w:right="1559"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object>
          <v:shape id="_x0000_i1027" o:spt="75" type="#_x0000_t75" style="height:42pt;width:390pt;" o:ole="t" filled="f" o:preferrelative="t" stroked="f" coordsize="21600,21600">
            <v:path/>
            <v:fill on="f" focussize="0,0"/>
            <v:stroke on="f" joinstyle="miter"/>
            <v:imagedata r:id="rId14" o:title=""/>
            <o:lock v:ext="edit" aspectratio="t"/>
            <w10:wrap type="none"/>
            <w10:anchorlock/>
          </v:shape>
          <o:OLEObject Type="Embed" ProgID="Package" ShapeID="_x0000_i1027" DrawAspect="Content" ObjectID="_1468075727" r:id="rId13">
            <o:LockedField>false</o:LockedField>
          </o:OLEObject>
        </w:object>
      </w:r>
    </w:p>
    <w:p>
      <w:pPr>
        <w:ind w:firstLine="420" w:firstLineChars="200"/>
        <w:rPr>
          <w:rFonts w:hint="eastAsia" w:ascii="仿宋" w:hAnsi="仿宋" w:eastAsia="仿宋" w:cs="仿宋"/>
          <w:color w:val="auto"/>
          <w:highlight w:val="none"/>
        </w:rPr>
      </w:pPr>
    </w:p>
    <w:p>
      <w:pPr>
        <w:ind w:firstLine="420" w:firstLineChars="200"/>
        <w:rPr>
          <w:rFonts w:hint="eastAsia" w:ascii="仿宋" w:hAnsi="仿宋" w:eastAsia="仿宋" w:cs="仿宋"/>
          <w:color w:val="auto"/>
          <w:highlight w:val="none"/>
        </w:rPr>
      </w:pPr>
    </w:p>
    <w:p>
      <w:pPr>
        <w:ind w:firstLine="420" w:firstLineChars="200"/>
        <w:rPr>
          <w:rFonts w:hint="eastAsia" w:ascii="仿宋" w:hAnsi="仿宋" w:eastAsia="仿宋" w:cs="仿宋"/>
          <w:color w:val="auto"/>
          <w:highlight w:val="none"/>
        </w:rPr>
      </w:pPr>
    </w:p>
    <w:p>
      <w:pPr>
        <w:ind w:firstLine="420" w:firstLineChars="200"/>
        <w:rPr>
          <w:rFonts w:hint="eastAsia" w:ascii="仿宋" w:hAnsi="仿宋" w:eastAsia="仿宋" w:cs="仿宋"/>
          <w:color w:val="auto"/>
          <w:highlight w:val="none"/>
        </w:rPr>
      </w:pPr>
    </w:p>
    <w:p>
      <w:pPr>
        <w:rPr>
          <w:rFonts w:hint="eastAsia" w:ascii="仿宋" w:hAnsi="仿宋" w:eastAsia="仿宋" w:cs="仿宋"/>
          <w:b/>
          <w:color w:val="auto"/>
          <w:sz w:val="24"/>
          <w:highlight w:val="none"/>
        </w:rPr>
      </w:pPr>
    </w:p>
    <w:p>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r>
        <w:rPr>
          <w:rFonts w:hint="eastAsia" w:ascii="仿宋" w:hAnsi="仿宋" w:eastAsia="仿宋" w:cs="仿宋"/>
          <w:color w:val="auto"/>
          <w:sz w:val="24"/>
          <w:highlight w:val="none"/>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jc w:val="center"/>
        <w:rPr>
          <w:rFonts w:hint="eastAsia" w:ascii="仿宋" w:hAnsi="仿宋" w:eastAsia="仿宋" w:cs="仿宋"/>
          <w:b/>
          <w:bCs/>
          <w:color w:val="auto"/>
          <w:sz w:val="44"/>
          <w:szCs w:val="44"/>
          <w:highlight w:val="none"/>
        </w:rPr>
      </w:pPr>
    </w:p>
    <w:p>
      <w:pPr>
        <w:pageBreakBefore/>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质疑函范本</w:t>
      </w:r>
    </w:p>
    <w:p>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一、质疑供应商基本信息</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质疑供应商：</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地址：</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邮编：</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联系人：</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联系电话：</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授权代表：</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联系电话：</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 xml:space="preserve"> </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 xml:space="preserve">地址： </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邮编：</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二、质疑项目基本情况</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质疑项目的名称：</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质疑项目的编号：</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包号：</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采购人名称：</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采购文件获取日期：</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三、质疑事项具体内容</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质疑事项1：</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事实依据：</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法律依据：</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质疑事项2</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w:t>
      </w:r>
    </w:p>
    <w:p>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四、与质疑事项相关的质疑请求</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请求：</w:t>
      </w:r>
      <w:r>
        <w:rPr>
          <w:rFonts w:hint="eastAsia" w:ascii="仿宋" w:hAnsi="仿宋" w:eastAsia="仿宋" w:cs="仿宋"/>
          <w:color w:val="auto"/>
          <w:sz w:val="32"/>
          <w:szCs w:val="32"/>
          <w:highlight w:val="none"/>
          <w:u w:val="dotted"/>
        </w:rPr>
        <w:t xml:space="preserve">                                               </w:t>
      </w:r>
    </w:p>
    <w:p>
      <w:pP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签字(签章)：                   公章：                      </w:t>
      </w:r>
    </w:p>
    <w:p>
      <w:pP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日期：    </w:t>
      </w:r>
    </w:p>
    <w:p>
      <w:pPr>
        <w:adjustRightInd w:val="0"/>
        <w:snapToGrid w:val="0"/>
        <w:spacing w:line="360" w:lineRule="auto"/>
        <w:rPr>
          <w:rFonts w:hint="eastAsia" w:ascii="仿宋" w:hAnsi="仿宋" w:eastAsia="仿宋" w:cs="仿宋"/>
          <w:color w:val="auto"/>
          <w:sz w:val="32"/>
          <w:szCs w:val="32"/>
          <w:highlight w:val="none"/>
        </w:rPr>
      </w:pPr>
    </w:p>
    <w:p>
      <w:pPr>
        <w:adjustRightInd w:val="0"/>
        <w:snapToGrid w:val="0"/>
        <w:spacing w:line="360" w:lineRule="auto"/>
        <w:rPr>
          <w:rFonts w:hint="eastAsia" w:ascii="仿宋" w:hAnsi="仿宋" w:eastAsia="仿宋" w:cs="仿宋"/>
          <w:color w:val="auto"/>
          <w:sz w:val="32"/>
          <w:szCs w:val="32"/>
          <w:highlight w:val="none"/>
        </w:rPr>
      </w:pPr>
    </w:p>
    <w:p>
      <w:pPr>
        <w:jc w:val="center"/>
        <w:rPr>
          <w:rFonts w:hint="eastAsia" w:ascii="仿宋" w:hAnsi="仿宋" w:eastAsia="仿宋" w:cs="仿宋"/>
          <w:b/>
          <w:bCs/>
          <w:color w:val="auto"/>
          <w:sz w:val="32"/>
          <w:szCs w:val="32"/>
          <w:highlight w:val="none"/>
        </w:rPr>
      </w:pPr>
    </w:p>
    <w:p>
      <w:pPr>
        <w:jc w:val="center"/>
        <w:rPr>
          <w:rFonts w:hint="eastAsia" w:ascii="仿宋" w:hAnsi="仿宋" w:eastAsia="仿宋" w:cs="仿宋"/>
          <w:b/>
          <w:bCs/>
          <w:color w:val="auto"/>
          <w:sz w:val="32"/>
          <w:szCs w:val="32"/>
          <w:highlight w:val="none"/>
        </w:rPr>
      </w:pPr>
    </w:p>
    <w:p>
      <w:pPr>
        <w:jc w:val="center"/>
        <w:rPr>
          <w:rFonts w:hint="eastAsia" w:ascii="仿宋" w:hAnsi="仿宋" w:eastAsia="仿宋" w:cs="仿宋"/>
          <w:b/>
          <w:bCs/>
          <w:color w:val="auto"/>
          <w:sz w:val="32"/>
          <w:szCs w:val="32"/>
          <w:highlight w:val="none"/>
        </w:rPr>
      </w:pPr>
    </w:p>
    <w:p>
      <w:pP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质疑函制作说明：</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1.供应商提出质疑时，应提交质疑函和必要的证明材料。</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32"/>
          <w:szCs w:val="32"/>
          <w:highlight w:val="none"/>
        </w:rPr>
        <w:t>供应商签署的授权委托书。授权委托书应载明代理人的姓名或者名称、代理事项、具体权限、期限和相关事项。</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3.质疑供应商若对项目的某一分包进行质疑，质疑函中应列明具体分包号。</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4.质疑函的质疑事项应具体、明确，并有必要的事实依据和法律依据。</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5.质疑函的质疑请求应与质疑事项相关。</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6.质疑供应商为自然人的，质疑函应由本人签字；质疑供应商为法人或者其他组织的，质疑函应由法定代表人、主要负责人，或者其授权代表签字或者盖章，并加盖公章。</w:t>
      </w:r>
    </w:p>
    <w:p>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pPr>
        <w:widowControl/>
        <w:jc w:val="left"/>
        <w:rPr>
          <w:rFonts w:hint="eastAsia" w:ascii="仿宋" w:hAnsi="仿宋" w:eastAsia="仿宋" w:cs="仿宋"/>
          <w:color w:val="auto"/>
          <w:kern w:val="0"/>
          <w:sz w:val="24"/>
          <w:highlight w:val="none"/>
        </w:rPr>
      </w:pPr>
    </w:p>
    <w:p>
      <w:pPr>
        <w:widowControl/>
        <w:jc w:val="left"/>
        <w:rPr>
          <w:rFonts w:hint="eastAsia"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43"/>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pPr>
        <w:widowControl/>
        <w:jc w:val="left"/>
        <w:rPr>
          <w:rFonts w:hint="eastAsia" w:ascii="仿宋" w:hAnsi="仿宋" w:eastAsia="仿宋" w:cs="仿宋"/>
          <w:color w:val="auto"/>
          <w:kern w:val="0"/>
          <w:sz w:val="24"/>
          <w:highlight w:val="none"/>
        </w:rPr>
      </w:pPr>
    </w:p>
    <w:p>
      <w:pPr>
        <w:widowControl/>
        <w:jc w:val="left"/>
        <w:rPr>
          <w:rFonts w:hint="eastAsia"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color w:val="auto"/>
          <w:kern w:val="0"/>
          <w:sz w:val="18"/>
          <w:szCs w:val="18"/>
          <w:highlight w:val="none"/>
        </w:rPr>
      </w:pPr>
    </w:p>
    <w:p>
      <w:pPr>
        <w:widowControl/>
        <w:jc w:val="left"/>
        <w:rPr>
          <w:rFonts w:hint="eastAsia" w:ascii="仿宋" w:hAnsi="仿宋" w:eastAsia="仿宋" w:cs="仿宋"/>
          <w:color w:val="auto"/>
          <w:kern w:val="0"/>
          <w:sz w:val="18"/>
          <w:szCs w:val="18"/>
          <w:highlight w:val="none"/>
        </w:rPr>
      </w:pPr>
    </w:p>
    <w:p>
      <w:pPr>
        <w:widowControl/>
        <w:jc w:val="left"/>
        <w:rPr>
          <w:rFonts w:hint="eastAsia" w:ascii="仿宋" w:hAnsi="仿宋" w:eastAsia="仿宋" w:cs="仿宋"/>
          <w:color w:val="auto"/>
          <w:kern w:val="0"/>
          <w:sz w:val="18"/>
          <w:szCs w:val="18"/>
          <w:highlight w:val="none"/>
        </w:rPr>
      </w:pP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43"/>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pPr>
        <w:rPr>
          <w:rFonts w:hint="eastAsia" w:ascii="仿宋" w:hAnsi="仿宋" w:eastAsia="仿宋" w:cs="仿宋"/>
          <w:color w:val="auto"/>
          <w:sz w:val="24"/>
          <w:highlight w:val="none"/>
        </w:rPr>
      </w:pPr>
    </w:p>
    <w:p>
      <w:pPr>
        <w:ind w:firstLine="420" w:firstLineChars="200"/>
        <w:rPr>
          <w:rFonts w:hint="eastAsia" w:ascii="仿宋" w:hAnsi="仿宋" w:eastAsia="仿宋" w:cs="仿宋"/>
          <w:color w:val="auto"/>
          <w:highlight w:val="none"/>
        </w:rPr>
      </w:pPr>
    </w:p>
    <w:p>
      <w:pPr>
        <w:spacing w:line="360" w:lineRule="auto"/>
        <w:rPr>
          <w:rFonts w:hint="eastAsia" w:ascii="仿宋" w:hAnsi="仿宋" w:eastAsia="仿宋" w:cs="仿宋"/>
          <w:color w:val="auto"/>
          <w:kern w:val="0"/>
          <w:sz w:val="24"/>
          <w:highlight w:val="none"/>
        </w:rPr>
      </w:pPr>
    </w:p>
    <w:sectPr>
      <w:headerReference r:id="rId5" w:type="default"/>
      <w:footerReference r:id="rId6" w:type="default"/>
      <w:footerReference r:id="rId7" w:type="even"/>
      <w:pgSz w:w="11906" w:h="16838"/>
      <w:pgMar w:top="1440" w:right="1558" w:bottom="1246" w:left="1758" w:header="1021" w:footer="90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roman"/>
    <w:pitch w:val="default"/>
    <w:sig w:usb0="FFFFFFFF" w:usb1="E9FFFFFF" w:usb2="0000003F" w:usb3="00000000" w:csb0="603F01FF" w:csb1="FFFF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altName w:val="Arial Unicode MS"/>
    <w:panose1 w:val="02010600030101010101"/>
    <w:charset w:val="86"/>
    <w:family w:val="auto"/>
    <w:pitch w:val="default"/>
    <w:sig w:usb0="00000000" w:usb1="00000000"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PMingLiU">
    <w:panose1 w:val="02020500000000000000"/>
    <w:charset w:val="88"/>
    <w:family w:val="auto"/>
    <w:pitch w:val="default"/>
    <w:sig w:usb0="A00002FF" w:usb1="28CFFCFA" w:usb2="00000016" w:usb3="00000000" w:csb0="0010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pPr>
      <w:pStyle w:val="2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47"/>
      </w:rPr>
    </w:pPr>
    <w:r>
      <w:rPr>
        <w:rStyle w:val="47"/>
      </w:rPr>
      <w:fldChar w:fldCharType="begin"/>
    </w:r>
    <w:r>
      <w:rPr>
        <w:rStyle w:val="47"/>
      </w:rPr>
      <w:instrText xml:space="preserve">PAGE  </w:instrText>
    </w:r>
    <w:r>
      <w:rPr>
        <w:rStyle w:val="47"/>
      </w:rPr>
      <w:fldChar w:fldCharType="end"/>
    </w:r>
  </w:p>
  <w:p>
    <w:pPr>
      <w:pStyle w:val="2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B45AF8"/>
    <w:multiLevelType w:val="singleLevel"/>
    <w:tmpl w:val="AFB45AF8"/>
    <w:lvl w:ilvl="0" w:tentative="0">
      <w:start w:val="4"/>
      <w:numFmt w:val="decimal"/>
      <w:lvlText w:val="%1."/>
      <w:lvlJc w:val="left"/>
      <w:pPr>
        <w:tabs>
          <w:tab w:val="left" w:pos="312"/>
        </w:tabs>
      </w:pPr>
    </w:lvl>
  </w:abstractNum>
  <w:abstractNum w:abstractNumId="1">
    <w:nsid w:val="FB80F713"/>
    <w:multiLevelType w:val="singleLevel"/>
    <w:tmpl w:val="FB80F713"/>
    <w:lvl w:ilvl="0" w:tentative="0">
      <w:start w:val="4"/>
      <w:numFmt w:val="decimal"/>
      <w:lvlText w:val="%1."/>
      <w:lvlJc w:val="left"/>
      <w:pPr>
        <w:tabs>
          <w:tab w:val="left" w:pos="312"/>
        </w:tabs>
      </w:pPr>
    </w:lvl>
  </w:abstractNum>
  <w:abstractNum w:abstractNumId="2">
    <w:nsid w:val="FFFFFF7E"/>
    <w:multiLevelType w:val="singleLevel"/>
    <w:tmpl w:val="FFFFFF7E"/>
    <w:lvl w:ilvl="0" w:tentative="0">
      <w:start w:val="1"/>
      <w:numFmt w:val="decimal"/>
      <w:pStyle w:val="10"/>
      <w:lvlText w:val="%1."/>
      <w:lvlJc w:val="left"/>
      <w:pPr>
        <w:tabs>
          <w:tab w:val="left" w:pos="1200"/>
        </w:tabs>
        <w:ind w:left="1200" w:leftChars="400" w:hanging="360" w:hangingChars="200"/>
      </w:pPr>
    </w:lvl>
  </w:abstractNum>
  <w:abstractNum w:abstractNumId="3">
    <w:nsid w:val="FFFFFF88"/>
    <w:multiLevelType w:val="singleLevel"/>
    <w:tmpl w:val="FFFFFF88"/>
    <w:lvl w:ilvl="0" w:tentative="0">
      <w:start w:val="1"/>
      <w:numFmt w:val="decimal"/>
      <w:pStyle w:val="9"/>
      <w:lvlText w:val="%1."/>
      <w:lvlJc w:val="left"/>
      <w:pPr>
        <w:tabs>
          <w:tab w:val="left" w:pos="360"/>
        </w:tabs>
        <w:ind w:left="360" w:hanging="360" w:hangingChars="200"/>
      </w:pPr>
    </w:lvl>
  </w:abstractNum>
  <w:abstractNum w:abstractNumId="4">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5">
    <w:nsid w:val="3C0975EF"/>
    <w:multiLevelType w:val="multilevel"/>
    <w:tmpl w:val="3C0975EF"/>
    <w:lvl w:ilvl="0" w:tentative="0">
      <w:start w:val="1"/>
      <w:numFmt w:val="decimal"/>
      <w:pStyle w:val="292"/>
      <w:lvlText w:val="%1."/>
      <w:lvlJc w:val="left"/>
      <w:pPr>
        <w:ind w:left="425" w:hanging="425"/>
      </w:pPr>
    </w:lvl>
    <w:lvl w:ilvl="1" w:tentative="0">
      <w:start w:val="1"/>
      <w:numFmt w:val="decimal"/>
      <w:pStyle w:val="291"/>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6">
    <w:nsid w:val="4F6BB6CE"/>
    <w:multiLevelType w:val="singleLevel"/>
    <w:tmpl w:val="4F6BB6CE"/>
    <w:lvl w:ilvl="0" w:tentative="0">
      <w:start w:val="1"/>
      <w:numFmt w:val="decimal"/>
      <w:suff w:val="nothing"/>
      <w:lvlText w:val="%1、"/>
      <w:lvlJc w:val="left"/>
    </w:lvl>
  </w:abstractNum>
  <w:abstractNum w:abstractNumId="7">
    <w:nsid w:val="5CB017FC"/>
    <w:multiLevelType w:val="multilevel"/>
    <w:tmpl w:val="5CB017FC"/>
    <w:lvl w:ilvl="0" w:tentative="0">
      <w:start w:val="1"/>
      <w:numFmt w:val="decimal"/>
      <w:pStyle w:val="8"/>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7"/>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8">
    <w:nsid w:val="6A383B68"/>
    <w:multiLevelType w:val="singleLevel"/>
    <w:tmpl w:val="6A383B68"/>
    <w:lvl w:ilvl="0" w:tentative="0">
      <w:start w:val="1"/>
      <w:numFmt w:val="upperLetter"/>
      <w:pStyle w:val="11"/>
      <w:lvlText w:val="%1、"/>
      <w:lvlJc w:val="left"/>
      <w:pPr>
        <w:tabs>
          <w:tab w:val="left" w:pos="405"/>
        </w:tabs>
        <w:ind w:left="405" w:hanging="405"/>
      </w:pPr>
    </w:lvl>
  </w:abstractNum>
  <w:abstractNum w:abstractNumId="9">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7"/>
  </w:num>
  <w:num w:numId="2">
    <w:abstractNumId w:val="3"/>
  </w:num>
  <w:num w:numId="3">
    <w:abstractNumId w:val="2"/>
  </w:num>
  <w:num w:numId="4">
    <w:abstractNumId w:val="8"/>
  </w:num>
  <w:num w:numId="5">
    <w:abstractNumId w:val="5"/>
  </w:num>
  <w:num w:numId="6">
    <w:abstractNumId w:val="0"/>
  </w:num>
  <w:num w:numId="7">
    <w:abstractNumId w:val="9"/>
  </w:num>
  <w:num w:numId="8">
    <w:abstractNumId w:val="1"/>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revisionView w:markup="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ODJiMTc5Mjg0YWFmNjAwZTBjOGFiODc5N2VmNzc1NDQifQ=="/>
  </w:docVars>
  <w:rsids>
    <w:rsidRoot w:val="00417C8A"/>
    <w:rsid w:val="00002EF8"/>
    <w:rsid w:val="00003B69"/>
    <w:rsid w:val="00005125"/>
    <w:rsid w:val="0000551C"/>
    <w:rsid w:val="00010C9A"/>
    <w:rsid w:val="00010FC1"/>
    <w:rsid w:val="0001278F"/>
    <w:rsid w:val="00020031"/>
    <w:rsid w:val="0002045E"/>
    <w:rsid w:val="00021D87"/>
    <w:rsid w:val="0002203D"/>
    <w:rsid w:val="0002468D"/>
    <w:rsid w:val="00025A9F"/>
    <w:rsid w:val="00026762"/>
    <w:rsid w:val="00030A0F"/>
    <w:rsid w:val="00031F75"/>
    <w:rsid w:val="000329A7"/>
    <w:rsid w:val="00033D7B"/>
    <w:rsid w:val="000402F5"/>
    <w:rsid w:val="00040A03"/>
    <w:rsid w:val="00047118"/>
    <w:rsid w:val="00047D3B"/>
    <w:rsid w:val="0005172F"/>
    <w:rsid w:val="000517D0"/>
    <w:rsid w:val="00051C47"/>
    <w:rsid w:val="00052DCC"/>
    <w:rsid w:val="000535F4"/>
    <w:rsid w:val="000541AB"/>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2E7F"/>
    <w:rsid w:val="000933A2"/>
    <w:rsid w:val="0009629C"/>
    <w:rsid w:val="00096D24"/>
    <w:rsid w:val="00097421"/>
    <w:rsid w:val="00097868"/>
    <w:rsid w:val="0009797B"/>
    <w:rsid w:val="000A0868"/>
    <w:rsid w:val="000A1F26"/>
    <w:rsid w:val="000A3FC5"/>
    <w:rsid w:val="000A4017"/>
    <w:rsid w:val="000A5AC0"/>
    <w:rsid w:val="000B0284"/>
    <w:rsid w:val="000B14AE"/>
    <w:rsid w:val="000B1744"/>
    <w:rsid w:val="000B1D0B"/>
    <w:rsid w:val="000B2A94"/>
    <w:rsid w:val="000B2D29"/>
    <w:rsid w:val="000B625B"/>
    <w:rsid w:val="000C14CF"/>
    <w:rsid w:val="000C1F3C"/>
    <w:rsid w:val="000C3344"/>
    <w:rsid w:val="000C5A53"/>
    <w:rsid w:val="000C5F21"/>
    <w:rsid w:val="000D0E6C"/>
    <w:rsid w:val="000D110F"/>
    <w:rsid w:val="000D122E"/>
    <w:rsid w:val="000D1267"/>
    <w:rsid w:val="000D1ACF"/>
    <w:rsid w:val="000D1D59"/>
    <w:rsid w:val="000D2699"/>
    <w:rsid w:val="000D3FC1"/>
    <w:rsid w:val="000D42A6"/>
    <w:rsid w:val="000D4D0E"/>
    <w:rsid w:val="000D716C"/>
    <w:rsid w:val="000E1C88"/>
    <w:rsid w:val="000E308A"/>
    <w:rsid w:val="000E3723"/>
    <w:rsid w:val="000E4A4F"/>
    <w:rsid w:val="000E5C9B"/>
    <w:rsid w:val="000E6F8C"/>
    <w:rsid w:val="000E72A0"/>
    <w:rsid w:val="000F0D59"/>
    <w:rsid w:val="000F51A7"/>
    <w:rsid w:val="000F5EF4"/>
    <w:rsid w:val="000F7FA8"/>
    <w:rsid w:val="001023D9"/>
    <w:rsid w:val="00102FA0"/>
    <w:rsid w:val="00103B47"/>
    <w:rsid w:val="00104327"/>
    <w:rsid w:val="00104663"/>
    <w:rsid w:val="00104806"/>
    <w:rsid w:val="00104A07"/>
    <w:rsid w:val="0010763D"/>
    <w:rsid w:val="00111E93"/>
    <w:rsid w:val="00112B08"/>
    <w:rsid w:val="00114BF9"/>
    <w:rsid w:val="00114C81"/>
    <w:rsid w:val="00115363"/>
    <w:rsid w:val="001166CC"/>
    <w:rsid w:val="00116EDA"/>
    <w:rsid w:val="0012018C"/>
    <w:rsid w:val="00120D86"/>
    <w:rsid w:val="001259AD"/>
    <w:rsid w:val="00125D70"/>
    <w:rsid w:val="00126CDE"/>
    <w:rsid w:val="00132EE2"/>
    <w:rsid w:val="001345B3"/>
    <w:rsid w:val="0013527E"/>
    <w:rsid w:val="00135455"/>
    <w:rsid w:val="00137525"/>
    <w:rsid w:val="0014024E"/>
    <w:rsid w:val="0014242C"/>
    <w:rsid w:val="0014545F"/>
    <w:rsid w:val="00145D25"/>
    <w:rsid w:val="00154591"/>
    <w:rsid w:val="00154E3A"/>
    <w:rsid w:val="00156633"/>
    <w:rsid w:val="00157269"/>
    <w:rsid w:val="0015771E"/>
    <w:rsid w:val="00157914"/>
    <w:rsid w:val="00157EB1"/>
    <w:rsid w:val="00157FB7"/>
    <w:rsid w:val="00160B0A"/>
    <w:rsid w:val="00161F66"/>
    <w:rsid w:val="00162DD9"/>
    <w:rsid w:val="001637A2"/>
    <w:rsid w:val="00163B9C"/>
    <w:rsid w:val="00165068"/>
    <w:rsid w:val="001657B2"/>
    <w:rsid w:val="00171701"/>
    <w:rsid w:val="0017455C"/>
    <w:rsid w:val="00174F52"/>
    <w:rsid w:val="001751A8"/>
    <w:rsid w:val="0018130F"/>
    <w:rsid w:val="00181544"/>
    <w:rsid w:val="00181887"/>
    <w:rsid w:val="00182D73"/>
    <w:rsid w:val="0018376B"/>
    <w:rsid w:val="001841D9"/>
    <w:rsid w:val="00184C15"/>
    <w:rsid w:val="00185F55"/>
    <w:rsid w:val="001866C4"/>
    <w:rsid w:val="001866FC"/>
    <w:rsid w:val="001873DB"/>
    <w:rsid w:val="00187AB1"/>
    <w:rsid w:val="0019064E"/>
    <w:rsid w:val="00190DB7"/>
    <w:rsid w:val="00191263"/>
    <w:rsid w:val="00191BE8"/>
    <w:rsid w:val="00191EE1"/>
    <w:rsid w:val="00193494"/>
    <w:rsid w:val="00194583"/>
    <w:rsid w:val="0019471E"/>
    <w:rsid w:val="00197955"/>
    <w:rsid w:val="001A0C24"/>
    <w:rsid w:val="001A15C0"/>
    <w:rsid w:val="001A4123"/>
    <w:rsid w:val="001A4A9D"/>
    <w:rsid w:val="001A6712"/>
    <w:rsid w:val="001A7E2A"/>
    <w:rsid w:val="001B1392"/>
    <w:rsid w:val="001B2461"/>
    <w:rsid w:val="001B2770"/>
    <w:rsid w:val="001B485F"/>
    <w:rsid w:val="001B4C51"/>
    <w:rsid w:val="001B589D"/>
    <w:rsid w:val="001B70E5"/>
    <w:rsid w:val="001C07C7"/>
    <w:rsid w:val="001C4733"/>
    <w:rsid w:val="001C57F3"/>
    <w:rsid w:val="001C5AA3"/>
    <w:rsid w:val="001C6042"/>
    <w:rsid w:val="001C6EC1"/>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2B8F"/>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069"/>
    <w:rsid w:val="0025660E"/>
    <w:rsid w:val="00256A92"/>
    <w:rsid w:val="0025749B"/>
    <w:rsid w:val="002608A0"/>
    <w:rsid w:val="00260A0D"/>
    <w:rsid w:val="00262E82"/>
    <w:rsid w:val="00264B31"/>
    <w:rsid w:val="00264FFB"/>
    <w:rsid w:val="00266447"/>
    <w:rsid w:val="00267D7C"/>
    <w:rsid w:val="00270E20"/>
    <w:rsid w:val="00271324"/>
    <w:rsid w:val="002714BE"/>
    <w:rsid w:val="00272379"/>
    <w:rsid w:val="00274B01"/>
    <w:rsid w:val="00274D38"/>
    <w:rsid w:val="00274F24"/>
    <w:rsid w:val="00275F7B"/>
    <w:rsid w:val="002826DA"/>
    <w:rsid w:val="002827A8"/>
    <w:rsid w:val="00283EAF"/>
    <w:rsid w:val="002857D3"/>
    <w:rsid w:val="002860D2"/>
    <w:rsid w:val="00286495"/>
    <w:rsid w:val="0029132F"/>
    <w:rsid w:val="00291839"/>
    <w:rsid w:val="00291D57"/>
    <w:rsid w:val="002945E5"/>
    <w:rsid w:val="00295DD9"/>
    <w:rsid w:val="00297560"/>
    <w:rsid w:val="002A0921"/>
    <w:rsid w:val="002A13E9"/>
    <w:rsid w:val="002A168D"/>
    <w:rsid w:val="002A22BB"/>
    <w:rsid w:val="002A2667"/>
    <w:rsid w:val="002A3119"/>
    <w:rsid w:val="002A41C9"/>
    <w:rsid w:val="002A4A75"/>
    <w:rsid w:val="002A5124"/>
    <w:rsid w:val="002A683A"/>
    <w:rsid w:val="002A6BAE"/>
    <w:rsid w:val="002A7EFA"/>
    <w:rsid w:val="002B0298"/>
    <w:rsid w:val="002B186A"/>
    <w:rsid w:val="002B1BA5"/>
    <w:rsid w:val="002B3711"/>
    <w:rsid w:val="002B37F5"/>
    <w:rsid w:val="002B484B"/>
    <w:rsid w:val="002B4A4B"/>
    <w:rsid w:val="002B5650"/>
    <w:rsid w:val="002B6B66"/>
    <w:rsid w:val="002B78AF"/>
    <w:rsid w:val="002C0C85"/>
    <w:rsid w:val="002C2C53"/>
    <w:rsid w:val="002C3804"/>
    <w:rsid w:val="002D2F86"/>
    <w:rsid w:val="002D5386"/>
    <w:rsid w:val="002D6849"/>
    <w:rsid w:val="002D6DC6"/>
    <w:rsid w:val="002D7C56"/>
    <w:rsid w:val="002E2586"/>
    <w:rsid w:val="002E2C11"/>
    <w:rsid w:val="002E34F4"/>
    <w:rsid w:val="002E35C4"/>
    <w:rsid w:val="002E3ED5"/>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1BAF"/>
    <w:rsid w:val="00332DA4"/>
    <w:rsid w:val="00334BC7"/>
    <w:rsid w:val="00334D58"/>
    <w:rsid w:val="00334D83"/>
    <w:rsid w:val="00334E51"/>
    <w:rsid w:val="003371DD"/>
    <w:rsid w:val="003406B5"/>
    <w:rsid w:val="003413F9"/>
    <w:rsid w:val="0034305B"/>
    <w:rsid w:val="00347CAD"/>
    <w:rsid w:val="00350E72"/>
    <w:rsid w:val="00351EEF"/>
    <w:rsid w:val="0035254A"/>
    <w:rsid w:val="003565A0"/>
    <w:rsid w:val="003618CE"/>
    <w:rsid w:val="00365766"/>
    <w:rsid w:val="00365F56"/>
    <w:rsid w:val="003670EB"/>
    <w:rsid w:val="00367EAB"/>
    <w:rsid w:val="0037319B"/>
    <w:rsid w:val="0037368A"/>
    <w:rsid w:val="00373C67"/>
    <w:rsid w:val="00375107"/>
    <w:rsid w:val="0037517D"/>
    <w:rsid w:val="003822F9"/>
    <w:rsid w:val="00384E3C"/>
    <w:rsid w:val="00385323"/>
    <w:rsid w:val="0039130B"/>
    <w:rsid w:val="00391E7C"/>
    <w:rsid w:val="00393589"/>
    <w:rsid w:val="00393A4C"/>
    <w:rsid w:val="003949AE"/>
    <w:rsid w:val="00395601"/>
    <w:rsid w:val="003A137B"/>
    <w:rsid w:val="003A19D2"/>
    <w:rsid w:val="003A3963"/>
    <w:rsid w:val="003A3C9C"/>
    <w:rsid w:val="003A546B"/>
    <w:rsid w:val="003A74F5"/>
    <w:rsid w:val="003B0D07"/>
    <w:rsid w:val="003B1CEB"/>
    <w:rsid w:val="003B24CA"/>
    <w:rsid w:val="003B2A7E"/>
    <w:rsid w:val="003B2B02"/>
    <w:rsid w:val="003B4EAE"/>
    <w:rsid w:val="003B5786"/>
    <w:rsid w:val="003B774D"/>
    <w:rsid w:val="003B7907"/>
    <w:rsid w:val="003C46C5"/>
    <w:rsid w:val="003C4B74"/>
    <w:rsid w:val="003C527A"/>
    <w:rsid w:val="003C5AA7"/>
    <w:rsid w:val="003C637D"/>
    <w:rsid w:val="003C67A8"/>
    <w:rsid w:val="003C7A48"/>
    <w:rsid w:val="003C7F20"/>
    <w:rsid w:val="003D10C3"/>
    <w:rsid w:val="003D1A22"/>
    <w:rsid w:val="003D2496"/>
    <w:rsid w:val="003D3253"/>
    <w:rsid w:val="003D7052"/>
    <w:rsid w:val="003E074D"/>
    <w:rsid w:val="003E0777"/>
    <w:rsid w:val="003E2D56"/>
    <w:rsid w:val="003E4007"/>
    <w:rsid w:val="003E5724"/>
    <w:rsid w:val="003E6C02"/>
    <w:rsid w:val="003F2982"/>
    <w:rsid w:val="003F4084"/>
    <w:rsid w:val="003F77E0"/>
    <w:rsid w:val="00400057"/>
    <w:rsid w:val="00400777"/>
    <w:rsid w:val="00400B4D"/>
    <w:rsid w:val="00400BD4"/>
    <w:rsid w:val="004014D1"/>
    <w:rsid w:val="00403FEC"/>
    <w:rsid w:val="00404284"/>
    <w:rsid w:val="00407D88"/>
    <w:rsid w:val="004109FD"/>
    <w:rsid w:val="0041394C"/>
    <w:rsid w:val="00413B7A"/>
    <w:rsid w:val="00414412"/>
    <w:rsid w:val="0041460B"/>
    <w:rsid w:val="00414F64"/>
    <w:rsid w:val="004166D1"/>
    <w:rsid w:val="00417C8A"/>
    <w:rsid w:val="0042094B"/>
    <w:rsid w:val="0042136D"/>
    <w:rsid w:val="00424C70"/>
    <w:rsid w:val="0042557D"/>
    <w:rsid w:val="00426003"/>
    <w:rsid w:val="00426B45"/>
    <w:rsid w:val="00426CA3"/>
    <w:rsid w:val="00427B10"/>
    <w:rsid w:val="004350B7"/>
    <w:rsid w:val="004357E0"/>
    <w:rsid w:val="0043766D"/>
    <w:rsid w:val="00437F79"/>
    <w:rsid w:val="00441896"/>
    <w:rsid w:val="00442935"/>
    <w:rsid w:val="0044422F"/>
    <w:rsid w:val="004443C5"/>
    <w:rsid w:val="004446D7"/>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6EE"/>
    <w:rsid w:val="00476C0B"/>
    <w:rsid w:val="00476E9A"/>
    <w:rsid w:val="00477EFE"/>
    <w:rsid w:val="00480DE4"/>
    <w:rsid w:val="004832BC"/>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1F57"/>
    <w:rsid w:val="004B3B15"/>
    <w:rsid w:val="004B5136"/>
    <w:rsid w:val="004B5B9E"/>
    <w:rsid w:val="004B701A"/>
    <w:rsid w:val="004C0238"/>
    <w:rsid w:val="004C0EE6"/>
    <w:rsid w:val="004C1C20"/>
    <w:rsid w:val="004C3EFB"/>
    <w:rsid w:val="004C40D8"/>
    <w:rsid w:val="004C47F0"/>
    <w:rsid w:val="004C5147"/>
    <w:rsid w:val="004C541A"/>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48EE"/>
    <w:rsid w:val="0050570A"/>
    <w:rsid w:val="0050629F"/>
    <w:rsid w:val="0051262C"/>
    <w:rsid w:val="00512768"/>
    <w:rsid w:val="00513DE6"/>
    <w:rsid w:val="005144B2"/>
    <w:rsid w:val="00517733"/>
    <w:rsid w:val="005215F9"/>
    <w:rsid w:val="00522169"/>
    <w:rsid w:val="005230CA"/>
    <w:rsid w:val="0052340D"/>
    <w:rsid w:val="0052376F"/>
    <w:rsid w:val="00524FD6"/>
    <w:rsid w:val="00527E1C"/>
    <w:rsid w:val="00532937"/>
    <w:rsid w:val="00532B60"/>
    <w:rsid w:val="005351C1"/>
    <w:rsid w:val="00536FBF"/>
    <w:rsid w:val="0054018C"/>
    <w:rsid w:val="005410BB"/>
    <w:rsid w:val="00541A02"/>
    <w:rsid w:val="00543426"/>
    <w:rsid w:val="00544130"/>
    <w:rsid w:val="005459FE"/>
    <w:rsid w:val="00545F40"/>
    <w:rsid w:val="00552D57"/>
    <w:rsid w:val="00553FE7"/>
    <w:rsid w:val="0055544C"/>
    <w:rsid w:val="00555780"/>
    <w:rsid w:val="00556840"/>
    <w:rsid w:val="00557737"/>
    <w:rsid w:val="0056065C"/>
    <w:rsid w:val="005634CB"/>
    <w:rsid w:val="00565EF8"/>
    <w:rsid w:val="00566FBC"/>
    <w:rsid w:val="00567005"/>
    <w:rsid w:val="005671CA"/>
    <w:rsid w:val="0057066B"/>
    <w:rsid w:val="00570DFC"/>
    <w:rsid w:val="00570F4A"/>
    <w:rsid w:val="00572BAD"/>
    <w:rsid w:val="00573677"/>
    <w:rsid w:val="005738F4"/>
    <w:rsid w:val="00573BCB"/>
    <w:rsid w:val="00576529"/>
    <w:rsid w:val="00576EFE"/>
    <w:rsid w:val="005770CA"/>
    <w:rsid w:val="005817DD"/>
    <w:rsid w:val="00585233"/>
    <w:rsid w:val="00585D7E"/>
    <w:rsid w:val="0058680D"/>
    <w:rsid w:val="00586C3A"/>
    <w:rsid w:val="005879E7"/>
    <w:rsid w:val="00590A70"/>
    <w:rsid w:val="00591190"/>
    <w:rsid w:val="00591584"/>
    <w:rsid w:val="00594CDD"/>
    <w:rsid w:val="00595AB2"/>
    <w:rsid w:val="005A14E8"/>
    <w:rsid w:val="005A3003"/>
    <w:rsid w:val="005A32FB"/>
    <w:rsid w:val="005A3E6E"/>
    <w:rsid w:val="005A7A4A"/>
    <w:rsid w:val="005B180C"/>
    <w:rsid w:val="005C2908"/>
    <w:rsid w:val="005C30CF"/>
    <w:rsid w:val="005C3154"/>
    <w:rsid w:val="005C3A22"/>
    <w:rsid w:val="005C54A7"/>
    <w:rsid w:val="005C6EE6"/>
    <w:rsid w:val="005C6F10"/>
    <w:rsid w:val="005D0155"/>
    <w:rsid w:val="005D2F62"/>
    <w:rsid w:val="005D375C"/>
    <w:rsid w:val="005D451A"/>
    <w:rsid w:val="005D6575"/>
    <w:rsid w:val="005D70ED"/>
    <w:rsid w:val="005E00B9"/>
    <w:rsid w:val="005E282B"/>
    <w:rsid w:val="005E33BD"/>
    <w:rsid w:val="005E4144"/>
    <w:rsid w:val="005E5AC0"/>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245C"/>
    <w:rsid w:val="00613873"/>
    <w:rsid w:val="00615BA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0D50"/>
    <w:rsid w:val="00642276"/>
    <w:rsid w:val="00643AA9"/>
    <w:rsid w:val="00643BDC"/>
    <w:rsid w:val="00644FF2"/>
    <w:rsid w:val="0064613F"/>
    <w:rsid w:val="006465FE"/>
    <w:rsid w:val="006467D7"/>
    <w:rsid w:val="00646E44"/>
    <w:rsid w:val="00651F43"/>
    <w:rsid w:val="006527F3"/>
    <w:rsid w:val="006541FB"/>
    <w:rsid w:val="006608B1"/>
    <w:rsid w:val="00665466"/>
    <w:rsid w:val="00665C19"/>
    <w:rsid w:val="00665CBD"/>
    <w:rsid w:val="00670AFE"/>
    <w:rsid w:val="00671A32"/>
    <w:rsid w:val="00672AC8"/>
    <w:rsid w:val="00675C4B"/>
    <w:rsid w:val="0067762D"/>
    <w:rsid w:val="00680B4E"/>
    <w:rsid w:val="006810E4"/>
    <w:rsid w:val="006839B6"/>
    <w:rsid w:val="006843E1"/>
    <w:rsid w:val="0068671B"/>
    <w:rsid w:val="00686F48"/>
    <w:rsid w:val="006872D9"/>
    <w:rsid w:val="00687BEE"/>
    <w:rsid w:val="00687DA3"/>
    <w:rsid w:val="0069160B"/>
    <w:rsid w:val="006936A5"/>
    <w:rsid w:val="006948E4"/>
    <w:rsid w:val="00694B34"/>
    <w:rsid w:val="00694B87"/>
    <w:rsid w:val="00694D00"/>
    <w:rsid w:val="006A1906"/>
    <w:rsid w:val="006A3BEF"/>
    <w:rsid w:val="006A3D9E"/>
    <w:rsid w:val="006A4F05"/>
    <w:rsid w:val="006A69A8"/>
    <w:rsid w:val="006B183A"/>
    <w:rsid w:val="006B1A97"/>
    <w:rsid w:val="006B3AAF"/>
    <w:rsid w:val="006B4F54"/>
    <w:rsid w:val="006B6B67"/>
    <w:rsid w:val="006C002F"/>
    <w:rsid w:val="006C02F5"/>
    <w:rsid w:val="006C5FEF"/>
    <w:rsid w:val="006C7EB3"/>
    <w:rsid w:val="006D5227"/>
    <w:rsid w:val="006D629D"/>
    <w:rsid w:val="006E51D3"/>
    <w:rsid w:val="006E64A5"/>
    <w:rsid w:val="006E6C77"/>
    <w:rsid w:val="006E772C"/>
    <w:rsid w:val="006E797A"/>
    <w:rsid w:val="006F0A0C"/>
    <w:rsid w:val="006F1D33"/>
    <w:rsid w:val="006F1D8D"/>
    <w:rsid w:val="006F2510"/>
    <w:rsid w:val="006F3A0F"/>
    <w:rsid w:val="006F7221"/>
    <w:rsid w:val="007014C0"/>
    <w:rsid w:val="00702458"/>
    <w:rsid w:val="007047D8"/>
    <w:rsid w:val="00707395"/>
    <w:rsid w:val="007122EB"/>
    <w:rsid w:val="00715B09"/>
    <w:rsid w:val="0072144E"/>
    <w:rsid w:val="00721BF4"/>
    <w:rsid w:val="007266EE"/>
    <w:rsid w:val="00727382"/>
    <w:rsid w:val="0072764B"/>
    <w:rsid w:val="00727936"/>
    <w:rsid w:val="00727E2C"/>
    <w:rsid w:val="00727F6F"/>
    <w:rsid w:val="007327FF"/>
    <w:rsid w:val="007402C2"/>
    <w:rsid w:val="007402D5"/>
    <w:rsid w:val="007404F8"/>
    <w:rsid w:val="00740EED"/>
    <w:rsid w:val="00741976"/>
    <w:rsid w:val="00741F19"/>
    <w:rsid w:val="007435B2"/>
    <w:rsid w:val="00743C5C"/>
    <w:rsid w:val="0075021A"/>
    <w:rsid w:val="0075094E"/>
    <w:rsid w:val="00751DF3"/>
    <w:rsid w:val="00752F32"/>
    <w:rsid w:val="0075304B"/>
    <w:rsid w:val="0075552B"/>
    <w:rsid w:val="00757BAC"/>
    <w:rsid w:val="0076108E"/>
    <w:rsid w:val="00762B5C"/>
    <w:rsid w:val="007657D6"/>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412B"/>
    <w:rsid w:val="00794F1B"/>
    <w:rsid w:val="007A06F3"/>
    <w:rsid w:val="007A11CC"/>
    <w:rsid w:val="007A160C"/>
    <w:rsid w:val="007A179B"/>
    <w:rsid w:val="007A4FF4"/>
    <w:rsid w:val="007A5361"/>
    <w:rsid w:val="007A6CC8"/>
    <w:rsid w:val="007B0001"/>
    <w:rsid w:val="007B2540"/>
    <w:rsid w:val="007B3695"/>
    <w:rsid w:val="007B58B1"/>
    <w:rsid w:val="007B5ADD"/>
    <w:rsid w:val="007B6A7E"/>
    <w:rsid w:val="007B7257"/>
    <w:rsid w:val="007C1059"/>
    <w:rsid w:val="007C2503"/>
    <w:rsid w:val="007C2B7A"/>
    <w:rsid w:val="007C4BF9"/>
    <w:rsid w:val="007C5716"/>
    <w:rsid w:val="007D0823"/>
    <w:rsid w:val="007D3E95"/>
    <w:rsid w:val="007D4361"/>
    <w:rsid w:val="007D506A"/>
    <w:rsid w:val="007D7005"/>
    <w:rsid w:val="007E3068"/>
    <w:rsid w:val="007E414C"/>
    <w:rsid w:val="007E4AD3"/>
    <w:rsid w:val="007E6C18"/>
    <w:rsid w:val="007E765C"/>
    <w:rsid w:val="007F0029"/>
    <w:rsid w:val="007F0976"/>
    <w:rsid w:val="007F168D"/>
    <w:rsid w:val="007F1749"/>
    <w:rsid w:val="007F3580"/>
    <w:rsid w:val="007F4C09"/>
    <w:rsid w:val="007F5965"/>
    <w:rsid w:val="007F5CEC"/>
    <w:rsid w:val="007F6983"/>
    <w:rsid w:val="00800AE2"/>
    <w:rsid w:val="00802471"/>
    <w:rsid w:val="008030DC"/>
    <w:rsid w:val="0080418D"/>
    <w:rsid w:val="008070FB"/>
    <w:rsid w:val="008125CD"/>
    <w:rsid w:val="00813057"/>
    <w:rsid w:val="0081356F"/>
    <w:rsid w:val="00815230"/>
    <w:rsid w:val="00816151"/>
    <w:rsid w:val="00817564"/>
    <w:rsid w:val="00817EB6"/>
    <w:rsid w:val="0082016A"/>
    <w:rsid w:val="00820ECE"/>
    <w:rsid w:val="008215E5"/>
    <w:rsid w:val="0082176B"/>
    <w:rsid w:val="00821954"/>
    <w:rsid w:val="008219AD"/>
    <w:rsid w:val="00822072"/>
    <w:rsid w:val="00822430"/>
    <w:rsid w:val="008231ED"/>
    <w:rsid w:val="0082403F"/>
    <w:rsid w:val="0082455A"/>
    <w:rsid w:val="008248BC"/>
    <w:rsid w:val="008249F4"/>
    <w:rsid w:val="00825C61"/>
    <w:rsid w:val="00827589"/>
    <w:rsid w:val="00827791"/>
    <w:rsid w:val="00830F84"/>
    <w:rsid w:val="008310B0"/>
    <w:rsid w:val="008312DD"/>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A78BB"/>
    <w:rsid w:val="008B3818"/>
    <w:rsid w:val="008B43D4"/>
    <w:rsid w:val="008B470F"/>
    <w:rsid w:val="008B6655"/>
    <w:rsid w:val="008C2830"/>
    <w:rsid w:val="008C3401"/>
    <w:rsid w:val="008C4226"/>
    <w:rsid w:val="008C4325"/>
    <w:rsid w:val="008C4B7C"/>
    <w:rsid w:val="008C4E5B"/>
    <w:rsid w:val="008C5CF0"/>
    <w:rsid w:val="008C764A"/>
    <w:rsid w:val="008D18D9"/>
    <w:rsid w:val="008D356B"/>
    <w:rsid w:val="008D4AB1"/>
    <w:rsid w:val="008D7471"/>
    <w:rsid w:val="008D7B31"/>
    <w:rsid w:val="008E19EE"/>
    <w:rsid w:val="008E1A0D"/>
    <w:rsid w:val="008E316D"/>
    <w:rsid w:val="008E4B80"/>
    <w:rsid w:val="008E6364"/>
    <w:rsid w:val="008F03D5"/>
    <w:rsid w:val="008F07DF"/>
    <w:rsid w:val="008F1A2E"/>
    <w:rsid w:val="008F526D"/>
    <w:rsid w:val="00900D76"/>
    <w:rsid w:val="00901100"/>
    <w:rsid w:val="0090286C"/>
    <w:rsid w:val="0090287D"/>
    <w:rsid w:val="009048AE"/>
    <w:rsid w:val="00906681"/>
    <w:rsid w:val="00907BAD"/>
    <w:rsid w:val="00910AEC"/>
    <w:rsid w:val="00911FE1"/>
    <w:rsid w:val="00912BD2"/>
    <w:rsid w:val="009175CE"/>
    <w:rsid w:val="0092030F"/>
    <w:rsid w:val="009215A1"/>
    <w:rsid w:val="00921A52"/>
    <w:rsid w:val="009250EF"/>
    <w:rsid w:val="00926541"/>
    <w:rsid w:val="00926B9E"/>
    <w:rsid w:val="009271D3"/>
    <w:rsid w:val="00927477"/>
    <w:rsid w:val="009309E4"/>
    <w:rsid w:val="00933465"/>
    <w:rsid w:val="00933FD9"/>
    <w:rsid w:val="00934398"/>
    <w:rsid w:val="00934ED5"/>
    <w:rsid w:val="0093527E"/>
    <w:rsid w:val="00935678"/>
    <w:rsid w:val="00935C1D"/>
    <w:rsid w:val="00936104"/>
    <w:rsid w:val="00936426"/>
    <w:rsid w:val="00936632"/>
    <w:rsid w:val="009379E5"/>
    <w:rsid w:val="00940FA0"/>
    <w:rsid w:val="009415ED"/>
    <w:rsid w:val="00944F1A"/>
    <w:rsid w:val="00945E58"/>
    <w:rsid w:val="00947BAD"/>
    <w:rsid w:val="00947FE6"/>
    <w:rsid w:val="00952269"/>
    <w:rsid w:val="00952CE1"/>
    <w:rsid w:val="00953507"/>
    <w:rsid w:val="009557D2"/>
    <w:rsid w:val="009568DF"/>
    <w:rsid w:val="00961531"/>
    <w:rsid w:val="009626CD"/>
    <w:rsid w:val="009639DC"/>
    <w:rsid w:val="00963B11"/>
    <w:rsid w:val="00963CC1"/>
    <w:rsid w:val="0096450C"/>
    <w:rsid w:val="009700D6"/>
    <w:rsid w:val="00970329"/>
    <w:rsid w:val="00970F9E"/>
    <w:rsid w:val="009712BD"/>
    <w:rsid w:val="00973BCA"/>
    <w:rsid w:val="00974BCB"/>
    <w:rsid w:val="00975C87"/>
    <w:rsid w:val="00976585"/>
    <w:rsid w:val="00983C45"/>
    <w:rsid w:val="00986357"/>
    <w:rsid w:val="009868B6"/>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6D6F"/>
    <w:rsid w:val="009B7B41"/>
    <w:rsid w:val="009C17E3"/>
    <w:rsid w:val="009C221E"/>
    <w:rsid w:val="009C2C58"/>
    <w:rsid w:val="009C3B05"/>
    <w:rsid w:val="009C473A"/>
    <w:rsid w:val="009C4D5D"/>
    <w:rsid w:val="009C4F71"/>
    <w:rsid w:val="009C6549"/>
    <w:rsid w:val="009C725B"/>
    <w:rsid w:val="009C739D"/>
    <w:rsid w:val="009C76D3"/>
    <w:rsid w:val="009C77E0"/>
    <w:rsid w:val="009D13D6"/>
    <w:rsid w:val="009D1860"/>
    <w:rsid w:val="009D3E5A"/>
    <w:rsid w:val="009D4482"/>
    <w:rsid w:val="009D5067"/>
    <w:rsid w:val="009D5C27"/>
    <w:rsid w:val="009D5D43"/>
    <w:rsid w:val="009D744F"/>
    <w:rsid w:val="009E0132"/>
    <w:rsid w:val="009E1AA0"/>
    <w:rsid w:val="009E3C73"/>
    <w:rsid w:val="009E4458"/>
    <w:rsid w:val="009E6D86"/>
    <w:rsid w:val="009E7112"/>
    <w:rsid w:val="009F2704"/>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983"/>
    <w:rsid w:val="00A27EE2"/>
    <w:rsid w:val="00A30D6F"/>
    <w:rsid w:val="00A31681"/>
    <w:rsid w:val="00A320F8"/>
    <w:rsid w:val="00A32354"/>
    <w:rsid w:val="00A32FC2"/>
    <w:rsid w:val="00A36348"/>
    <w:rsid w:val="00A36FB8"/>
    <w:rsid w:val="00A40FD5"/>
    <w:rsid w:val="00A41EAC"/>
    <w:rsid w:val="00A428D5"/>
    <w:rsid w:val="00A42B9E"/>
    <w:rsid w:val="00A44F6D"/>
    <w:rsid w:val="00A44FE5"/>
    <w:rsid w:val="00A4609C"/>
    <w:rsid w:val="00A472EC"/>
    <w:rsid w:val="00A50249"/>
    <w:rsid w:val="00A5358B"/>
    <w:rsid w:val="00A53D4A"/>
    <w:rsid w:val="00A55F87"/>
    <w:rsid w:val="00A56E2E"/>
    <w:rsid w:val="00A67420"/>
    <w:rsid w:val="00A7154B"/>
    <w:rsid w:val="00A746F5"/>
    <w:rsid w:val="00A7634A"/>
    <w:rsid w:val="00A773A7"/>
    <w:rsid w:val="00A773DA"/>
    <w:rsid w:val="00A81702"/>
    <w:rsid w:val="00A84151"/>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2BD"/>
    <w:rsid w:val="00AA7A18"/>
    <w:rsid w:val="00AA7AB4"/>
    <w:rsid w:val="00AB01E4"/>
    <w:rsid w:val="00AB1582"/>
    <w:rsid w:val="00AB2223"/>
    <w:rsid w:val="00AB29D3"/>
    <w:rsid w:val="00AB39F3"/>
    <w:rsid w:val="00AB44CD"/>
    <w:rsid w:val="00AB44F1"/>
    <w:rsid w:val="00AB454D"/>
    <w:rsid w:val="00AC1694"/>
    <w:rsid w:val="00AC2B19"/>
    <w:rsid w:val="00AC3A1C"/>
    <w:rsid w:val="00AC3D35"/>
    <w:rsid w:val="00AC4A89"/>
    <w:rsid w:val="00AC518A"/>
    <w:rsid w:val="00AC6CEC"/>
    <w:rsid w:val="00AC7411"/>
    <w:rsid w:val="00AD0DBF"/>
    <w:rsid w:val="00AD6ACB"/>
    <w:rsid w:val="00AE05FC"/>
    <w:rsid w:val="00AE1B40"/>
    <w:rsid w:val="00AE2ED6"/>
    <w:rsid w:val="00AE3196"/>
    <w:rsid w:val="00AE7581"/>
    <w:rsid w:val="00AF039F"/>
    <w:rsid w:val="00AF199C"/>
    <w:rsid w:val="00AF4A99"/>
    <w:rsid w:val="00AF6325"/>
    <w:rsid w:val="00AF7A6A"/>
    <w:rsid w:val="00B00F7A"/>
    <w:rsid w:val="00B012D5"/>
    <w:rsid w:val="00B0332B"/>
    <w:rsid w:val="00B03BEE"/>
    <w:rsid w:val="00B077EB"/>
    <w:rsid w:val="00B11F7D"/>
    <w:rsid w:val="00B12214"/>
    <w:rsid w:val="00B1230F"/>
    <w:rsid w:val="00B127DA"/>
    <w:rsid w:val="00B12D6E"/>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18B8"/>
    <w:rsid w:val="00B55791"/>
    <w:rsid w:val="00B6142A"/>
    <w:rsid w:val="00B63318"/>
    <w:rsid w:val="00B665B5"/>
    <w:rsid w:val="00B66DC1"/>
    <w:rsid w:val="00B67101"/>
    <w:rsid w:val="00B706D0"/>
    <w:rsid w:val="00B718C3"/>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68E2"/>
    <w:rsid w:val="00BB14F8"/>
    <w:rsid w:val="00BB1D3E"/>
    <w:rsid w:val="00BB20A2"/>
    <w:rsid w:val="00BB5269"/>
    <w:rsid w:val="00BC02D7"/>
    <w:rsid w:val="00BC058F"/>
    <w:rsid w:val="00BC1E6A"/>
    <w:rsid w:val="00BC3D6F"/>
    <w:rsid w:val="00BC500A"/>
    <w:rsid w:val="00BC57B1"/>
    <w:rsid w:val="00BC61AC"/>
    <w:rsid w:val="00BD0EBD"/>
    <w:rsid w:val="00BD166C"/>
    <w:rsid w:val="00BD20CF"/>
    <w:rsid w:val="00BD3984"/>
    <w:rsid w:val="00BD3B87"/>
    <w:rsid w:val="00BD3EC6"/>
    <w:rsid w:val="00BD4C35"/>
    <w:rsid w:val="00BE4CCA"/>
    <w:rsid w:val="00BE6FA5"/>
    <w:rsid w:val="00BF28ED"/>
    <w:rsid w:val="00BF3C1F"/>
    <w:rsid w:val="00BF4A9B"/>
    <w:rsid w:val="00BF4D63"/>
    <w:rsid w:val="00BF55E7"/>
    <w:rsid w:val="00C013D8"/>
    <w:rsid w:val="00C0150B"/>
    <w:rsid w:val="00C02786"/>
    <w:rsid w:val="00C036EC"/>
    <w:rsid w:val="00C04372"/>
    <w:rsid w:val="00C0598F"/>
    <w:rsid w:val="00C05D83"/>
    <w:rsid w:val="00C06B27"/>
    <w:rsid w:val="00C1042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A43"/>
    <w:rsid w:val="00C35B77"/>
    <w:rsid w:val="00C35D54"/>
    <w:rsid w:val="00C408A4"/>
    <w:rsid w:val="00C4126C"/>
    <w:rsid w:val="00C42C0C"/>
    <w:rsid w:val="00C42C40"/>
    <w:rsid w:val="00C45D96"/>
    <w:rsid w:val="00C55889"/>
    <w:rsid w:val="00C55E95"/>
    <w:rsid w:val="00C62563"/>
    <w:rsid w:val="00C635DA"/>
    <w:rsid w:val="00C6395F"/>
    <w:rsid w:val="00C642F8"/>
    <w:rsid w:val="00C649BC"/>
    <w:rsid w:val="00C66128"/>
    <w:rsid w:val="00C66BD5"/>
    <w:rsid w:val="00C66EE6"/>
    <w:rsid w:val="00C66FCB"/>
    <w:rsid w:val="00C670AB"/>
    <w:rsid w:val="00C67CBA"/>
    <w:rsid w:val="00C71D3E"/>
    <w:rsid w:val="00C721C3"/>
    <w:rsid w:val="00C809DB"/>
    <w:rsid w:val="00C826A0"/>
    <w:rsid w:val="00C83068"/>
    <w:rsid w:val="00C83429"/>
    <w:rsid w:val="00C8410F"/>
    <w:rsid w:val="00C841E8"/>
    <w:rsid w:val="00C85A01"/>
    <w:rsid w:val="00C8637A"/>
    <w:rsid w:val="00C870A4"/>
    <w:rsid w:val="00C87C97"/>
    <w:rsid w:val="00C90ECA"/>
    <w:rsid w:val="00C93022"/>
    <w:rsid w:val="00C946D2"/>
    <w:rsid w:val="00C951D0"/>
    <w:rsid w:val="00C9553E"/>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C7CDA"/>
    <w:rsid w:val="00CD1CAB"/>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5AB"/>
    <w:rsid w:val="00D03B6A"/>
    <w:rsid w:val="00D05597"/>
    <w:rsid w:val="00D05BBB"/>
    <w:rsid w:val="00D1373D"/>
    <w:rsid w:val="00D13ABF"/>
    <w:rsid w:val="00D16316"/>
    <w:rsid w:val="00D200E4"/>
    <w:rsid w:val="00D2049A"/>
    <w:rsid w:val="00D213FC"/>
    <w:rsid w:val="00D23C15"/>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4DC4"/>
    <w:rsid w:val="00D55FFA"/>
    <w:rsid w:val="00D5623E"/>
    <w:rsid w:val="00D625F8"/>
    <w:rsid w:val="00D626F2"/>
    <w:rsid w:val="00D63D29"/>
    <w:rsid w:val="00D649AA"/>
    <w:rsid w:val="00D73693"/>
    <w:rsid w:val="00D74A49"/>
    <w:rsid w:val="00D74BEC"/>
    <w:rsid w:val="00D75A07"/>
    <w:rsid w:val="00D80A4D"/>
    <w:rsid w:val="00D82341"/>
    <w:rsid w:val="00D83294"/>
    <w:rsid w:val="00D832F2"/>
    <w:rsid w:val="00D83A4D"/>
    <w:rsid w:val="00D840D8"/>
    <w:rsid w:val="00D85827"/>
    <w:rsid w:val="00D8676E"/>
    <w:rsid w:val="00D90BF2"/>
    <w:rsid w:val="00D92EA4"/>
    <w:rsid w:val="00D93A13"/>
    <w:rsid w:val="00D949A2"/>
    <w:rsid w:val="00D94B21"/>
    <w:rsid w:val="00DA0208"/>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1453"/>
    <w:rsid w:val="00DB2FD1"/>
    <w:rsid w:val="00DB3137"/>
    <w:rsid w:val="00DB6503"/>
    <w:rsid w:val="00DB663C"/>
    <w:rsid w:val="00DC10A7"/>
    <w:rsid w:val="00DC168D"/>
    <w:rsid w:val="00DC33B6"/>
    <w:rsid w:val="00DC63F9"/>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FDF"/>
    <w:rsid w:val="00E05A53"/>
    <w:rsid w:val="00E05F15"/>
    <w:rsid w:val="00E07D2B"/>
    <w:rsid w:val="00E07D8B"/>
    <w:rsid w:val="00E10531"/>
    <w:rsid w:val="00E10877"/>
    <w:rsid w:val="00E10F29"/>
    <w:rsid w:val="00E11FA8"/>
    <w:rsid w:val="00E1304F"/>
    <w:rsid w:val="00E13BC1"/>
    <w:rsid w:val="00E1419F"/>
    <w:rsid w:val="00E1468A"/>
    <w:rsid w:val="00E17315"/>
    <w:rsid w:val="00E17D79"/>
    <w:rsid w:val="00E20872"/>
    <w:rsid w:val="00E20A02"/>
    <w:rsid w:val="00E238C5"/>
    <w:rsid w:val="00E23F8C"/>
    <w:rsid w:val="00E261C5"/>
    <w:rsid w:val="00E26FC7"/>
    <w:rsid w:val="00E27363"/>
    <w:rsid w:val="00E32521"/>
    <w:rsid w:val="00E34C20"/>
    <w:rsid w:val="00E35D90"/>
    <w:rsid w:val="00E3742A"/>
    <w:rsid w:val="00E4159A"/>
    <w:rsid w:val="00E42DE4"/>
    <w:rsid w:val="00E45CB3"/>
    <w:rsid w:val="00E45EE2"/>
    <w:rsid w:val="00E46623"/>
    <w:rsid w:val="00E46934"/>
    <w:rsid w:val="00E46EB8"/>
    <w:rsid w:val="00E51C1B"/>
    <w:rsid w:val="00E52E4C"/>
    <w:rsid w:val="00E56E61"/>
    <w:rsid w:val="00E57296"/>
    <w:rsid w:val="00E622B2"/>
    <w:rsid w:val="00E633B5"/>
    <w:rsid w:val="00E6393B"/>
    <w:rsid w:val="00E644CD"/>
    <w:rsid w:val="00E65A9B"/>
    <w:rsid w:val="00E7052E"/>
    <w:rsid w:val="00E715C6"/>
    <w:rsid w:val="00E720E4"/>
    <w:rsid w:val="00E7370C"/>
    <w:rsid w:val="00E76C25"/>
    <w:rsid w:val="00E775D2"/>
    <w:rsid w:val="00E8010C"/>
    <w:rsid w:val="00E80AE9"/>
    <w:rsid w:val="00E85789"/>
    <w:rsid w:val="00E9005A"/>
    <w:rsid w:val="00E90688"/>
    <w:rsid w:val="00E91461"/>
    <w:rsid w:val="00E91B94"/>
    <w:rsid w:val="00E93356"/>
    <w:rsid w:val="00E9624D"/>
    <w:rsid w:val="00EA0EAA"/>
    <w:rsid w:val="00EA357D"/>
    <w:rsid w:val="00EA37AB"/>
    <w:rsid w:val="00EA4736"/>
    <w:rsid w:val="00EA5BEE"/>
    <w:rsid w:val="00EA5D3F"/>
    <w:rsid w:val="00EA60CE"/>
    <w:rsid w:val="00EA62B8"/>
    <w:rsid w:val="00EA6B0D"/>
    <w:rsid w:val="00EB0AE3"/>
    <w:rsid w:val="00EB0BD9"/>
    <w:rsid w:val="00EB27E5"/>
    <w:rsid w:val="00EB3246"/>
    <w:rsid w:val="00EB3D23"/>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29CF"/>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17B70"/>
    <w:rsid w:val="00F226E8"/>
    <w:rsid w:val="00F25574"/>
    <w:rsid w:val="00F2566F"/>
    <w:rsid w:val="00F30E51"/>
    <w:rsid w:val="00F31375"/>
    <w:rsid w:val="00F316E4"/>
    <w:rsid w:val="00F31980"/>
    <w:rsid w:val="00F31AD0"/>
    <w:rsid w:val="00F33527"/>
    <w:rsid w:val="00F3506F"/>
    <w:rsid w:val="00F35DF7"/>
    <w:rsid w:val="00F37077"/>
    <w:rsid w:val="00F37F36"/>
    <w:rsid w:val="00F41632"/>
    <w:rsid w:val="00F42267"/>
    <w:rsid w:val="00F44560"/>
    <w:rsid w:val="00F454C9"/>
    <w:rsid w:val="00F502E8"/>
    <w:rsid w:val="00F51AF2"/>
    <w:rsid w:val="00F5295B"/>
    <w:rsid w:val="00F55C7F"/>
    <w:rsid w:val="00F564F6"/>
    <w:rsid w:val="00F56AD8"/>
    <w:rsid w:val="00F57CCC"/>
    <w:rsid w:val="00F6137E"/>
    <w:rsid w:val="00F63771"/>
    <w:rsid w:val="00F63922"/>
    <w:rsid w:val="00F673BD"/>
    <w:rsid w:val="00F67509"/>
    <w:rsid w:val="00F675E2"/>
    <w:rsid w:val="00F67F0B"/>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18E"/>
    <w:rsid w:val="00F92229"/>
    <w:rsid w:val="00F942DD"/>
    <w:rsid w:val="00F94983"/>
    <w:rsid w:val="00F95111"/>
    <w:rsid w:val="00F95B52"/>
    <w:rsid w:val="00F97C8E"/>
    <w:rsid w:val="00F97E58"/>
    <w:rsid w:val="00FA0AAD"/>
    <w:rsid w:val="00FA1DC1"/>
    <w:rsid w:val="00FA791B"/>
    <w:rsid w:val="00FB0E70"/>
    <w:rsid w:val="00FB1EB6"/>
    <w:rsid w:val="00FB1F05"/>
    <w:rsid w:val="00FB3989"/>
    <w:rsid w:val="00FB5FF6"/>
    <w:rsid w:val="00FB67DD"/>
    <w:rsid w:val="00FB748E"/>
    <w:rsid w:val="00FC02C4"/>
    <w:rsid w:val="00FC066F"/>
    <w:rsid w:val="00FC33BC"/>
    <w:rsid w:val="00FC5B79"/>
    <w:rsid w:val="00FC7905"/>
    <w:rsid w:val="00FD0273"/>
    <w:rsid w:val="00FE5E89"/>
    <w:rsid w:val="00FE7260"/>
    <w:rsid w:val="00FF0866"/>
    <w:rsid w:val="00FF0CA9"/>
    <w:rsid w:val="00FF0D0D"/>
    <w:rsid w:val="00FF245B"/>
    <w:rsid w:val="00FF724C"/>
    <w:rsid w:val="00FF7BD2"/>
    <w:rsid w:val="0446241E"/>
    <w:rsid w:val="06AB31FB"/>
    <w:rsid w:val="086E0331"/>
    <w:rsid w:val="111A3D20"/>
    <w:rsid w:val="11504E7B"/>
    <w:rsid w:val="137A20FF"/>
    <w:rsid w:val="1618304E"/>
    <w:rsid w:val="240B2444"/>
    <w:rsid w:val="252B7970"/>
    <w:rsid w:val="281A2C55"/>
    <w:rsid w:val="32297A9B"/>
    <w:rsid w:val="32877139"/>
    <w:rsid w:val="345B3646"/>
    <w:rsid w:val="382168F2"/>
    <w:rsid w:val="3C854832"/>
    <w:rsid w:val="45CC7564"/>
    <w:rsid w:val="46B04891"/>
    <w:rsid w:val="49463453"/>
    <w:rsid w:val="49D2118A"/>
    <w:rsid w:val="4A963F66"/>
    <w:rsid w:val="4BDC6D24"/>
    <w:rsid w:val="4BFA5BC7"/>
    <w:rsid w:val="53FA1DF9"/>
    <w:rsid w:val="580179B6"/>
    <w:rsid w:val="58B17641"/>
    <w:rsid w:val="5DD047C5"/>
    <w:rsid w:val="5F9C4824"/>
    <w:rsid w:val="600A6C32"/>
    <w:rsid w:val="694B0523"/>
    <w:rsid w:val="6CAA4302"/>
    <w:rsid w:val="6D6A6C46"/>
    <w:rsid w:val="72C963D7"/>
    <w:rsid w:val="72E87C49"/>
    <w:rsid w:val="74B752B6"/>
    <w:rsid w:val="75673B65"/>
    <w:rsid w:val="76FE49DA"/>
    <w:rsid w:val="7AF96FCA"/>
    <w:rsid w:val="7D742382"/>
    <w:rsid w:val="7DFBB8BB"/>
    <w:rsid w:val="7E261385"/>
    <w:rsid w:val="7E3045EF"/>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qFormat="1" w:uiPriority="99" w:semiHidden="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qFormat="1" w:unhideWhenUsed="0" w:uiPriority="0" w:semiHidden="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8">
    <w:name w:val="heading 1"/>
    <w:basedOn w:val="1"/>
    <w:next w:val="1"/>
    <w:link w:val="54"/>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9">
    <w:name w:val="heading 2"/>
    <w:basedOn w:val="1"/>
    <w:next w:val="2"/>
    <w:link w:val="57"/>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10">
    <w:name w:val="heading 3"/>
    <w:basedOn w:val="1"/>
    <w:next w:val="2"/>
    <w:link w:val="58"/>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7">
    <w:name w:val="heading 4"/>
    <w:basedOn w:val="1"/>
    <w:next w:val="1"/>
    <w:link w:val="59"/>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11">
    <w:name w:val="heading 5"/>
    <w:basedOn w:val="1"/>
    <w:next w:val="2"/>
    <w:link w:val="60"/>
    <w:qFormat/>
    <w:uiPriority w:val="0"/>
    <w:pPr>
      <w:keepNext/>
      <w:widowControl/>
      <w:numPr>
        <w:ilvl w:val="0"/>
        <w:numId w:val="4"/>
      </w:numPr>
      <w:jc w:val="left"/>
      <w:outlineLvl w:val="4"/>
    </w:pPr>
    <w:rPr>
      <w:kern w:val="0"/>
      <w:sz w:val="24"/>
      <w:szCs w:val="20"/>
    </w:rPr>
  </w:style>
  <w:style w:type="paragraph" w:styleId="12">
    <w:name w:val="heading 6"/>
    <w:basedOn w:val="1"/>
    <w:next w:val="1"/>
    <w:link w:val="61"/>
    <w:qFormat/>
    <w:uiPriority w:val="0"/>
    <w:pPr>
      <w:widowControl/>
      <w:spacing w:before="60" w:after="60" w:line="440" w:lineRule="atLeast"/>
      <w:textAlignment w:val="baseline"/>
      <w:outlineLvl w:val="5"/>
    </w:pPr>
    <w:rPr>
      <w:rFonts w:ascii="宋体" w:hAnsi="Arial"/>
      <w:kern w:val="0"/>
      <w:sz w:val="24"/>
      <w:szCs w:val="20"/>
    </w:rPr>
  </w:style>
  <w:style w:type="paragraph" w:styleId="13">
    <w:name w:val="heading 7"/>
    <w:basedOn w:val="1"/>
    <w:next w:val="1"/>
    <w:link w:val="62"/>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4">
    <w:name w:val="heading 8"/>
    <w:basedOn w:val="1"/>
    <w:next w:val="1"/>
    <w:link w:val="63"/>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5">
    <w:name w:val="heading 9"/>
    <w:basedOn w:val="1"/>
    <w:next w:val="1"/>
    <w:link w:val="64"/>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3"/>
    <w:link w:val="55"/>
    <w:qFormat/>
    <w:uiPriority w:val="0"/>
    <w:pPr>
      <w:ind w:firstLine="420" w:firstLineChars="200"/>
    </w:pPr>
  </w:style>
  <w:style w:type="paragraph" w:styleId="3">
    <w:name w:val="Body Text Indent"/>
    <w:basedOn w:val="1"/>
    <w:next w:val="4"/>
    <w:link w:val="67"/>
    <w:qFormat/>
    <w:uiPriority w:val="0"/>
    <w:pPr>
      <w:spacing w:after="120"/>
      <w:ind w:left="420" w:leftChars="200"/>
    </w:pPr>
  </w:style>
  <w:style w:type="paragraph" w:styleId="4">
    <w:name w:val="Body Text First Indent 2"/>
    <w:basedOn w:val="3"/>
    <w:next w:val="5"/>
    <w:link w:val="205"/>
    <w:qFormat/>
    <w:uiPriority w:val="0"/>
    <w:pPr>
      <w:ind w:firstLine="420" w:firstLineChars="200"/>
    </w:pPr>
  </w:style>
  <w:style w:type="paragraph" w:styleId="5">
    <w:name w:val="Body Text First Indent"/>
    <w:basedOn w:val="6"/>
    <w:link w:val="204"/>
    <w:qFormat/>
    <w:uiPriority w:val="0"/>
    <w:pPr>
      <w:spacing w:after="120" w:line="240" w:lineRule="auto"/>
      <w:ind w:firstLine="420" w:firstLineChars="100"/>
    </w:pPr>
    <w:rPr>
      <w:rFonts w:eastAsia="宋体"/>
      <w:sz w:val="21"/>
    </w:rPr>
  </w:style>
  <w:style w:type="paragraph" w:styleId="6">
    <w:name w:val="Body Text"/>
    <w:basedOn w:val="1"/>
    <w:next w:val="7"/>
    <w:link w:val="86"/>
    <w:qFormat/>
    <w:uiPriority w:val="0"/>
    <w:pPr>
      <w:spacing w:line="360" w:lineRule="auto"/>
    </w:pPr>
    <w:rPr>
      <w:rFonts w:eastAsia="仿宋_GB2312"/>
      <w:sz w:val="28"/>
    </w:rPr>
  </w:style>
  <w:style w:type="paragraph" w:styleId="16">
    <w:name w:val="List Number 2"/>
    <w:basedOn w:val="1"/>
    <w:qFormat/>
    <w:uiPriority w:val="0"/>
    <w:pPr>
      <w:widowControl/>
      <w:tabs>
        <w:tab w:val="left" w:pos="1697"/>
      </w:tabs>
      <w:spacing w:afterLines="50"/>
      <w:ind w:left="1697" w:hanging="420"/>
      <w:jc w:val="left"/>
    </w:pPr>
    <w:rPr>
      <w:kern w:val="0"/>
      <w:sz w:val="24"/>
      <w:szCs w:val="20"/>
    </w:rPr>
  </w:style>
  <w:style w:type="paragraph" w:styleId="17">
    <w:name w:val="List Number"/>
    <w:basedOn w:val="1"/>
    <w:qFormat/>
    <w:uiPriority w:val="0"/>
    <w:pPr>
      <w:widowControl/>
      <w:tabs>
        <w:tab w:val="left" w:pos="454"/>
      </w:tabs>
      <w:spacing w:afterLines="50"/>
      <w:ind w:left="454" w:hanging="284"/>
      <w:jc w:val="left"/>
    </w:pPr>
    <w:rPr>
      <w:kern w:val="0"/>
      <w:sz w:val="24"/>
      <w:szCs w:val="20"/>
    </w:rPr>
  </w:style>
  <w:style w:type="paragraph" w:styleId="18">
    <w:name w:val="caption"/>
    <w:basedOn w:val="1"/>
    <w:next w:val="1"/>
    <w:link w:val="282"/>
    <w:qFormat/>
    <w:uiPriority w:val="0"/>
    <w:pPr>
      <w:spacing w:line="360" w:lineRule="auto"/>
      <w:jc w:val="center"/>
    </w:pPr>
    <w:rPr>
      <w:rFonts w:ascii="Calibri" w:hAnsi="Calibri"/>
      <w:sz w:val="20"/>
      <w:szCs w:val="20"/>
    </w:rPr>
  </w:style>
  <w:style w:type="paragraph" w:styleId="19">
    <w:name w:val="Document Map"/>
    <w:basedOn w:val="1"/>
    <w:link w:val="121"/>
    <w:semiHidden/>
    <w:qFormat/>
    <w:uiPriority w:val="0"/>
    <w:pPr>
      <w:shd w:val="clear" w:color="auto" w:fill="000080"/>
    </w:pPr>
  </w:style>
  <w:style w:type="paragraph" w:styleId="20">
    <w:name w:val="annotation text"/>
    <w:basedOn w:val="1"/>
    <w:link w:val="73"/>
    <w:qFormat/>
    <w:uiPriority w:val="0"/>
    <w:pPr>
      <w:jc w:val="left"/>
    </w:pPr>
  </w:style>
  <w:style w:type="paragraph" w:styleId="21">
    <w:name w:val="List Number 3"/>
    <w:basedOn w:val="1"/>
    <w:qFormat/>
    <w:uiPriority w:val="0"/>
    <w:pPr>
      <w:widowControl/>
      <w:tabs>
        <w:tab w:val="left" w:pos="482"/>
      </w:tabs>
      <w:spacing w:afterLines="50"/>
      <w:ind w:left="482" w:hanging="340"/>
      <w:jc w:val="left"/>
    </w:pPr>
    <w:rPr>
      <w:kern w:val="0"/>
      <w:sz w:val="24"/>
      <w:szCs w:val="20"/>
    </w:rPr>
  </w:style>
  <w:style w:type="paragraph" w:styleId="22">
    <w:name w:val="Block Text"/>
    <w:basedOn w:val="1"/>
    <w:qFormat/>
    <w:uiPriority w:val="0"/>
    <w:pPr>
      <w:spacing w:before="120" w:line="360" w:lineRule="auto"/>
      <w:ind w:left="824" w:right="202"/>
    </w:pPr>
    <w:rPr>
      <w:rFonts w:ascii="宋体" w:hAnsi="宋体"/>
      <w:sz w:val="24"/>
      <w:szCs w:val="21"/>
    </w:rPr>
  </w:style>
  <w:style w:type="paragraph" w:styleId="23">
    <w:name w:val="index 4"/>
    <w:basedOn w:val="1"/>
    <w:next w:val="1"/>
    <w:unhideWhenUsed/>
    <w:qFormat/>
    <w:uiPriority w:val="99"/>
    <w:pPr>
      <w:ind w:left="600" w:leftChars="600"/>
    </w:pPr>
    <w:rPr>
      <w:szCs w:val="22"/>
    </w:rPr>
  </w:style>
  <w:style w:type="paragraph" w:styleId="24">
    <w:name w:val="toc 3"/>
    <w:basedOn w:val="1"/>
    <w:next w:val="1"/>
    <w:unhideWhenUsed/>
    <w:qFormat/>
    <w:uiPriority w:val="0"/>
    <w:pPr>
      <w:ind w:left="840" w:leftChars="400"/>
    </w:pPr>
    <w:rPr>
      <w:rFonts w:ascii="Calibri" w:hAnsi="Calibri"/>
      <w:szCs w:val="22"/>
    </w:rPr>
  </w:style>
  <w:style w:type="paragraph" w:styleId="25">
    <w:name w:val="Plain Text"/>
    <w:basedOn w:val="1"/>
    <w:next w:val="1"/>
    <w:link w:val="65"/>
    <w:qFormat/>
    <w:uiPriority w:val="0"/>
    <w:rPr>
      <w:rFonts w:ascii="宋体" w:hAnsi="Courier New"/>
      <w:szCs w:val="20"/>
    </w:rPr>
  </w:style>
  <w:style w:type="paragraph" w:styleId="26">
    <w:name w:val="Date"/>
    <w:basedOn w:val="1"/>
    <w:next w:val="1"/>
    <w:link w:val="68"/>
    <w:qFormat/>
    <w:uiPriority w:val="0"/>
    <w:rPr>
      <w:rFonts w:ascii="楷体_GB2312" w:eastAsia="楷体_GB2312"/>
      <w:b/>
      <w:sz w:val="28"/>
      <w:szCs w:val="20"/>
    </w:rPr>
  </w:style>
  <w:style w:type="paragraph" w:styleId="27">
    <w:name w:val="Body Text Indent 2"/>
    <w:basedOn w:val="1"/>
    <w:link w:val="82"/>
    <w:qFormat/>
    <w:uiPriority w:val="0"/>
    <w:pPr>
      <w:spacing w:after="120" w:line="480" w:lineRule="auto"/>
      <w:ind w:left="420" w:leftChars="200"/>
    </w:pPr>
  </w:style>
  <w:style w:type="paragraph" w:styleId="28">
    <w:name w:val="Balloon Text"/>
    <w:basedOn w:val="1"/>
    <w:link w:val="200"/>
    <w:qFormat/>
    <w:uiPriority w:val="0"/>
    <w:rPr>
      <w:sz w:val="18"/>
      <w:szCs w:val="18"/>
    </w:rPr>
  </w:style>
  <w:style w:type="paragraph" w:styleId="29">
    <w:name w:val="footer"/>
    <w:basedOn w:val="1"/>
    <w:link w:val="70"/>
    <w:qFormat/>
    <w:uiPriority w:val="0"/>
    <w:pPr>
      <w:tabs>
        <w:tab w:val="center" w:pos="4153"/>
        <w:tab w:val="right" w:pos="8306"/>
      </w:tabs>
      <w:snapToGrid w:val="0"/>
      <w:jc w:val="left"/>
    </w:pPr>
    <w:rPr>
      <w:sz w:val="18"/>
      <w:szCs w:val="18"/>
    </w:rPr>
  </w:style>
  <w:style w:type="paragraph" w:styleId="30">
    <w:name w:val="header"/>
    <w:basedOn w:val="1"/>
    <w:link w:val="69"/>
    <w:qFormat/>
    <w:uiPriority w:val="0"/>
    <w:pPr>
      <w:pBdr>
        <w:bottom w:val="single" w:color="auto" w:sz="6" w:space="1"/>
      </w:pBdr>
      <w:tabs>
        <w:tab w:val="center" w:pos="4153"/>
        <w:tab w:val="right" w:pos="8306"/>
      </w:tabs>
      <w:snapToGrid w:val="0"/>
      <w:jc w:val="center"/>
    </w:pPr>
    <w:rPr>
      <w:sz w:val="18"/>
      <w:szCs w:val="18"/>
    </w:rPr>
  </w:style>
  <w:style w:type="paragraph" w:styleId="31">
    <w:name w:val="toc 1"/>
    <w:basedOn w:val="1"/>
    <w:next w:val="1"/>
    <w:semiHidden/>
    <w:qFormat/>
    <w:uiPriority w:val="0"/>
  </w:style>
  <w:style w:type="paragraph" w:styleId="32">
    <w:name w:val="toc 4"/>
    <w:basedOn w:val="1"/>
    <w:next w:val="1"/>
    <w:semiHidden/>
    <w:qFormat/>
    <w:uiPriority w:val="0"/>
    <w:pPr>
      <w:tabs>
        <w:tab w:val="right" w:leader="dot" w:pos="8314"/>
      </w:tabs>
      <w:ind w:firstLine="588" w:firstLineChars="245"/>
    </w:pPr>
  </w:style>
  <w:style w:type="paragraph" w:styleId="33">
    <w:name w:val="toc 6"/>
    <w:basedOn w:val="1"/>
    <w:next w:val="1"/>
    <w:qFormat/>
    <w:uiPriority w:val="0"/>
    <w:pPr>
      <w:ind w:left="2100" w:leftChars="1000"/>
    </w:pPr>
  </w:style>
  <w:style w:type="paragraph" w:styleId="34">
    <w:name w:val="Body Text Indent 3"/>
    <w:basedOn w:val="1"/>
    <w:link w:val="201"/>
    <w:qFormat/>
    <w:uiPriority w:val="0"/>
    <w:pPr>
      <w:spacing w:after="120"/>
      <w:ind w:left="420" w:leftChars="200"/>
    </w:pPr>
    <w:rPr>
      <w:sz w:val="16"/>
      <w:szCs w:val="16"/>
    </w:rPr>
  </w:style>
  <w:style w:type="paragraph" w:styleId="35">
    <w:name w:val="toc 2"/>
    <w:basedOn w:val="1"/>
    <w:next w:val="1"/>
    <w:semiHidden/>
    <w:qFormat/>
    <w:uiPriority w:val="0"/>
    <w:pPr>
      <w:ind w:left="420" w:leftChars="200"/>
    </w:pPr>
  </w:style>
  <w:style w:type="paragraph" w:styleId="36">
    <w:name w:val="Body Text 2"/>
    <w:basedOn w:val="1"/>
    <w:link w:val="74"/>
    <w:qFormat/>
    <w:uiPriority w:val="0"/>
    <w:pPr>
      <w:widowControl/>
      <w:spacing w:afterLines="50" w:line="216" w:lineRule="auto"/>
      <w:jc w:val="center"/>
    </w:pPr>
    <w:rPr>
      <w:rFonts w:ascii="隶书" w:eastAsia="隶书"/>
      <w:bCs/>
      <w:kern w:val="0"/>
      <w:sz w:val="72"/>
      <w:szCs w:val="84"/>
    </w:rPr>
  </w:style>
  <w:style w:type="paragraph" w:styleId="37">
    <w:name w:val="List Continue 2"/>
    <w:basedOn w:val="1"/>
    <w:qFormat/>
    <w:uiPriority w:val="0"/>
    <w:pPr>
      <w:spacing w:after="120"/>
      <w:ind w:left="840" w:leftChars="400"/>
    </w:pPr>
  </w:style>
  <w:style w:type="paragraph" w:styleId="38">
    <w:name w:val="HTML Preformatted"/>
    <w:basedOn w:val="1"/>
    <w:link w:val="20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9">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40">
    <w:name w:val="index 1"/>
    <w:basedOn w:val="1"/>
    <w:next w:val="1"/>
    <w:semiHidden/>
    <w:qFormat/>
    <w:uiPriority w:val="0"/>
    <w:pPr>
      <w:spacing w:line="320" w:lineRule="exact"/>
    </w:pPr>
    <w:rPr>
      <w:b/>
      <w:snapToGrid w:val="0"/>
      <w:color w:val="FF6600"/>
      <w:kern w:val="0"/>
      <w:sz w:val="18"/>
      <w:szCs w:val="21"/>
    </w:rPr>
  </w:style>
  <w:style w:type="paragraph" w:styleId="41">
    <w:name w:val="Title"/>
    <w:basedOn w:val="1"/>
    <w:next w:val="1"/>
    <w:link w:val="176"/>
    <w:qFormat/>
    <w:uiPriority w:val="0"/>
    <w:pPr>
      <w:adjustRightInd w:val="0"/>
      <w:spacing w:before="240" w:after="60"/>
      <w:jc w:val="center"/>
      <w:outlineLvl w:val="0"/>
    </w:pPr>
    <w:rPr>
      <w:rFonts w:ascii="Calibri Light" w:hAnsi="Calibri Light"/>
      <w:b/>
      <w:bCs/>
      <w:sz w:val="32"/>
      <w:szCs w:val="32"/>
    </w:rPr>
  </w:style>
  <w:style w:type="paragraph" w:styleId="42">
    <w:name w:val="annotation subject"/>
    <w:basedOn w:val="20"/>
    <w:next w:val="20"/>
    <w:link w:val="203"/>
    <w:qFormat/>
    <w:uiPriority w:val="0"/>
    <w:pPr>
      <w:widowControl/>
      <w:spacing w:afterLines="50"/>
    </w:pPr>
    <w:rPr>
      <w:b/>
      <w:bCs/>
      <w:kern w:val="0"/>
      <w:sz w:val="24"/>
      <w:szCs w:val="20"/>
    </w:rPr>
  </w:style>
  <w:style w:type="table" w:styleId="44">
    <w:name w:val="Table Grid"/>
    <w:basedOn w:val="4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6">
    <w:name w:val="Strong"/>
    <w:qFormat/>
    <w:uiPriority w:val="0"/>
    <w:rPr>
      <w:b/>
      <w:bCs/>
    </w:rPr>
  </w:style>
  <w:style w:type="character" w:styleId="47">
    <w:name w:val="page number"/>
    <w:basedOn w:val="45"/>
    <w:qFormat/>
    <w:uiPriority w:val="0"/>
  </w:style>
  <w:style w:type="character" w:styleId="48">
    <w:name w:val="FollowedHyperlink"/>
    <w:qFormat/>
    <w:uiPriority w:val="99"/>
    <w:rPr>
      <w:color w:val="800080"/>
      <w:u w:val="single"/>
    </w:rPr>
  </w:style>
  <w:style w:type="character" w:styleId="49">
    <w:name w:val="Emphasis"/>
    <w:qFormat/>
    <w:uiPriority w:val="0"/>
    <w:rPr>
      <w:color w:val="CC0000"/>
    </w:rPr>
  </w:style>
  <w:style w:type="character" w:styleId="50">
    <w:name w:val="Hyperlink"/>
    <w:qFormat/>
    <w:uiPriority w:val="99"/>
    <w:rPr>
      <w:color w:val="0000FF"/>
      <w:u w:val="single"/>
    </w:rPr>
  </w:style>
  <w:style w:type="character" w:styleId="51">
    <w:name w:val="annotation reference"/>
    <w:qFormat/>
    <w:uiPriority w:val="0"/>
    <w:rPr>
      <w:sz w:val="21"/>
      <w:szCs w:val="21"/>
    </w:rPr>
  </w:style>
  <w:style w:type="paragraph" w:customStyle="1" w:styleId="52">
    <w:name w:val="首行缩进"/>
    <w:basedOn w:val="1"/>
    <w:next w:val="1"/>
    <w:qFormat/>
    <w:uiPriority w:val="0"/>
    <w:pPr>
      <w:adjustRightInd w:val="0"/>
      <w:spacing w:line="360" w:lineRule="auto"/>
      <w:ind w:firstLine="480" w:firstLineChars="200"/>
    </w:pPr>
    <w:rPr>
      <w:sz w:val="24"/>
      <w:szCs w:val="20"/>
      <w:lang w:val="zh-CN"/>
    </w:rPr>
  </w:style>
  <w:style w:type="paragraph" w:customStyle="1" w:styleId="53">
    <w:name w:val="xl53"/>
    <w:basedOn w:val="1"/>
    <w:next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line="100" w:lineRule="exact"/>
      <w:jc w:val="center"/>
    </w:pPr>
    <w:rPr>
      <w:rFonts w:ascii="宋体" w:hAnsi="宋体"/>
      <w:b/>
      <w:bCs/>
      <w:kern w:val="0"/>
      <w:sz w:val="20"/>
      <w:szCs w:val="20"/>
    </w:rPr>
  </w:style>
  <w:style w:type="character" w:customStyle="1" w:styleId="54">
    <w:name w:val="标题 1 Char"/>
    <w:link w:val="8"/>
    <w:qFormat/>
    <w:uiPriority w:val="0"/>
    <w:rPr>
      <w:rFonts w:eastAsia="仿宋_GB2312"/>
      <w:b/>
      <w:kern w:val="44"/>
      <w:sz w:val="44"/>
      <w:lang w:val="en-US" w:eastAsia="zh-CN" w:bidi="ar-SA"/>
    </w:rPr>
  </w:style>
  <w:style w:type="character" w:customStyle="1" w:styleId="55">
    <w:name w:val="正文缩进 Char"/>
    <w:link w:val="2"/>
    <w:qFormat/>
    <w:uiPriority w:val="0"/>
    <w:rPr>
      <w:rFonts w:eastAsia="宋体"/>
      <w:kern w:val="2"/>
      <w:sz w:val="21"/>
      <w:szCs w:val="24"/>
      <w:lang w:val="en-US" w:eastAsia="zh-CN" w:bidi="ar-SA"/>
    </w:rPr>
  </w:style>
  <w:style w:type="paragraph" w:customStyle="1" w:styleId="56">
    <w:name w:val="_Style 15"/>
    <w:basedOn w:val="1"/>
    <w:qFormat/>
    <w:uiPriority w:val="0"/>
    <w:rPr>
      <w:rFonts w:ascii="Tahoma" w:hAnsi="Tahoma"/>
      <w:sz w:val="24"/>
      <w:szCs w:val="20"/>
    </w:rPr>
  </w:style>
  <w:style w:type="character" w:customStyle="1" w:styleId="57">
    <w:name w:val="标题 2 Char"/>
    <w:link w:val="9"/>
    <w:qFormat/>
    <w:uiPriority w:val="0"/>
    <w:rPr>
      <w:rFonts w:ascii="Arial" w:hAnsi="Arial" w:eastAsia="黑体"/>
      <w:b/>
      <w:kern w:val="2"/>
      <w:sz w:val="32"/>
      <w:lang w:val="en-US" w:eastAsia="zh-CN" w:bidi="ar-SA"/>
    </w:rPr>
  </w:style>
  <w:style w:type="character" w:customStyle="1" w:styleId="58">
    <w:name w:val="标题 3 Char"/>
    <w:link w:val="10"/>
    <w:qFormat/>
    <w:uiPriority w:val="0"/>
    <w:rPr>
      <w:rFonts w:eastAsia="仿宋_GB2312"/>
      <w:b/>
      <w:kern w:val="2"/>
      <w:sz w:val="32"/>
      <w:lang w:val="en-US" w:eastAsia="zh-CN" w:bidi="ar-SA"/>
    </w:rPr>
  </w:style>
  <w:style w:type="character" w:customStyle="1" w:styleId="59">
    <w:name w:val="标题 4 Char1"/>
    <w:link w:val="7"/>
    <w:qFormat/>
    <w:uiPriority w:val="0"/>
    <w:rPr>
      <w:rFonts w:ascii="Arial" w:hAnsi="Arial" w:eastAsia="黑体"/>
      <w:b/>
      <w:kern w:val="2"/>
      <w:sz w:val="28"/>
      <w:lang w:val="en-US" w:eastAsia="zh-CN" w:bidi="ar-SA"/>
    </w:rPr>
  </w:style>
  <w:style w:type="character" w:customStyle="1" w:styleId="60">
    <w:name w:val="标题 5 Char1"/>
    <w:link w:val="11"/>
    <w:qFormat/>
    <w:uiPriority w:val="0"/>
    <w:rPr>
      <w:sz w:val="24"/>
    </w:rPr>
  </w:style>
  <w:style w:type="character" w:customStyle="1" w:styleId="61">
    <w:name w:val="标题 6 Char1"/>
    <w:link w:val="12"/>
    <w:qFormat/>
    <w:uiPriority w:val="0"/>
    <w:rPr>
      <w:rFonts w:ascii="宋体" w:hAnsi="Arial" w:eastAsia="宋体"/>
      <w:sz w:val="24"/>
      <w:lang w:val="en-US" w:eastAsia="zh-CN" w:bidi="ar-SA"/>
    </w:rPr>
  </w:style>
  <w:style w:type="character" w:customStyle="1" w:styleId="62">
    <w:name w:val="标题 7 Char1"/>
    <w:link w:val="13"/>
    <w:qFormat/>
    <w:uiPriority w:val="0"/>
    <w:rPr>
      <w:rFonts w:ascii="宋体" w:hAnsi="Arial" w:eastAsia="宋体"/>
      <w:b/>
      <w:sz w:val="24"/>
      <w:lang w:val="en-US" w:eastAsia="zh-CN" w:bidi="ar-SA"/>
    </w:rPr>
  </w:style>
  <w:style w:type="character" w:customStyle="1" w:styleId="63">
    <w:name w:val="标题 8 Char1"/>
    <w:link w:val="14"/>
    <w:qFormat/>
    <w:uiPriority w:val="0"/>
    <w:rPr>
      <w:rFonts w:ascii="Arial" w:hAnsi="Arial" w:eastAsia="黑体"/>
      <w:sz w:val="24"/>
      <w:lang w:val="en-US" w:eastAsia="zh-CN" w:bidi="ar-SA"/>
    </w:rPr>
  </w:style>
  <w:style w:type="character" w:customStyle="1" w:styleId="64">
    <w:name w:val="标题 9 Char1"/>
    <w:link w:val="15"/>
    <w:qFormat/>
    <w:uiPriority w:val="0"/>
    <w:rPr>
      <w:rFonts w:ascii="Arial" w:hAnsi="Arial" w:eastAsia="黑体"/>
      <w:sz w:val="24"/>
      <w:lang w:val="en-US" w:eastAsia="zh-CN" w:bidi="ar-SA"/>
    </w:rPr>
  </w:style>
  <w:style w:type="character" w:customStyle="1" w:styleId="65">
    <w:name w:val="纯文本 Char"/>
    <w:link w:val="25"/>
    <w:qFormat/>
    <w:uiPriority w:val="0"/>
    <w:rPr>
      <w:rFonts w:ascii="宋体" w:hAnsi="Courier New" w:eastAsia="宋体"/>
      <w:kern w:val="2"/>
      <w:sz w:val="21"/>
      <w:lang w:val="en-US" w:eastAsia="zh-CN" w:bidi="ar-SA"/>
    </w:rPr>
  </w:style>
  <w:style w:type="paragraph" w:customStyle="1" w:styleId="66">
    <w:name w:val="表正文"/>
    <w:basedOn w:val="1"/>
    <w:next w:val="25"/>
    <w:qFormat/>
    <w:uiPriority w:val="0"/>
    <w:rPr>
      <w:rFonts w:ascii="宋体" w:hAnsi="Courier New"/>
      <w:szCs w:val="20"/>
    </w:rPr>
  </w:style>
  <w:style w:type="character" w:customStyle="1" w:styleId="67">
    <w:name w:val="正文文本缩进 Char"/>
    <w:link w:val="3"/>
    <w:qFormat/>
    <w:uiPriority w:val="0"/>
    <w:rPr>
      <w:rFonts w:eastAsia="宋体"/>
      <w:kern w:val="2"/>
      <w:sz w:val="21"/>
      <w:szCs w:val="24"/>
      <w:lang w:val="en-US" w:eastAsia="zh-CN" w:bidi="ar-SA"/>
    </w:rPr>
  </w:style>
  <w:style w:type="character" w:customStyle="1" w:styleId="68">
    <w:name w:val="日期 Char2"/>
    <w:link w:val="26"/>
    <w:qFormat/>
    <w:uiPriority w:val="0"/>
    <w:rPr>
      <w:rFonts w:ascii="楷体_GB2312" w:eastAsia="楷体_GB2312"/>
      <w:b/>
      <w:kern w:val="2"/>
      <w:sz w:val="28"/>
      <w:lang w:val="en-US" w:eastAsia="zh-CN" w:bidi="ar-SA"/>
    </w:rPr>
  </w:style>
  <w:style w:type="character" w:customStyle="1" w:styleId="69">
    <w:name w:val="页眉 Char1"/>
    <w:link w:val="30"/>
    <w:qFormat/>
    <w:uiPriority w:val="0"/>
    <w:rPr>
      <w:rFonts w:eastAsia="宋体"/>
      <w:kern w:val="2"/>
      <w:sz w:val="18"/>
      <w:szCs w:val="18"/>
      <w:lang w:val="en-US" w:eastAsia="zh-CN" w:bidi="ar-SA"/>
    </w:rPr>
  </w:style>
  <w:style w:type="character" w:customStyle="1" w:styleId="70">
    <w:name w:val="页脚 Char"/>
    <w:link w:val="29"/>
    <w:qFormat/>
    <w:locked/>
    <w:uiPriority w:val="0"/>
    <w:rPr>
      <w:rFonts w:eastAsia="宋体"/>
      <w:kern w:val="2"/>
      <w:sz w:val="18"/>
      <w:szCs w:val="18"/>
      <w:lang w:val="en-US" w:eastAsia="zh-CN" w:bidi="ar-SA"/>
    </w:rPr>
  </w:style>
  <w:style w:type="paragraph" w:customStyle="1" w:styleId="71">
    <w:name w:val="正文段"/>
    <w:basedOn w:val="1"/>
    <w:link w:val="72"/>
    <w:qFormat/>
    <w:uiPriority w:val="0"/>
    <w:pPr>
      <w:widowControl/>
      <w:snapToGrid w:val="0"/>
      <w:spacing w:afterLines="50"/>
      <w:ind w:firstLine="200" w:firstLineChars="200"/>
    </w:pPr>
    <w:rPr>
      <w:kern w:val="0"/>
      <w:sz w:val="24"/>
      <w:szCs w:val="20"/>
    </w:rPr>
  </w:style>
  <w:style w:type="character" w:customStyle="1" w:styleId="72">
    <w:name w:val="正文段 Char"/>
    <w:link w:val="71"/>
    <w:qFormat/>
    <w:uiPriority w:val="0"/>
    <w:rPr>
      <w:rFonts w:eastAsia="宋体"/>
      <w:sz w:val="24"/>
      <w:lang w:val="en-US" w:eastAsia="zh-CN" w:bidi="ar-SA"/>
    </w:rPr>
  </w:style>
  <w:style w:type="character" w:customStyle="1" w:styleId="73">
    <w:name w:val="批注文字 Char1"/>
    <w:link w:val="20"/>
    <w:qFormat/>
    <w:uiPriority w:val="0"/>
    <w:rPr>
      <w:rFonts w:eastAsia="宋体"/>
      <w:kern w:val="2"/>
      <w:sz w:val="21"/>
      <w:szCs w:val="24"/>
      <w:lang w:val="en-US" w:eastAsia="zh-CN" w:bidi="ar-SA"/>
    </w:rPr>
  </w:style>
  <w:style w:type="character" w:customStyle="1" w:styleId="74">
    <w:name w:val="正文文本 2 Char1"/>
    <w:link w:val="36"/>
    <w:qFormat/>
    <w:uiPriority w:val="0"/>
    <w:rPr>
      <w:rFonts w:ascii="隶书" w:eastAsia="隶书"/>
      <w:bCs/>
      <w:sz w:val="72"/>
      <w:szCs w:val="84"/>
      <w:lang w:val="en-US" w:eastAsia="zh-CN" w:bidi="ar-SA"/>
    </w:rPr>
  </w:style>
  <w:style w:type="paragraph" w:customStyle="1" w:styleId="75">
    <w:name w:val="Char"/>
    <w:basedOn w:val="1"/>
    <w:qFormat/>
    <w:uiPriority w:val="0"/>
    <w:rPr>
      <w:rFonts w:ascii="仿宋_GB2312" w:eastAsia="仿宋_GB2312"/>
      <w:b/>
      <w:sz w:val="32"/>
      <w:szCs w:val="32"/>
    </w:rPr>
  </w:style>
  <w:style w:type="paragraph" w:customStyle="1" w:styleId="76">
    <w:name w:val="Table Text"/>
    <w:link w:val="77"/>
    <w:qFormat/>
    <w:uiPriority w:val="0"/>
    <w:pPr>
      <w:snapToGrid w:val="0"/>
      <w:spacing w:before="80" w:after="80"/>
    </w:pPr>
    <w:rPr>
      <w:rFonts w:ascii="Arial" w:hAnsi="Arial" w:eastAsia="宋体" w:cs="Times New Roman"/>
      <w:sz w:val="18"/>
      <w:lang w:val="en-US" w:eastAsia="zh-CN" w:bidi="ar-SA"/>
    </w:rPr>
  </w:style>
  <w:style w:type="character" w:customStyle="1" w:styleId="77">
    <w:name w:val="Table Text Char1"/>
    <w:link w:val="76"/>
    <w:qFormat/>
    <w:uiPriority w:val="0"/>
    <w:rPr>
      <w:rFonts w:ascii="Arial" w:hAnsi="Arial"/>
      <w:sz w:val="18"/>
      <w:lang w:val="en-US" w:eastAsia="zh-CN" w:bidi="ar-SA"/>
    </w:rPr>
  </w:style>
  <w:style w:type="character" w:customStyle="1" w:styleId="78">
    <w:name w:val="正文（缩进2汉字） Char"/>
    <w:link w:val="79"/>
    <w:qFormat/>
    <w:uiPriority w:val="0"/>
    <w:rPr>
      <w:rFonts w:ascii="宋体"/>
      <w:kern w:val="2"/>
      <w:sz w:val="21"/>
      <w:lang w:bidi="ar-SA"/>
    </w:rPr>
  </w:style>
  <w:style w:type="paragraph" w:customStyle="1" w:styleId="79">
    <w:name w:val="正文（缩进2汉字）"/>
    <w:basedOn w:val="1"/>
    <w:link w:val="78"/>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80">
    <w:name w:val="Char111"/>
    <w:basedOn w:val="1"/>
    <w:qFormat/>
    <w:uiPriority w:val="0"/>
    <w:pPr>
      <w:tabs>
        <w:tab w:val="left" w:pos="432"/>
      </w:tabs>
      <w:spacing w:beforeLines="50" w:afterLines="50"/>
      <w:ind w:left="432" w:hanging="432"/>
      <w:jc w:val="center"/>
    </w:pPr>
    <w:rPr>
      <w:sz w:val="24"/>
    </w:rPr>
  </w:style>
  <w:style w:type="paragraph" w:customStyle="1" w:styleId="81">
    <w:name w:val="模板普通正文"/>
    <w:basedOn w:val="3"/>
    <w:qFormat/>
    <w:uiPriority w:val="0"/>
    <w:pPr>
      <w:spacing w:beforeLines="50" w:after="10" w:line="360" w:lineRule="auto"/>
      <w:ind w:left="0" w:leftChars="0" w:firstLine="175" w:firstLineChars="175"/>
      <w:jc w:val="left"/>
    </w:pPr>
    <w:rPr>
      <w:sz w:val="24"/>
    </w:rPr>
  </w:style>
  <w:style w:type="character" w:customStyle="1" w:styleId="82">
    <w:name w:val="正文文本缩进 2 Char1"/>
    <w:link w:val="27"/>
    <w:qFormat/>
    <w:locked/>
    <w:uiPriority w:val="0"/>
    <w:rPr>
      <w:rFonts w:eastAsia="宋体"/>
      <w:kern w:val="2"/>
      <w:sz w:val="21"/>
      <w:szCs w:val="24"/>
      <w:lang w:val="en-US" w:eastAsia="zh-CN" w:bidi="ar-SA"/>
    </w:rPr>
  </w:style>
  <w:style w:type="paragraph" w:customStyle="1" w:styleId="83">
    <w:name w:val="缺省文本"/>
    <w:basedOn w:val="1"/>
    <w:qFormat/>
    <w:uiPriority w:val="0"/>
    <w:pPr>
      <w:autoSpaceDE w:val="0"/>
      <w:autoSpaceDN w:val="0"/>
      <w:adjustRightInd w:val="0"/>
      <w:jc w:val="left"/>
    </w:pPr>
    <w:rPr>
      <w:kern w:val="0"/>
      <w:sz w:val="24"/>
    </w:rPr>
  </w:style>
  <w:style w:type="paragraph" w:customStyle="1" w:styleId="84">
    <w:name w:val="WW-正文文字缩进 2"/>
    <w:basedOn w:val="1"/>
    <w:qFormat/>
    <w:uiPriority w:val="0"/>
    <w:pPr>
      <w:suppressAutoHyphens/>
      <w:ind w:firstLine="420"/>
    </w:pPr>
    <w:rPr>
      <w:kern w:val="1"/>
      <w:szCs w:val="20"/>
    </w:rPr>
  </w:style>
  <w:style w:type="paragraph" w:customStyle="1" w:styleId="85">
    <w:name w:val="默认段落字体 Para Char Char Char Char Char Char Char Char Char1 Char Char Char Char"/>
    <w:basedOn w:val="1"/>
    <w:qFormat/>
    <w:uiPriority w:val="0"/>
    <w:rPr>
      <w:rFonts w:ascii="Tahoma" w:hAnsi="Tahoma"/>
      <w:sz w:val="24"/>
      <w:szCs w:val="20"/>
    </w:rPr>
  </w:style>
  <w:style w:type="character" w:customStyle="1" w:styleId="86">
    <w:name w:val="正文文本 Char1"/>
    <w:link w:val="6"/>
    <w:qFormat/>
    <w:locked/>
    <w:uiPriority w:val="0"/>
    <w:rPr>
      <w:rFonts w:eastAsia="仿宋_GB2312"/>
      <w:kern w:val="2"/>
      <w:sz w:val="28"/>
      <w:szCs w:val="24"/>
      <w:lang w:val="en-US" w:eastAsia="zh-CN" w:bidi="ar-SA"/>
    </w:rPr>
  </w:style>
  <w:style w:type="paragraph" w:customStyle="1" w:styleId="87">
    <w:name w:val="项目排列"/>
    <w:basedOn w:val="1"/>
    <w:link w:val="88"/>
    <w:qFormat/>
    <w:uiPriority w:val="0"/>
    <w:pPr>
      <w:tabs>
        <w:tab w:val="left" w:pos="900"/>
      </w:tabs>
      <w:spacing w:beforeLines="50" w:afterLines="50" w:line="300" w:lineRule="auto"/>
      <w:ind w:left="900" w:hanging="420"/>
    </w:pPr>
    <w:rPr>
      <w:sz w:val="24"/>
    </w:rPr>
  </w:style>
  <w:style w:type="character" w:customStyle="1" w:styleId="88">
    <w:name w:val="项目排列 Char"/>
    <w:link w:val="87"/>
    <w:qFormat/>
    <w:uiPriority w:val="0"/>
    <w:rPr>
      <w:kern w:val="2"/>
      <w:sz w:val="24"/>
      <w:szCs w:val="24"/>
    </w:rPr>
  </w:style>
  <w:style w:type="character" w:customStyle="1" w:styleId="89">
    <w:name w:val="style21"/>
    <w:qFormat/>
    <w:uiPriority w:val="0"/>
    <w:rPr>
      <w:sz w:val="15"/>
      <w:szCs w:val="15"/>
    </w:rPr>
  </w:style>
  <w:style w:type="paragraph" w:customStyle="1" w:styleId="90">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91">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92">
    <w:name w:val="Char1"/>
    <w:basedOn w:val="1"/>
    <w:qFormat/>
    <w:uiPriority w:val="0"/>
    <w:rPr>
      <w:szCs w:val="20"/>
    </w:rPr>
  </w:style>
  <w:style w:type="paragraph" w:customStyle="1" w:styleId="93">
    <w:name w:val="列出段落1"/>
    <w:basedOn w:val="1"/>
    <w:qFormat/>
    <w:uiPriority w:val="0"/>
    <w:pPr>
      <w:ind w:firstLine="420" w:firstLineChars="200"/>
    </w:pPr>
    <w:rPr>
      <w:rFonts w:ascii="Calibri" w:hAnsi="Calibri"/>
      <w:szCs w:val="22"/>
    </w:rPr>
  </w:style>
  <w:style w:type="paragraph" w:customStyle="1" w:styleId="94">
    <w:name w:val="默认段落字体 Para Char Char Char Char"/>
    <w:basedOn w:val="1"/>
    <w:qFormat/>
    <w:uiPriority w:val="0"/>
  </w:style>
  <w:style w:type="paragraph" w:customStyle="1" w:styleId="95">
    <w:name w:val="Char Char Char1 Char Char Char1 Char Char Char Char"/>
    <w:basedOn w:val="1"/>
    <w:qFormat/>
    <w:uiPriority w:val="0"/>
  </w:style>
  <w:style w:type="character" w:customStyle="1" w:styleId="96">
    <w:name w:val="font1"/>
    <w:qFormat/>
    <w:uiPriority w:val="0"/>
    <w:rPr>
      <w:color w:val="999999"/>
      <w:sz w:val="18"/>
      <w:szCs w:val="18"/>
      <w:u w:val="none"/>
    </w:rPr>
  </w:style>
  <w:style w:type="paragraph" w:customStyle="1" w:styleId="97">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8">
    <w:name w:val="Char Char Char Char Char Char Char Char Char Char"/>
    <w:basedOn w:val="1"/>
    <w:qFormat/>
    <w:uiPriority w:val="0"/>
    <w:rPr>
      <w:rFonts w:ascii="Tahoma" w:hAnsi="Tahoma"/>
      <w:sz w:val="24"/>
      <w:szCs w:val="20"/>
    </w:rPr>
  </w:style>
  <w:style w:type="character" w:customStyle="1" w:styleId="99">
    <w:name w:val="apple-style-span"/>
    <w:basedOn w:val="45"/>
    <w:qFormat/>
    <w:uiPriority w:val="0"/>
  </w:style>
  <w:style w:type="paragraph" w:customStyle="1" w:styleId="100">
    <w:name w:val="正文无缩进"/>
    <w:basedOn w:val="1"/>
    <w:link w:val="101"/>
    <w:qFormat/>
    <w:uiPriority w:val="0"/>
    <w:pPr>
      <w:spacing w:line="360" w:lineRule="auto"/>
    </w:pPr>
    <w:rPr>
      <w:rFonts w:ascii="宋体"/>
      <w:color w:val="000000"/>
      <w:sz w:val="24"/>
    </w:rPr>
  </w:style>
  <w:style w:type="character" w:customStyle="1" w:styleId="101">
    <w:name w:val="正文无缩进 Char"/>
    <w:link w:val="100"/>
    <w:qFormat/>
    <w:uiPriority w:val="0"/>
    <w:rPr>
      <w:rFonts w:ascii="宋体" w:eastAsia="宋体"/>
      <w:color w:val="000000"/>
      <w:kern w:val="2"/>
      <w:sz w:val="24"/>
      <w:szCs w:val="24"/>
      <w:lang w:val="en-US" w:eastAsia="zh-CN" w:bidi="ar-SA"/>
    </w:rPr>
  </w:style>
  <w:style w:type="paragraph" w:customStyle="1" w:styleId="102">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3">
    <w:name w:val="ca-3"/>
    <w:basedOn w:val="45"/>
    <w:qFormat/>
    <w:uiPriority w:val="0"/>
  </w:style>
  <w:style w:type="paragraph" w:customStyle="1" w:styleId="104">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5">
    <w:name w:val="表格 Char Char"/>
    <w:link w:val="106"/>
    <w:qFormat/>
    <w:locked/>
    <w:uiPriority w:val="0"/>
    <w:rPr>
      <w:rFonts w:ascii="宋体" w:hAnsi="宋体" w:eastAsia="宋体"/>
      <w:lang w:val="en-US" w:eastAsia="zh-CN" w:bidi="ar-SA"/>
    </w:rPr>
  </w:style>
  <w:style w:type="paragraph" w:customStyle="1" w:styleId="106">
    <w:name w:val="表格"/>
    <w:basedOn w:val="1"/>
    <w:link w:val="105"/>
    <w:qFormat/>
    <w:uiPriority w:val="0"/>
    <w:pPr>
      <w:snapToGrid w:val="0"/>
      <w:ind w:firstLine="42" w:firstLineChars="21"/>
    </w:pPr>
    <w:rPr>
      <w:rFonts w:ascii="宋体" w:hAnsi="宋体"/>
      <w:kern w:val="0"/>
      <w:sz w:val="20"/>
      <w:szCs w:val="20"/>
    </w:rPr>
  </w:style>
  <w:style w:type="paragraph" w:customStyle="1" w:styleId="107">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8">
    <w:name w:val="Char Char1 Char Char Char Char Char Char"/>
    <w:basedOn w:val="1"/>
    <w:qFormat/>
    <w:uiPriority w:val="0"/>
    <w:pPr>
      <w:widowControl/>
      <w:spacing w:after="160" w:line="240" w:lineRule="exact"/>
      <w:jc w:val="left"/>
    </w:pPr>
  </w:style>
  <w:style w:type="character" w:customStyle="1" w:styleId="109">
    <w:name w:val="Char Char"/>
    <w:qFormat/>
    <w:uiPriority w:val="0"/>
    <w:rPr>
      <w:rFonts w:hint="eastAsia" w:ascii="宋体" w:hAnsi="Courier New" w:eastAsia="宋体"/>
      <w:kern w:val="2"/>
      <w:sz w:val="21"/>
      <w:lang w:val="en-US" w:eastAsia="zh-CN" w:bidi="ar-SA"/>
    </w:rPr>
  </w:style>
  <w:style w:type="character" w:customStyle="1" w:styleId="110">
    <w:name w:val="style51"/>
    <w:qFormat/>
    <w:uiPriority w:val="0"/>
    <w:rPr>
      <w:sz w:val="21"/>
      <w:szCs w:val="21"/>
    </w:rPr>
  </w:style>
  <w:style w:type="paragraph" w:customStyle="1" w:styleId="111">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12">
    <w:name w:val="标准文本"/>
    <w:basedOn w:val="1"/>
    <w:link w:val="113"/>
    <w:qFormat/>
    <w:uiPriority w:val="0"/>
    <w:pPr>
      <w:spacing w:line="360" w:lineRule="auto"/>
      <w:ind w:firstLine="480" w:firstLineChars="200"/>
    </w:pPr>
    <w:rPr>
      <w:rFonts w:cs="宋体"/>
      <w:sz w:val="24"/>
      <w:szCs w:val="20"/>
    </w:rPr>
  </w:style>
  <w:style w:type="character" w:customStyle="1" w:styleId="113">
    <w:name w:val="标准文本 Char"/>
    <w:link w:val="112"/>
    <w:qFormat/>
    <w:uiPriority w:val="0"/>
    <w:rPr>
      <w:rFonts w:eastAsia="宋体" w:cs="宋体"/>
      <w:kern w:val="2"/>
      <w:sz w:val="24"/>
      <w:lang w:val="en-US" w:eastAsia="zh-CN" w:bidi="ar-SA"/>
    </w:rPr>
  </w:style>
  <w:style w:type="paragraph" w:customStyle="1" w:styleId="114">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5">
    <w:name w:val="自定义正文"/>
    <w:basedOn w:val="1"/>
    <w:link w:val="116"/>
    <w:qFormat/>
    <w:uiPriority w:val="0"/>
    <w:pPr>
      <w:spacing w:line="480" w:lineRule="exact"/>
      <w:ind w:firstLine="200" w:firstLineChars="200"/>
      <w:jc w:val="left"/>
    </w:pPr>
    <w:rPr>
      <w:rFonts w:ascii="仿宋_GB2312" w:eastAsia="仿宋_GB2312"/>
      <w:sz w:val="28"/>
    </w:rPr>
  </w:style>
  <w:style w:type="character" w:customStyle="1" w:styleId="116">
    <w:name w:val="自定义正文 Char"/>
    <w:link w:val="115"/>
    <w:qFormat/>
    <w:uiPriority w:val="0"/>
    <w:rPr>
      <w:rFonts w:ascii="仿宋_GB2312" w:eastAsia="仿宋_GB2312"/>
      <w:kern w:val="2"/>
      <w:sz w:val="28"/>
      <w:szCs w:val="24"/>
      <w:lang w:val="en-US" w:eastAsia="zh-CN" w:bidi="ar-SA"/>
    </w:rPr>
  </w:style>
  <w:style w:type="paragraph" w:customStyle="1" w:styleId="117">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8">
    <w:name w:val="自定义表格文字"/>
    <w:basedOn w:val="1"/>
    <w:qFormat/>
    <w:uiPriority w:val="0"/>
    <w:pPr>
      <w:spacing w:before="60" w:after="60" w:line="320" w:lineRule="exact"/>
      <w:jc w:val="left"/>
    </w:pPr>
    <w:rPr>
      <w:rFonts w:ascii="宋体" w:eastAsia="楷体_GB2312"/>
    </w:rPr>
  </w:style>
  <w:style w:type="paragraph" w:customStyle="1" w:styleId="119">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20">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21">
    <w:name w:val="文档结构图 Char"/>
    <w:link w:val="19"/>
    <w:semiHidden/>
    <w:qFormat/>
    <w:uiPriority w:val="0"/>
    <w:rPr>
      <w:rFonts w:eastAsia="宋体"/>
      <w:kern w:val="2"/>
      <w:sz w:val="21"/>
      <w:szCs w:val="24"/>
      <w:lang w:val="en-US" w:eastAsia="zh-CN" w:bidi="ar-SA"/>
    </w:rPr>
  </w:style>
  <w:style w:type="character" w:customStyle="1" w:styleId="122">
    <w:name w:val="Char Char12"/>
    <w:qFormat/>
    <w:uiPriority w:val="0"/>
    <w:rPr>
      <w:rFonts w:ascii="宋体" w:hAnsi="Courier New" w:eastAsia="宋体"/>
      <w:kern w:val="2"/>
      <w:sz w:val="21"/>
      <w:lang w:val="en-US" w:eastAsia="zh-CN" w:bidi="ar-SA"/>
    </w:rPr>
  </w:style>
  <w:style w:type="character" w:customStyle="1" w:styleId="123">
    <w:name w:val="H4 Char"/>
    <w:qFormat/>
    <w:uiPriority w:val="0"/>
    <w:rPr>
      <w:rFonts w:ascii="宋体" w:hAnsi="宋体" w:eastAsia="黑体"/>
      <w:b/>
      <w:bCs/>
      <w:color w:val="000000"/>
      <w:spacing w:val="-4"/>
      <w:kern w:val="2"/>
      <w:sz w:val="24"/>
      <w:szCs w:val="30"/>
      <w:lang w:val="en-US" w:eastAsia="zh-CN" w:bidi="ar-SA"/>
    </w:rPr>
  </w:style>
  <w:style w:type="character" w:customStyle="1" w:styleId="124">
    <w:name w:val="H5 Char"/>
    <w:qFormat/>
    <w:uiPriority w:val="0"/>
    <w:rPr>
      <w:rFonts w:ascii="Arial" w:hAnsi="Arial" w:eastAsia="宋体"/>
      <w:sz w:val="24"/>
      <w:lang w:val="en-US" w:eastAsia="zh-CN" w:bidi="ar-SA"/>
    </w:rPr>
  </w:style>
  <w:style w:type="character" w:customStyle="1" w:styleId="125">
    <w:name w:val="Char Char8"/>
    <w:qFormat/>
    <w:uiPriority w:val="0"/>
    <w:rPr>
      <w:rFonts w:ascii="宋体" w:eastAsia="宋体"/>
      <w:kern w:val="2"/>
      <w:sz w:val="28"/>
      <w:lang w:val="en-US" w:eastAsia="zh-CN" w:bidi="ar-SA"/>
    </w:rPr>
  </w:style>
  <w:style w:type="character" w:customStyle="1" w:styleId="126">
    <w:name w:val="Char Char7"/>
    <w:qFormat/>
    <w:uiPriority w:val="0"/>
    <w:rPr>
      <w:rFonts w:eastAsia="仿宋_GB2312"/>
      <w:kern w:val="2"/>
      <w:sz w:val="24"/>
      <w:szCs w:val="24"/>
      <w:lang w:val="en-US" w:eastAsia="zh-CN" w:bidi="ar-SA"/>
    </w:rPr>
  </w:style>
  <w:style w:type="paragraph" w:customStyle="1" w:styleId="127">
    <w:name w:val="表内文字"/>
    <w:basedOn w:val="1"/>
    <w:qFormat/>
    <w:uiPriority w:val="0"/>
    <w:pPr>
      <w:jc w:val="center"/>
    </w:pPr>
    <w:rPr>
      <w:color w:val="FF0000"/>
      <w:kern w:val="0"/>
      <w:sz w:val="24"/>
    </w:rPr>
  </w:style>
  <w:style w:type="character" w:customStyle="1" w:styleId="128">
    <w:name w:val="Char Char3"/>
    <w:qFormat/>
    <w:uiPriority w:val="0"/>
    <w:rPr>
      <w:rFonts w:eastAsia="仿宋_GB2312"/>
      <w:kern w:val="2"/>
      <w:sz w:val="28"/>
      <w:szCs w:val="24"/>
      <w:lang w:val="en-US" w:eastAsia="zh-CN" w:bidi="ar-SA"/>
    </w:rPr>
  </w:style>
  <w:style w:type="paragraph" w:customStyle="1" w:styleId="129">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30">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31">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32">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3">
    <w:name w:val="项目1"/>
    <w:basedOn w:val="1"/>
    <w:qFormat/>
    <w:uiPriority w:val="0"/>
    <w:pPr>
      <w:tabs>
        <w:tab w:val="left" w:pos="840"/>
      </w:tabs>
      <w:spacing w:after="60"/>
      <w:ind w:left="840" w:hanging="420"/>
    </w:pPr>
    <w:rPr>
      <w:rFonts w:ascii="宋体"/>
      <w:spacing w:val="4"/>
      <w:szCs w:val="20"/>
    </w:rPr>
  </w:style>
  <w:style w:type="paragraph" w:customStyle="1" w:styleId="134">
    <w:name w:val="编10号"/>
    <w:basedOn w:val="1"/>
    <w:qFormat/>
    <w:uiPriority w:val="0"/>
    <w:pPr>
      <w:tabs>
        <w:tab w:val="left" w:pos="1620"/>
      </w:tabs>
      <w:ind w:left="1620" w:hanging="360"/>
    </w:pPr>
  </w:style>
  <w:style w:type="paragraph" w:customStyle="1" w:styleId="135">
    <w:name w:val="段"/>
    <w:basedOn w:val="1"/>
    <w:qFormat/>
    <w:uiPriority w:val="0"/>
    <w:pPr>
      <w:ind w:firstLine="425"/>
    </w:pPr>
    <w:rPr>
      <w:rFonts w:ascii="宋体"/>
      <w:szCs w:val="20"/>
    </w:rPr>
  </w:style>
  <w:style w:type="paragraph" w:customStyle="1" w:styleId="136">
    <w:name w:val="Char Char Char Char"/>
    <w:basedOn w:val="1"/>
    <w:qFormat/>
    <w:uiPriority w:val="0"/>
    <w:pPr>
      <w:widowControl/>
      <w:spacing w:after="160" w:line="240" w:lineRule="exact"/>
      <w:jc w:val="left"/>
    </w:pPr>
    <w:rPr>
      <w:kern w:val="0"/>
      <w:sz w:val="24"/>
    </w:rPr>
  </w:style>
  <w:style w:type="paragraph" w:customStyle="1" w:styleId="137">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8">
    <w:name w:val="bulletintext1"/>
    <w:qFormat/>
    <w:uiPriority w:val="0"/>
    <w:rPr>
      <w:rFonts w:hint="eastAsia" w:ascii="宋体" w:hAnsi="宋体" w:eastAsia="宋体"/>
      <w:sz w:val="18"/>
      <w:szCs w:val="18"/>
    </w:rPr>
  </w:style>
  <w:style w:type="paragraph" w:customStyle="1" w:styleId="139">
    <w:name w:val="Char1 Char Char Char Char Char Char"/>
    <w:basedOn w:val="1"/>
    <w:qFormat/>
    <w:uiPriority w:val="0"/>
    <w:rPr>
      <w:rFonts w:ascii="Tahoma" w:hAnsi="Tahoma"/>
      <w:sz w:val="24"/>
      <w:szCs w:val="20"/>
    </w:rPr>
  </w:style>
  <w:style w:type="paragraph" w:customStyle="1" w:styleId="140">
    <w:name w:val="Char Char2 Char Char Char Char"/>
    <w:basedOn w:val="19"/>
    <w:qFormat/>
    <w:uiPriority w:val="0"/>
    <w:rPr>
      <w:rFonts w:ascii="Tahoma" w:hAnsi="Tahoma"/>
      <w:sz w:val="24"/>
    </w:rPr>
  </w:style>
  <w:style w:type="paragraph" w:customStyle="1" w:styleId="141">
    <w:name w:val="Char Char Char"/>
    <w:basedOn w:val="19"/>
    <w:qFormat/>
    <w:uiPriority w:val="0"/>
    <w:rPr>
      <w:rFonts w:ascii="Tahoma" w:hAnsi="Tahoma"/>
      <w:sz w:val="24"/>
    </w:rPr>
  </w:style>
  <w:style w:type="paragraph" w:customStyle="1" w:styleId="142">
    <w:name w:val="正文缩进 New"/>
    <w:basedOn w:val="1"/>
    <w:qFormat/>
    <w:uiPriority w:val="0"/>
    <w:pPr>
      <w:ind w:firstLine="420" w:firstLineChars="200"/>
    </w:pPr>
    <w:rPr>
      <w:szCs w:val="20"/>
    </w:rPr>
  </w:style>
  <w:style w:type="paragraph" w:customStyle="1" w:styleId="143">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4">
    <w:name w:val="tpc_content1"/>
    <w:qFormat/>
    <w:uiPriority w:val="0"/>
    <w:rPr>
      <w:sz w:val="20"/>
      <w:szCs w:val="20"/>
    </w:rPr>
  </w:style>
  <w:style w:type="character" w:customStyle="1" w:styleId="145">
    <w:name w:val="Char Char11"/>
    <w:qFormat/>
    <w:uiPriority w:val="0"/>
    <w:rPr>
      <w:b/>
      <w:kern w:val="44"/>
      <w:sz w:val="44"/>
    </w:rPr>
  </w:style>
  <w:style w:type="character" w:customStyle="1" w:styleId="146">
    <w:name w:val="Char Char10"/>
    <w:qFormat/>
    <w:uiPriority w:val="0"/>
    <w:rPr>
      <w:b/>
      <w:kern w:val="2"/>
      <w:sz w:val="28"/>
      <w:szCs w:val="28"/>
    </w:rPr>
  </w:style>
  <w:style w:type="character" w:customStyle="1" w:styleId="147">
    <w:name w:val="Char Char9"/>
    <w:qFormat/>
    <w:uiPriority w:val="0"/>
    <w:rPr>
      <w:b/>
      <w:kern w:val="2"/>
      <w:sz w:val="24"/>
      <w:szCs w:val="24"/>
    </w:rPr>
  </w:style>
  <w:style w:type="paragraph" w:customStyle="1" w:styleId="148">
    <w:name w:val="Char Char Char 字元 字元"/>
    <w:basedOn w:val="1"/>
    <w:qFormat/>
    <w:uiPriority w:val="0"/>
    <w:pPr>
      <w:spacing w:line="360" w:lineRule="auto"/>
      <w:ind w:firstLine="200" w:firstLineChars="200"/>
    </w:pPr>
    <w:rPr>
      <w:szCs w:val="20"/>
    </w:rPr>
  </w:style>
  <w:style w:type="paragraph" w:customStyle="1" w:styleId="149">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50">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51">
    <w:name w:val="style11"/>
    <w:qFormat/>
    <w:uiPriority w:val="0"/>
    <w:rPr>
      <w:b/>
      <w:bCs/>
      <w:color w:val="FF0000"/>
    </w:rPr>
  </w:style>
  <w:style w:type="character" w:customStyle="1" w:styleId="152">
    <w:name w:val="info"/>
    <w:basedOn w:val="45"/>
    <w:qFormat/>
    <w:uiPriority w:val="0"/>
  </w:style>
  <w:style w:type="paragraph" w:customStyle="1" w:styleId="153">
    <w:name w:val="样式 正文缩进 + 首行缩进:  2 字符"/>
    <w:basedOn w:val="2"/>
    <w:link w:val="154"/>
    <w:qFormat/>
    <w:uiPriority w:val="0"/>
    <w:pPr>
      <w:spacing w:line="360" w:lineRule="auto"/>
      <w:ind w:firstLine="480"/>
    </w:pPr>
    <w:rPr>
      <w:rFonts w:ascii="宋体" w:hAnsi="宋体"/>
      <w:color w:val="000000"/>
      <w:kern w:val="0"/>
      <w:sz w:val="24"/>
      <w:szCs w:val="20"/>
    </w:rPr>
  </w:style>
  <w:style w:type="character" w:customStyle="1" w:styleId="154">
    <w:name w:val="样式 正文缩进 + 首行缩进:  2 字符 Char"/>
    <w:link w:val="153"/>
    <w:qFormat/>
    <w:locked/>
    <w:uiPriority w:val="0"/>
    <w:rPr>
      <w:rFonts w:ascii="宋体" w:hAnsi="宋体" w:eastAsia="宋体"/>
      <w:color w:val="000000"/>
      <w:sz w:val="24"/>
      <w:lang w:bidi="ar-SA"/>
    </w:rPr>
  </w:style>
  <w:style w:type="paragraph" w:customStyle="1" w:styleId="155">
    <w:name w:val="正文2"/>
    <w:basedOn w:val="1"/>
    <w:link w:val="156"/>
    <w:qFormat/>
    <w:uiPriority w:val="0"/>
    <w:pPr>
      <w:spacing w:before="156" w:line="360" w:lineRule="auto"/>
      <w:ind w:firstLine="510" w:firstLineChars="200"/>
    </w:pPr>
    <w:rPr>
      <w:sz w:val="24"/>
      <w:szCs w:val="20"/>
    </w:rPr>
  </w:style>
  <w:style w:type="character" w:customStyle="1" w:styleId="156">
    <w:name w:val="正文2 Char"/>
    <w:link w:val="155"/>
    <w:qFormat/>
    <w:uiPriority w:val="0"/>
    <w:rPr>
      <w:rFonts w:eastAsia="宋体"/>
      <w:kern w:val="2"/>
      <w:sz w:val="24"/>
      <w:lang w:val="en-US" w:eastAsia="zh-CN" w:bidi="ar-SA"/>
    </w:rPr>
  </w:style>
  <w:style w:type="paragraph" w:customStyle="1" w:styleId="157">
    <w:name w:val="p0"/>
    <w:basedOn w:val="1"/>
    <w:qFormat/>
    <w:uiPriority w:val="0"/>
    <w:pPr>
      <w:widowControl/>
    </w:pPr>
    <w:rPr>
      <w:kern w:val="0"/>
      <w:szCs w:val="21"/>
    </w:rPr>
  </w:style>
  <w:style w:type="character" w:customStyle="1" w:styleId="158">
    <w:name w:val="param-name"/>
    <w:basedOn w:val="45"/>
    <w:qFormat/>
    <w:uiPriority w:val="0"/>
  </w:style>
  <w:style w:type="character" w:customStyle="1" w:styleId="159">
    <w:name w:val="日期 Char"/>
    <w:qFormat/>
    <w:uiPriority w:val="0"/>
    <w:rPr>
      <w:rFonts w:ascii="楷体_GB2312" w:eastAsia="楷体_GB2312"/>
      <w:b/>
      <w:kern w:val="2"/>
      <w:sz w:val="28"/>
      <w:lang w:val="en-US" w:eastAsia="zh-CN" w:bidi="ar-SA"/>
    </w:rPr>
  </w:style>
  <w:style w:type="character" w:customStyle="1" w:styleId="160">
    <w:name w:val="标题 4 Char"/>
    <w:qFormat/>
    <w:uiPriority w:val="0"/>
    <w:rPr>
      <w:rFonts w:ascii="Arial" w:hAnsi="Arial" w:eastAsia="黑体"/>
      <w:b/>
      <w:kern w:val="2"/>
      <w:sz w:val="28"/>
      <w:lang w:val="en-US" w:eastAsia="zh-CN" w:bidi="ar-SA"/>
    </w:rPr>
  </w:style>
  <w:style w:type="character" w:customStyle="1" w:styleId="161">
    <w:name w:val="标题 6 Char"/>
    <w:qFormat/>
    <w:uiPriority w:val="0"/>
    <w:rPr>
      <w:rFonts w:ascii="宋体" w:hAnsi="Arial" w:eastAsia="宋体"/>
      <w:sz w:val="24"/>
      <w:lang w:val="en-US" w:eastAsia="zh-CN" w:bidi="ar-SA"/>
    </w:rPr>
  </w:style>
  <w:style w:type="character" w:customStyle="1" w:styleId="162">
    <w:name w:val="标题 8 Char"/>
    <w:qFormat/>
    <w:uiPriority w:val="0"/>
    <w:rPr>
      <w:rFonts w:ascii="Arial" w:hAnsi="Arial" w:eastAsia="黑体"/>
      <w:sz w:val="24"/>
      <w:lang w:val="en-US" w:eastAsia="zh-CN" w:bidi="ar-SA"/>
    </w:rPr>
  </w:style>
  <w:style w:type="character" w:customStyle="1" w:styleId="163">
    <w:name w:val="标题 9 Char"/>
    <w:qFormat/>
    <w:uiPriority w:val="0"/>
    <w:rPr>
      <w:rFonts w:ascii="Arial" w:hAnsi="Arial" w:eastAsia="黑体"/>
      <w:sz w:val="24"/>
      <w:lang w:val="en-US" w:eastAsia="zh-CN" w:bidi="ar-SA"/>
    </w:rPr>
  </w:style>
  <w:style w:type="character" w:customStyle="1" w:styleId="164">
    <w:name w:val="标题 5 Char"/>
    <w:qFormat/>
    <w:uiPriority w:val="0"/>
    <w:rPr>
      <w:rFonts w:eastAsia="宋体"/>
      <w:sz w:val="24"/>
      <w:lang w:val="en-US" w:eastAsia="zh-CN" w:bidi="ar-SA"/>
    </w:rPr>
  </w:style>
  <w:style w:type="character" w:customStyle="1" w:styleId="165">
    <w:name w:val="正文文本 Char"/>
    <w:qFormat/>
    <w:locked/>
    <w:uiPriority w:val="0"/>
    <w:rPr>
      <w:rFonts w:eastAsia="仿宋_GB2312"/>
      <w:kern w:val="2"/>
      <w:sz w:val="28"/>
      <w:szCs w:val="24"/>
      <w:lang w:val="en-US" w:eastAsia="zh-CN" w:bidi="ar-SA"/>
    </w:rPr>
  </w:style>
  <w:style w:type="character" w:customStyle="1" w:styleId="166">
    <w:name w:val="正文文本缩进 2 Char"/>
    <w:qFormat/>
    <w:locked/>
    <w:uiPriority w:val="0"/>
    <w:rPr>
      <w:rFonts w:eastAsia="宋体"/>
      <w:kern w:val="2"/>
      <w:sz w:val="21"/>
      <w:szCs w:val="24"/>
      <w:lang w:val="en-US" w:eastAsia="zh-CN" w:bidi="ar-SA"/>
    </w:rPr>
  </w:style>
  <w:style w:type="character" w:customStyle="1" w:styleId="167">
    <w:name w:val="正文文本 2 Char"/>
    <w:qFormat/>
    <w:uiPriority w:val="0"/>
    <w:rPr>
      <w:rFonts w:ascii="隶书" w:eastAsia="隶书"/>
      <w:bCs/>
      <w:sz w:val="72"/>
      <w:szCs w:val="84"/>
      <w:lang w:val="en-US" w:eastAsia="zh-CN" w:bidi="ar-SA"/>
    </w:rPr>
  </w:style>
  <w:style w:type="character" w:customStyle="1" w:styleId="168">
    <w:name w:val="标题 7 Char"/>
    <w:qFormat/>
    <w:uiPriority w:val="0"/>
    <w:rPr>
      <w:rFonts w:ascii="宋体" w:hAnsi="Arial" w:eastAsia="宋体"/>
      <w:b/>
      <w:sz w:val="24"/>
      <w:lang w:val="en-US" w:eastAsia="zh-CN" w:bidi="ar-SA"/>
    </w:rPr>
  </w:style>
  <w:style w:type="character" w:customStyle="1" w:styleId="169">
    <w:name w:val="页眉 Char"/>
    <w:qFormat/>
    <w:uiPriority w:val="99"/>
    <w:rPr>
      <w:rFonts w:eastAsia="宋体"/>
      <w:kern w:val="2"/>
      <w:sz w:val="18"/>
      <w:szCs w:val="18"/>
      <w:lang w:val="en-US" w:eastAsia="zh-CN" w:bidi="ar-SA"/>
    </w:rPr>
  </w:style>
  <w:style w:type="character" w:customStyle="1" w:styleId="170">
    <w:name w:val="批注文字 Char"/>
    <w:qFormat/>
    <w:uiPriority w:val="0"/>
    <w:rPr>
      <w:rFonts w:eastAsia="宋体"/>
      <w:kern w:val="2"/>
      <w:sz w:val="21"/>
      <w:szCs w:val="24"/>
      <w:lang w:val="en-US" w:eastAsia="zh-CN" w:bidi="ar-SA"/>
    </w:rPr>
  </w:style>
  <w:style w:type="character" w:customStyle="1" w:styleId="171">
    <w:name w:val="汇视源正文 Char"/>
    <w:link w:val="172"/>
    <w:qFormat/>
    <w:uiPriority w:val="0"/>
    <w:rPr>
      <w:rFonts w:cs="宋体"/>
      <w:kern w:val="2"/>
      <w:sz w:val="24"/>
      <w:lang w:val="en-US" w:eastAsia="zh-CN" w:bidi="ar-SA"/>
    </w:rPr>
  </w:style>
  <w:style w:type="paragraph" w:customStyle="1" w:styleId="172">
    <w:name w:val="汇视源正文"/>
    <w:link w:val="171"/>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3">
    <w:name w:val="样式 列表编号 + 段后: 0.5 行"/>
    <w:basedOn w:val="17"/>
    <w:qFormat/>
    <w:uiPriority w:val="0"/>
    <w:pPr>
      <w:tabs>
        <w:tab w:val="left" w:pos="840"/>
      </w:tabs>
      <w:spacing w:afterLines="0"/>
      <w:ind w:left="425" w:hanging="425"/>
    </w:pPr>
    <w:rPr>
      <w:rFonts w:cs="宋体"/>
    </w:rPr>
  </w:style>
  <w:style w:type="paragraph" w:customStyle="1" w:styleId="174">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5">
    <w:name w:val="TOC 标题1"/>
    <w:basedOn w:val="8"/>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6">
    <w:name w:val="标题 Char"/>
    <w:link w:val="41"/>
    <w:qFormat/>
    <w:locked/>
    <w:uiPriority w:val="0"/>
    <w:rPr>
      <w:rFonts w:ascii="Calibri Light" w:hAnsi="Calibri Light" w:eastAsia="宋体"/>
      <w:b/>
      <w:bCs/>
      <w:kern w:val="2"/>
      <w:sz w:val="32"/>
      <w:szCs w:val="32"/>
      <w:lang w:val="en-US" w:eastAsia="zh-CN" w:bidi="ar-SA"/>
    </w:rPr>
  </w:style>
  <w:style w:type="character" w:customStyle="1" w:styleId="177">
    <w:name w:val="Date Char"/>
    <w:qFormat/>
    <w:locked/>
    <w:uiPriority w:val="0"/>
    <w:rPr>
      <w:rFonts w:ascii="宋体"/>
      <w:sz w:val="21"/>
      <w:lang w:val="zh-CN"/>
    </w:rPr>
  </w:style>
  <w:style w:type="character" w:customStyle="1" w:styleId="178">
    <w:name w:val="Normal Indent Char"/>
    <w:qFormat/>
    <w:locked/>
    <w:uiPriority w:val="0"/>
    <w:rPr>
      <w:rFonts w:ascii="宋体" w:eastAsia="宋体"/>
      <w:snapToGrid w:val="0"/>
      <w:color w:val="000000"/>
      <w:kern w:val="28"/>
      <w:sz w:val="28"/>
    </w:rPr>
  </w:style>
  <w:style w:type="character" w:customStyle="1" w:styleId="179">
    <w:name w:val="Plain Text Char"/>
    <w:qFormat/>
    <w:locked/>
    <w:uiPriority w:val="0"/>
    <w:rPr>
      <w:rFonts w:ascii="宋体" w:hAnsi="Courier New" w:eastAsia="宋体"/>
      <w:snapToGrid w:val="0"/>
      <w:sz w:val="21"/>
    </w:rPr>
  </w:style>
  <w:style w:type="character" w:customStyle="1" w:styleId="180">
    <w:name w:val="日期 Char1"/>
    <w:qFormat/>
    <w:uiPriority w:val="0"/>
    <w:rPr>
      <w:rFonts w:ascii="Times New Roman" w:hAnsi="Times New Roman" w:eastAsia="宋体" w:cs="Times New Roman"/>
      <w:sz w:val="24"/>
      <w:szCs w:val="24"/>
    </w:rPr>
  </w:style>
  <w:style w:type="character" w:customStyle="1" w:styleId="181">
    <w:name w:val="纯文本 Char1"/>
    <w:link w:val="182"/>
    <w:qFormat/>
    <w:uiPriority w:val="0"/>
    <w:rPr>
      <w:rFonts w:ascii="宋体" w:hAnsi="Courier New" w:eastAsia="宋体" w:cs="Courier New"/>
      <w:sz w:val="21"/>
      <w:szCs w:val="21"/>
    </w:rPr>
  </w:style>
  <w:style w:type="paragraph" w:customStyle="1" w:styleId="182">
    <w:name w:val="纯文本1"/>
    <w:basedOn w:val="1"/>
    <w:link w:val="181"/>
    <w:qFormat/>
    <w:uiPriority w:val="0"/>
    <w:rPr>
      <w:rFonts w:ascii="宋体" w:hAnsi="Courier New" w:cs="Courier New"/>
      <w:kern w:val="0"/>
      <w:szCs w:val="21"/>
    </w:rPr>
  </w:style>
  <w:style w:type="paragraph" w:customStyle="1" w:styleId="183">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4">
    <w:name w:val="列出段落112"/>
    <w:basedOn w:val="1"/>
    <w:link w:val="208"/>
    <w:qFormat/>
    <w:uiPriority w:val="0"/>
    <w:pPr>
      <w:adjustRightInd w:val="0"/>
      <w:spacing w:line="360" w:lineRule="auto"/>
      <w:ind w:firstLine="200" w:firstLineChars="200"/>
    </w:pPr>
    <w:rPr>
      <w:rFonts w:eastAsia="楷体_GB2312" w:cs="Lucida Sans"/>
      <w:sz w:val="24"/>
    </w:rPr>
  </w:style>
  <w:style w:type="paragraph" w:customStyle="1" w:styleId="185">
    <w:name w:val="标题2def"/>
    <w:basedOn w:val="41"/>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6">
    <w:name w:val="标题3def"/>
    <w:basedOn w:val="10"/>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7">
    <w:name w:val="Header Char"/>
    <w:qFormat/>
    <w:locked/>
    <w:uiPriority w:val="0"/>
    <w:rPr>
      <w:rFonts w:ascii="Times New Roman" w:hAnsi="Times New Roman" w:eastAsia="宋体" w:cs="Times New Roman"/>
      <w:sz w:val="18"/>
      <w:szCs w:val="18"/>
    </w:rPr>
  </w:style>
  <w:style w:type="paragraph" w:customStyle="1" w:styleId="18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9">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90">
    <w:name w:val="Comment Text Char"/>
    <w:qFormat/>
    <w:locked/>
    <w:uiPriority w:val="0"/>
    <w:rPr>
      <w:rFonts w:ascii="Times New Roman" w:hAnsi="Times New Roman" w:eastAsia="宋体" w:cs="Times New Roman"/>
      <w:kern w:val="0"/>
      <w:sz w:val="24"/>
      <w:szCs w:val="24"/>
      <w:lang w:val="zh-CN" w:eastAsia="zh-CN"/>
    </w:rPr>
  </w:style>
  <w:style w:type="paragraph" w:customStyle="1" w:styleId="191">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3">
    <w:name w:val="Char Char Char Char1"/>
    <w:basedOn w:val="1"/>
    <w:qFormat/>
    <w:uiPriority w:val="0"/>
    <w:rPr>
      <w:rFonts w:ascii="Tahoma" w:hAnsi="Tahoma"/>
      <w:sz w:val="24"/>
      <w:szCs w:val="20"/>
    </w:rPr>
  </w:style>
  <w:style w:type="paragraph" w:customStyle="1" w:styleId="194">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5">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96">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7">
    <w:name w:val="正文2 Char Char"/>
    <w:qFormat/>
    <w:uiPriority w:val="0"/>
    <w:rPr>
      <w:kern w:val="2"/>
      <w:sz w:val="24"/>
    </w:rPr>
  </w:style>
  <w:style w:type="character" w:customStyle="1" w:styleId="198">
    <w:name w:val="普通文字 Char Char3"/>
    <w:qFormat/>
    <w:uiPriority w:val="0"/>
    <w:rPr>
      <w:rFonts w:ascii="宋体" w:hAnsi="Courier New"/>
      <w:kern w:val="2"/>
      <w:sz w:val="24"/>
      <w:szCs w:val="24"/>
    </w:rPr>
  </w:style>
  <w:style w:type="character" w:customStyle="1" w:styleId="199">
    <w:name w:val="特点 Char2"/>
    <w:qFormat/>
    <w:uiPriority w:val="0"/>
    <w:rPr>
      <w:rFonts w:ascii="Times New Roman" w:hAnsi="Times New Roman" w:eastAsia="宋体" w:cs="Times New Roman"/>
      <w:szCs w:val="24"/>
    </w:rPr>
  </w:style>
  <w:style w:type="character" w:customStyle="1" w:styleId="200">
    <w:name w:val="批注框文本 Char"/>
    <w:basedOn w:val="45"/>
    <w:link w:val="28"/>
    <w:qFormat/>
    <w:uiPriority w:val="0"/>
    <w:rPr>
      <w:kern w:val="2"/>
      <w:sz w:val="18"/>
      <w:szCs w:val="18"/>
    </w:rPr>
  </w:style>
  <w:style w:type="character" w:customStyle="1" w:styleId="201">
    <w:name w:val="正文文本缩进 3 Char"/>
    <w:basedOn w:val="45"/>
    <w:link w:val="34"/>
    <w:qFormat/>
    <w:uiPriority w:val="0"/>
    <w:rPr>
      <w:kern w:val="2"/>
      <w:sz w:val="16"/>
      <w:szCs w:val="16"/>
    </w:rPr>
  </w:style>
  <w:style w:type="character" w:customStyle="1" w:styleId="202">
    <w:name w:val="HTML 预设格式 Char"/>
    <w:basedOn w:val="45"/>
    <w:link w:val="38"/>
    <w:qFormat/>
    <w:uiPriority w:val="0"/>
    <w:rPr>
      <w:rFonts w:ascii="黑体" w:hAnsi="Courier New" w:eastAsia="黑体" w:cs="Courier New"/>
    </w:rPr>
  </w:style>
  <w:style w:type="character" w:customStyle="1" w:styleId="203">
    <w:name w:val="批注主题 Char"/>
    <w:basedOn w:val="170"/>
    <w:link w:val="42"/>
    <w:qFormat/>
    <w:uiPriority w:val="0"/>
    <w:rPr>
      <w:rFonts w:eastAsia="宋体"/>
      <w:b/>
      <w:bCs/>
      <w:kern w:val="2"/>
      <w:sz w:val="24"/>
      <w:szCs w:val="24"/>
      <w:lang w:val="en-US" w:eastAsia="zh-CN" w:bidi="ar-SA"/>
    </w:rPr>
  </w:style>
  <w:style w:type="character" w:customStyle="1" w:styleId="204">
    <w:name w:val="正文首行缩进 Char"/>
    <w:basedOn w:val="165"/>
    <w:link w:val="5"/>
    <w:qFormat/>
    <w:uiPriority w:val="0"/>
    <w:rPr>
      <w:rFonts w:eastAsia="仿宋_GB2312"/>
      <w:kern w:val="2"/>
      <w:sz w:val="21"/>
      <w:szCs w:val="24"/>
      <w:lang w:val="en-US" w:eastAsia="zh-CN" w:bidi="ar-SA"/>
    </w:rPr>
  </w:style>
  <w:style w:type="character" w:customStyle="1" w:styleId="205">
    <w:name w:val="正文首行缩进 2 Char"/>
    <w:basedOn w:val="67"/>
    <w:link w:val="4"/>
    <w:qFormat/>
    <w:uiPriority w:val="0"/>
    <w:rPr>
      <w:rFonts w:eastAsia="宋体"/>
      <w:kern w:val="2"/>
      <w:sz w:val="21"/>
      <w:szCs w:val="24"/>
      <w:lang w:val="en-US" w:eastAsia="zh-CN" w:bidi="ar-SA"/>
    </w:rPr>
  </w:style>
  <w:style w:type="paragraph" w:customStyle="1" w:styleId="206">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7">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8">
    <w:name w:val="列出段落 Char"/>
    <w:link w:val="184"/>
    <w:qFormat/>
    <w:uiPriority w:val="0"/>
    <w:rPr>
      <w:rFonts w:eastAsia="楷体_GB2312" w:cs="Lucida Sans"/>
      <w:kern w:val="2"/>
      <w:sz w:val="24"/>
      <w:szCs w:val="24"/>
    </w:rPr>
  </w:style>
  <w:style w:type="paragraph" w:customStyle="1" w:styleId="209">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10">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11">
    <w:name w:val="TOC 标题11"/>
    <w:basedOn w:val="8"/>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12">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3">
    <w:name w:val="正文缩进2格"/>
    <w:basedOn w:val="1"/>
    <w:link w:val="214"/>
    <w:qFormat/>
    <w:uiPriority w:val="0"/>
    <w:pPr>
      <w:spacing w:line="600" w:lineRule="exact"/>
      <w:ind w:firstLine="639" w:firstLineChars="206"/>
    </w:pPr>
    <w:rPr>
      <w:rFonts w:ascii="仿宋_GB2312" w:hAnsi="宋体" w:eastAsia="仿宋_GB2312"/>
      <w:kern w:val="0"/>
      <w:sz w:val="31"/>
      <w:szCs w:val="20"/>
    </w:rPr>
  </w:style>
  <w:style w:type="character" w:customStyle="1" w:styleId="214">
    <w:name w:val="正文缩进2格 Char"/>
    <w:link w:val="213"/>
    <w:qFormat/>
    <w:uiPriority w:val="0"/>
    <w:rPr>
      <w:rFonts w:ascii="仿宋_GB2312" w:hAnsi="宋体" w:eastAsia="仿宋_GB2312"/>
      <w:sz w:val="31"/>
    </w:rPr>
  </w:style>
  <w:style w:type="paragraph" w:customStyle="1" w:styleId="215">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6">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7">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8">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9">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0">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1">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2">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3">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4">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5">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6">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7">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8">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0">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1">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2">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3">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5">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6">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7">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40">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1">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2">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3">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50">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2">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3">
    <w:name w:val="正文1级"/>
    <w:link w:val="254"/>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4">
    <w:name w:val="正文1级 Char Char"/>
    <w:link w:val="253"/>
    <w:qFormat/>
    <w:uiPriority w:val="0"/>
    <w:rPr>
      <w:bCs/>
      <w:kern w:val="44"/>
      <w:sz w:val="24"/>
      <w:szCs w:val="44"/>
    </w:rPr>
  </w:style>
  <w:style w:type="character" w:customStyle="1" w:styleId="255">
    <w:name w:val="Char Char1"/>
    <w:qFormat/>
    <w:uiPriority w:val="0"/>
    <w:rPr>
      <w:rFonts w:ascii="宋体" w:hAnsi="Courier New" w:eastAsia="宋体"/>
      <w:kern w:val="2"/>
      <w:sz w:val="21"/>
      <w:lang w:val="en-US" w:eastAsia="zh-CN" w:bidi="ar-SA"/>
    </w:rPr>
  </w:style>
  <w:style w:type="paragraph" w:customStyle="1" w:styleId="256">
    <w:name w:val="列出段落2"/>
    <w:basedOn w:val="1"/>
    <w:qFormat/>
    <w:uiPriority w:val="0"/>
    <w:pPr>
      <w:spacing w:line="440" w:lineRule="exact"/>
      <w:ind w:firstLine="420" w:firstLineChars="200"/>
    </w:pPr>
    <w:rPr>
      <w:rFonts w:eastAsia="仿宋_GB2312"/>
      <w:sz w:val="24"/>
    </w:rPr>
  </w:style>
  <w:style w:type="paragraph" w:customStyle="1" w:styleId="257">
    <w:name w:val="TOC 标题2"/>
    <w:basedOn w:val="8"/>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8">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9">
    <w:name w:val="列出段落21"/>
    <w:basedOn w:val="1"/>
    <w:qFormat/>
    <w:uiPriority w:val="0"/>
    <w:pPr>
      <w:ind w:firstLine="420" w:firstLineChars="200"/>
    </w:pPr>
    <w:rPr>
      <w:rFonts w:ascii="Calibri" w:hAnsi="Calibri"/>
      <w:szCs w:val="22"/>
    </w:rPr>
  </w:style>
  <w:style w:type="paragraph" w:customStyle="1" w:styleId="260">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62">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3">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4">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5">
    <w:name w:val="_Style 151"/>
    <w:basedOn w:val="1"/>
    <w:qFormat/>
    <w:uiPriority w:val="0"/>
    <w:rPr>
      <w:rFonts w:ascii="Tahoma" w:hAnsi="Tahoma"/>
      <w:sz w:val="24"/>
      <w:szCs w:val="20"/>
    </w:rPr>
  </w:style>
  <w:style w:type="paragraph" w:customStyle="1" w:styleId="266">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7">
    <w:name w:val="font01"/>
    <w:basedOn w:val="45"/>
    <w:qFormat/>
    <w:uiPriority w:val="0"/>
    <w:rPr>
      <w:rFonts w:hint="eastAsia" w:ascii="宋体" w:hAnsi="宋体" w:eastAsia="宋体" w:cs="宋体"/>
      <w:color w:val="000000"/>
      <w:sz w:val="22"/>
      <w:szCs w:val="22"/>
      <w:u w:val="none"/>
    </w:rPr>
  </w:style>
  <w:style w:type="character" w:customStyle="1" w:styleId="268">
    <w:name w:val="font11"/>
    <w:basedOn w:val="45"/>
    <w:qFormat/>
    <w:uiPriority w:val="0"/>
    <w:rPr>
      <w:rFonts w:hint="eastAsia" w:ascii="宋体" w:hAnsi="宋体" w:eastAsia="宋体" w:cs="宋体"/>
      <w:color w:val="FF0000"/>
      <w:sz w:val="22"/>
      <w:szCs w:val="22"/>
      <w:u w:val="none"/>
    </w:rPr>
  </w:style>
  <w:style w:type="character" w:customStyle="1" w:styleId="269">
    <w:name w:val="font41"/>
    <w:basedOn w:val="45"/>
    <w:qFormat/>
    <w:uiPriority w:val="0"/>
    <w:rPr>
      <w:rFonts w:hint="default" w:ascii="等线" w:hAnsi="等线" w:eastAsia="等线" w:cs="等线"/>
      <w:color w:val="FF0000"/>
      <w:sz w:val="22"/>
      <w:szCs w:val="22"/>
      <w:u w:val="none"/>
    </w:rPr>
  </w:style>
  <w:style w:type="character" w:customStyle="1" w:styleId="270">
    <w:name w:val="font21"/>
    <w:basedOn w:val="45"/>
    <w:qFormat/>
    <w:uiPriority w:val="0"/>
    <w:rPr>
      <w:rFonts w:hint="default" w:ascii="等线" w:hAnsi="等线" w:eastAsia="等线" w:cs="等线"/>
      <w:color w:val="000000"/>
      <w:sz w:val="22"/>
      <w:szCs w:val="22"/>
      <w:u w:val="none"/>
    </w:rPr>
  </w:style>
  <w:style w:type="character" w:customStyle="1" w:styleId="271">
    <w:name w:val="font51"/>
    <w:basedOn w:val="45"/>
    <w:qFormat/>
    <w:uiPriority w:val="0"/>
    <w:rPr>
      <w:rFonts w:hint="default" w:ascii="等线" w:hAnsi="等线" w:eastAsia="等线" w:cs="等线"/>
      <w:color w:val="FF0000"/>
      <w:sz w:val="22"/>
      <w:szCs w:val="22"/>
      <w:u w:val="none"/>
    </w:rPr>
  </w:style>
  <w:style w:type="character" w:customStyle="1" w:styleId="272">
    <w:name w:val="font61"/>
    <w:basedOn w:val="45"/>
    <w:qFormat/>
    <w:uiPriority w:val="0"/>
    <w:rPr>
      <w:rFonts w:hint="default" w:ascii="等线" w:hAnsi="等线" w:eastAsia="等线" w:cs="等线"/>
      <w:color w:val="000000"/>
      <w:sz w:val="22"/>
      <w:szCs w:val="22"/>
      <w:u w:val="none"/>
    </w:rPr>
  </w:style>
  <w:style w:type="paragraph" w:customStyle="1" w:styleId="273">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4">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5">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6">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7">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8">
    <w:name w:val="未处理的提及1"/>
    <w:basedOn w:val="45"/>
    <w:unhideWhenUsed/>
    <w:qFormat/>
    <w:uiPriority w:val="99"/>
    <w:rPr>
      <w:color w:val="605E5C"/>
      <w:shd w:val="clear" w:color="auto" w:fill="E1DFDD"/>
    </w:rPr>
  </w:style>
  <w:style w:type="paragraph" w:customStyle="1" w:styleId="279">
    <w:name w:val="p15"/>
    <w:basedOn w:val="1"/>
    <w:qFormat/>
    <w:uiPriority w:val="0"/>
    <w:pPr>
      <w:widowControl/>
      <w:adjustRightInd w:val="0"/>
    </w:pPr>
    <w:rPr>
      <w:rFonts w:ascii="宋体" w:hAnsi="宋体" w:cs="宋体"/>
      <w:kern w:val="0"/>
      <w:sz w:val="20"/>
      <w:szCs w:val="20"/>
    </w:rPr>
  </w:style>
  <w:style w:type="character" w:customStyle="1" w:styleId="280">
    <w:name w:val="bookmark-item"/>
    <w:basedOn w:val="45"/>
    <w:qFormat/>
    <w:uiPriority w:val="0"/>
  </w:style>
  <w:style w:type="paragraph" w:customStyle="1" w:styleId="281">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282">
    <w:name w:val="题注 Char"/>
    <w:link w:val="18"/>
    <w:qFormat/>
    <w:uiPriority w:val="0"/>
    <w:rPr>
      <w:rFonts w:ascii="Calibri" w:hAnsi="Calibri"/>
      <w:kern w:val="2"/>
    </w:rPr>
  </w:style>
  <w:style w:type="paragraph" w:customStyle="1" w:styleId="283">
    <w:name w:val="索引 11"/>
    <w:basedOn w:val="1"/>
    <w:next w:val="1"/>
    <w:qFormat/>
    <w:uiPriority w:val="99"/>
    <w:pPr>
      <w:spacing w:line="360" w:lineRule="auto"/>
    </w:pPr>
    <w:rPr>
      <w:rFonts w:ascii="仿宋_GB2312" w:eastAsia="仿宋_GB2312"/>
      <w:sz w:val="24"/>
      <w:szCs w:val="20"/>
    </w:rPr>
  </w:style>
  <w:style w:type="paragraph" w:customStyle="1" w:styleId="284">
    <w:name w:val="正文缩进1"/>
    <w:basedOn w:val="1"/>
    <w:next w:val="3"/>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5">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86">
    <w:name w:val="页脚 Char2"/>
    <w:qFormat/>
    <w:locked/>
    <w:uiPriority w:val="99"/>
    <w:rPr>
      <w:kern w:val="2"/>
      <w:sz w:val="18"/>
      <w:szCs w:val="18"/>
    </w:rPr>
  </w:style>
  <w:style w:type="character" w:customStyle="1" w:styleId="287">
    <w:name w:val="页眉 Char2"/>
    <w:qFormat/>
    <w:uiPriority w:val="99"/>
    <w:rPr>
      <w:kern w:val="2"/>
      <w:sz w:val="18"/>
      <w:szCs w:val="18"/>
    </w:rPr>
  </w:style>
  <w:style w:type="paragraph" w:customStyle="1" w:styleId="288">
    <w:name w:val="TOC 标题112"/>
    <w:basedOn w:val="8"/>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9">
    <w:name w:val="TOC 标题111"/>
    <w:basedOn w:val="8"/>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90">
    <w:name w:val="批注文字 字符1"/>
    <w:qFormat/>
    <w:uiPriority w:val="0"/>
    <w:rPr>
      <w:rFonts w:eastAsia="宋体"/>
      <w:kern w:val="2"/>
      <w:sz w:val="21"/>
      <w:szCs w:val="24"/>
      <w:lang w:val="en-US" w:eastAsia="zh-CN" w:bidi="ar-SA"/>
    </w:rPr>
  </w:style>
  <w:style w:type="paragraph" w:customStyle="1" w:styleId="291">
    <w:name w:val="标题B"/>
    <w:basedOn w:val="1"/>
    <w:qFormat/>
    <w:uiPriority w:val="0"/>
    <w:pPr>
      <w:numPr>
        <w:ilvl w:val="1"/>
        <w:numId w:val="5"/>
      </w:numPr>
      <w:tabs>
        <w:tab w:val="left" w:pos="360"/>
      </w:tabs>
      <w:adjustRightInd w:val="0"/>
      <w:snapToGrid w:val="0"/>
      <w:spacing w:line="360" w:lineRule="auto"/>
      <w:ind w:left="360" w:hanging="360"/>
    </w:pPr>
    <w:rPr>
      <w:rFonts w:ascii="微软雅黑" w:hAnsi="微软雅黑" w:eastAsia="微软雅黑"/>
      <w:b/>
      <w:bCs/>
      <w:sz w:val="30"/>
      <w:szCs w:val="30"/>
    </w:rPr>
  </w:style>
  <w:style w:type="paragraph" w:customStyle="1" w:styleId="292">
    <w:name w:val="标题A"/>
    <w:basedOn w:val="93"/>
    <w:qFormat/>
    <w:uiPriority w:val="0"/>
    <w:pPr>
      <w:numPr>
        <w:ilvl w:val="0"/>
        <w:numId w:val="5"/>
      </w:numPr>
      <w:tabs>
        <w:tab w:val="left" w:pos="360"/>
      </w:tabs>
      <w:adjustRightInd w:val="0"/>
      <w:snapToGrid w:val="0"/>
      <w:spacing w:line="360" w:lineRule="auto"/>
      <w:ind w:left="360" w:firstLine="0" w:firstLineChars="0"/>
    </w:pPr>
    <w:rPr>
      <w:rFonts w:ascii="微软雅黑" w:hAnsi="微软雅黑" w:eastAsia="微软雅黑"/>
      <w:b/>
      <w:bCs/>
      <w:sz w:val="32"/>
      <w:szCs w:val="32"/>
    </w:rPr>
  </w:style>
  <w:style w:type="paragraph" w:customStyle="1" w:styleId="293">
    <w:name w:val="msonormal"/>
    <w:basedOn w:val="1"/>
    <w:qFormat/>
    <w:uiPriority w:val="0"/>
    <w:pPr>
      <w:widowControl/>
      <w:spacing w:before="100" w:beforeAutospacing="1" w:after="100" w:afterAutospacing="1"/>
      <w:jc w:val="left"/>
    </w:pPr>
    <w:rPr>
      <w:rFonts w:ascii="宋体" w:hAnsi="宋体" w:cs="宋体"/>
      <w:kern w:val="0"/>
      <w:sz w:val="24"/>
    </w:rPr>
  </w:style>
  <w:style w:type="character" w:customStyle="1" w:styleId="294">
    <w:name w:val="未处理的提及2"/>
    <w:basedOn w:val="45"/>
    <w:unhideWhenUsed/>
    <w:qFormat/>
    <w:uiPriority w:val="99"/>
    <w:rPr>
      <w:color w:val="605E5C"/>
      <w:shd w:val="clear" w:color="auto" w:fill="E1DFDD"/>
    </w:rPr>
  </w:style>
  <w:style w:type="paragraph" w:customStyle="1" w:styleId="295">
    <w:name w:val="xl6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6">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styleId="297">
    <w:name w:val="No Spacing"/>
    <w:qFormat/>
    <w:uiPriority w:val="1"/>
    <w:pPr>
      <w:widowControl w:val="0"/>
      <w:ind w:firstLine="480" w:firstLineChars="200"/>
      <w:jc w:val="both"/>
    </w:pPr>
    <w:rPr>
      <w:rFonts w:ascii="Calibri" w:hAnsi="Calibri" w:eastAsia="宋体" w:cs="Times New Roman"/>
      <w:kern w:val="2"/>
      <w:sz w:val="24"/>
      <w:szCs w:val="22"/>
      <w:lang w:val="en-US" w:eastAsia="zh-CN" w:bidi="ar-SA"/>
    </w:rPr>
  </w:style>
  <w:style w:type="paragraph" w:customStyle="1" w:styleId="298">
    <w:name w:val="[Normal]"/>
    <w:qFormat/>
    <w:uiPriority w:val="0"/>
    <w:rPr>
      <w:rFonts w:ascii="宋体" w:hAnsi="宋体" w:eastAsia="宋体" w:cs="Times New Roman"/>
      <w:sz w:val="24"/>
      <w:szCs w:val="22"/>
      <w:lang w:val="zh-CN" w:eastAsia="zh-CN" w:bidi="ar-SA"/>
    </w:rPr>
  </w:style>
  <w:style w:type="paragraph" w:customStyle="1" w:styleId="299">
    <w:name w:val="Table Paragraph"/>
    <w:basedOn w:val="1"/>
    <w:qFormat/>
    <w:uiPriority w:val="1"/>
    <w:rPr>
      <w:rFonts w:ascii="宋体" w:hAnsi="宋体" w:eastAsia="宋体" w:cs="宋体"/>
      <w:lang w:val="zh-CN" w:bidi="zh-CN"/>
    </w:rPr>
  </w:style>
  <w:style w:type="paragraph" w:customStyle="1" w:styleId="300">
    <w:name w:val="__正文"/>
    <w:qFormat/>
    <w:uiPriority w:val="0"/>
    <w:pPr>
      <w:spacing w:line="360" w:lineRule="auto"/>
      <w:ind w:firstLine="200" w:firstLineChars="200"/>
    </w:pPr>
    <w:rPr>
      <w:rFonts w:ascii="Calibri" w:hAnsi="Calibri" w:eastAsia="宋体" w:cs="Times New Roman"/>
      <w:kern w:val="2"/>
      <w:sz w:val="21"/>
      <w:szCs w:val="21"/>
      <w:lang w:val="en-US" w:eastAsia="zh-CN" w:bidi="ar-SA"/>
    </w:rPr>
  </w:style>
  <w:style w:type="paragraph" w:customStyle="1" w:styleId="301">
    <w:name w:val="列出段落"/>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3.emf"/><Relationship Id="rId13" Type="http://schemas.openxmlformats.org/officeDocument/2006/relationships/oleObject" Target="embeddings/oleObject3.bin"/><Relationship Id="rId12" Type="http://schemas.openxmlformats.org/officeDocument/2006/relationships/image" Target="media/image2.emf"/><Relationship Id="rId11" Type="http://schemas.openxmlformats.org/officeDocument/2006/relationships/oleObject" Target="embeddings/oleObject2.bin"/><Relationship Id="rId10" Type="http://schemas.openxmlformats.org/officeDocument/2006/relationships/image" Target="media/image1.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82"/>
    <customShpInfo spid="_x0000_s208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8EFB2D-5EA4-4C48-AF09-C23388147349}">
  <ds:schemaRefs/>
</ds:datastoreItem>
</file>

<file path=docProps/app.xml><?xml version="1.0" encoding="utf-8"?>
<Properties xmlns="http://schemas.openxmlformats.org/officeDocument/2006/extended-properties" xmlns:vt="http://schemas.openxmlformats.org/officeDocument/2006/docPropsVTypes">
  <Template>Normal.dotm</Template>
  <Pages>81</Pages>
  <Words>44240</Words>
  <Characters>46909</Characters>
  <Lines>490</Lines>
  <Paragraphs>138</Paragraphs>
  <TotalTime>5</TotalTime>
  <ScaleCrop>false</ScaleCrop>
  <LinksUpToDate>false</LinksUpToDate>
  <CharactersWithSpaces>53099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2022-11-04T09:21:00Z</dcterms:created>
  <dc:creator>Administrator</dc:creator>
  <cp:lastModifiedBy>無珂鲰玳k&amp;o_O</cp:lastModifiedBy>
  <cp:lastPrinted>2022-11-15T09:02:00Z</cp:lastPrinted>
  <dcterms:modified xsi:type="dcterms:W3CDTF">2023-05-16T08:25:41Z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71E56E4DFC2F4E3D9239AD46D67D7E35</vt:lpwstr>
  </property>
</Properties>
</file>