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绍兴市中医院食堂牛奶配送及相关服务项目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TYJZ2023</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二○二三年</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451" w:hRule="atLeast"/>
        </w:trPr>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绍兴市中医院食堂牛奶配送及相关服务项目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获取招标文件，并于2023年月日 09:00（北京时间）前递交投标文件。</w:t>
                  </w:r>
                </w:p>
              </w:tc>
            </w:tr>
          </w:tbl>
          <w:p>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TYJZ2023</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绍兴市中医院食堂牛奶配送及相关服务项目</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400000</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400000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食堂牛奶配送及相关服务项目</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400000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1"/>
              <w:spacing w:afterLines="0" w:line="44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eastAsia="zh-CN"/>
              </w:rPr>
              <w:t>无</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b/>
                <w:bCs/>
                <w:color w:val="auto"/>
                <w:szCs w:val="24"/>
                <w:highlight w:val="none"/>
                <w:lang w:val="en-US" w:eastAsia="zh-CN"/>
              </w:rPr>
              <w:t>具有食品经营许可证或食品生产许可证；</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提交投标文件截止时间：2023年月日 09:00（北京时间）</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绍兴市越城区朝皇路58号正大综合楼601泰宇咨询会议室</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开标时间：2023年月日 09:00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绍兴市越城区朝皇路58号正大综合楼601会议室（泰宇咨询）</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樊慧芳</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w:t>
            </w:r>
            <w:r>
              <w:rPr>
                <w:rFonts w:hint="eastAsia" w:ascii="仿宋" w:hAnsi="仿宋" w:eastAsia="仿宋" w:cs="仿宋"/>
                <w:color w:val="auto"/>
                <w:kern w:val="0"/>
                <w:sz w:val="24"/>
                <w:highlight w:val="none"/>
                <w:lang w:val="en-US" w:eastAsia="zh-CN"/>
              </w:rPr>
              <w:t>107008</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tc>
      </w:tr>
      <w:tr>
        <w:tblPrEx>
          <w:tblCellMar>
            <w:top w:w="0" w:type="dxa"/>
            <w:left w:w="0" w:type="dxa"/>
            <w:bottom w:w="0" w:type="dxa"/>
            <w:right w:w="0" w:type="dxa"/>
          </w:tblCellMar>
        </w:tblPrEx>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有，详见招标文件“第三部分 招标项目范围及要求</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lang w:eastAsia="zh-CN"/>
              </w:rPr>
              <w:t>六、样品”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370" w:type="dxa"/>
            <w:gridSpan w:val="2"/>
            <w:vAlign w:val="center"/>
          </w:tcPr>
          <w:p>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62%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8"/>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7"/>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7"/>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7"/>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7"/>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7"/>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5"/>
        <w:snapToGrid w:val="0"/>
        <w:spacing w:line="440" w:lineRule="exact"/>
        <w:rPr>
          <w:rFonts w:hint="eastAsia" w:ascii="仿宋" w:hAnsi="仿宋" w:eastAsia="仿宋" w:cs="仿宋"/>
          <w:color w:val="auto"/>
          <w:sz w:val="24"/>
          <w:highlight w:val="none"/>
          <w:lang w:val="zh-CN"/>
        </w:rPr>
      </w:pPr>
      <w:bookmarkStart w:id="1" w:name="_Hlt68072998"/>
      <w:bookmarkEnd w:id="1"/>
      <w:bookmarkStart w:id="2" w:name="_Hlt68403820"/>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5"/>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7"/>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7"/>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7"/>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7"/>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7"/>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7"/>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5"/>
        <w:snapToGrid w:val="0"/>
        <w:spacing w:line="440" w:lineRule="exact"/>
        <w:jc w:val="left"/>
        <w:rPr>
          <w:rFonts w:hint="eastAsia" w:ascii="仿宋" w:hAnsi="仿宋" w:eastAsia="仿宋" w:cs="仿宋"/>
          <w:b/>
          <w:color w:val="auto"/>
          <w:sz w:val="24"/>
          <w:szCs w:val="24"/>
          <w:highlight w:val="none"/>
        </w:rPr>
      </w:pPr>
      <w:bookmarkStart w:id="4" w:name="_Toc84325929"/>
      <w:bookmarkStart w:id="5" w:name="_Toc81372776"/>
      <w:bookmarkStart w:id="6" w:name="_Toc81372953"/>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5"/>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pPr>
        <w:pStyle w:val="17"/>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7"/>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7"/>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7"/>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7"/>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5"/>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pacing w:line="360" w:lineRule="auto"/>
        <w:ind w:firstLine="482" w:firstLineChars="200"/>
        <w:outlineLvl w:val="0"/>
        <w:rPr>
          <w:rFonts w:hint="eastAsia" w:ascii="仿宋" w:hAnsi="仿宋" w:eastAsia="仿宋" w:cs="仿宋"/>
          <w:color w:val="auto"/>
          <w:sz w:val="21"/>
          <w:szCs w:val="21"/>
          <w:highlight w:val="none"/>
          <w:lang w:val="en-US"/>
        </w:rPr>
      </w:pPr>
      <w:bookmarkStart w:id="7" w:name="_Toc81372787"/>
      <w:bookmarkStart w:id="8" w:name="_Toc84325981"/>
      <w:bookmarkStart w:id="9" w:name="_Toc81372964"/>
      <w:bookmarkStart w:id="10" w:name="_Toc80157775"/>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szCs w:val="24"/>
          <w:highlight w:val="none"/>
          <w:lang w:eastAsia="zh-CN"/>
        </w:rPr>
        <w:t>食堂牛奶配送及相关服务项目</w:t>
      </w:r>
      <w:r>
        <w:rPr>
          <w:rFonts w:hint="eastAsia" w:ascii="仿宋" w:hAnsi="仿宋" w:eastAsia="仿宋" w:cs="仿宋"/>
          <w:b/>
          <w:color w:val="auto"/>
          <w:sz w:val="24"/>
          <w:highlight w:val="none"/>
          <w:lang w:eastAsia="zh-CN"/>
        </w:rPr>
        <w:t>，预算：</w:t>
      </w:r>
      <w:r>
        <w:rPr>
          <w:rFonts w:hint="eastAsia" w:ascii="仿宋" w:hAnsi="仿宋" w:eastAsia="仿宋" w:cs="仿宋"/>
          <w:b/>
          <w:color w:val="auto"/>
          <w:sz w:val="24"/>
          <w:highlight w:val="none"/>
          <w:lang w:val="en-US" w:eastAsia="zh-CN"/>
        </w:rPr>
        <w:t>40万元</w:t>
      </w:r>
    </w:p>
    <w:p>
      <w:pPr>
        <w:pStyle w:val="8"/>
        <w:numPr>
          <w:ilvl w:val="0"/>
          <w:numId w:val="0"/>
        </w:numPr>
        <w:spacing w:before="120" w:beforeLines="50" w:after="120" w:afterLines="5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一、项目概述</w:t>
      </w:r>
    </w:p>
    <w:p>
      <w:pPr>
        <w:pStyle w:val="8"/>
        <w:numPr>
          <w:ilvl w:val="0"/>
          <w:numId w:val="8"/>
        </w:numPr>
        <w:spacing w:before="120" w:beforeLines="50" w:after="120" w:afterLines="50"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绍兴市中医院食堂牛奶配送及相关服务，根据招标人要求按需分批供应等相关服务。</w:t>
      </w:r>
    </w:p>
    <w:p>
      <w:pPr>
        <w:pStyle w:val="8"/>
        <w:spacing w:before="120" w:beforeLines="50" w:after="120" w:afterLines="50"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2、服务期：具体起止时间在签订合同时由招标人确定，冷藏鲜奶、酸奶采购时间为1年，常温奶采购时间从2023.09.01开始至冷藏鲜奶、酸奶合同结束时间一致。</w:t>
      </w:r>
    </w:p>
    <w:p>
      <w:pPr>
        <w:pStyle w:val="8"/>
        <w:spacing w:before="120" w:beforeLines="50" w:after="120" w:afterLines="50"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3、交货期：投标人按招标人要求供应，招标人确定订货品种、数量后在每天13:00点前将次日货物需求计划电话或者其他通讯方式通知投标人，投标人凭此发货。</w:t>
      </w:r>
    </w:p>
    <w:p>
      <w:pPr>
        <w:pStyle w:val="8"/>
        <w:spacing w:before="120" w:beforeLines="50" w:after="120" w:afterLines="50"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4.招标人需要临时补货时，投标人接到招标人临时供货通知后1小时内响应，并承诺当日2小时内将货物送达招标人指定地点。</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5、供应地点：绍兴市中医院招标人指定地点（绍兴市越城区人民中路641号）。</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6、每天的供货量按采购人实际需求提供，货到采购人指定的地点。</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7、有专门的联络人员，自行配备相应的运输和配送工具。</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8、负责产品售后服务。</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9、中标人在合同期内免费提供配套冷藏牛奶的冰箱。</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二、对生产企业及饮用奶要求</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1、有稳定、优质的鲜奶原料基地，奶牛饲养达到规范要求，卫生防疫体系健全；有符合相应规范要求的生产工艺和设备条件；</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2、有健全完善的经营管理制度和质量保证体系；</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3、有必备的检验仪器设备和素质良好的专职检验人员；</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4、有稳定的货物质量，未发生过货物质量事故；</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5、有完善的、高效的配送和服务系统。</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6、饮用奶质量及其标识必须符合最新的国家标准的规定；</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7、按采购人要求提供所供应的饮用奶产品检验报告，批次检验合格证。</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8、配送到医院必须采用符合国家标准的饮用奶专用运输设备和储藏保鲜设备。</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三、配送要求</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1、供应商具有医院食堂饮用奶所必须的配送能力，每天配送，所送货物必须是最近生产的，无任何质量问题。</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2、包装与标志要求</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包装：容器(框、箱、袋)要求清洁、干燥、牢固、透气，无污染、无异味、无霉变现象。</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标志：每件包装必须按《农产品包装和标识管理办法》贴标签，并标明产地、品种、净含量、生产单位及地址和采收日期。</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运输要求：运输工具应清洁卫生无污染，食品运输必须采用符合卫生标准的外包装和运载工具，并且要保持清洁和定期消毒。运输车厢的内仓，包括地面、墙面和顶，应使用抗腐蚀、防潮，易清洁消毒的材料。车厢内无不良气味、异味；运输途中严防日晒、雨淋，注意通风散热；应小心轻卸，严防机械损伤。食品堆放科学合理，避免造成食品的交叉污染；如对温度有要求的食品应确定食品的温度，记录送货车辆温度，并记录存档。</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4、数量方面要求：保证配送品种数量的准确性，以采购人的验货数量为准，投标人每次随货送上一式两份的送货清单，供双方验货后签字确认，双方各持一份，作为送、收货的凭证。</w:t>
      </w:r>
    </w:p>
    <w:p>
      <w:pPr>
        <w:pStyle w:val="8"/>
        <w:keepNext w:val="0"/>
        <w:keepLines w:val="0"/>
        <w:pageBreakBefore w:val="0"/>
        <w:widowControl w:val="0"/>
        <w:kinsoku/>
        <w:wordWrap/>
        <w:overflowPunct/>
        <w:topLinePunct w:val="0"/>
        <w:autoSpaceDE/>
        <w:autoSpaceDN/>
        <w:bidi w:val="0"/>
        <w:adjustRightInd/>
        <w:snapToGrid/>
        <w:spacing w:before="120" w:beforeLines="50" w:after="120" w:afterLines="5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5、对于不符合质量的品种招标人可退货或换货（由于产品质量而造成员工或宾客发生安全事故时，投标人须承担全部责任）。</w:t>
      </w:r>
    </w:p>
    <w:p>
      <w:pPr>
        <w:pStyle w:val="8"/>
        <w:spacing w:before="120" w:beforeLines="50" w:after="120" w:afterLines="5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四、质量要求</w:t>
      </w:r>
    </w:p>
    <w:p>
      <w:pPr>
        <w:pStyle w:val="8"/>
        <w:spacing w:before="120" w:beforeLines="50" w:after="120" w:afterLines="50"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1.符合国家标准和《食品卫生法》的合格产品，冷藏鲜奶、酸奶货到招标人指定地点离生产日期不得大于2天。常温奶货到招标人指定地点算起不少于产品自带的2/3段保质期；</w:t>
      </w:r>
    </w:p>
    <w:p>
      <w:pPr>
        <w:pStyle w:val="8"/>
        <w:spacing w:before="120" w:beforeLines="50" w:after="120" w:afterLines="50"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2.在保质期内，产品符合储存、运输等相关规定条件下，投标人对因产品质量问题造成招标人的损失负全部责任。 </w:t>
      </w:r>
    </w:p>
    <w:p>
      <w:pPr>
        <w:pStyle w:val="8"/>
        <w:spacing w:before="120" w:beforeLines="50" w:after="120" w:afterLines="50"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3.投标人在每次供货时，必须出具该批货物的检验合格证，并应严格按照国家食品卫生安全要求包装。包装内附上出厂合格证，要求注明生产厂家、生产日期、保质期等。</w:t>
      </w:r>
    </w:p>
    <w:p>
      <w:pPr>
        <w:numPr>
          <w:ilvl w:val="0"/>
          <w:numId w:val="9"/>
        </w:numPr>
        <w:snapToGrid w:val="0"/>
        <w:spacing w:line="360" w:lineRule="auto"/>
        <w:ind w:firstLine="472" w:firstLineChars="196"/>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服务期配送货物需求及规格一览表（</w:t>
      </w:r>
      <w:r>
        <w:rPr>
          <w:rFonts w:hint="eastAsia" w:ascii="仿宋" w:hAnsi="仿宋" w:eastAsia="仿宋" w:cs="仿宋"/>
          <w:b/>
          <w:bCs/>
          <w:color w:val="auto"/>
          <w:sz w:val="24"/>
          <w:szCs w:val="24"/>
          <w:highlight w:val="none"/>
          <w:lang w:val="en-US" w:eastAsia="zh-CN"/>
        </w:rPr>
        <w:t>★）</w:t>
      </w:r>
    </w:p>
    <w:tbl>
      <w:tblPr>
        <w:tblStyle w:val="4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9"/>
        <w:gridCol w:w="765"/>
        <w:gridCol w:w="2790"/>
        <w:gridCol w:w="1515"/>
        <w:gridCol w:w="768"/>
        <w:gridCol w:w="938"/>
        <w:gridCol w:w="726"/>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947" w:type="dxa"/>
            <w:gridSpan w:val="8"/>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牛奶产品明细表—冷藏鲜奶、酸奶    预算表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29"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序号</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品牌</w:t>
            </w:r>
          </w:p>
        </w:tc>
        <w:tc>
          <w:tcPr>
            <w:tcW w:w="27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品名</w:t>
            </w:r>
          </w:p>
        </w:tc>
        <w:tc>
          <w:tcPr>
            <w:tcW w:w="15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规格</w:t>
            </w:r>
          </w:p>
        </w:tc>
        <w:tc>
          <w:tcPr>
            <w:tcW w:w="76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计量单位</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上限价格</w:t>
            </w:r>
          </w:p>
        </w:tc>
        <w:tc>
          <w:tcPr>
            <w:tcW w:w="72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参考采购数量</w:t>
            </w:r>
          </w:p>
        </w:tc>
        <w:tc>
          <w:tcPr>
            <w:tcW w:w="81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29"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27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kern w:val="2"/>
                <w:sz w:val="24"/>
                <w:szCs w:val="24"/>
                <w:highlight w:val="none"/>
                <w:lang w:val="en-US" w:eastAsia="zh-CN" w:bidi="ar-SA"/>
              </w:rPr>
            </w:pPr>
          </w:p>
        </w:tc>
        <w:tc>
          <w:tcPr>
            <w:tcW w:w="151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76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（元）</w:t>
            </w:r>
          </w:p>
        </w:tc>
        <w:tc>
          <w:tcPr>
            <w:tcW w:w="72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8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光明</w:t>
            </w: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光明优培鲜奶</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200ml</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盒</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5900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光明酸奶</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190g</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盒</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3.7</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光明益生菌八连杯</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100g×8</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组</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14.2</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伊利</w:t>
            </w: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伊利鲜牛奶</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1500ml</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壶</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24.5</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十六连原味</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100ml×16</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组</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w:t>
            </w:r>
          </w:p>
        </w:tc>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十六连红枣</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100ml×16</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组</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26</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蒙牛</w:t>
            </w: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每日鲜语鲜牛奶PET瓶装</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250ml</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瓶</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8.5</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w:t>
            </w:r>
          </w:p>
        </w:tc>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冠益乳轻盈舒畅草莓燕麦风味发酵乳利乐冠</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250g</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瓶</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w:t>
            </w:r>
          </w:p>
        </w:tc>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优益C活菌型乳酸菌饮品原味塑料瓶</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340ml</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瓶</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467"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合计</w:t>
            </w:r>
          </w:p>
        </w:tc>
        <w:tc>
          <w:tcPr>
            <w:tcW w:w="248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29" w:type="dxa"/>
            <w:tcBorders>
              <w:top w:val="nil"/>
              <w:left w:val="nil"/>
              <w:bottom w:val="nil"/>
              <w:right w:val="nil"/>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765" w:type="dxa"/>
            <w:tcBorders>
              <w:top w:val="nil"/>
              <w:left w:val="nil"/>
              <w:bottom w:val="nil"/>
              <w:right w:val="nil"/>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2790" w:type="dxa"/>
            <w:tcBorders>
              <w:top w:val="nil"/>
              <w:left w:val="nil"/>
              <w:bottom w:val="nil"/>
              <w:right w:val="nil"/>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1515" w:type="dxa"/>
            <w:tcBorders>
              <w:top w:val="nil"/>
              <w:left w:val="nil"/>
              <w:bottom w:val="nil"/>
              <w:right w:val="nil"/>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768" w:type="dxa"/>
            <w:tcBorders>
              <w:top w:val="nil"/>
              <w:left w:val="nil"/>
              <w:bottom w:val="nil"/>
              <w:right w:val="nil"/>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938" w:type="dxa"/>
            <w:tcBorders>
              <w:top w:val="nil"/>
              <w:left w:val="nil"/>
              <w:bottom w:val="nil"/>
              <w:right w:val="nil"/>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726" w:type="dxa"/>
            <w:tcBorders>
              <w:top w:val="nil"/>
              <w:left w:val="nil"/>
              <w:bottom w:val="nil"/>
              <w:right w:val="nil"/>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816" w:type="dxa"/>
            <w:tcBorders>
              <w:top w:val="nil"/>
              <w:left w:val="nil"/>
              <w:bottom w:val="nil"/>
              <w:right w:val="nil"/>
            </w:tcBorders>
            <w:noWrap/>
            <w:vAlign w:val="center"/>
          </w:tcPr>
          <w:p>
            <w:pPr>
              <w:rPr>
                <w:rFonts w:hint="eastAsia" w:ascii="仿宋" w:hAnsi="仿宋" w:eastAsia="仿宋" w:cs="仿宋"/>
                <w:color w:val="auto"/>
                <w:kern w:val="2"/>
                <w:sz w:val="24"/>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8947" w:type="dxa"/>
            <w:gridSpan w:val="8"/>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牛奶产品明细表—常温奶     预算表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29"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序号</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品牌</w:t>
            </w:r>
          </w:p>
        </w:tc>
        <w:tc>
          <w:tcPr>
            <w:tcW w:w="27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品名</w:t>
            </w:r>
          </w:p>
        </w:tc>
        <w:tc>
          <w:tcPr>
            <w:tcW w:w="15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规格</w:t>
            </w:r>
          </w:p>
        </w:tc>
        <w:tc>
          <w:tcPr>
            <w:tcW w:w="76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计量单位</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上限价格</w:t>
            </w:r>
          </w:p>
        </w:tc>
        <w:tc>
          <w:tcPr>
            <w:tcW w:w="72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参考采购数量</w:t>
            </w:r>
          </w:p>
        </w:tc>
        <w:tc>
          <w:tcPr>
            <w:tcW w:w="81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29"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27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kern w:val="2"/>
                <w:sz w:val="24"/>
                <w:szCs w:val="24"/>
                <w:highlight w:val="none"/>
                <w:lang w:val="en-US" w:eastAsia="zh-CN" w:bidi="ar-SA"/>
              </w:rPr>
            </w:pPr>
          </w:p>
        </w:tc>
        <w:tc>
          <w:tcPr>
            <w:tcW w:w="151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76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（元）</w:t>
            </w:r>
          </w:p>
        </w:tc>
        <w:tc>
          <w:tcPr>
            <w:tcW w:w="72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c>
          <w:tcPr>
            <w:tcW w:w="8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4"/>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伊利</w:t>
            </w: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伊利金典纯牛奶</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250ml×12</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提</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50</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蒙牛</w:t>
            </w: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蒙牛特仑苏纯牛奶</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250ml×12</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提</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48</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光明</w:t>
            </w:r>
          </w:p>
        </w:tc>
        <w:tc>
          <w:tcPr>
            <w:tcW w:w="2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光明莫斯利安酸奶</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250g×12</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提</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48</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1000</w:t>
            </w:r>
          </w:p>
        </w:tc>
        <w:tc>
          <w:tcPr>
            <w:tcW w:w="8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184"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合计</w:t>
            </w:r>
          </w:p>
        </w:tc>
        <w:tc>
          <w:tcPr>
            <w:tcW w:w="4763"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146000</w:t>
            </w:r>
          </w:p>
        </w:tc>
      </w:tr>
    </w:tbl>
    <w:p>
      <w:pPr>
        <w:widowControl w:val="0"/>
        <w:numPr>
          <w:ilvl w:val="0"/>
          <w:numId w:val="0"/>
        </w:numPr>
        <w:snapToGrid w:val="0"/>
        <w:spacing w:line="360" w:lineRule="auto"/>
        <w:jc w:val="left"/>
        <w:rPr>
          <w:rFonts w:hint="eastAsia" w:ascii="仿宋" w:hAnsi="仿宋" w:eastAsia="仿宋" w:cs="仿宋"/>
          <w:color w:val="auto"/>
          <w:kern w:val="2"/>
          <w:sz w:val="24"/>
          <w:szCs w:val="24"/>
          <w:highlight w:val="none"/>
          <w:lang w:val="en-US" w:eastAsia="zh-CN" w:bidi="ar-SA"/>
        </w:rPr>
      </w:pPr>
    </w:p>
    <w:p>
      <w:pPr>
        <w:snapToGrid w:val="0"/>
        <w:spacing w:line="360" w:lineRule="auto"/>
        <w:ind w:firstLine="470" w:firstLineChars="196"/>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注：1、表中品规必须全部满足提供，缺项作无效标处理。</w:t>
      </w:r>
    </w:p>
    <w:p>
      <w:pPr>
        <w:pStyle w:val="8"/>
        <w:numPr>
          <w:ilvl w:val="0"/>
          <w:numId w:val="8"/>
        </w:numPr>
        <w:spacing w:before="120" w:beforeLines="50" w:after="120" w:afterLines="50" w:line="360" w:lineRule="auto"/>
        <w:ind w:left="420" w:leftChars="20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参考采购数量为预估采购数量，实际采购数量根据医院需求确定。</w:t>
      </w:r>
    </w:p>
    <w:p>
      <w:pPr>
        <w:pStyle w:val="8"/>
        <w:numPr>
          <w:ilvl w:val="0"/>
          <w:numId w:val="8"/>
        </w:numPr>
        <w:spacing w:before="120" w:beforeLines="50" w:after="120" w:afterLines="50" w:line="360" w:lineRule="auto"/>
        <w:ind w:left="420" w:leftChars="200"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采购人如需采购不在《服务期配送货物需求及规格一览表》内的牛奶，按周边超市的平均售价*中标扣率的价格执行。</w:t>
      </w:r>
    </w:p>
    <w:p>
      <w:pPr>
        <w:snapToGrid w:val="0"/>
        <w:spacing w:line="360" w:lineRule="auto"/>
        <w:ind w:firstLine="472" w:firstLineChars="196"/>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六、样品</w:t>
      </w:r>
    </w:p>
    <w:p>
      <w:pPr>
        <w:snapToGrid w:val="0"/>
        <w:spacing w:line="360" w:lineRule="auto"/>
        <w:ind w:left="726" w:leftChars="228" w:hanging="247" w:hangingChars="103"/>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1、样品提交地址：</w:t>
      </w:r>
      <w:r>
        <w:rPr>
          <w:rFonts w:hint="eastAsia" w:ascii="仿宋" w:hAnsi="仿宋" w:eastAsia="仿宋" w:cs="仿宋"/>
          <w:color w:val="auto"/>
          <w:sz w:val="24"/>
          <w:szCs w:val="24"/>
          <w:highlight w:val="none"/>
        </w:rPr>
        <w:t>绍兴市</w:t>
      </w:r>
      <w:r>
        <w:rPr>
          <w:rFonts w:hint="eastAsia" w:ascii="仿宋" w:hAnsi="仿宋" w:eastAsia="仿宋" w:cs="仿宋"/>
          <w:color w:val="auto"/>
          <w:sz w:val="24"/>
          <w:szCs w:val="24"/>
          <w:highlight w:val="none"/>
          <w:lang w:eastAsia="zh-CN"/>
        </w:rPr>
        <w:t>朝皇路</w:t>
      </w:r>
      <w:r>
        <w:rPr>
          <w:rFonts w:hint="eastAsia" w:ascii="仿宋" w:hAnsi="仿宋" w:eastAsia="仿宋" w:cs="仿宋"/>
          <w:color w:val="auto"/>
          <w:sz w:val="24"/>
          <w:szCs w:val="24"/>
          <w:highlight w:val="none"/>
          <w:lang w:val="en-US" w:eastAsia="zh-CN"/>
        </w:rPr>
        <w:t>58号正大综合楼601（泰宇咨询）开标室</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rPr>
        <w:t>送样联系方式：</w:t>
      </w:r>
      <w:r>
        <w:rPr>
          <w:rFonts w:hint="eastAsia" w:ascii="仿宋" w:hAnsi="仿宋" w:eastAsia="仿宋" w:cs="仿宋"/>
          <w:color w:val="auto"/>
          <w:sz w:val="24"/>
          <w:szCs w:val="24"/>
          <w:highlight w:val="none"/>
          <w:lang w:eastAsia="zh-CN"/>
        </w:rPr>
        <w:t>金锦英</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13656752180/0575-88226969。</w:t>
      </w:r>
      <w:r>
        <w:rPr>
          <w:rFonts w:hint="eastAsia" w:ascii="仿宋" w:hAnsi="仿宋" w:eastAsia="仿宋" w:cs="仿宋"/>
          <w:color w:val="auto"/>
          <w:kern w:val="2"/>
          <w:sz w:val="24"/>
          <w:szCs w:val="24"/>
          <w:highlight w:val="none"/>
          <w:lang w:val="en-US" w:eastAsia="zh-CN" w:bidi="ar-SA"/>
        </w:rPr>
        <w:t xml:space="preserve"> </w:t>
      </w:r>
    </w:p>
    <w:p>
      <w:pPr>
        <w:snapToGrid w:val="0"/>
        <w:spacing w:line="360" w:lineRule="auto"/>
        <w:ind w:firstLine="470" w:firstLineChars="196"/>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2、样品递交截止时间同投标截止时间，投标截止时间之后送达的样品不予接收。</w:t>
      </w:r>
    </w:p>
    <w:p>
      <w:pPr>
        <w:snapToGrid w:val="0"/>
        <w:spacing w:line="360" w:lineRule="auto"/>
        <w:ind w:firstLine="470" w:firstLineChars="196"/>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3、评审结束后，未中标的样品按招标或代理机构通知时间取回，否则招标人或代理机构不负保管责任。</w:t>
      </w:r>
    </w:p>
    <w:p>
      <w:pPr>
        <w:snapToGrid w:val="0"/>
        <w:spacing w:line="360" w:lineRule="auto"/>
        <w:ind w:firstLine="470" w:firstLineChars="196"/>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4、中标人的样品不退还，由招标人保管、封存，并作为履约验收的依据，最终产品规格质量低于投标时提供样品质量的，招标人有权按不合格产品退货。</w:t>
      </w:r>
    </w:p>
    <w:p>
      <w:pPr>
        <w:snapToGrid w:val="0"/>
        <w:spacing w:line="360" w:lineRule="auto"/>
        <w:ind w:firstLine="470" w:firstLineChars="196"/>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样品包装由投标人自定，在样品的合适位置需牢固粘贴标记，标记上至少注明样品名称、规格或型号、品牌或制造商、投标人名称（加盖单位公章），投标人递交样品同时提供“样品清单表”一式二份并加盖公章，以便递交和退回时核对。</w:t>
      </w:r>
    </w:p>
    <w:p>
      <w:pPr>
        <w:snapToGrid w:val="0"/>
        <w:spacing w:line="360" w:lineRule="auto"/>
        <w:ind w:firstLine="470" w:firstLineChars="196"/>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6、如投标人采用邮寄方式寄送样品，未按时送达及破损等风险自行承担。</w:t>
      </w:r>
    </w:p>
    <w:p>
      <w:pPr>
        <w:snapToGrid w:val="0"/>
        <w:spacing w:line="360" w:lineRule="auto"/>
        <w:ind w:firstLine="470" w:firstLineChars="196"/>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7、投标样品清单</w:t>
      </w:r>
    </w:p>
    <w:tbl>
      <w:tblPr>
        <w:tblStyle w:val="43"/>
        <w:tblW w:w="5000" w:type="pct"/>
        <w:tblInd w:w="0" w:type="dxa"/>
        <w:tblLayout w:type="fixed"/>
        <w:tblCellMar>
          <w:top w:w="0" w:type="dxa"/>
          <w:left w:w="108" w:type="dxa"/>
          <w:bottom w:w="0" w:type="dxa"/>
          <w:right w:w="108" w:type="dxa"/>
        </w:tblCellMar>
      </w:tblPr>
      <w:tblGrid>
        <w:gridCol w:w="2607"/>
        <w:gridCol w:w="4380"/>
        <w:gridCol w:w="778"/>
        <w:gridCol w:w="730"/>
      </w:tblGrid>
      <w:tr>
        <w:tblPrEx>
          <w:tblCellMar>
            <w:top w:w="0" w:type="dxa"/>
            <w:left w:w="108" w:type="dxa"/>
            <w:bottom w:w="0" w:type="dxa"/>
            <w:right w:w="108" w:type="dxa"/>
          </w:tblCellMar>
        </w:tblPrEx>
        <w:trPr>
          <w:trHeight w:val="755" w:hRule="atLeast"/>
        </w:trPr>
        <w:tc>
          <w:tcPr>
            <w:tcW w:w="1534"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对应服务期配送货物需求及规格型号一览表序号</w:t>
            </w:r>
          </w:p>
        </w:tc>
        <w:tc>
          <w:tcPr>
            <w:tcW w:w="2578"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产品名称</w:t>
            </w:r>
          </w:p>
        </w:tc>
        <w:tc>
          <w:tcPr>
            <w:tcW w:w="45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计量单位</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数量</w:t>
            </w:r>
          </w:p>
        </w:tc>
      </w:tr>
      <w:tr>
        <w:tblPrEx>
          <w:tblCellMar>
            <w:top w:w="0" w:type="dxa"/>
            <w:left w:w="108" w:type="dxa"/>
            <w:bottom w:w="0" w:type="dxa"/>
            <w:right w:w="108" w:type="dxa"/>
          </w:tblCellMar>
        </w:tblPrEx>
        <w:trPr>
          <w:trHeight w:val="285" w:hRule="atLeast"/>
        </w:trPr>
        <w:tc>
          <w:tcPr>
            <w:tcW w:w="1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c>
          <w:tcPr>
            <w:tcW w:w="25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光明优培</w:t>
            </w:r>
          </w:p>
        </w:tc>
        <w:tc>
          <w:tcPr>
            <w:tcW w:w="4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盒</w:t>
            </w:r>
          </w:p>
        </w:tc>
        <w:tc>
          <w:tcPr>
            <w:tcW w:w="429"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r>
      <w:tr>
        <w:tblPrEx>
          <w:tblCellMar>
            <w:top w:w="0" w:type="dxa"/>
            <w:left w:w="108" w:type="dxa"/>
            <w:bottom w:w="0" w:type="dxa"/>
            <w:right w:w="108" w:type="dxa"/>
          </w:tblCellMar>
        </w:tblPrEx>
        <w:trPr>
          <w:trHeight w:val="285" w:hRule="atLeast"/>
        </w:trPr>
        <w:tc>
          <w:tcPr>
            <w:tcW w:w="1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25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光明酸奶</w:t>
            </w:r>
          </w:p>
        </w:tc>
        <w:tc>
          <w:tcPr>
            <w:tcW w:w="4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盒</w:t>
            </w:r>
          </w:p>
        </w:tc>
        <w:tc>
          <w:tcPr>
            <w:tcW w:w="429"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r>
      <w:tr>
        <w:tblPrEx>
          <w:tblCellMar>
            <w:top w:w="0" w:type="dxa"/>
            <w:left w:w="108" w:type="dxa"/>
            <w:bottom w:w="0" w:type="dxa"/>
            <w:right w:w="108" w:type="dxa"/>
          </w:tblCellMar>
        </w:tblPrEx>
        <w:trPr>
          <w:trHeight w:val="285" w:hRule="atLeast"/>
        </w:trPr>
        <w:tc>
          <w:tcPr>
            <w:tcW w:w="1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25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光明益生菌八连杯</w:t>
            </w:r>
          </w:p>
        </w:tc>
        <w:tc>
          <w:tcPr>
            <w:tcW w:w="4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组</w:t>
            </w:r>
          </w:p>
        </w:tc>
        <w:tc>
          <w:tcPr>
            <w:tcW w:w="429"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r>
      <w:tr>
        <w:tblPrEx>
          <w:tblCellMar>
            <w:top w:w="0" w:type="dxa"/>
            <w:left w:w="108" w:type="dxa"/>
            <w:bottom w:w="0" w:type="dxa"/>
            <w:right w:w="108" w:type="dxa"/>
          </w:tblCellMar>
        </w:tblPrEx>
        <w:trPr>
          <w:trHeight w:val="285" w:hRule="atLeast"/>
        </w:trPr>
        <w:tc>
          <w:tcPr>
            <w:tcW w:w="1534"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p>
        </w:tc>
        <w:tc>
          <w:tcPr>
            <w:tcW w:w="25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伊利鲜牛奶</w:t>
            </w:r>
          </w:p>
        </w:tc>
        <w:tc>
          <w:tcPr>
            <w:tcW w:w="4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壶</w:t>
            </w:r>
          </w:p>
        </w:tc>
        <w:tc>
          <w:tcPr>
            <w:tcW w:w="42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r>
      <w:tr>
        <w:tblPrEx>
          <w:tblCellMar>
            <w:top w:w="0" w:type="dxa"/>
            <w:left w:w="108" w:type="dxa"/>
            <w:bottom w:w="0" w:type="dxa"/>
            <w:right w:w="108" w:type="dxa"/>
          </w:tblCellMar>
        </w:tblPrEx>
        <w:trPr>
          <w:trHeight w:val="285" w:hRule="atLeast"/>
        </w:trPr>
        <w:tc>
          <w:tcPr>
            <w:tcW w:w="1534"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25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伊利十六连原味</w:t>
            </w:r>
          </w:p>
        </w:tc>
        <w:tc>
          <w:tcPr>
            <w:tcW w:w="4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组</w:t>
            </w:r>
          </w:p>
        </w:tc>
        <w:tc>
          <w:tcPr>
            <w:tcW w:w="42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r>
      <w:tr>
        <w:tblPrEx>
          <w:tblCellMar>
            <w:top w:w="0" w:type="dxa"/>
            <w:left w:w="108" w:type="dxa"/>
            <w:bottom w:w="0" w:type="dxa"/>
            <w:right w:w="108" w:type="dxa"/>
          </w:tblCellMar>
        </w:tblPrEx>
        <w:trPr>
          <w:trHeight w:val="285" w:hRule="atLeast"/>
        </w:trPr>
        <w:tc>
          <w:tcPr>
            <w:tcW w:w="1534"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w:t>
            </w:r>
          </w:p>
        </w:tc>
        <w:tc>
          <w:tcPr>
            <w:tcW w:w="25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伊利十六连红枣</w:t>
            </w:r>
          </w:p>
        </w:tc>
        <w:tc>
          <w:tcPr>
            <w:tcW w:w="4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组</w:t>
            </w:r>
          </w:p>
        </w:tc>
        <w:tc>
          <w:tcPr>
            <w:tcW w:w="42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r>
      <w:tr>
        <w:tblPrEx>
          <w:tblCellMar>
            <w:top w:w="0" w:type="dxa"/>
            <w:left w:w="108" w:type="dxa"/>
            <w:bottom w:w="0" w:type="dxa"/>
            <w:right w:w="108" w:type="dxa"/>
          </w:tblCellMar>
        </w:tblPrEx>
        <w:trPr>
          <w:trHeight w:val="285" w:hRule="atLeast"/>
        </w:trPr>
        <w:tc>
          <w:tcPr>
            <w:tcW w:w="1534"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w:t>
            </w:r>
          </w:p>
        </w:tc>
        <w:tc>
          <w:tcPr>
            <w:tcW w:w="25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每日鲜语鲜牛奶PET瓶装</w:t>
            </w:r>
          </w:p>
        </w:tc>
        <w:tc>
          <w:tcPr>
            <w:tcW w:w="4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瓶</w:t>
            </w:r>
          </w:p>
        </w:tc>
        <w:tc>
          <w:tcPr>
            <w:tcW w:w="42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r>
      <w:tr>
        <w:tblPrEx>
          <w:tblCellMar>
            <w:top w:w="0" w:type="dxa"/>
            <w:left w:w="108" w:type="dxa"/>
            <w:bottom w:w="0" w:type="dxa"/>
            <w:right w:w="108" w:type="dxa"/>
          </w:tblCellMar>
        </w:tblPrEx>
        <w:trPr>
          <w:trHeight w:val="285" w:hRule="atLeast"/>
        </w:trPr>
        <w:tc>
          <w:tcPr>
            <w:tcW w:w="1534"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w:t>
            </w:r>
          </w:p>
        </w:tc>
        <w:tc>
          <w:tcPr>
            <w:tcW w:w="25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冠益乳轻盈舒畅草莓燕麦风味发酵乳利乐冠</w:t>
            </w:r>
          </w:p>
        </w:tc>
        <w:tc>
          <w:tcPr>
            <w:tcW w:w="4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瓶</w:t>
            </w:r>
          </w:p>
        </w:tc>
        <w:tc>
          <w:tcPr>
            <w:tcW w:w="42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r>
      <w:tr>
        <w:tblPrEx>
          <w:tblCellMar>
            <w:top w:w="0" w:type="dxa"/>
            <w:left w:w="108" w:type="dxa"/>
            <w:bottom w:w="0" w:type="dxa"/>
            <w:right w:w="108" w:type="dxa"/>
          </w:tblCellMar>
        </w:tblPrEx>
        <w:trPr>
          <w:trHeight w:val="285" w:hRule="atLeast"/>
        </w:trPr>
        <w:tc>
          <w:tcPr>
            <w:tcW w:w="1534"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w:t>
            </w:r>
          </w:p>
        </w:tc>
        <w:tc>
          <w:tcPr>
            <w:tcW w:w="25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优益C活菌型乳酸菌饮品原味塑料瓶</w:t>
            </w:r>
          </w:p>
        </w:tc>
        <w:tc>
          <w:tcPr>
            <w:tcW w:w="4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瓶</w:t>
            </w:r>
          </w:p>
        </w:tc>
        <w:tc>
          <w:tcPr>
            <w:tcW w:w="42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r>
    </w:tbl>
    <w:p>
      <w:pPr>
        <w:pStyle w:val="52"/>
        <w:numPr>
          <w:ilvl w:val="0"/>
          <w:numId w:val="0"/>
        </w:numPr>
        <w:ind w:firstLine="241" w:firstLineChars="1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七、售后服务要求</w:t>
      </w:r>
    </w:p>
    <w:p>
      <w:pPr>
        <w:pStyle w:val="52"/>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1.违约责任</w:t>
      </w:r>
    </w:p>
    <w:p>
      <w:pPr>
        <w:pStyle w:val="52"/>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1.1中标人如转包或变相转包，一经查实，扣除全部保证金，并当月取消配送资格。</w:t>
      </w:r>
    </w:p>
    <w:p>
      <w:pPr>
        <w:pStyle w:val="52"/>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中标人应自觉接受市场监督管理、农业、质监等部门的检查和检测。配送的食品质量低于投标承诺质量的，经查实后将视情节作出以下处罚：一是配送价格按性价比同比例下降；二是罚扣保证金5000元。凡一个年度内，市、区市场监督局抽检有不合格的，按相关文件处理。</w:t>
      </w:r>
    </w:p>
    <w:p>
      <w:pPr>
        <w:pStyle w:val="52"/>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1.3中标人配送的食品出现质量、数量不符合要求及价格虚高等现象，医院有责任要求中标人及时退换；若无有效配合，每查实一次扣除保证金2000元。</w:t>
      </w:r>
    </w:p>
    <w:p>
      <w:pPr>
        <w:pStyle w:val="16"/>
        <w:widowControl w:val="0"/>
        <w:tabs>
          <w:tab w:val="clear" w:pos="1697"/>
        </w:tabs>
        <w:spacing w:after="0" w:afterLines="0" w:line="440" w:lineRule="exact"/>
        <w:ind w:left="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1.4</w:t>
      </w:r>
      <w:r>
        <w:rPr>
          <w:rFonts w:hint="eastAsia" w:ascii="仿宋" w:hAnsi="仿宋" w:eastAsia="仿宋" w:cs="仿宋"/>
          <w:color w:val="auto"/>
          <w:kern w:val="2"/>
          <w:sz w:val="24"/>
          <w:szCs w:val="24"/>
          <w:highlight w:val="none"/>
        </w:rPr>
        <w:t>供货人不能以任何理由擅自停止产品供应，</w:t>
      </w:r>
      <w:r>
        <w:rPr>
          <w:rFonts w:hint="eastAsia" w:ascii="仿宋" w:hAnsi="仿宋" w:eastAsia="仿宋" w:cs="仿宋"/>
          <w:color w:val="auto"/>
          <w:kern w:val="2"/>
          <w:sz w:val="24"/>
          <w:szCs w:val="24"/>
          <w:highlight w:val="none"/>
          <w:lang w:eastAsia="zh-CN"/>
        </w:rPr>
        <w:t>若发生类似情况，则</w:t>
      </w:r>
      <w:r>
        <w:rPr>
          <w:rFonts w:hint="eastAsia" w:ascii="仿宋" w:hAnsi="仿宋" w:eastAsia="仿宋" w:cs="仿宋"/>
          <w:color w:val="auto"/>
          <w:kern w:val="2"/>
          <w:sz w:val="24"/>
          <w:szCs w:val="24"/>
          <w:highlight w:val="none"/>
        </w:rPr>
        <w:t>招标人有权</w:t>
      </w:r>
      <w:r>
        <w:rPr>
          <w:rFonts w:hint="eastAsia" w:ascii="仿宋" w:hAnsi="仿宋" w:eastAsia="仿宋" w:cs="仿宋"/>
          <w:color w:val="auto"/>
          <w:kern w:val="2"/>
          <w:sz w:val="24"/>
          <w:szCs w:val="24"/>
          <w:highlight w:val="none"/>
          <w:lang w:eastAsia="zh-CN"/>
        </w:rPr>
        <w:t>单方面</w:t>
      </w:r>
      <w:r>
        <w:rPr>
          <w:rFonts w:hint="eastAsia" w:ascii="仿宋" w:hAnsi="仿宋" w:eastAsia="仿宋" w:cs="仿宋"/>
          <w:color w:val="auto"/>
          <w:kern w:val="2"/>
          <w:sz w:val="24"/>
          <w:szCs w:val="24"/>
          <w:highlight w:val="none"/>
        </w:rPr>
        <w:t>终止与中标人公司所有业务并追究赔偿责任。</w:t>
      </w:r>
    </w:p>
    <w:p>
      <w:pPr>
        <w:pStyle w:val="52"/>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2.安全责任</w:t>
      </w:r>
    </w:p>
    <w:p>
      <w:pPr>
        <w:pStyle w:val="16"/>
        <w:widowControl w:val="0"/>
        <w:tabs>
          <w:tab w:val="clear" w:pos="1697"/>
        </w:tabs>
        <w:spacing w:after="0" w:afterLines="0" w:line="440" w:lineRule="exact"/>
        <w:ind w:left="0"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2.1</w:t>
      </w:r>
      <w:r>
        <w:rPr>
          <w:rFonts w:hint="eastAsia" w:ascii="仿宋" w:hAnsi="仿宋" w:eastAsia="仿宋" w:cs="仿宋"/>
          <w:color w:val="auto"/>
          <w:kern w:val="2"/>
          <w:sz w:val="24"/>
          <w:szCs w:val="24"/>
          <w:highlight w:val="none"/>
        </w:rPr>
        <w:t>中标人必须有可靠的24小时不间断售后服务保障，包括但不限于在</w:t>
      </w:r>
      <w:r>
        <w:rPr>
          <w:rFonts w:hint="eastAsia" w:ascii="仿宋" w:hAnsi="仿宋" w:eastAsia="仿宋" w:cs="仿宋"/>
          <w:color w:val="auto"/>
          <w:kern w:val="2"/>
          <w:sz w:val="24"/>
          <w:szCs w:val="24"/>
          <w:highlight w:val="none"/>
          <w:lang w:eastAsia="zh-CN"/>
        </w:rPr>
        <w:t>采购人</w:t>
      </w:r>
      <w:r>
        <w:rPr>
          <w:rFonts w:hint="eastAsia" w:ascii="仿宋" w:hAnsi="仿宋" w:eastAsia="仿宋" w:cs="仿宋"/>
          <w:color w:val="auto"/>
          <w:kern w:val="2"/>
          <w:sz w:val="24"/>
          <w:szCs w:val="24"/>
          <w:highlight w:val="none"/>
        </w:rPr>
        <w:t>附近有固定的售后服务点，能提供正常的技术、备货服务。中标人在接到招标人通知后，2小时内派人赴现场处理产品质量问题。</w:t>
      </w:r>
    </w:p>
    <w:p>
      <w:pPr>
        <w:pStyle w:val="16"/>
        <w:widowControl w:val="0"/>
        <w:tabs>
          <w:tab w:val="clear" w:pos="1697"/>
        </w:tabs>
        <w:spacing w:after="0" w:afterLines="0" w:line="440" w:lineRule="exact"/>
        <w:ind w:left="0"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2.2</w:t>
      </w:r>
      <w:r>
        <w:rPr>
          <w:rFonts w:hint="eastAsia" w:ascii="仿宋" w:hAnsi="仿宋" w:eastAsia="仿宋" w:cs="仿宋"/>
          <w:color w:val="auto"/>
          <w:kern w:val="2"/>
          <w:sz w:val="24"/>
          <w:szCs w:val="24"/>
          <w:highlight w:val="none"/>
        </w:rPr>
        <w:t xml:space="preserve"> 产品有效期内如出现质量问题</w:t>
      </w:r>
      <w:bookmarkStart w:id="168" w:name="_GoBack"/>
      <w:r>
        <w:rPr>
          <w:rFonts w:hint="eastAsia" w:ascii="仿宋" w:hAnsi="仿宋" w:eastAsia="仿宋" w:cs="仿宋"/>
          <w:color w:val="auto"/>
          <w:kern w:val="2"/>
          <w:sz w:val="24"/>
          <w:szCs w:val="24"/>
          <w:highlight w:val="none"/>
          <w:u w:val="none"/>
        </w:rPr>
        <w:t>，中标人在接到</w:t>
      </w:r>
      <w:r>
        <w:rPr>
          <w:rFonts w:hint="eastAsia" w:ascii="仿宋" w:hAnsi="仿宋" w:eastAsia="仿宋" w:cs="仿宋"/>
          <w:color w:val="auto"/>
          <w:kern w:val="2"/>
          <w:sz w:val="24"/>
          <w:szCs w:val="24"/>
          <w:highlight w:val="none"/>
          <w:u w:val="none"/>
          <w:lang w:eastAsia="zh-CN"/>
        </w:rPr>
        <w:t>采购人</w:t>
      </w:r>
      <w:r>
        <w:rPr>
          <w:rFonts w:hint="eastAsia" w:ascii="仿宋" w:hAnsi="仿宋" w:eastAsia="仿宋" w:cs="仿宋"/>
          <w:color w:val="auto"/>
          <w:kern w:val="2"/>
          <w:sz w:val="24"/>
          <w:szCs w:val="24"/>
          <w:highlight w:val="none"/>
          <w:u w:val="none"/>
        </w:rPr>
        <w:t>电话2小时内到达采购人指定地点，并对问题产品进行处理解决。</w:t>
      </w:r>
      <w:bookmarkEnd w:id="168"/>
    </w:p>
    <w:p>
      <w:pPr>
        <w:pStyle w:val="16"/>
        <w:widowControl w:val="0"/>
        <w:tabs>
          <w:tab w:val="clear" w:pos="1697"/>
        </w:tabs>
        <w:spacing w:after="0" w:afterLines="0" w:line="440" w:lineRule="exact"/>
        <w:ind w:left="0" w:firstLine="480" w:firstLineChars="200"/>
        <w:rPr>
          <w:rFonts w:hint="eastAsia" w:ascii="仿宋" w:hAnsi="仿宋" w:eastAsia="仿宋" w:cs="仿宋"/>
          <w:color w:val="auto"/>
          <w:kern w:val="2"/>
          <w:sz w:val="24"/>
          <w:szCs w:val="24"/>
          <w:highlight w:val="none"/>
          <w:u w:val="none"/>
          <w:lang w:val="en-US" w:eastAsia="zh-CN"/>
        </w:rPr>
      </w:pPr>
      <w:r>
        <w:rPr>
          <w:rFonts w:hint="eastAsia" w:ascii="仿宋" w:hAnsi="仿宋" w:eastAsia="仿宋" w:cs="仿宋"/>
          <w:color w:val="auto"/>
          <w:kern w:val="2"/>
          <w:sz w:val="24"/>
          <w:szCs w:val="24"/>
          <w:highlight w:val="none"/>
          <w:u w:val="none"/>
          <w:lang w:val="en-US" w:eastAsia="zh-CN"/>
        </w:rPr>
        <w:t>2.3</w:t>
      </w:r>
      <w:r>
        <w:rPr>
          <w:rFonts w:hint="eastAsia" w:ascii="仿宋" w:hAnsi="仿宋" w:eastAsia="仿宋" w:cs="仿宋"/>
          <w:color w:val="auto"/>
          <w:kern w:val="2"/>
          <w:sz w:val="24"/>
          <w:szCs w:val="24"/>
          <w:highlight w:val="none"/>
          <w:u w:val="none"/>
        </w:rPr>
        <w:t>中标人提供的产品，如有国家权威机构认定有问题的奶制品，招标人有权</w:t>
      </w:r>
      <w:r>
        <w:rPr>
          <w:rFonts w:hint="eastAsia" w:ascii="仿宋" w:hAnsi="仿宋" w:eastAsia="仿宋" w:cs="仿宋"/>
          <w:color w:val="auto"/>
          <w:kern w:val="2"/>
          <w:sz w:val="24"/>
          <w:szCs w:val="24"/>
          <w:highlight w:val="none"/>
          <w:u w:val="none"/>
          <w:lang w:eastAsia="zh-CN"/>
        </w:rPr>
        <w:t>单方面</w:t>
      </w:r>
      <w:r>
        <w:rPr>
          <w:rFonts w:hint="eastAsia" w:ascii="仿宋" w:hAnsi="仿宋" w:eastAsia="仿宋" w:cs="仿宋"/>
          <w:color w:val="auto"/>
          <w:kern w:val="2"/>
          <w:sz w:val="24"/>
          <w:szCs w:val="24"/>
          <w:highlight w:val="none"/>
          <w:u w:val="none"/>
        </w:rPr>
        <w:t>终止合同。</w:t>
      </w:r>
    </w:p>
    <w:p>
      <w:pPr>
        <w:pStyle w:val="52"/>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2.4因质量问题造成食物中毒或其它安全责任事故的，中标人独立承担一切法律责任和经济责任，双方合同自行终止。采购人保留没收履约保证金和追究由此造成的一切损失的权利。</w:t>
      </w:r>
    </w:p>
    <w:p>
      <w:pPr>
        <w:pStyle w:val="52"/>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2.5中标人在合同期内发生的任何安全事故等均由中标人独立承担责任。</w:t>
      </w:r>
    </w:p>
    <w:p>
      <w:pPr>
        <w:pStyle w:val="52"/>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2.6中标人在院内运输物品，应服从指挥，确保安全，由此造成的安全等事故，中标人独立承担一切刑事、民事责任。</w:t>
      </w:r>
    </w:p>
    <w:p>
      <w:pPr>
        <w:pStyle w:val="52"/>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2.7标的价格包含但不限于商品成本及配送中所涉运输、装卸、人工、税收、保险和其他相应规费等一切费用。所必需证、照等均由中标人自行办理。</w:t>
      </w:r>
    </w:p>
    <w:p>
      <w:pPr>
        <w:pStyle w:val="8"/>
        <w:spacing w:before="120" w:beforeLines="50" w:after="120" w:afterLines="50" w:line="360" w:lineRule="auto"/>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2.8严肃财经纪律，加强廉政建设，经查实发现有受贿、行贿现象，取消配送资格，相关人员按情节轻重作出相应处分或处罚；触犯刑律的，依法追究法律责任。</w:t>
      </w:r>
    </w:p>
    <w:p>
      <w:pPr>
        <w:pStyle w:val="8"/>
        <w:spacing w:before="120" w:beforeLines="50" w:after="120" w:afterLines="50" w:line="360" w:lineRule="auto"/>
        <w:ind w:left="0" w:leftChars="0"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八、付款方式</w:t>
      </w:r>
    </w:p>
    <w:p>
      <w:pPr>
        <w:pStyle w:val="52"/>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SA"/>
        </w:rPr>
        <w:t xml:space="preserve"> </w:t>
      </w:r>
      <w:r>
        <w:rPr>
          <w:rFonts w:hint="eastAsia" w:ascii="仿宋" w:hAnsi="仿宋" w:eastAsia="仿宋" w:cs="仿宋"/>
          <w:color w:val="auto"/>
          <w:sz w:val="24"/>
          <w:szCs w:val="24"/>
          <w:highlight w:val="none"/>
        </w:rPr>
        <w:t>配送货款实行一月一结，财务入账后，1个月内支付。</w:t>
      </w:r>
      <w:r>
        <w:rPr>
          <w:rFonts w:hint="eastAsia" w:ascii="仿宋" w:hAnsi="仿宋" w:eastAsia="仿宋" w:cs="仿宋"/>
          <w:color w:val="auto"/>
          <w:sz w:val="24"/>
          <w:szCs w:val="24"/>
          <w:highlight w:val="none"/>
          <w:lang w:val="en-US"/>
        </w:rPr>
        <w:t>具备实施条件后15日内支付预付款（遇质量问题  等特殊情况除外）。发票单位名称必须与投标时公章名称相符合，否则采购人有权拒付相关款项。</w:t>
      </w:r>
    </w:p>
    <w:p>
      <w:pPr>
        <w:pStyle w:val="25"/>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284"/>
        <w:rPr>
          <w:rFonts w:hint="eastAsia" w:ascii="仿宋" w:hAnsi="仿宋" w:eastAsia="仿宋" w:cs="仿宋"/>
          <w:color w:val="auto"/>
          <w:szCs w:val="24"/>
          <w:highlight w:val="none"/>
        </w:rPr>
      </w:pPr>
    </w:p>
    <w:p>
      <w:pPr>
        <w:pStyle w:val="284"/>
        <w:rPr>
          <w:rFonts w:hint="eastAsia" w:ascii="仿宋" w:hAnsi="仿宋" w:eastAsia="仿宋" w:cs="仿宋"/>
          <w:color w:val="auto"/>
          <w:szCs w:val="24"/>
          <w:highlight w:val="none"/>
        </w:rPr>
      </w:pPr>
    </w:p>
    <w:p>
      <w:pPr>
        <w:pStyle w:val="284"/>
        <w:jc w:val="center"/>
        <w:rPr>
          <w:rFonts w:hint="eastAsia" w:ascii="仿宋" w:hAnsi="仿宋" w:eastAsia="仿宋" w:cs="仿宋"/>
          <w:color w:val="auto"/>
          <w:szCs w:val="24"/>
          <w:highlight w:val="none"/>
        </w:rPr>
      </w:pPr>
    </w:p>
    <w:p>
      <w:pPr>
        <w:pStyle w:val="28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284"/>
        <w:rPr>
          <w:rFonts w:hint="eastAsia" w:ascii="仿宋" w:hAnsi="仿宋" w:eastAsia="仿宋" w:cs="仿宋"/>
          <w:color w:val="auto"/>
          <w:szCs w:val="24"/>
          <w:highlight w:val="none"/>
        </w:rPr>
      </w:pPr>
    </w:p>
    <w:p>
      <w:pPr>
        <w:pStyle w:val="284"/>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83"/>
        <w:spacing w:before="120" w:line="22" w:lineRule="atLeast"/>
        <w:rPr>
          <w:rFonts w:hint="eastAsia" w:ascii="仿宋" w:hAnsi="仿宋" w:eastAsia="仿宋" w:cs="仿宋"/>
          <w:color w:val="auto"/>
          <w:szCs w:val="24"/>
          <w:highlight w:val="none"/>
        </w:rPr>
      </w:pPr>
    </w:p>
    <w:p>
      <w:pPr>
        <w:pStyle w:val="283"/>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11" w:name="_Toc2232"/>
      <w:bookmarkStart w:id="12" w:name="_Toc24059"/>
      <w:bookmarkStart w:id="13" w:name="_Toc3029"/>
      <w:r>
        <w:rPr>
          <w:rFonts w:hint="eastAsia" w:ascii="仿宋" w:hAnsi="仿宋" w:eastAsia="仿宋" w:cs="仿宋"/>
          <w:b/>
          <w:color w:val="auto"/>
          <w:sz w:val="24"/>
          <w:highlight w:val="none"/>
        </w:rPr>
        <w:t>1.1 合同组成部分</w:t>
      </w:r>
      <w:bookmarkEnd w:id="11"/>
      <w:bookmarkEnd w:id="12"/>
      <w:bookmarkEnd w:id="1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14" w:name="_Toc21295"/>
      <w:bookmarkStart w:id="15" w:name="_Toc24300"/>
      <w:bookmarkStart w:id="16" w:name="_Toc27126"/>
      <w:r>
        <w:rPr>
          <w:rFonts w:hint="eastAsia" w:ascii="仿宋" w:hAnsi="仿宋" w:eastAsia="仿宋" w:cs="仿宋"/>
          <w:b/>
          <w:color w:val="auto"/>
          <w:sz w:val="24"/>
          <w:highlight w:val="none"/>
        </w:rPr>
        <w:t>1.2 货物</w:t>
      </w:r>
      <w:bookmarkEnd w:id="14"/>
      <w:bookmarkEnd w:id="15"/>
      <w:bookmarkEnd w:id="16"/>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7" w:name="_Toc23292"/>
      <w:bookmarkStart w:id="18" w:name="_Toc21631"/>
      <w:bookmarkStart w:id="19" w:name="_Toc21551"/>
      <w:r>
        <w:rPr>
          <w:rFonts w:hint="eastAsia" w:ascii="仿宋" w:hAnsi="仿宋" w:eastAsia="仿宋" w:cs="仿宋"/>
          <w:b/>
          <w:color w:val="auto"/>
          <w:sz w:val="24"/>
          <w:highlight w:val="none"/>
        </w:rPr>
        <w:t>1.3 价款</w:t>
      </w:r>
      <w:bookmarkEnd w:id="17"/>
      <w:bookmarkEnd w:id="18"/>
      <w:bookmarkEnd w:id="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bl>
    <w:p>
      <w:pPr>
        <w:spacing w:line="440" w:lineRule="exact"/>
        <w:ind w:firstLine="482" w:firstLineChars="200"/>
        <w:outlineLvl w:val="0"/>
        <w:rPr>
          <w:rFonts w:hint="eastAsia" w:ascii="仿宋" w:hAnsi="仿宋" w:eastAsia="仿宋" w:cs="仿宋"/>
          <w:b/>
          <w:color w:val="auto"/>
          <w:sz w:val="24"/>
          <w:highlight w:val="none"/>
        </w:rPr>
      </w:pPr>
      <w:bookmarkStart w:id="20" w:name="_Toc22618"/>
      <w:bookmarkStart w:id="21" w:name="_Toc10340"/>
      <w:bookmarkStart w:id="22" w:name="_Toc1814"/>
      <w:r>
        <w:rPr>
          <w:rFonts w:hint="eastAsia" w:ascii="仿宋" w:hAnsi="仿宋" w:eastAsia="仿宋" w:cs="仿宋"/>
          <w:b/>
          <w:color w:val="auto"/>
          <w:sz w:val="24"/>
          <w:highlight w:val="none"/>
        </w:rPr>
        <w:t>1.4 付款</w:t>
      </w:r>
      <w:bookmarkEnd w:id="20"/>
      <w:bookmarkEnd w:id="21"/>
      <w:bookmarkEnd w:id="22"/>
      <w:r>
        <w:rPr>
          <w:rFonts w:hint="eastAsia" w:ascii="仿宋" w:hAnsi="仿宋" w:eastAsia="仿宋" w:cs="仿宋"/>
          <w:b/>
          <w:color w:val="auto"/>
          <w:sz w:val="24"/>
          <w:highlight w:val="none"/>
        </w:rPr>
        <w:t>方式、时间和条件</w:t>
      </w:r>
    </w:p>
    <w:p>
      <w:pPr>
        <w:pStyle w:val="285"/>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bookmarkStart w:id="23" w:name="_Toc32071"/>
      <w:bookmarkStart w:id="24" w:name="_Toc19304"/>
      <w:bookmarkStart w:id="25" w:name="_Toc2846"/>
      <w:r>
        <w:rPr>
          <w:rFonts w:hint="eastAsia" w:ascii="仿宋" w:hAnsi="仿宋" w:eastAsia="仿宋" w:cs="仿宋"/>
          <w:b/>
          <w:color w:val="auto"/>
          <w:sz w:val="24"/>
          <w:highlight w:val="none"/>
        </w:rPr>
        <w:t>1.5 货物交付期限、地点和方式</w:t>
      </w:r>
      <w:bookmarkEnd w:id="23"/>
      <w:bookmarkEnd w:id="24"/>
      <w:bookmarkEnd w:id="25"/>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26" w:name="_Toc21423"/>
      <w:bookmarkStart w:id="27" w:name="_Toc19554"/>
      <w:bookmarkStart w:id="28" w:name="_Toc27250"/>
      <w:r>
        <w:rPr>
          <w:rFonts w:hint="eastAsia" w:ascii="仿宋" w:hAnsi="仿宋" w:eastAsia="仿宋" w:cs="仿宋"/>
          <w:b/>
          <w:color w:val="auto"/>
          <w:sz w:val="24"/>
          <w:highlight w:val="none"/>
        </w:rPr>
        <w:t>1.6 违约责任</w:t>
      </w:r>
      <w:bookmarkEnd w:id="26"/>
      <w:bookmarkEnd w:id="27"/>
      <w:bookmarkEnd w:id="2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29" w:name="_Toc15583"/>
      <w:bookmarkStart w:id="30" w:name="_Toc28375"/>
      <w:bookmarkStart w:id="31" w:name="_Toc16021"/>
      <w:r>
        <w:rPr>
          <w:rFonts w:hint="eastAsia" w:ascii="仿宋" w:hAnsi="仿宋" w:eastAsia="仿宋" w:cs="仿宋"/>
          <w:b/>
          <w:color w:val="auto"/>
          <w:sz w:val="24"/>
          <w:highlight w:val="none"/>
        </w:rPr>
        <w:t>1.7 合同争议的解决</w:t>
      </w:r>
      <w:bookmarkEnd w:id="29"/>
      <w:bookmarkEnd w:id="30"/>
      <w:bookmarkEnd w:id="31"/>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32" w:name="_Toc15322"/>
      <w:bookmarkStart w:id="33" w:name="_Toc11173"/>
      <w:bookmarkStart w:id="34" w:name="_Toc7245"/>
      <w:r>
        <w:rPr>
          <w:rFonts w:hint="eastAsia" w:ascii="仿宋" w:hAnsi="仿宋" w:eastAsia="仿宋" w:cs="仿宋"/>
          <w:b/>
          <w:color w:val="auto"/>
          <w:sz w:val="24"/>
          <w:highlight w:val="none"/>
        </w:rPr>
        <w:t>1.8 合同生效</w:t>
      </w:r>
      <w:bookmarkEnd w:id="32"/>
      <w:bookmarkEnd w:id="33"/>
      <w:bookmarkEnd w:id="34"/>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24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24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rPr>
          <w:rFonts w:hint="eastAsia" w:ascii="仿宋" w:hAnsi="仿宋" w:eastAsia="仿宋" w:cs="仿宋"/>
          <w:color w:val="auto"/>
          <w:sz w:val="24"/>
          <w:highlight w:val="none"/>
          <w:u w:val="single"/>
        </w:rPr>
      </w:pPr>
    </w:p>
    <w:p>
      <w:pPr>
        <w:pStyle w:val="284"/>
        <w:pageBreakBefore/>
        <w:spacing w:line="560" w:lineRule="exact"/>
        <w:ind w:firstLine="723"/>
        <w:jc w:val="center"/>
        <w:rPr>
          <w:rFonts w:hint="eastAsia" w:ascii="仿宋" w:hAnsi="仿宋" w:eastAsia="仿宋" w:cs="仿宋"/>
          <w:b/>
          <w:color w:val="auto"/>
          <w:sz w:val="36"/>
          <w:szCs w:val="36"/>
          <w:highlight w:val="none"/>
        </w:rPr>
      </w:pPr>
      <w:bookmarkStart w:id="35" w:name="_Toc331685783"/>
      <w:r>
        <w:rPr>
          <w:rFonts w:hint="eastAsia" w:ascii="仿宋" w:hAnsi="仿宋" w:eastAsia="仿宋" w:cs="仿宋"/>
          <w:b/>
          <w:color w:val="auto"/>
          <w:sz w:val="36"/>
          <w:szCs w:val="36"/>
          <w:highlight w:val="none"/>
        </w:rPr>
        <w:t>第二部分合同一般条款</w:t>
      </w:r>
      <w:bookmarkEnd w:id="35"/>
    </w:p>
    <w:p>
      <w:pPr>
        <w:spacing w:line="560" w:lineRule="exact"/>
        <w:ind w:firstLine="482" w:firstLineChars="200"/>
        <w:outlineLvl w:val="0"/>
        <w:rPr>
          <w:rFonts w:hint="eastAsia" w:ascii="仿宋" w:hAnsi="仿宋" w:eastAsia="仿宋" w:cs="仿宋"/>
          <w:b/>
          <w:color w:val="auto"/>
          <w:sz w:val="24"/>
          <w:highlight w:val="none"/>
        </w:rPr>
      </w:pPr>
      <w:bookmarkStart w:id="36" w:name="_Ref467378463"/>
      <w:bookmarkStart w:id="37" w:name="_Ref467378499"/>
      <w:bookmarkStart w:id="38" w:name="_Ref467379214"/>
      <w:bookmarkStart w:id="39" w:name="_Ref467379195"/>
      <w:bookmarkStart w:id="40" w:name="_Ref467379225"/>
      <w:bookmarkStart w:id="41" w:name="_Ref467379094"/>
      <w:bookmarkStart w:id="42" w:name="_Ref467378404"/>
      <w:bookmarkStart w:id="43" w:name="_Toc16917"/>
      <w:bookmarkStart w:id="44" w:name="_Toc19614"/>
      <w:bookmarkStart w:id="45" w:name="_Ref467379101"/>
      <w:bookmarkStart w:id="46" w:name="_Toc28763"/>
      <w:bookmarkStart w:id="47" w:name="_Toc487900349"/>
      <w:bookmarkStart w:id="48" w:name="_Ref467379109"/>
      <w:bookmarkStart w:id="49" w:name="_Toc259093669"/>
      <w:bookmarkStart w:id="50" w:name="_Ref467379205"/>
      <w:bookmarkStart w:id="51" w:name="_Toc279701240"/>
      <w:r>
        <w:rPr>
          <w:rFonts w:hint="eastAsia" w:ascii="仿宋" w:hAnsi="仿宋" w:eastAsia="仿宋" w:cs="仿宋"/>
          <w:b/>
          <w:color w:val="auto"/>
          <w:sz w:val="24"/>
          <w:highlight w:val="none"/>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2" w:name="_Ref467378840"/>
      <w:r>
        <w:rPr>
          <w:rFonts w:hint="eastAsia" w:ascii="仿宋" w:hAnsi="仿宋" w:eastAsia="仿宋" w:cs="仿宋"/>
          <w:color w:val="auto"/>
          <w:sz w:val="24"/>
          <w:highlight w:val="none"/>
        </w:rPr>
        <w:t>2.1.4 “甲方”系指与中标供应商签署合同的采购人</w:t>
      </w:r>
      <w:bookmarkEnd w:id="52"/>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3" w:name="_Ref467379400"/>
      <w:r>
        <w:rPr>
          <w:rFonts w:hint="eastAsia" w:ascii="仿宋" w:hAnsi="仿宋" w:eastAsia="仿宋" w:cs="仿宋"/>
          <w:color w:val="auto"/>
          <w:sz w:val="24"/>
          <w:highlight w:val="none"/>
        </w:rPr>
        <w:t>2.1.5 “乙方”系指根据合同约定交付货物的中标供应商</w:t>
      </w:r>
      <w:bookmarkEnd w:id="5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4" w:name="_Ref467379436"/>
      <w:r>
        <w:rPr>
          <w:rFonts w:hint="eastAsia" w:ascii="仿宋" w:hAnsi="仿宋" w:eastAsia="仿宋" w:cs="仿宋"/>
          <w:color w:val="auto"/>
          <w:sz w:val="24"/>
          <w:highlight w:val="none"/>
        </w:rPr>
        <w:t>2.1.6 “现场”系指合同约定货物将要运至或者安装的地点。</w:t>
      </w:r>
      <w:bookmarkEnd w:id="54"/>
    </w:p>
    <w:p>
      <w:pPr>
        <w:spacing w:line="560" w:lineRule="exact"/>
        <w:ind w:firstLine="482" w:firstLineChars="200"/>
        <w:outlineLvl w:val="0"/>
        <w:rPr>
          <w:rFonts w:hint="eastAsia" w:ascii="仿宋" w:hAnsi="仿宋" w:eastAsia="仿宋" w:cs="仿宋"/>
          <w:b/>
          <w:color w:val="auto"/>
          <w:sz w:val="24"/>
          <w:highlight w:val="none"/>
        </w:rPr>
      </w:pPr>
      <w:bookmarkStart w:id="55" w:name="_Toc32504"/>
      <w:bookmarkStart w:id="56" w:name="_Toc259093670"/>
      <w:bookmarkStart w:id="57" w:name="_Toc279701241"/>
      <w:bookmarkStart w:id="58" w:name="_Toc487900350"/>
      <w:bookmarkStart w:id="59" w:name="_Toc13336"/>
      <w:bookmarkStart w:id="60" w:name="_Toc27635"/>
      <w:r>
        <w:rPr>
          <w:rFonts w:hint="eastAsia" w:ascii="仿宋" w:hAnsi="仿宋" w:eastAsia="仿宋" w:cs="仿宋"/>
          <w:b/>
          <w:color w:val="auto"/>
          <w:sz w:val="24"/>
          <w:highlight w:val="none"/>
        </w:rPr>
        <w:t>2.2 技术规范</w:t>
      </w:r>
      <w:bookmarkEnd w:id="55"/>
      <w:bookmarkEnd w:id="56"/>
      <w:bookmarkEnd w:id="57"/>
      <w:bookmarkEnd w:id="58"/>
      <w:bookmarkEnd w:id="59"/>
      <w:bookmarkEnd w:id="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1" w:name="_Toc27853"/>
      <w:bookmarkStart w:id="62" w:name="_Toc9829"/>
      <w:bookmarkStart w:id="63" w:name="_Toc279701242"/>
      <w:bookmarkStart w:id="64" w:name="_Toc259093671"/>
      <w:bookmarkStart w:id="65" w:name="_Toc31634"/>
      <w:bookmarkStart w:id="66" w:name="_Toc487900351"/>
      <w:r>
        <w:rPr>
          <w:rFonts w:hint="eastAsia" w:ascii="仿宋" w:hAnsi="仿宋" w:eastAsia="仿宋" w:cs="仿宋"/>
          <w:b/>
          <w:color w:val="auto"/>
          <w:sz w:val="24"/>
          <w:highlight w:val="none"/>
        </w:rPr>
        <w:t>2.3 知识产权</w:t>
      </w:r>
      <w:bookmarkEnd w:id="61"/>
      <w:bookmarkEnd w:id="62"/>
      <w:bookmarkEnd w:id="63"/>
      <w:bookmarkEnd w:id="64"/>
      <w:bookmarkEnd w:id="65"/>
      <w:bookmarkEnd w:id="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67" w:name="_Toc4194"/>
      <w:bookmarkStart w:id="68" w:name="_Toc29149"/>
      <w:bookmarkStart w:id="69" w:name="_Toc11932"/>
      <w:r>
        <w:rPr>
          <w:rFonts w:hint="eastAsia" w:ascii="仿宋" w:hAnsi="仿宋" w:eastAsia="仿宋" w:cs="仿宋"/>
          <w:b/>
          <w:color w:val="auto"/>
          <w:sz w:val="24"/>
          <w:highlight w:val="none"/>
        </w:rPr>
        <w:t>2.4 包装和装运</w:t>
      </w:r>
      <w:bookmarkEnd w:id="67"/>
      <w:bookmarkEnd w:id="68"/>
      <w:bookmarkEnd w:id="6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0" w:name="_Ref467378591"/>
      <w:bookmarkStart w:id="71" w:name="_Toc259093674"/>
      <w:bookmarkStart w:id="72" w:name="_Ref467379536"/>
      <w:bookmarkStart w:id="73" w:name="_Ref467379542"/>
      <w:bookmarkStart w:id="74" w:name="_Toc487900354"/>
      <w:bookmarkStart w:id="75" w:name="_Toc279701245"/>
      <w:bookmarkStart w:id="76" w:name="_Ref467379527"/>
      <w:bookmarkStart w:id="77" w:name="_Ref467378541"/>
      <w:bookmarkStart w:id="78" w:name="_Toc26182"/>
      <w:bookmarkStart w:id="79" w:name="_Toc30272"/>
      <w:bookmarkStart w:id="80" w:name="_Toc19074"/>
      <w:r>
        <w:rPr>
          <w:rFonts w:hint="eastAsia" w:ascii="仿宋" w:hAnsi="仿宋" w:eastAsia="仿宋" w:cs="仿宋"/>
          <w:b/>
          <w:color w:val="auto"/>
          <w:sz w:val="24"/>
          <w:highlight w:val="none"/>
        </w:rPr>
        <w:t>2.</w:t>
      </w:r>
      <w:bookmarkEnd w:id="70"/>
      <w:bookmarkEnd w:id="71"/>
      <w:bookmarkEnd w:id="72"/>
      <w:bookmarkEnd w:id="73"/>
      <w:bookmarkEnd w:id="74"/>
      <w:bookmarkEnd w:id="75"/>
      <w:bookmarkEnd w:id="76"/>
      <w:bookmarkEnd w:id="77"/>
      <w:r>
        <w:rPr>
          <w:rFonts w:hint="eastAsia" w:ascii="仿宋" w:hAnsi="仿宋" w:eastAsia="仿宋" w:cs="仿宋"/>
          <w:b/>
          <w:color w:val="auto"/>
          <w:sz w:val="24"/>
          <w:highlight w:val="none"/>
        </w:rPr>
        <w:t>5 履约检查和问题反馈</w:t>
      </w:r>
      <w:bookmarkEnd w:id="78"/>
      <w:bookmarkEnd w:id="79"/>
      <w:bookmarkEnd w:id="80"/>
    </w:p>
    <w:p>
      <w:pPr>
        <w:spacing w:line="560" w:lineRule="exact"/>
        <w:ind w:firstLine="480" w:firstLineChars="200"/>
        <w:rPr>
          <w:rFonts w:hint="eastAsia" w:ascii="仿宋" w:hAnsi="仿宋" w:eastAsia="仿宋" w:cs="仿宋"/>
          <w:color w:val="auto"/>
          <w:sz w:val="24"/>
          <w:highlight w:val="none"/>
        </w:rPr>
      </w:pPr>
      <w:bookmarkStart w:id="81" w:name="_Ref467379657"/>
      <w:r>
        <w:rPr>
          <w:rFonts w:hint="eastAsia" w:ascii="仿宋" w:hAnsi="仿宋" w:eastAsia="仿宋" w:cs="仿宋"/>
          <w:color w:val="auto"/>
          <w:sz w:val="24"/>
          <w:highlight w:val="none"/>
        </w:rPr>
        <w:t>2.5.1</w:t>
      </w:r>
      <w:bookmarkEnd w:id="81"/>
      <w:bookmarkStart w:id="82" w:name="_Toc186431854"/>
      <w:bookmarkStart w:id="83" w:name="_Ref467379793"/>
      <w:bookmarkStart w:id="84" w:name="_Ref467379807"/>
      <w:bookmarkStart w:id="85" w:name="_Toc279701247"/>
      <w:bookmarkStart w:id="86" w:name="_Toc487900357"/>
      <w:bookmarkStart w:id="87"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cs="仿宋"/>
          <w:color w:val="auto"/>
          <w:sz w:val="24"/>
          <w:highlight w:val="none"/>
        </w:rPr>
        <w:t>。</w:t>
      </w:r>
    </w:p>
    <w:bookmarkEnd w:id="83"/>
    <w:bookmarkEnd w:id="84"/>
    <w:bookmarkEnd w:id="85"/>
    <w:bookmarkEnd w:id="86"/>
    <w:bookmarkEnd w:id="87"/>
    <w:bookmarkEnd w:id="88"/>
    <w:p>
      <w:pPr>
        <w:spacing w:line="560" w:lineRule="exact"/>
        <w:ind w:firstLine="482" w:firstLineChars="200"/>
        <w:outlineLvl w:val="0"/>
        <w:rPr>
          <w:rFonts w:hint="eastAsia" w:ascii="仿宋" w:hAnsi="仿宋" w:eastAsia="仿宋" w:cs="仿宋"/>
          <w:b/>
          <w:color w:val="auto"/>
          <w:sz w:val="24"/>
          <w:highlight w:val="none"/>
        </w:rPr>
      </w:pPr>
      <w:bookmarkStart w:id="89" w:name="_Toc259093677"/>
      <w:bookmarkStart w:id="90" w:name="_Toc487900358"/>
      <w:bookmarkStart w:id="91" w:name="_Toc279701248"/>
      <w:bookmarkStart w:id="92" w:name="_Ref467379863"/>
      <w:bookmarkStart w:id="93" w:name="_Ref467379852"/>
      <w:bookmarkStart w:id="94" w:name="_Ref467379923"/>
      <w:bookmarkStart w:id="95" w:name="_Toc3225"/>
      <w:bookmarkStart w:id="96" w:name="_Toc774"/>
      <w:bookmarkStart w:id="97" w:name="_Toc16110"/>
      <w:r>
        <w:rPr>
          <w:rFonts w:hint="eastAsia" w:ascii="仿宋" w:hAnsi="仿宋" w:eastAsia="仿宋" w:cs="仿宋"/>
          <w:b/>
          <w:color w:val="auto"/>
          <w:sz w:val="24"/>
          <w:highlight w:val="none"/>
        </w:rPr>
        <w:t>2.6 技术资料</w:t>
      </w:r>
      <w:bookmarkEnd w:id="89"/>
      <w:bookmarkEnd w:id="90"/>
      <w:bookmarkEnd w:id="91"/>
      <w:bookmarkEnd w:id="92"/>
      <w:bookmarkEnd w:id="93"/>
      <w:bookmarkEnd w:id="94"/>
      <w:r>
        <w:rPr>
          <w:rFonts w:hint="eastAsia" w:ascii="仿宋" w:hAnsi="仿宋" w:eastAsia="仿宋" w:cs="仿宋"/>
          <w:b/>
          <w:color w:val="auto"/>
          <w:sz w:val="24"/>
          <w:highlight w:val="none"/>
        </w:rPr>
        <w:t>和保密义务</w:t>
      </w:r>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98" w:name="_Toc7860"/>
      <w:r>
        <w:rPr>
          <w:rFonts w:hint="eastAsia" w:ascii="仿宋" w:hAnsi="仿宋" w:eastAsia="仿宋" w:cs="仿宋"/>
          <w:b/>
          <w:color w:val="auto"/>
          <w:sz w:val="24"/>
          <w:highlight w:val="none"/>
        </w:rPr>
        <w:t>2.7 质量保证</w:t>
      </w:r>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99" w:name="_Toc17244"/>
      <w:bookmarkStart w:id="100" w:name="_Toc487900362"/>
      <w:bookmarkStart w:id="101" w:name="_Toc279701252"/>
      <w:bookmarkStart w:id="102" w:name="_Toc259093681"/>
      <w:r>
        <w:rPr>
          <w:rFonts w:hint="eastAsia" w:ascii="仿宋" w:hAnsi="仿宋" w:eastAsia="仿宋" w:cs="仿宋"/>
          <w:b/>
          <w:color w:val="auto"/>
          <w:sz w:val="24"/>
          <w:highlight w:val="none"/>
        </w:rPr>
        <w:t>2.8 货物的风险负担</w:t>
      </w:r>
      <w:bookmarkEnd w:id="99"/>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3" w:name="_Toc14055"/>
      <w:r>
        <w:rPr>
          <w:rFonts w:hint="eastAsia" w:ascii="仿宋" w:hAnsi="仿宋" w:eastAsia="仿宋" w:cs="仿宋"/>
          <w:b/>
          <w:color w:val="auto"/>
          <w:sz w:val="24"/>
          <w:highlight w:val="none"/>
        </w:rPr>
        <w:t>2.9 延迟交货</w:t>
      </w:r>
      <w:bookmarkEnd w:id="100"/>
      <w:bookmarkEnd w:id="101"/>
      <w:bookmarkEnd w:id="102"/>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4" w:name="_Toc7502"/>
      <w:bookmarkStart w:id="105" w:name="_Toc279701254"/>
      <w:bookmarkStart w:id="106" w:name="_Ref467378121"/>
      <w:bookmarkStart w:id="107" w:name="_Toc259093683"/>
      <w:bookmarkStart w:id="108" w:name="_Toc487900364"/>
      <w:r>
        <w:rPr>
          <w:rFonts w:hint="eastAsia" w:ascii="仿宋" w:hAnsi="仿宋" w:eastAsia="仿宋" w:cs="仿宋"/>
          <w:b/>
          <w:color w:val="auto"/>
          <w:sz w:val="24"/>
          <w:highlight w:val="none"/>
        </w:rPr>
        <w:t>2.10 合同变更</w:t>
      </w:r>
      <w:bookmarkEnd w:id="10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487900369"/>
      <w:bookmarkStart w:id="110" w:name="_Toc279701259"/>
      <w:bookmarkStart w:id="111" w:name="_Toc259093688"/>
    </w:p>
    <w:p>
      <w:pPr>
        <w:spacing w:line="560" w:lineRule="exact"/>
        <w:ind w:firstLine="482" w:firstLineChars="200"/>
        <w:outlineLvl w:val="0"/>
        <w:rPr>
          <w:rFonts w:hint="eastAsia" w:ascii="仿宋" w:hAnsi="仿宋" w:eastAsia="仿宋" w:cs="仿宋"/>
          <w:b/>
          <w:color w:val="auto"/>
          <w:sz w:val="24"/>
          <w:highlight w:val="none"/>
        </w:rPr>
      </w:pPr>
      <w:bookmarkStart w:id="112" w:name="_Toc15237"/>
      <w:bookmarkStart w:id="113" w:name="_Toc10366"/>
      <w:bookmarkStart w:id="114" w:name="_Toc22955"/>
      <w:r>
        <w:rPr>
          <w:rFonts w:hint="eastAsia" w:ascii="仿宋" w:hAnsi="仿宋" w:eastAsia="仿宋" w:cs="仿宋"/>
          <w:b/>
          <w:color w:val="auto"/>
          <w:sz w:val="24"/>
          <w:highlight w:val="none"/>
        </w:rPr>
        <w:t>2.11 合同转让</w:t>
      </w:r>
      <w:bookmarkEnd w:id="109"/>
      <w:bookmarkEnd w:id="110"/>
      <w:bookmarkEnd w:id="111"/>
      <w:r>
        <w:rPr>
          <w:rFonts w:hint="eastAsia" w:ascii="仿宋" w:hAnsi="仿宋" w:eastAsia="仿宋" w:cs="仿宋"/>
          <w:b/>
          <w:color w:val="auto"/>
          <w:sz w:val="24"/>
          <w:highlight w:val="none"/>
        </w:rPr>
        <w:t>和分包</w:t>
      </w:r>
      <w:bookmarkEnd w:id="112"/>
      <w:bookmarkEnd w:id="113"/>
      <w:bookmarkEnd w:id="114"/>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15" w:name="_Toc13566"/>
      <w:bookmarkStart w:id="116" w:name="_Toc14066"/>
      <w:bookmarkStart w:id="117" w:name="_Toc16508"/>
      <w:r>
        <w:rPr>
          <w:rFonts w:hint="eastAsia" w:ascii="仿宋" w:hAnsi="仿宋" w:eastAsia="仿宋" w:cs="仿宋"/>
          <w:b/>
          <w:color w:val="auto"/>
          <w:sz w:val="24"/>
          <w:highlight w:val="none"/>
        </w:rPr>
        <w:t>2.12 不可抗力</w:t>
      </w:r>
      <w:bookmarkEnd w:id="115"/>
      <w:bookmarkEnd w:id="116"/>
      <w:bookmarkEnd w:id="11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18" w:name="_Toc487900365"/>
      <w:bookmarkStart w:id="119" w:name="_Toc30676"/>
      <w:bookmarkStart w:id="120" w:name="_Toc6969"/>
      <w:bookmarkStart w:id="121" w:name="_Toc689"/>
      <w:bookmarkStart w:id="122" w:name="_Toc259093684"/>
      <w:bookmarkStart w:id="123" w:name="_Toc279701255"/>
      <w:r>
        <w:rPr>
          <w:rFonts w:hint="eastAsia" w:ascii="仿宋" w:hAnsi="仿宋" w:eastAsia="仿宋" w:cs="仿宋"/>
          <w:b/>
          <w:color w:val="auto"/>
          <w:sz w:val="24"/>
          <w:highlight w:val="none"/>
        </w:rPr>
        <w:t>2.13 税费</w:t>
      </w:r>
      <w:bookmarkEnd w:id="118"/>
      <w:bookmarkEnd w:id="119"/>
      <w:bookmarkEnd w:id="120"/>
      <w:bookmarkEnd w:id="121"/>
      <w:bookmarkEnd w:id="122"/>
      <w:bookmarkEnd w:id="12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4" w:name="_Toc259093687"/>
      <w:bookmarkStart w:id="125" w:name="_Toc16959"/>
      <w:bookmarkStart w:id="126" w:name="_Toc8298"/>
      <w:bookmarkStart w:id="127" w:name="_Toc7102"/>
      <w:bookmarkStart w:id="128" w:name="_Toc487900368"/>
      <w:bookmarkStart w:id="129" w:name="_Toc279701258"/>
      <w:r>
        <w:rPr>
          <w:rFonts w:hint="eastAsia" w:ascii="仿宋" w:hAnsi="仿宋" w:eastAsia="仿宋" w:cs="仿宋"/>
          <w:b/>
          <w:color w:val="auto"/>
          <w:sz w:val="24"/>
          <w:highlight w:val="none"/>
        </w:rPr>
        <w:t>2.14乙方破产</w:t>
      </w:r>
      <w:bookmarkEnd w:id="124"/>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9333"/>
      <w:bookmarkStart w:id="131" w:name="_Toc15387"/>
      <w:bookmarkStart w:id="132" w:name="_Toc6134"/>
      <w:r>
        <w:rPr>
          <w:rFonts w:hint="eastAsia" w:ascii="仿宋" w:hAnsi="仿宋" w:eastAsia="仿宋" w:cs="仿宋"/>
          <w:b/>
          <w:color w:val="auto"/>
          <w:sz w:val="24"/>
          <w:highlight w:val="none"/>
        </w:rPr>
        <w:t>2.15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4563"/>
      <w:bookmarkStart w:id="134" w:name="_Toc1125"/>
      <w:bookmarkStart w:id="135" w:name="_Toc6596"/>
      <w:r>
        <w:rPr>
          <w:rFonts w:hint="eastAsia" w:ascii="仿宋" w:hAnsi="仿宋" w:eastAsia="仿宋" w:cs="仿宋"/>
          <w:b/>
          <w:color w:val="auto"/>
          <w:sz w:val="24"/>
          <w:highlight w:val="none"/>
        </w:rPr>
        <w:t>2.16检验和验收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5"/>
    <w:bookmarkEnd w:id="106"/>
    <w:bookmarkEnd w:id="107"/>
    <w:bookmarkEnd w:id="108"/>
    <w:p>
      <w:pPr>
        <w:spacing w:line="560" w:lineRule="exact"/>
        <w:ind w:firstLine="482" w:firstLineChars="200"/>
        <w:outlineLvl w:val="0"/>
        <w:rPr>
          <w:rFonts w:hint="eastAsia" w:ascii="仿宋" w:hAnsi="仿宋" w:eastAsia="仿宋" w:cs="仿宋"/>
          <w:b/>
          <w:color w:val="auto"/>
          <w:sz w:val="24"/>
          <w:highlight w:val="none"/>
        </w:rPr>
      </w:pPr>
      <w:bookmarkStart w:id="136" w:name="_Toc259093690"/>
      <w:bookmarkStart w:id="137" w:name="_Toc487900371"/>
      <w:bookmarkStart w:id="138" w:name="_Toc279701261"/>
      <w:bookmarkStart w:id="139" w:name="_Toc11284"/>
      <w:bookmarkStart w:id="140" w:name="_Toc19604"/>
      <w:bookmarkStart w:id="141" w:name="_Toc25182"/>
      <w:r>
        <w:rPr>
          <w:rFonts w:hint="eastAsia" w:ascii="仿宋" w:hAnsi="仿宋" w:eastAsia="仿宋" w:cs="仿宋"/>
          <w:b/>
          <w:color w:val="auto"/>
          <w:sz w:val="24"/>
          <w:highlight w:val="none"/>
        </w:rPr>
        <w:t>2.17 通知</w:t>
      </w:r>
      <w:bookmarkEnd w:id="136"/>
      <w:bookmarkEnd w:id="137"/>
      <w:bookmarkEnd w:id="138"/>
      <w:r>
        <w:rPr>
          <w:rFonts w:hint="eastAsia" w:ascii="仿宋" w:hAnsi="仿宋" w:eastAsia="仿宋" w:cs="仿宋"/>
          <w:b/>
          <w:color w:val="auto"/>
          <w:sz w:val="24"/>
          <w:highlight w:val="none"/>
        </w:rPr>
        <w:t>和送达</w:t>
      </w:r>
      <w:bookmarkEnd w:id="139"/>
      <w:bookmarkEnd w:id="140"/>
      <w:bookmarkEnd w:id="141"/>
    </w:p>
    <w:p>
      <w:pPr>
        <w:spacing w:line="560" w:lineRule="exact"/>
        <w:ind w:firstLine="480" w:firstLineChars="200"/>
        <w:rPr>
          <w:rFonts w:hint="eastAsia" w:ascii="仿宋" w:hAnsi="仿宋" w:eastAsia="仿宋" w:cs="仿宋"/>
          <w:color w:val="auto"/>
          <w:sz w:val="24"/>
          <w:highlight w:val="none"/>
        </w:rPr>
      </w:pPr>
      <w:bookmarkStart w:id="142" w:name="_Toc3135"/>
      <w:bookmarkStart w:id="143" w:name="_Toc6698"/>
      <w:bookmarkStart w:id="144" w:name="_Toc259093691"/>
      <w:bookmarkStart w:id="145" w:name="_Toc487900372"/>
      <w:bookmarkStart w:id="146" w:name="_Toc27970126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2"/>
      <w:bookmarkEnd w:id="143"/>
    </w:p>
    <w:p>
      <w:pPr>
        <w:spacing w:line="560" w:lineRule="exact"/>
        <w:ind w:firstLine="480" w:firstLineChars="200"/>
        <w:rPr>
          <w:rFonts w:hint="eastAsia" w:ascii="仿宋" w:hAnsi="仿宋" w:eastAsia="仿宋" w:cs="仿宋"/>
          <w:color w:val="auto"/>
          <w:sz w:val="24"/>
          <w:highlight w:val="none"/>
        </w:rPr>
      </w:pPr>
      <w:bookmarkStart w:id="147" w:name="_Toc23128"/>
      <w:bookmarkStart w:id="148"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pPr>
        <w:spacing w:line="560" w:lineRule="exact"/>
        <w:ind w:firstLine="482" w:firstLineChars="200"/>
        <w:outlineLvl w:val="0"/>
        <w:rPr>
          <w:rFonts w:hint="eastAsia" w:ascii="仿宋" w:hAnsi="仿宋" w:eastAsia="仿宋" w:cs="仿宋"/>
          <w:b/>
          <w:color w:val="auto"/>
          <w:sz w:val="24"/>
          <w:highlight w:val="none"/>
        </w:rPr>
      </w:pPr>
      <w:bookmarkStart w:id="149" w:name="_Toc30599"/>
      <w:bookmarkStart w:id="150" w:name="_Toc18540"/>
      <w:bookmarkStart w:id="151" w:name="_Toc4355"/>
      <w:r>
        <w:rPr>
          <w:rFonts w:hint="eastAsia" w:ascii="仿宋" w:hAnsi="仿宋" w:eastAsia="仿宋" w:cs="仿宋"/>
          <w:b/>
          <w:color w:val="auto"/>
          <w:sz w:val="24"/>
          <w:highlight w:val="none"/>
        </w:rPr>
        <w:t>2.18 计量单位</w:t>
      </w:r>
      <w:bookmarkEnd w:id="144"/>
      <w:bookmarkEnd w:id="145"/>
      <w:bookmarkEnd w:id="146"/>
      <w:bookmarkEnd w:id="149"/>
      <w:bookmarkEnd w:id="150"/>
      <w:bookmarkEnd w:id="1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2" w:name="_Toc18567"/>
      <w:bookmarkStart w:id="153" w:name="_Toc12773"/>
      <w:bookmarkStart w:id="154" w:name="_Toc279701263"/>
      <w:bookmarkStart w:id="155" w:name="_Toc259093692"/>
      <w:bookmarkStart w:id="156" w:name="_Toc10330"/>
      <w:bookmarkStart w:id="157" w:name="_Toc48790037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8" w:name="_Toc259093693"/>
      <w:bookmarkStart w:id="159" w:name="_Toc12004"/>
      <w:bookmarkStart w:id="160" w:name="_Toc279701264"/>
      <w:bookmarkStart w:id="161" w:name="_Toc3148"/>
      <w:bookmarkStart w:id="162" w:name="_Toc16673"/>
      <w:bookmarkStart w:id="163" w:name="_Toc487900374"/>
      <w:r>
        <w:rPr>
          <w:rFonts w:hint="eastAsia" w:ascii="仿宋" w:hAnsi="仿宋" w:eastAsia="仿宋" w:cs="仿宋"/>
          <w:b/>
          <w:color w:val="auto"/>
          <w:sz w:val="24"/>
          <w:highlight w:val="none"/>
        </w:rPr>
        <w:t>2.20 履约保证金</w:t>
      </w:r>
      <w:bookmarkEnd w:id="158"/>
      <w:bookmarkEnd w:id="159"/>
      <w:bookmarkEnd w:id="160"/>
      <w:bookmarkEnd w:id="161"/>
      <w:bookmarkEnd w:id="162"/>
    </w:p>
    <w:p>
      <w:pPr>
        <w:pStyle w:val="285"/>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3"/>
    <w:p>
      <w:pPr>
        <w:spacing w:line="560" w:lineRule="exact"/>
        <w:ind w:firstLine="482" w:firstLineChars="200"/>
        <w:outlineLvl w:val="0"/>
        <w:rPr>
          <w:rFonts w:hint="eastAsia" w:ascii="仿宋" w:hAnsi="仿宋" w:eastAsia="仿宋" w:cs="仿宋"/>
          <w:b/>
          <w:color w:val="auto"/>
          <w:sz w:val="24"/>
          <w:highlight w:val="none"/>
        </w:rPr>
      </w:pPr>
      <w:bookmarkStart w:id="164" w:name="_Toc14001"/>
      <w:bookmarkStart w:id="165" w:name="_Toc6885"/>
      <w:bookmarkStart w:id="166" w:name="_Toc19890"/>
      <w:r>
        <w:rPr>
          <w:rFonts w:hint="eastAsia" w:ascii="仿宋" w:hAnsi="仿宋" w:eastAsia="仿宋" w:cs="仿宋"/>
          <w:b/>
          <w:color w:val="auto"/>
          <w:sz w:val="24"/>
          <w:highlight w:val="none"/>
        </w:rPr>
        <w:t>2.22合同份数</w:t>
      </w:r>
      <w:bookmarkEnd w:id="164"/>
      <w:bookmarkEnd w:id="165"/>
      <w:bookmarkEnd w:id="1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7" w:name="_Toc331685784"/>
      <w:bookmarkEnd w:id="167"/>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5"/>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w:t>
      </w:r>
      <w:r>
        <w:rPr>
          <w:rFonts w:hint="eastAsia" w:ascii="仿宋" w:hAnsi="仿宋" w:eastAsia="仿宋" w:cs="仿宋"/>
          <w:b/>
          <w:bCs/>
          <w:iCs/>
          <w:color w:val="auto"/>
          <w:sz w:val="24"/>
          <w:highlight w:val="none"/>
        </w:rPr>
        <w:t>0分）</w:t>
      </w:r>
    </w:p>
    <w:tbl>
      <w:tblPr>
        <w:tblStyle w:val="43"/>
        <w:tblW w:w="50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019"/>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bottom"/>
          </w:tcPr>
          <w:p>
            <w:pPr>
              <w:adjustRightInd w:val="0"/>
              <w:snapToGrid w:val="0"/>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4236" w:type="pct"/>
            <w:tcBorders>
              <w:top w:val="single" w:color="auto" w:sz="4" w:space="0"/>
              <w:left w:val="single" w:color="auto" w:sz="4" w:space="0"/>
              <w:bottom w:val="single" w:color="auto" w:sz="4" w:space="0"/>
              <w:right w:val="single" w:color="auto" w:sz="4" w:space="0"/>
            </w:tcBorders>
            <w:noWrap w:val="0"/>
            <w:vAlign w:val="bottom"/>
          </w:tcPr>
          <w:p>
            <w:pPr>
              <w:adjustRightInd w:val="0"/>
              <w:snapToGrid w:val="0"/>
              <w:spacing w:line="36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评审内容</w:t>
            </w:r>
          </w:p>
        </w:tc>
        <w:tc>
          <w:tcPr>
            <w:tcW w:w="395" w:type="pct"/>
            <w:tcBorders>
              <w:top w:val="single" w:color="auto" w:sz="4" w:space="0"/>
              <w:left w:val="single" w:color="auto" w:sz="4" w:space="0"/>
              <w:bottom w:val="single" w:color="auto" w:sz="4" w:space="0"/>
              <w:right w:val="single" w:color="auto" w:sz="4" w:space="0"/>
            </w:tcBorders>
            <w:noWrap w:val="0"/>
            <w:vAlign w:val="bottom"/>
          </w:tcPr>
          <w:p>
            <w:pPr>
              <w:adjustRightInd w:val="0"/>
              <w:snapToGrid w:val="0"/>
              <w:spacing w:line="36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满足招标文件要求的得10分，打“★”号的指标为实质性指标不允许出现负偏离，如出现负偏离则作无效投标处理；打“▲”号的指标，每有一项负偏离的扣2分；每有一项负偏离的扣1分。扣完为止。</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投标人2020年1月1日至投标截止时间同类项目业绩情况，每提供一个业绩证明材料得0.5分，累计得分不超过</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w:t>
            </w:r>
          </w:p>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注：业绩证明材料必须在投标文件中提供合同</w:t>
            </w:r>
            <w:r>
              <w:rPr>
                <w:rFonts w:hint="eastAsia" w:ascii="仿宋" w:hAnsi="仿宋" w:eastAsia="仿宋" w:cs="仿宋"/>
                <w:color w:val="auto"/>
                <w:sz w:val="21"/>
                <w:szCs w:val="21"/>
                <w:highlight w:val="none"/>
                <w:lang w:eastAsia="zh-CN"/>
              </w:rPr>
              <w:t>及</w:t>
            </w:r>
            <w:r>
              <w:rPr>
                <w:rFonts w:hint="eastAsia" w:ascii="仿宋" w:hAnsi="仿宋" w:eastAsia="仿宋" w:cs="仿宋"/>
                <w:color w:val="auto"/>
                <w:sz w:val="21"/>
                <w:szCs w:val="21"/>
                <w:highlight w:val="none"/>
              </w:rPr>
              <w:t>发票复印件。</w:t>
            </w:r>
          </w:p>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要求提供的证明材料内容能同时体现评审要素：合同约定的服务期在12个月及以上；合同内容包含奶制品供货服务。(未按规定提供证明材料的类似业绩不予认可）</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投标人具有ISO9001质量管理体系认证的得1分；具有ISO22000食品安全管理体系认证的得1分；具有HACCP危害分析与关键控制点体系认证的得1分；</w:t>
            </w:r>
            <w:r>
              <w:rPr>
                <w:rFonts w:hint="eastAsia" w:ascii="仿宋" w:hAnsi="仿宋" w:eastAsia="仿宋" w:cs="仿宋"/>
                <w:color w:val="auto"/>
                <w:sz w:val="21"/>
                <w:szCs w:val="21"/>
                <w:highlight w:val="none"/>
                <w:lang w:eastAsia="zh-CN"/>
              </w:rPr>
              <w:t>需</w:t>
            </w:r>
            <w:r>
              <w:rPr>
                <w:rFonts w:hint="eastAsia" w:ascii="仿宋" w:hAnsi="仿宋" w:eastAsia="仿宋" w:cs="仿宋"/>
                <w:color w:val="auto"/>
                <w:sz w:val="21"/>
                <w:szCs w:val="21"/>
                <w:highlight w:val="none"/>
              </w:rPr>
              <w:t>提供相关证书复印件加盖投标人公章</w:t>
            </w:r>
            <w:r>
              <w:rPr>
                <w:rFonts w:hint="eastAsia" w:ascii="仿宋" w:hAnsi="仿宋" w:eastAsia="仿宋" w:cs="仿宋"/>
                <w:color w:val="auto"/>
                <w:sz w:val="21"/>
                <w:szCs w:val="21"/>
                <w:highlight w:val="none"/>
                <w:lang w:eastAsia="zh-CN"/>
              </w:rPr>
              <w:t>，未提供不得分。</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售后服务机构及确保服务时效性满足采购要求的措施等。</w:t>
            </w:r>
            <w:r>
              <w:rPr>
                <w:rFonts w:hint="eastAsia" w:ascii="仿宋" w:hAnsi="仿宋" w:eastAsia="仿宋" w:cs="仿宋"/>
                <w:color w:val="auto"/>
                <w:sz w:val="21"/>
                <w:szCs w:val="21"/>
                <w:highlight w:val="none"/>
                <w:lang w:eastAsia="zh-CN"/>
              </w:rPr>
              <w:t>由评委横向比较后，酌情打分。</w:t>
            </w:r>
            <w:r>
              <w:rPr>
                <w:rFonts w:hint="eastAsia" w:ascii="仿宋" w:hAnsi="仿宋" w:eastAsia="仿宋" w:cs="仿宋"/>
                <w:color w:val="auto"/>
                <w:sz w:val="21"/>
                <w:szCs w:val="21"/>
                <w:highlight w:val="none"/>
              </w:rPr>
              <w:t>（提供固定售后服务机构的资料）</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供应商提供的特殊情况应急方案。</w:t>
            </w:r>
            <w:r>
              <w:rPr>
                <w:rFonts w:hint="eastAsia" w:ascii="仿宋" w:hAnsi="仿宋" w:eastAsia="仿宋" w:cs="仿宋"/>
                <w:color w:val="auto"/>
                <w:sz w:val="21"/>
                <w:szCs w:val="21"/>
                <w:highlight w:val="none"/>
                <w:lang w:eastAsia="zh-CN"/>
              </w:rPr>
              <w:t>由评委横向比较后，酌情打分。</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出现产品异常问题的退换货的承诺。</w:t>
            </w:r>
            <w:r>
              <w:rPr>
                <w:rFonts w:hint="eastAsia" w:ascii="仿宋" w:hAnsi="仿宋" w:eastAsia="仿宋" w:cs="仿宋"/>
                <w:color w:val="auto"/>
                <w:sz w:val="21"/>
                <w:szCs w:val="21"/>
                <w:highlight w:val="none"/>
                <w:lang w:eastAsia="zh-CN"/>
              </w:rPr>
              <w:t>由评委横向比较后，酌情打分。</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投保食品安全责任险500万得1分，1000万得3分，2000万及以上得5分。</w:t>
            </w:r>
            <w:r>
              <w:rPr>
                <w:rFonts w:hint="eastAsia" w:ascii="仿宋" w:hAnsi="仿宋" w:eastAsia="仿宋" w:cs="仿宋"/>
                <w:color w:val="auto"/>
                <w:sz w:val="21"/>
                <w:szCs w:val="21"/>
                <w:highlight w:val="none"/>
                <w:lang w:eastAsia="zh-CN"/>
              </w:rPr>
              <w:t>需</w:t>
            </w:r>
            <w:r>
              <w:rPr>
                <w:rFonts w:hint="eastAsia" w:ascii="仿宋" w:hAnsi="仿宋" w:eastAsia="仿宋" w:cs="仿宋"/>
                <w:color w:val="auto"/>
                <w:sz w:val="21"/>
                <w:szCs w:val="21"/>
                <w:highlight w:val="none"/>
              </w:rPr>
              <w:t>提供相关证明材料加盖公章，不提供不得分</w:t>
            </w:r>
            <w:r>
              <w:rPr>
                <w:rFonts w:hint="eastAsia" w:ascii="仿宋" w:hAnsi="仿宋" w:eastAsia="仿宋" w:cs="仿宋"/>
                <w:color w:val="auto"/>
                <w:sz w:val="21"/>
                <w:szCs w:val="21"/>
                <w:highlight w:val="none"/>
                <w:lang w:eastAsia="zh-CN"/>
              </w:rPr>
              <w:t>。</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根据各投标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的优惠程度由</w:t>
            </w:r>
            <w:r>
              <w:rPr>
                <w:rFonts w:hint="eastAsia" w:ascii="仿宋" w:hAnsi="仿宋" w:eastAsia="仿宋" w:cs="仿宋"/>
                <w:color w:val="auto"/>
                <w:sz w:val="21"/>
                <w:szCs w:val="21"/>
                <w:highlight w:val="none"/>
                <w:lang w:eastAsia="zh-CN"/>
              </w:rPr>
              <w:t>评委横向比较后，酌情打分</w:t>
            </w:r>
            <w:r>
              <w:rPr>
                <w:rFonts w:hint="eastAsia" w:ascii="仿宋" w:hAnsi="仿宋" w:eastAsia="仿宋" w:cs="仿宋"/>
                <w:color w:val="auto"/>
                <w:sz w:val="21"/>
                <w:szCs w:val="21"/>
                <w:highlight w:val="none"/>
              </w:rPr>
              <w:t>。</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9</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牛奶包装、保存、仓储及运输各环节的质量保证措施情况。（提供相关场地</w:t>
            </w:r>
            <w:r>
              <w:rPr>
                <w:rFonts w:hint="eastAsia" w:ascii="仿宋" w:hAnsi="仿宋" w:eastAsia="仿宋" w:cs="仿宋"/>
                <w:color w:val="auto"/>
                <w:sz w:val="21"/>
                <w:szCs w:val="21"/>
                <w:highlight w:val="none"/>
                <w:lang w:eastAsia="zh-CN"/>
              </w:rPr>
              <w:t>及设备照片，并提供场地产权或租赁合同及设备发票复印件，上述证明材料须加盖投标人公章</w:t>
            </w:r>
            <w:r>
              <w:rPr>
                <w:rFonts w:hint="eastAsia" w:ascii="仿宋" w:hAnsi="仿宋" w:eastAsia="仿宋" w:cs="仿宋"/>
                <w:color w:val="auto"/>
                <w:sz w:val="21"/>
                <w:szCs w:val="21"/>
                <w:highlight w:val="none"/>
              </w:rPr>
              <w:t>）</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样品评审：按采购文件要求提供</w:t>
            </w:r>
            <w:r>
              <w:rPr>
                <w:rFonts w:hint="eastAsia" w:ascii="仿宋" w:hAnsi="仿宋" w:eastAsia="仿宋" w:cs="仿宋"/>
                <w:color w:val="auto"/>
                <w:sz w:val="21"/>
                <w:szCs w:val="21"/>
                <w:highlight w:val="none"/>
                <w:lang w:val="en-US" w:eastAsia="zh-CN"/>
              </w:rPr>
              <w:t>9个</w:t>
            </w:r>
            <w:r>
              <w:rPr>
                <w:rFonts w:hint="eastAsia" w:ascii="仿宋" w:hAnsi="仿宋" w:eastAsia="仿宋" w:cs="仿宋"/>
                <w:color w:val="auto"/>
                <w:sz w:val="21"/>
                <w:szCs w:val="21"/>
                <w:highlight w:val="none"/>
              </w:rPr>
              <w:t>样品，</w:t>
            </w:r>
            <w:r>
              <w:rPr>
                <w:rFonts w:hint="eastAsia" w:ascii="仿宋" w:hAnsi="仿宋" w:eastAsia="仿宋" w:cs="仿宋"/>
                <w:color w:val="auto"/>
                <w:sz w:val="21"/>
                <w:szCs w:val="21"/>
                <w:highlight w:val="none"/>
                <w:lang w:eastAsia="zh-CN"/>
              </w:rPr>
              <w:t>全部提供的</w:t>
            </w:r>
            <w:r>
              <w:rPr>
                <w:rFonts w:hint="eastAsia" w:ascii="仿宋" w:hAnsi="仿宋" w:eastAsia="仿宋" w:cs="仿宋"/>
                <w:color w:val="auto"/>
                <w:sz w:val="21"/>
                <w:szCs w:val="21"/>
                <w:highlight w:val="none"/>
              </w:rPr>
              <w:t>得</w:t>
            </w: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分，每缺一种样品扣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分，扣完为止。</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4236"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ind w:right="-21" w:rightChars="-1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投标人需提供标的品牌产品有效期内的供货协议或合同，企业自有产品应提供相关证明，每一品牌得</w:t>
            </w:r>
            <w:r>
              <w:rPr>
                <w:rFonts w:hint="eastAsia" w:ascii="仿宋" w:hAnsi="仿宋" w:eastAsia="仿宋" w:cs="仿宋"/>
                <w:color w:val="auto"/>
                <w:sz w:val="21"/>
                <w:szCs w:val="21"/>
                <w:highlight w:val="none"/>
                <w:lang w:val="en-US" w:eastAsia="zh-CN"/>
              </w:rPr>
              <w:t>1分。（不在</w:t>
            </w:r>
            <w:r>
              <w:rPr>
                <w:rFonts w:hint="eastAsia" w:ascii="仿宋" w:hAnsi="仿宋" w:eastAsia="仿宋" w:cs="仿宋"/>
                <w:color w:val="auto"/>
                <w:sz w:val="21"/>
                <w:szCs w:val="21"/>
                <w:highlight w:val="none"/>
                <w:lang w:eastAsia="zh-CN"/>
              </w:rPr>
              <w:t>有效期内的供货协议或合同不得分）</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303"/>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3分</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w:t>
      </w:r>
      <w:r>
        <w:rPr>
          <w:rFonts w:hint="eastAsia" w:ascii="仿宋" w:hAnsi="仿宋" w:eastAsia="仿宋" w:cs="仿宋"/>
          <w:b/>
          <w:bCs/>
          <w:iCs/>
          <w:color w:val="auto"/>
          <w:sz w:val="24"/>
          <w:highlight w:val="none"/>
        </w:rPr>
        <w:t>0分</w:t>
      </w:r>
      <w:r>
        <w:rPr>
          <w:rFonts w:hint="eastAsia" w:ascii="仿宋" w:hAnsi="仿宋" w:eastAsia="仿宋" w:cs="仿宋"/>
          <w:b/>
          <w:bCs/>
          <w:iCs/>
          <w:color w:val="auto"/>
          <w:sz w:val="24"/>
          <w:highlight w:val="none"/>
          <w:lang w:eastAsia="zh-CN"/>
        </w:rPr>
        <w:t>，</w:t>
      </w:r>
      <w:r>
        <w:rPr>
          <w:rFonts w:hint="eastAsia" w:ascii="仿宋" w:hAnsi="仿宋" w:eastAsia="仿宋" w:cs="仿宋"/>
          <w:b/>
          <w:bCs/>
          <w:iCs/>
          <w:color w:val="auto"/>
          <w:sz w:val="24"/>
          <w:highlight w:val="none"/>
          <w:lang w:val="en-US" w:eastAsia="zh-CN"/>
        </w:rPr>
        <w:t>鲜奶、酸奶类35分+常温奶5分）</w:t>
      </w:r>
    </w:p>
    <w:p>
      <w:pPr>
        <w:spacing w:line="440" w:lineRule="exact"/>
        <w:rPr>
          <w:rFonts w:hint="eastAsia" w:ascii="仿宋" w:hAnsi="仿宋" w:eastAsia="仿宋" w:cs="仿宋"/>
          <w:b/>
          <w:bCs w:val="0"/>
          <w:iCs/>
          <w:color w:val="auto"/>
          <w:sz w:val="24"/>
          <w:highlight w:val="none"/>
          <w:lang w:val="en-US" w:eastAsia="zh-CN"/>
        </w:rPr>
      </w:pPr>
      <w:r>
        <w:rPr>
          <w:rFonts w:hint="eastAsia" w:ascii="仿宋" w:hAnsi="仿宋" w:eastAsia="仿宋" w:cs="仿宋"/>
          <w:b/>
          <w:bCs w:val="0"/>
          <w:iCs/>
          <w:color w:val="auto"/>
          <w:sz w:val="24"/>
          <w:highlight w:val="none"/>
        </w:rPr>
        <w:t>2.2.1</w:t>
      </w:r>
      <w:bookmarkEnd w:id="7"/>
      <w:bookmarkEnd w:id="8"/>
      <w:bookmarkEnd w:id="9"/>
      <w:bookmarkEnd w:id="10"/>
      <w:r>
        <w:rPr>
          <w:rFonts w:hint="eastAsia" w:ascii="仿宋" w:hAnsi="仿宋" w:eastAsia="仿宋" w:cs="仿宋"/>
          <w:b/>
          <w:bCs w:val="0"/>
          <w:iCs/>
          <w:color w:val="auto"/>
          <w:sz w:val="24"/>
          <w:highlight w:val="none"/>
          <w:lang w:val="en-US" w:eastAsia="zh-CN"/>
        </w:rPr>
        <w:t>鲜奶、酸奶类35分（报价为扣率）</w:t>
      </w:r>
    </w:p>
    <w:p>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2.2.1.1、评标基准价：即满足招标文件要求且投标价格最低的折扣为评标基准价，其价格分为满分。</w:t>
      </w:r>
    </w:p>
    <w:p>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2.2.1.2、其他投标人的价格分统一按照下列公式计算：</w:t>
      </w:r>
    </w:p>
    <w:p>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即：投标报价得分=(评标基准价／投标报价)×35</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lang w:val="en-US" w:eastAsia="zh-CN"/>
        </w:rPr>
        <w:t>2.2.1.3</w:t>
      </w:r>
      <w:r>
        <w:rPr>
          <w:rFonts w:hint="eastAsia" w:ascii="仿宋" w:hAnsi="仿宋" w:eastAsia="仿宋" w:cs="仿宋"/>
          <w:bCs/>
          <w:iCs/>
          <w:color w:val="auto"/>
          <w:sz w:val="24"/>
          <w:highlight w:val="none"/>
        </w:rPr>
        <w:t>、投标人在招标文件提供基准价上填报折扣，中标后按产品的基准价结合中标折扣，按实际的供货量进行分期结算；具体基准价详见招标文件</w:t>
      </w:r>
    </w:p>
    <w:p>
      <w:pPr>
        <w:spacing w:line="440" w:lineRule="exact"/>
        <w:rPr>
          <w:rFonts w:hint="eastAsia" w:ascii="仿宋" w:hAnsi="仿宋" w:eastAsia="仿宋" w:cs="仿宋"/>
          <w:b/>
          <w:color w:val="auto"/>
          <w:sz w:val="24"/>
          <w:highlight w:val="none"/>
        </w:rPr>
      </w:pPr>
      <w:r>
        <w:rPr>
          <w:rFonts w:hint="eastAsia" w:ascii="仿宋" w:hAnsi="仿宋" w:eastAsia="仿宋" w:cs="仿宋"/>
          <w:bCs/>
          <w:iCs/>
          <w:color w:val="auto"/>
          <w:sz w:val="24"/>
          <w:highlight w:val="none"/>
        </w:rPr>
        <w:t>例如：鲜牛奶基准价为10元/盒，投标人填报的折扣为90%，则鲜牛奶单价为10×90%=9元/盒；当月月实际供应用量100盒；当月鲜牛奶结算价格=9×100=900元。</w:t>
      </w:r>
    </w:p>
    <w:p>
      <w:pPr>
        <w:spacing w:line="440" w:lineRule="exact"/>
        <w:rPr>
          <w:rFonts w:hint="eastAsia" w:ascii="仿宋" w:hAnsi="仿宋" w:eastAsia="仿宋" w:cs="仿宋"/>
          <w:b/>
          <w:bCs w:val="0"/>
          <w:iCs/>
          <w:color w:val="auto"/>
          <w:sz w:val="24"/>
          <w:highlight w:val="none"/>
          <w:lang w:val="en-US" w:eastAsia="zh-CN"/>
        </w:rPr>
      </w:pPr>
      <w:r>
        <w:rPr>
          <w:rFonts w:hint="eastAsia" w:ascii="仿宋" w:hAnsi="仿宋" w:eastAsia="仿宋" w:cs="仿宋"/>
          <w:b/>
          <w:bCs w:val="0"/>
          <w:iCs/>
          <w:color w:val="auto"/>
          <w:sz w:val="24"/>
          <w:highlight w:val="none"/>
          <w:lang w:val="en-US" w:eastAsia="zh-CN"/>
        </w:rPr>
        <w:t>2.2.2、常温奶5分（报价为单价）</w:t>
      </w:r>
    </w:p>
    <w:p>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2.2.2.2其他投标人的价格分统一按照下列公式计算：</w:t>
      </w:r>
    </w:p>
    <w:p>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投标报价得分=(评标基准价／投标报价)×5</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kern w:val="0"/>
          <w:sz w:val="24"/>
          <w:highlight w:val="none"/>
        </w:rPr>
        <w:t>（2）开标一览表……………………………………………………（页码）</w:t>
      </w:r>
    </w:p>
    <w:p>
      <w:pPr>
        <w:pStyle w:val="8"/>
        <w:spacing w:line="800" w:lineRule="atLeast"/>
        <w:ind w:left="0" w:leftChars="0"/>
        <w:rPr>
          <w:rFonts w:hint="eastAsia" w:ascii="仿宋" w:hAnsi="仿宋" w:eastAsia="仿宋" w:cs="仿宋"/>
          <w:b/>
          <w:color w:val="auto"/>
          <w:sz w:val="36"/>
          <w:szCs w:val="36"/>
          <w:highlight w:val="none"/>
        </w:rPr>
      </w:pPr>
    </w:p>
    <w:p>
      <w:pPr>
        <w:pStyle w:val="8"/>
        <w:spacing w:line="800" w:lineRule="atLeast"/>
        <w:ind w:left="0" w:leftChars="0"/>
        <w:rPr>
          <w:rFonts w:hint="eastAsia" w:ascii="仿宋" w:hAnsi="仿宋" w:eastAsia="仿宋" w:cs="仿宋"/>
          <w:b/>
          <w:color w:val="auto"/>
          <w:sz w:val="36"/>
          <w:szCs w:val="36"/>
          <w:highlight w:val="none"/>
        </w:rPr>
      </w:pPr>
    </w:p>
    <w:p>
      <w:pPr>
        <w:pStyle w:val="8"/>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1"/>
        <w:spacing w:afterLines="0" w:line="440" w:lineRule="exact"/>
        <w:ind w:firstLine="0" w:firstLineChars="0"/>
        <w:rPr>
          <w:rFonts w:hint="eastAsia" w:ascii="仿宋" w:hAnsi="仿宋" w:eastAsia="仿宋" w:cs="仿宋"/>
          <w:color w:val="auto"/>
          <w:szCs w:val="24"/>
          <w:highlight w:val="none"/>
        </w:rPr>
      </w:pPr>
    </w:p>
    <w:p>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6"/>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6"/>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both"/>
        <w:rPr>
          <w:rFonts w:hint="eastAsia" w:ascii="仿宋" w:hAnsi="仿宋" w:eastAsia="仿宋" w:cs="仿宋"/>
          <w:color w:val="auto"/>
          <w:sz w:val="24"/>
          <w:highlight w:val="none"/>
          <w:lang w:eastAsia="zh-CN"/>
        </w:rPr>
      </w:pPr>
      <w:r>
        <w:rPr>
          <w:rFonts w:hint="eastAsia" w:ascii="仿宋" w:hAnsi="仿宋" w:eastAsia="仿宋" w:cs="仿宋"/>
          <w:b/>
          <w:bCs/>
          <w:color w:val="auto"/>
          <w:kern w:val="2"/>
          <w:sz w:val="24"/>
          <w:szCs w:val="24"/>
          <w:highlight w:val="none"/>
          <w:lang w:val="en-US" w:eastAsia="zh-CN" w:bidi="ar-SA"/>
        </w:rPr>
        <w:t>牛奶产品明细表—冷藏鲜奶、酸奶报价表</w:t>
      </w:r>
    </w:p>
    <w:tbl>
      <w:tblPr>
        <w:tblStyle w:val="43"/>
        <w:tblW w:w="9438"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3687"/>
        <w:gridCol w:w="1215"/>
        <w:gridCol w:w="698"/>
        <w:gridCol w:w="1060"/>
        <w:gridCol w:w="2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品牌</w:t>
            </w:r>
          </w:p>
        </w:tc>
        <w:tc>
          <w:tcPr>
            <w:tcW w:w="36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品名</w:t>
            </w:r>
          </w:p>
        </w:tc>
        <w:tc>
          <w:tcPr>
            <w:tcW w:w="12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规格</w:t>
            </w:r>
          </w:p>
        </w:tc>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计量单位</w:t>
            </w: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上限价格</w:t>
            </w:r>
          </w:p>
        </w:tc>
        <w:tc>
          <w:tcPr>
            <w:tcW w:w="2142"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bCs/>
                <w:color w:val="auto"/>
                <w:sz w:val="24"/>
                <w:highlight w:val="none"/>
              </w:rPr>
              <w:t>投标报价</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1"/>
                <w:szCs w:val="21"/>
                <w:highlight w:val="none"/>
                <w:lang w:val="en-US" w:eastAsia="zh-CN" w:bidi="ar-SA"/>
              </w:rPr>
            </w:pPr>
          </w:p>
        </w:tc>
        <w:tc>
          <w:tcPr>
            <w:tcW w:w="368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kern w:val="2"/>
                <w:sz w:val="21"/>
                <w:szCs w:val="21"/>
                <w:highlight w:val="none"/>
                <w:lang w:val="en-US" w:eastAsia="zh-CN" w:bidi="ar-SA"/>
              </w:rPr>
            </w:pPr>
          </w:p>
        </w:tc>
        <w:tc>
          <w:tcPr>
            <w:tcW w:w="121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1"/>
                <w:szCs w:val="21"/>
                <w:highlight w:val="none"/>
                <w:lang w:val="en-US" w:eastAsia="zh-CN" w:bidi="ar-SA"/>
              </w:rPr>
            </w:pPr>
          </w:p>
        </w:tc>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1"/>
                <w:szCs w:val="21"/>
                <w:highlight w:val="none"/>
                <w:lang w:val="en-US" w:eastAsia="zh-CN" w:bidi="ar-SA"/>
              </w:rPr>
            </w:pP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（元）</w:t>
            </w:r>
          </w:p>
        </w:tc>
        <w:tc>
          <w:tcPr>
            <w:tcW w:w="214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光明</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光明优培鲜奶</w:t>
            </w:r>
          </w:p>
        </w:tc>
        <w:tc>
          <w:tcPr>
            <w:tcW w:w="12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200ml</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盒</w:t>
            </w: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w:t>
            </w:r>
          </w:p>
        </w:tc>
        <w:tc>
          <w:tcPr>
            <w:tcW w:w="2142"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color w:val="auto"/>
                <w:sz w:val="24"/>
                <w:highlight w:val="none"/>
              </w:rPr>
              <w:t>在招标文件规定的基准价上按</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rPr>
              <w:t>%进行结算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1"/>
                <w:szCs w:val="21"/>
                <w:highlight w:val="none"/>
                <w:lang w:val="en-US" w:eastAsia="zh-CN" w:bidi="ar-SA"/>
              </w:rPr>
            </w:pPr>
          </w:p>
        </w:tc>
        <w:tc>
          <w:tcPr>
            <w:tcW w:w="3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光明酸奶</w:t>
            </w:r>
          </w:p>
        </w:tc>
        <w:tc>
          <w:tcPr>
            <w:tcW w:w="12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190g</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盒</w:t>
            </w: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3.7</w:t>
            </w:r>
          </w:p>
        </w:tc>
        <w:tc>
          <w:tcPr>
            <w:tcW w:w="2142" w:type="dxa"/>
            <w:vMerge w:val="continue"/>
            <w:tcBorders>
              <w:left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1"/>
                <w:szCs w:val="21"/>
                <w:highlight w:val="none"/>
                <w:lang w:val="en-US" w:eastAsia="zh-CN" w:bidi="ar-SA"/>
              </w:rPr>
            </w:pPr>
          </w:p>
        </w:tc>
        <w:tc>
          <w:tcPr>
            <w:tcW w:w="3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光明益生菌八连杯</w:t>
            </w:r>
          </w:p>
        </w:tc>
        <w:tc>
          <w:tcPr>
            <w:tcW w:w="12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100g×8</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组</w:t>
            </w: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14.2</w:t>
            </w:r>
          </w:p>
        </w:tc>
        <w:tc>
          <w:tcPr>
            <w:tcW w:w="2142" w:type="dxa"/>
            <w:vMerge w:val="continue"/>
            <w:tcBorders>
              <w:left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伊利</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伊利鲜牛奶</w:t>
            </w:r>
          </w:p>
        </w:tc>
        <w:tc>
          <w:tcPr>
            <w:tcW w:w="12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1500ml</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壶</w:t>
            </w: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24.5</w:t>
            </w:r>
          </w:p>
        </w:tc>
        <w:tc>
          <w:tcPr>
            <w:tcW w:w="2142" w:type="dxa"/>
            <w:vMerge w:val="continue"/>
            <w:tcBorders>
              <w:left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1"/>
                <w:szCs w:val="21"/>
                <w:highlight w:val="none"/>
                <w:lang w:val="en-US" w:eastAsia="zh-CN" w:bidi="ar-SA"/>
              </w:rPr>
            </w:pPr>
          </w:p>
        </w:tc>
        <w:tc>
          <w:tcPr>
            <w:tcW w:w="3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十六连原味</w:t>
            </w:r>
          </w:p>
        </w:tc>
        <w:tc>
          <w:tcPr>
            <w:tcW w:w="12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100ml×16</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组</w:t>
            </w: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22</w:t>
            </w:r>
          </w:p>
        </w:tc>
        <w:tc>
          <w:tcPr>
            <w:tcW w:w="2142" w:type="dxa"/>
            <w:vMerge w:val="continue"/>
            <w:tcBorders>
              <w:left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1"/>
                <w:szCs w:val="21"/>
                <w:highlight w:val="none"/>
                <w:lang w:val="en-US" w:eastAsia="zh-CN" w:bidi="ar-SA"/>
              </w:rPr>
            </w:pPr>
          </w:p>
        </w:tc>
        <w:tc>
          <w:tcPr>
            <w:tcW w:w="3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十六连红枣</w:t>
            </w:r>
          </w:p>
        </w:tc>
        <w:tc>
          <w:tcPr>
            <w:tcW w:w="12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100ml×16</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组</w:t>
            </w: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26</w:t>
            </w:r>
          </w:p>
        </w:tc>
        <w:tc>
          <w:tcPr>
            <w:tcW w:w="2142" w:type="dxa"/>
            <w:vMerge w:val="continue"/>
            <w:tcBorders>
              <w:left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蒙牛</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每日鲜语鲜牛奶PET瓶装</w:t>
            </w:r>
          </w:p>
        </w:tc>
        <w:tc>
          <w:tcPr>
            <w:tcW w:w="12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250ml×12</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瓶</w:t>
            </w: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8.5</w:t>
            </w:r>
          </w:p>
        </w:tc>
        <w:tc>
          <w:tcPr>
            <w:tcW w:w="2142" w:type="dxa"/>
            <w:vMerge w:val="continue"/>
            <w:tcBorders>
              <w:left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1"/>
                <w:szCs w:val="21"/>
                <w:highlight w:val="none"/>
                <w:lang w:val="en-US" w:eastAsia="zh-CN" w:bidi="ar-SA"/>
              </w:rPr>
            </w:pPr>
          </w:p>
        </w:tc>
        <w:tc>
          <w:tcPr>
            <w:tcW w:w="3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冠益乳轻盈舒畅草莓燕麦风味发酵乳利乐冠</w:t>
            </w:r>
          </w:p>
        </w:tc>
        <w:tc>
          <w:tcPr>
            <w:tcW w:w="12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250g×12</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瓶</w:t>
            </w: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9</w:t>
            </w:r>
          </w:p>
        </w:tc>
        <w:tc>
          <w:tcPr>
            <w:tcW w:w="2142" w:type="dxa"/>
            <w:vMerge w:val="continue"/>
            <w:tcBorders>
              <w:left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2"/>
                <w:sz w:val="21"/>
                <w:szCs w:val="21"/>
                <w:highlight w:val="none"/>
                <w:lang w:val="en-US" w:eastAsia="zh-CN" w:bidi="ar-SA"/>
              </w:rPr>
            </w:pPr>
          </w:p>
        </w:tc>
        <w:tc>
          <w:tcPr>
            <w:tcW w:w="3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优益C活菌型乳酸菌饮品原味塑料瓶</w:t>
            </w:r>
          </w:p>
        </w:tc>
        <w:tc>
          <w:tcPr>
            <w:tcW w:w="12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340ml</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瓶</w:t>
            </w:r>
          </w:p>
        </w:tc>
        <w:tc>
          <w:tcPr>
            <w:tcW w:w="1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w:t>
            </w:r>
          </w:p>
        </w:tc>
        <w:tc>
          <w:tcPr>
            <w:tcW w:w="2142" w:type="dxa"/>
            <w:vMerge w:val="continue"/>
            <w:tcBorders>
              <w:left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32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投标报价（扣率%）</w:t>
            </w:r>
          </w:p>
        </w:tc>
        <w:tc>
          <w:tcPr>
            <w:tcW w:w="5115"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大写：百分之</w:t>
            </w:r>
          </w:p>
        </w:tc>
      </w:tr>
    </w:tbl>
    <w:p>
      <w:pPr>
        <w:pStyle w:val="2"/>
        <w:ind w:left="0" w:leftChars="0" w:firstLine="0" w:firstLineChars="0"/>
        <w:rPr>
          <w:rFonts w:hint="eastAsia" w:ascii="仿宋" w:hAnsi="仿宋" w:eastAsia="仿宋" w:cs="仿宋"/>
          <w:b/>
          <w:bCs/>
          <w:color w:val="auto"/>
          <w:kern w:val="2"/>
          <w:sz w:val="21"/>
          <w:szCs w:val="21"/>
          <w:highlight w:val="none"/>
          <w:lang w:val="en-US" w:eastAsia="zh-CN" w:bidi="ar-SA"/>
        </w:rPr>
      </w:pPr>
    </w:p>
    <w:p>
      <w:pPr>
        <w:pStyle w:val="2"/>
        <w:ind w:left="0" w:leftChars="0" w:firstLine="0" w:firstLine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牛奶产品明细报价表—常温奶</w:t>
      </w:r>
    </w:p>
    <w:tbl>
      <w:tblPr>
        <w:tblStyle w:val="4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9"/>
        <w:gridCol w:w="1905"/>
        <w:gridCol w:w="1572"/>
        <w:gridCol w:w="767"/>
        <w:gridCol w:w="814"/>
        <w:gridCol w:w="784"/>
        <w:gridCol w:w="1058"/>
        <w:gridCol w:w="11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jc w:val="center"/>
        </w:trPr>
        <w:tc>
          <w:tcPr>
            <w:tcW w:w="11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品牌</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品名</w:t>
            </w:r>
          </w:p>
        </w:tc>
        <w:tc>
          <w:tcPr>
            <w:tcW w:w="15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规格</w:t>
            </w:r>
          </w:p>
        </w:tc>
        <w:tc>
          <w:tcPr>
            <w:tcW w:w="7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计量单位</w:t>
            </w:r>
          </w:p>
        </w:tc>
        <w:tc>
          <w:tcPr>
            <w:tcW w:w="814"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上限价格</w:t>
            </w:r>
          </w:p>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（元）</w:t>
            </w:r>
          </w:p>
        </w:tc>
        <w:tc>
          <w:tcPr>
            <w:tcW w:w="7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参考采购数量</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投标报价（元）</w:t>
            </w:r>
          </w:p>
        </w:tc>
        <w:tc>
          <w:tcPr>
            <w:tcW w:w="1182"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1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伊利</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伊利经典纯牛奶</w:t>
            </w:r>
          </w:p>
        </w:tc>
        <w:tc>
          <w:tcPr>
            <w:tcW w:w="15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250ml×12</w:t>
            </w:r>
          </w:p>
        </w:tc>
        <w:tc>
          <w:tcPr>
            <w:tcW w:w="7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提</w:t>
            </w:r>
          </w:p>
        </w:tc>
        <w:tc>
          <w:tcPr>
            <w:tcW w:w="8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50</w:t>
            </w:r>
          </w:p>
        </w:tc>
        <w:tc>
          <w:tcPr>
            <w:tcW w:w="7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1000</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c>
          <w:tcPr>
            <w:tcW w:w="1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1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蒙牛</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蒙牛特仑苏纯牛奶</w:t>
            </w:r>
          </w:p>
        </w:tc>
        <w:tc>
          <w:tcPr>
            <w:tcW w:w="15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250ml×12</w:t>
            </w:r>
          </w:p>
        </w:tc>
        <w:tc>
          <w:tcPr>
            <w:tcW w:w="7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提</w:t>
            </w:r>
          </w:p>
        </w:tc>
        <w:tc>
          <w:tcPr>
            <w:tcW w:w="8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48</w:t>
            </w:r>
          </w:p>
        </w:tc>
        <w:tc>
          <w:tcPr>
            <w:tcW w:w="7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1000</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c>
          <w:tcPr>
            <w:tcW w:w="1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1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光明</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光明莫斯利安酸奶</w:t>
            </w:r>
          </w:p>
        </w:tc>
        <w:tc>
          <w:tcPr>
            <w:tcW w:w="15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250g×12</w:t>
            </w:r>
          </w:p>
        </w:tc>
        <w:tc>
          <w:tcPr>
            <w:tcW w:w="7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提</w:t>
            </w:r>
          </w:p>
        </w:tc>
        <w:tc>
          <w:tcPr>
            <w:tcW w:w="8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48</w:t>
            </w:r>
          </w:p>
        </w:tc>
        <w:tc>
          <w:tcPr>
            <w:tcW w:w="7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1000</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c>
          <w:tcPr>
            <w:tcW w:w="1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014" w:type="dxa"/>
            <w:gridSpan w:val="2"/>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投标总价（各投标金额的总和）</w:t>
            </w:r>
          </w:p>
        </w:tc>
        <w:tc>
          <w:tcPr>
            <w:tcW w:w="6177"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小写: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014" w:type="dxa"/>
            <w:gridSpan w:val="2"/>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p>
        </w:tc>
        <w:tc>
          <w:tcPr>
            <w:tcW w:w="6177"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jc w:val="left"/>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大写：</w:t>
            </w:r>
          </w:p>
        </w:tc>
      </w:tr>
    </w:tbl>
    <w:p>
      <w:pPr>
        <w:snapToGrid w:val="0"/>
        <w:jc w:val="left"/>
        <w:rPr>
          <w:rFonts w:hint="eastAsia" w:ascii="仿宋" w:hAnsi="仿宋" w:eastAsia="仿宋" w:cs="仿宋"/>
          <w:color w:val="auto"/>
          <w:sz w:val="24"/>
          <w:highlight w:val="none"/>
          <w:lang w:eastAsia="zh-CN"/>
        </w:rPr>
      </w:pPr>
    </w:p>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snapToGrid w:val="0"/>
        <w:ind w:firstLine="482" w:firstLineChars="200"/>
        <w:jc w:val="left"/>
        <w:rPr>
          <w:rFonts w:hint="eastAsia" w:ascii="仿宋" w:hAnsi="仿宋" w:eastAsia="仿宋" w:cs="仿宋"/>
          <w:b/>
          <w:bCs/>
          <w:color w:val="auto"/>
          <w:sz w:val="24"/>
          <w:highlight w:val="none"/>
          <w:lang w:val="zh-CN" w:eastAsia="zh-CN"/>
        </w:rPr>
      </w:pPr>
      <w:r>
        <w:rPr>
          <w:rFonts w:hint="eastAsia" w:ascii="仿宋" w:hAnsi="仿宋" w:eastAsia="仿宋" w:cs="仿宋"/>
          <w:b/>
          <w:bCs/>
          <w:color w:val="auto"/>
          <w:sz w:val="24"/>
          <w:highlight w:val="none"/>
          <w:lang w:val="zh-CN" w:eastAsia="zh-CN"/>
        </w:rPr>
        <w:t>3.投标人需按本表格式填写，不得缺项，如有缺项则为无效报价。</w:t>
      </w:r>
    </w:p>
    <w:p>
      <w:pPr>
        <w:snapToGrid w:val="0"/>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、投标报价包括牛奶产品采购费、运输保险费、配送费、检验验收费、税金、其他需要发生或可能发生的所有费用。</w:t>
      </w:r>
    </w:p>
    <w:p>
      <w:pPr>
        <w:snapToGrid w:val="0"/>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、不论采购结果如何，投标人均应自行承担所有与采购有关的全部费用。</w:t>
      </w: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Style w:val="2"/>
        <w:rPr>
          <w:rFonts w:hint="eastAsia" w:ascii="仿宋" w:hAnsi="仿宋" w:eastAsia="仿宋" w:cs="仿宋"/>
          <w:color w:val="auto"/>
          <w:sz w:val="24"/>
          <w:highlight w:val="none"/>
        </w:rPr>
      </w:pPr>
    </w:p>
    <w:p>
      <w:pPr>
        <w:pStyle w:val="4"/>
        <w:rPr>
          <w:rFonts w:hint="eastAsia" w:ascii="仿宋" w:hAnsi="仿宋" w:eastAsia="仿宋" w:cs="仿宋"/>
          <w:color w:val="auto"/>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食堂牛奶配送及相关服务项目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食堂牛奶配送及相关服务项目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绍兴市中医院食堂牛奶配送及相关服务项目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TYJZ2023</w:t>
      </w:r>
      <w:r>
        <w:rPr>
          <w:rFonts w:hint="eastAsia" w:ascii="仿宋" w:hAnsi="仿宋" w:eastAsia="仿宋" w:cs="仿宋"/>
          <w:color w:val="auto"/>
          <w:sz w:val="24"/>
          <w:highlight w:val="none"/>
        </w:rPr>
        <w:t>）招标文件中关于申请人资格要求的下列条件：</w:t>
      </w:r>
    </w:p>
    <w:p>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5"/>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both"/>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52"/>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footerReference r:id="rId6" w:type="first"/>
          <w:footerReference r:id="rId5"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pStyle w:val="52"/>
        <w:rPr>
          <w:rFonts w:hint="eastAsia" w:ascii="仿宋" w:hAnsi="仿宋" w:eastAsia="仿宋" w:cs="仿宋"/>
          <w:b/>
          <w:color w:val="auto"/>
          <w:kern w:val="0"/>
          <w:sz w:val="32"/>
          <w:szCs w:val="32"/>
          <w:highlight w:val="none"/>
          <w:lang w:val="zh-CN"/>
        </w:rPr>
      </w:pPr>
    </w:p>
    <w:p>
      <w:pPr>
        <w:rPr>
          <w:rFonts w:hint="eastAsia" w:ascii="仿宋" w:hAnsi="仿宋" w:eastAsia="仿宋" w:cs="仿宋"/>
          <w:b/>
          <w:color w:val="auto"/>
          <w:kern w:val="0"/>
          <w:sz w:val="32"/>
          <w:szCs w:val="32"/>
          <w:highlight w:val="none"/>
          <w:lang w:val="zh-CN"/>
        </w:rPr>
      </w:pPr>
    </w:p>
    <w:p>
      <w:pPr>
        <w:pStyle w:val="52"/>
        <w:rPr>
          <w:rFonts w:hint="eastAsia" w:ascii="仿宋" w:hAnsi="仿宋" w:eastAsia="仿宋" w:cs="仿宋"/>
          <w:b/>
          <w:color w:val="auto"/>
          <w:kern w:val="0"/>
          <w:sz w:val="32"/>
          <w:szCs w:val="32"/>
          <w:highlight w:val="none"/>
          <w:lang w:val="zh-CN"/>
        </w:rPr>
      </w:pPr>
    </w:p>
    <w:p>
      <w:pPr>
        <w:rPr>
          <w:rFonts w:hint="eastAsia" w:ascii="仿宋" w:hAnsi="仿宋" w:eastAsia="仿宋" w:cs="仿宋"/>
          <w:color w:val="auto"/>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both"/>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2F7B1D5"/>
    <w:multiLevelType w:val="singleLevel"/>
    <w:tmpl w:val="F2F7B1D5"/>
    <w:lvl w:ilvl="0" w:tentative="0">
      <w:start w:val="5"/>
      <w:numFmt w:val="chineseCounting"/>
      <w:suff w:val="nothing"/>
      <w:lvlText w:val="%1、"/>
      <w:lvlJc w:val="left"/>
      <w:rPr>
        <w:rFonts w:hint="eastAsia"/>
      </w:rPr>
    </w:lvl>
  </w:abstractNum>
  <w:abstractNum w:abstractNumId="2">
    <w:nsid w:val="FFFFFF7E"/>
    <w:multiLevelType w:val="singleLevel"/>
    <w:tmpl w:val="FFFFFF7E"/>
    <w:lvl w:ilvl="0" w:tentative="0">
      <w:start w:val="1"/>
      <w:numFmt w:val="decimal"/>
      <w:pStyle w:val="9"/>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6"/>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202F2206"/>
    <w:multiLevelType w:val="singleLevel"/>
    <w:tmpl w:val="202F2206"/>
    <w:lvl w:ilvl="0" w:tentative="0">
      <w:start w:val="1"/>
      <w:numFmt w:val="decimal"/>
      <w:suff w:val="nothing"/>
      <w:lvlText w:val="%1、"/>
      <w:lvlJc w:val="left"/>
    </w:lvl>
  </w:abstractNum>
  <w:abstractNum w:abstractNumId="6">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5CB017FC"/>
    <w:multiLevelType w:val="multilevel"/>
    <w:tmpl w:val="5CB017FC"/>
    <w:lvl w:ilvl="0" w:tentative="0">
      <w:start w:val="1"/>
      <w:numFmt w:val="decimal"/>
      <w:pStyle w:val="5"/>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10"/>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tentative="0">
      <w:start w:val="1"/>
      <w:numFmt w:val="upperLetter"/>
      <w:pStyle w:val="11"/>
      <w:lvlText w:val="%1、"/>
      <w:lvlJc w:val="left"/>
      <w:pPr>
        <w:tabs>
          <w:tab w:val="left" w:pos="405"/>
        </w:tabs>
        <w:ind w:left="405" w:hanging="405"/>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3"/>
  </w:num>
  <w:num w:numId="3">
    <w:abstractNumId w:val="2"/>
  </w:num>
  <w:num w:numId="4">
    <w:abstractNumId w:val="8"/>
  </w:num>
  <w:num w:numId="5">
    <w:abstractNumId w:val="6"/>
  </w:num>
  <w:num w:numId="6">
    <w:abstractNumId w:val="0"/>
  </w:num>
  <w:num w:numId="7">
    <w:abstractNumId w:val="9"/>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40A5149"/>
    <w:rsid w:val="0446241E"/>
    <w:rsid w:val="05043575"/>
    <w:rsid w:val="06AB31FB"/>
    <w:rsid w:val="11504E7B"/>
    <w:rsid w:val="137A20FF"/>
    <w:rsid w:val="1618304E"/>
    <w:rsid w:val="183D0B4A"/>
    <w:rsid w:val="24283D81"/>
    <w:rsid w:val="24F54B23"/>
    <w:rsid w:val="252B7970"/>
    <w:rsid w:val="26125BA4"/>
    <w:rsid w:val="281A2C55"/>
    <w:rsid w:val="32297A9B"/>
    <w:rsid w:val="351971FE"/>
    <w:rsid w:val="35BB6202"/>
    <w:rsid w:val="382168F2"/>
    <w:rsid w:val="3C854832"/>
    <w:rsid w:val="45CC7564"/>
    <w:rsid w:val="46B04891"/>
    <w:rsid w:val="49463453"/>
    <w:rsid w:val="49D2118A"/>
    <w:rsid w:val="4A963F66"/>
    <w:rsid w:val="4BDC6D24"/>
    <w:rsid w:val="4BFA5BC7"/>
    <w:rsid w:val="51531DA1"/>
    <w:rsid w:val="52462715"/>
    <w:rsid w:val="53FA1DF9"/>
    <w:rsid w:val="55780949"/>
    <w:rsid w:val="580179B6"/>
    <w:rsid w:val="58B17641"/>
    <w:rsid w:val="5ACD4AC6"/>
    <w:rsid w:val="5DD047C5"/>
    <w:rsid w:val="5F9C4824"/>
    <w:rsid w:val="600A6C32"/>
    <w:rsid w:val="694B0523"/>
    <w:rsid w:val="6C9E5F1C"/>
    <w:rsid w:val="72A46970"/>
    <w:rsid w:val="72E87C49"/>
    <w:rsid w:val="74B752B6"/>
    <w:rsid w:val="75673B65"/>
    <w:rsid w:val="76FE49DA"/>
    <w:rsid w:val="79AB6836"/>
    <w:rsid w:val="7AF96FCA"/>
    <w:rsid w:val="7B3D1ACD"/>
    <w:rsid w:val="7BC10593"/>
    <w:rsid w:val="7DFBB8BB"/>
    <w:rsid w:val="7E261385"/>
    <w:rsid w:val="7E3045EF"/>
    <w:rsid w:val="7F337BCD"/>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6">
    <w:name w:val="heading 2"/>
    <w:basedOn w:val="1"/>
    <w:next w:val="7"/>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9">
    <w:name w:val="heading 3"/>
    <w:basedOn w:val="1"/>
    <w:next w:val="7"/>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10">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1">
    <w:name w:val="heading 5"/>
    <w:basedOn w:val="1"/>
    <w:next w:val="7"/>
    <w:link w:val="60"/>
    <w:qFormat/>
    <w:uiPriority w:val="0"/>
    <w:pPr>
      <w:keepNext/>
      <w:widowControl/>
      <w:numPr>
        <w:ilvl w:val="0"/>
        <w:numId w:val="4"/>
      </w:numPr>
      <w:jc w:val="left"/>
      <w:outlineLvl w:val="4"/>
    </w:pPr>
    <w:rPr>
      <w:kern w:val="0"/>
      <w:sz w:val="24"/>
      <w:szCs w:val="20"/>
    </w:rPr>
  </w:style>
  <w:style w:type="paragraph" w:styleId="12">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3">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4">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5">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204"/>
    <w:qFormat/>
    <w:uiPriority w:val="0"/>
    <w:pPr>
      <w:spacing w:after="120" w:line="240" w:lineRule="auto"/>
      <w:ind w:firstLine="420" w:firstLineChars="100"/>
    </w:pPr>
    <w:rPr>
      <w:rFonts w:eastAsia="宋体"/>
      <w:sz w:val="21"/>
    </w:rPr>
  </w:style>
  <w:style w:type="paragraph" w:styleId="3">
    <w:name w:val="Body Text"/>
    <w:basedOn w:val="1"/>
    <w:next w:val="2"/>
    <w:link w:val="86"/>
    <w:qFormat/>
    <w:uiPriority w:val="0"/>
    <w:pPr>
      <w:spacing w:line="360" w:lineRule="auto"/>
    </w:pPr>
    <w:rPr>
      <w:rFonts w:eastAsia="仿宋_GB2312"/>
      <w:sz w:val="28"/>
    </w:rPr>
  </w:style>
  <w:style w:type="paragraph" w:styleId="4">
    <w:name w:val="toc 6"/>
    <w:basedOn w:val="1"/>
    <w:next w:val="1"/>
    <w:qFormat/>
    <w:uiPriority w:val="0"/>
    <w:pPr>
      <w:ind w:left="2100" w:leftChars="1000"/>
    </w:pPr>
  </w:style>
  <w:style w:type="paragraph" w:styleId="7">
    <w:name w:val="Normal Indent"/>
    <w:basedOn w:val="1"/>
    <w:next w:val="8"/>
    <w:link w:val="55"/>
    <w:qFormat/>
    <w:uiPriority w:val="0"/>
    <w:pPr>
      <w:ind w:firstLine="420" w:firstLineChars="200"/>
    </w:pPr>
  </w:style>
  <w:style w:type="paragraph" w:styleId="8">
    <w:name w:val="Body Text Indent"/>
    <w:basedOn w:val="1"/>
    <w:next w:val="1"/>
    <w:link w:val="67"/>
    <w:qFormat/>
    <w:uiPriority w:val="0"/>
    <w:pPr>
      <w:spacing w:after="120"/>
      <w:ind w:left="420" w:leftChars="200"/>
    </w:pPr>
  </w:style>
  <w:style w:type="paragraph" w:styleId="16">
    <w:name w:val="List Number 2"/>
    <w:basedOn w:val="1"/>
    <w:qFormat/>
    <w:uiPriority w:val="0"/>
    <w:pPr>
      <w:widowControl/>
      <w:tabs>
        <w:tab w:val="left" w:pos="1697"/>
      </w:tabs>
      <w:spacing w:afterLines="50"/>
      <w:ind w:left="1697" w:hanging="420"/>
      <w:jc w:val="left"/>
    </w:pPr>
    <w:rPr>
      <w:kern w:val="0"/>
      <w:sz w:val="24"/>
      <w:szCs w:val="20"/>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282"/>
    <w:qFormat/>
    <w:uiPriority w:val="0"/>
    <w:pPr>
      <w:spacing w:line="360" w:lineRule="auto"/>
      <w:jc w:val="center"/>
    </w:pPr>
    <w:rPr>
      <w:rFonts w:ascii="Calibri" w:hAnsi="Calibri"/>
      <w:sz w:val="20"/>
      <w:szCs w:val="20"/>
    </w:rPr>
  </w:style>
  <w:style w:type="paragraph" w:styleId="19">
    <w:name w:val="Document Map"/>
    <w:basedOn w:val="1"/>
    <w:link w:val="121"/>
    <w:semiHidden/>
    <w:qFormat/>
    <w:uiPriority w:val="0"/>
    <w:pPr>
      <w:shd w:val="clear" w:color="auto" w:fill="000080"/>
    </w:pPr>
  </w:style>
  <w:style w:type="paragraph" w:styleId="20">
    <w:name w:val="annotation text"/>
    <w:basedOn w:val="1"/>
    <w:link w:val="73"/>
    <w:qFormat/>
    <w:uiPriority w:val="0"/>
    <w:pPr>
      <w:jc w:val="left"/>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index 4"/>
    <w:basedOn w:val="1"/>
    <w:next w:val="1"/>
    <w:unhideWhenUsed/>
    <w:qFormat/>
    <w:uiPriority w:val="99"/>
    <w:pPr>
      <w:ind w:left="600" w:leftChars="600"/>
    </w:pPr>
    <w:rPr>
      <w:szCs w:val="22"/>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5"/>
    <w:qFormat/>
    <w:uiPriority w:val="0"/>
    <w:rPr>
      <w:rFonts w:ascii="宋体" w:hAnsi="Courier New"/>
      <w:szCs w:val="20"/>
    </w:rPr>
  </w:style>
  <w:style w:type="paragraph" w:styleId="26">
    <w:name w:val="Date"/>
    <w:basedOn w:val="1"/>
    <w:next w:val="1"/>
    <w:link w:val="68"/>
    <w:qFormat/>
    <w:uiPriority w:val="0"/>
    <w:rPr>
      <w:rFonts w:ascii="楷体_GB2312" w:eastAsia="楷体_GB2312"/>
      <w:b/>
      <w:sz w:val="28"/>
      <w:szCs w:val="20"/>
    </w:rPr>
  </w:style>
  <w:style w:type="paragraph" w:styleId="27">
    <w:name w:val="Body Text Indent 2"/>
    <w:basedOn w:val="1"/>
    <w:link w:val="82"/>
    <w:qFormat/>
    <w:uiPriority w:val="0"/>
    <w:pPr>
      <w:spacing w:after="120" w:line="480" w:lineRule="auto"/>
      <w:ind w:left="420" w:leftChars="200"/>
    </w:pPr>
  </w:style>
  <w:style w:type="paragraph" w:styleId="28">
    <w:name w:val="Balloon Text"/>
    <w:basedOn w:val="1"/>
    <w:link w:val="200"/>
    <w:qFormat/>
    <w:uiPriority w:val="0"/>
    <w:rPr>
      <w:sz w:val="18"/>
      <w:szCs w:val="18"/>
    </w:rPr>
  </w:style>
  <w:style w:type="paragraph" w:styleId="29">
    <w:name w:val="footer"/>
    <w:basedOn w:val="1"/>
    <w:link w:val="70"/>
    <w:qFormat/>
    <w:uiPriority w:val="0"/>
    <w:pPr>
      <w:tabs>
        <w:tab w:val="center" w:pos="4153"/>
        <w:tab w:val="right" w:pos="8306"/>
      </w:tabs>
      <w:snapToGrid w:val="0"/>
      <w:jc w:val="left"/>
    </w:pPr>
    <w:rPr>
      <w:sz w:val="18"/>
      <w:szCs w:val="18"/>
    </w:rPr>
  </w:style>
  <w:style w:type="paragraph" w:styleId="30">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20"/>
    <w:next w:val="20"/>
    <w:link w:val="203"/>
    <w:qFormat/>
    <w:uiPriority w:val="0"/>
    <w:pPr>
      <w:widowControl/>
      <w:spacing w:afterLines="50"/>
    </w:pPr>
    <w:rPr>
      <w:b/>
      <w:bCs/>
      <w:kern w:val="0"/>
      <w:sz w:val="24"/>
      <w:szCs w:val="20"/>
    </w:rPr>
  </w:style>
  <w:style w:type="paragraph" w:styleId="42">
    <w:name w:val="Body Text First Indent 2"/>
    <w:basedOn w:val="8"/>
    <w:next w:val="2"/>
    <w:link w:val="205"/>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next w:val="1"/>
    <w:qFormat/>
    <w:uiPriority w:val="0"/>
    <w:pPr>
      <w:adjustRightInd w:val="0"/>
      <w:spacing w:line="360" w:lineRule="auto"/>
      <w:ind w:firstLine="480" w:firstLineChars="200"/>
    </w:pPr>
    <w:rPr>
      <w:sz w:val="24"/>
      <w:szCs w:val="20"/>
      <w:lang w:val="zh-CN"/>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5"/>
    <w:qFormat/>
    <w:uiPriority w:val="0"/>
    <w:rPr>
      <w:rFonts w:eastAsia="仿宋_GB2312"/>
      <w:b/>
      <w:kern w:val="44"/>
      <w:sz w:val="44"/>
      <w:lang w:val="en-US" w:eastAsia="zh-CN" w:bidi="ar-SA"/>
    </w:rPr>
  </w:style>
  <w:style w:type="character" w:customStyle="1" w:styleId="55">
    <w:name w:val="正文缩进 Char"/>
    <w:link w:val="7"/>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6"/>
    <w:qFormat/>
    <w:uiPriority w:val="0"/>
    <w:rPr>
      <w:rFonts w:ascii="Arial" w:hAnsi="Arial" w:eastAsia="黑体"/>
      <w:b/>
      <w:kern w:val="2"/>
      <w:sz w:val="32"/>
      <w:lang w:val="en-US" w:eastAsia="zh-CN" w:bidi="ar-SA"/>
    </w:rPr>
  </w:style>
  <w:style w:type="character" w:customStyle="1" w:styleId="58">
    <w:name w:val="标题 3 Char"/>
    <w:link w:val="9"/>
    <w:qFormat/>
    <w:uiPriority w:val="0"/>
    <w:rPr>
      <w:rFonts w:eastAsia="仿宋_GB2312"/>
      <w:b/>
      <w:kern w:val="2"/>
      <w:sz w:val="32"/>
      <w:lang w:val="en-US" w:eastAsia="zh-CN" w:bidi="ar-SA"/>
    </w:rPr>
  </w:style>
  <w:style w:type="character" w:customStyle="1" w:styleId="59">
    <w:name w:val="标题 4 Char1"/>
    <w:link w:val="10"/>
    <w:qFormat/>
    <w:uiPriority w:val="0"/>
    <w:rPr>
      <w:rFonts w:ascii="Arial" w:hAnsi="Arial" w:eastAsia="黑体"/>
      <w:b/>
      <w:kern w:val="2"/>
      <w:sz w:val="28"/>
      <w:lang w:val="en-US" w:eastAsia="zh-CN" w:bidi="ar-SA"/>
    </w:rPr>
  </w:style>
  <w:style w:type="character" w:customStyle="1" w:styleId="60">
    <w:name w:val="标题 5 Char1"/>
    <w:link w:val="11"/>
    <w:qFormat/>
    <w:uiPriority w:val="0"/>
    <w:rPr>
      <w:sz w:val="24"/>
    </w:rPr>
  </w:style>
  <w:style w:type="character" w:customStyle="1" w:styleId="61">
    <w:name w:val="标题 6 Char1"/>
    <w:link w:val="12"/>
    <w:qFormat/>
    <w:uiPriority w:val="0"/>
    <w:rPr>
      <w:rFonts w:ascii="宋体" w:hAnsi="Arial" w:eastAsia="宋体"/>
      <w:sz w:val="24"/>
      <w:lang w:val="en-US" w:eastAsia="zh-CN" w:bidi="ar-SA"/>
    </w:rPr>
  </w:style>
  <w:style w:type="character" w:customStyle="1" w:styleId="62">
    <w:name w:val="标题 7 Char1"/>
    <w:link w:val="13"/>
    <w:qFormat/>
    <w:uiPriority w:val="0"/>
    <w:rPr>
      <w:rFonts w:ascii="宋体" w:hAnsi="Arial" w:eastAsia="宋体"/>
      <w:b/>
      <w:sz w:val="24"/>
      <w:lang w:val="en-US" w:eastAsia="zh-CN" w:bidi="ar-SA"/>
    </w:rPr>
  </w:style>
  <w:style w:type="character" w:customStyle="1" w:styleId="63">
    <w:name w:val="标题 8 Char1"/>
    <w:link w:val="14"/>
    <w:qFormat/>
    <w:uiPriority w:val="0"/>
    <w:rPr>
      <w:rFonts w:ascii="Arial" w:hAnsi="Arial" w:eastAsia="黑体"/>
      <w:sz w:val="24"/>
      <w:lang w:val="en-US" w:eastAsia="zh-CN" w:bidi="ar-SA"/>
    </w:rPr>
  </w:style>
  <w:style w:type="character" w:customStyle="1" w:styleId="64">
    <w:name w:val="标题 9 Char1"/>
    <w:link w:val="15"/>
    <w:qFormat/>
    <w:uiPriority w:val="0"/>
    <w:rPr>
      <w:rFonts w:ascii="Arial" w:hAnsi="Arial" w:eastAsia="黑体"/>
      <w:sz w:val="24"/>
      <w:lang w:val="en-US" w:eastAsia="zh-CN" w:bidi="ar-SA"/>
    </w:rPr>
  </w:style>
  <w:style w:type="character" w:customStyle="1" w:styleId="65">
    <w:name w:val="纯文本 Char"/>
    <w:link w:val="25"/>
    <w:qFormat/>
    <w:uiPriority w:val="0"/>
    <w:rPr>
      <w:rFonts w:ascii="宋体" w:hAnsi="Courier New" w:eastAsia="宋体"/>
      <w:kern w:val="2"/>
      <w:sz w:val="21"/>
      <w:lang w:val="en-US" w:eastAsia="zh-CN" w:bidi="ar-SA"/>
    </w:rPr>
  </w:style>
  <w:style w:type="paragraph" w:customStyle="1" w:styleId="66">
    <w:name w:val="表正文"/>
    <w:basedOn w:val="1"/>
    <w:next w:val="25"/>
    <w:qFormat/>
    <w:uiPriority w:val="0"/>
    <w:rPr>
      <w:rFonts w:ascii="宋体" w:hAnsi="Courier New"/>
      <w:szCs w:val="20"/>
    </w:rPr>
  </w:style>
  <w:style w:type="character" w:customStyle="1" w:styleId="67">
    <w:name w:val="正文文本缩进 Char"/>
    <w:link w:val="8"/>
    <w:qFormat/>
    <w:uiPriority w:val="0"/>
    <w:rPr>
      <w:rFonts w:eastAsia="宋体"/>
      <w:kern w:val="2"/>
      <w:sz w:val="21"/>
      <w:szCs w:val="24"/>
      <w:lang w:val="en-US" w:eastAsia="zh-CN" w:bidi="ar-SA"/>
    </w:rPr>
  </w:style>
  <w:style w:type="character" w:customStyle="1" w:styleId="68">
    <w:name w:val="日期 Char2"/>
    <w:link w:val="26"/>
    <w:qFormat/>
    <w:uiPriority w:val="0"/>
    <w:rPr>
      <w:rFonts w:ascii="楷体_GB2312" w:eastAsia="楷体_GB2312"/>
      <w:b/>
      <w:kern w:val="2"/>
      <w:sz w:val="28"/>
      <w:lang w:val="en-US" w:eastAsia="zh-CN" w:bidi="ar-SA"/>
    </w:rPr>
  </w:style>
  <w:style w:type="character" w:customStyle="1" w:styleId="69">
    <w:name w:val="页眉 Char1"/>
    <w:link w:val="30"/>
    <w:qFormat/>
    <w:uiPriority w:val="0"/>
    <w:rPr>
      <w:rFonts w:eastAsia="宋体"/>
      <w:kern w:val="2"/>
      <w:sz w:val="18"/>
      <w:szCs w:val="18"/>
      <w:lang w:val="en-US" w:eastAsia="zh-CN" w:bidi="ar-SA"/>
    </w:rPr>
  </w:style>
  <w:style w:type="character" w:customStyle="1" w:styleId="70">
    <w:name w:val="页脚 Char"/>
    <w:link w:val="29"/>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20"/>
    <w:qFormat/>
    <w:uiPriority w:val="0"/>
    <w:rPr>
      <w:rFonts w:eastAsia="宋体"/>
      <w:kern w:val="2"/>
      <w:sz w:val="21"/>
      <w:szCs w:val="24"/>
      <w:lang w:val="en-US" w:eastAsia="zh-CN" w:bidi="ar-SA"/>
    </w:rPr>
  </w:style>
  <w:style w:type="character" w:customStyle="1" w:styleId="74">
    <w:name w:val="正文文本 2 Char1"/>
    <w:link w:val="35"/>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8"/>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7"/>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3"/>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5"/>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5"/>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9"/>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9"/>
    <w:qFormat/>
    <w:uiPriority w:val="0"/>
    <w:rPr>
      <w:rFonts w:ascii="Tahoma" w:hAnsi="Tahoma"/>
      <w:sz w:val="24"/>
    </w:rPr>
  </w:style>
  <w:style w:type="paragraph" w:customStyle="1" w:styleId="141">
    <w:name w:val="Char Char Char"/>
    <w:basedOn w:val="19"/>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5"/>
    <w:qFormat/>
    <w:uiPriority w:val="0"/>
  </w:style>
  <w:style w:type="paragraph" w:customStyle="1" w:styleId="153">
    <w:name w:val="样式 正文缩进 + 首行缩进:  2 字符"/>
    <w:basedOn w:val="7"/>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5"/>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7"/>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9"/>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5"/>
    <w:link w:val="28"/>
    <w:qFormat/>
    <w:uiPriority w:val="0"/>
    <w:rPr>
      <w:kern w:val="2"/>
      <w:sz w:val="18"/>
      <w:szCs w:val="18"/>
    </w:rPr>
  </w:style>
  <w:style w:type="character" w:customStyle="1" w:styleId="201">
    <w:name w:val="正文文本缩进 3 Char"/>
    <w:basedOn w:val="45"/>
    <w:link w:val="33"/>
    <w:qFormat/>
    <w:uiPriority w:val="0"/>
    <w:rPr>
      <w:kern w:val="2"/>
      <w:sz w:val="16"/>
      <w:szCs w:val="16"/>
    </w:rPr>
  </w:style>
  <w:style w:type="character" w:customStyle="1" w:styleId="202">
    <w:name w:val="HTML 预设格式 Char"/>
    <w:basedOn w:val="45"/>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2"/>
    <w:qFormat/>
    <w:uiPriority w:val="0"/>
    <w:rPr>
      <w:rFonts w:eastAsia="仿宋_GB2312"/>
      <w:kern w:val="2"/>
      <w:sz w:val="21"/>
      <w:szCs w:val="24"/>
      <w:lang w:val="en-US" w:eastAsia="zh-CN" w:bidi="ar-SA"/>
    </w:rPr>
  </w:style>
  <w:style w:type="character" w:customStyle="1" w:styleId="205">
    <w:name w:val="正文首行缩进 2 Char"/>
    <w:basedOn w:val="67"/>
    <w:link w:val="42"/>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qFormat/>
    <w:uiPriority w:val="0"/>
    <w:rPr>
      <w:rFonts w:hint="default" w:ascii="等线" w:hAnsi="等线" w:eastAsia="等线" w:cs="等线"/>
      <w:color w:val="000000"/>
      <w:sz w:val="22"/>
      <w:szCs w:val="22"/>
      <w:u w:val="none"/>
    </w:rPr>
  </w:style>
  <w:style w:type="character" w:customStyle="1" w:styleId="271">
    <w:name w:val="font51"/>
    <w:basedOn w:val="45"/>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5"/>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8"/>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TOC 标题112"/>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qFormat/>
    <w:uiPriority w:val="0"/>
    <w:rPr>
      <w:rFonts w:eastAsia="宋体"/>
      <w:kern w:val="2"/>
      <w:sz w:val="21"/>
      <w:szCs w:val="24"/>
      <w:lang w:val="en-US" w:eastAsia="zh-CN" w:bidi="ar-SA"/>
    </w:rPr>
  </w:style>
  <w:style w:type="paragraph" w:customStyle="1" w:styleId="291">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5"/>
    <w:unhideWhenUsed/>
    <w:qFormat/>
    <w:uiPriority w:val="99"/>
    <w:rPr>
      <w:color w:val="605E5C"/>
      <w:shd w:val="clear" w:color="auto" w:fill="E1DFDD"/>
    </w:rPr>
  </w:style>
  <w:style w:type="paragraph" w:customStyle="1" w:styleId="295">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qFormat/>
    <w:uiPriority w:val="34"/>
    <w:pPr>
      <w:ind w:firstLine="420" w:firstLineChars="200"/>
    </w:pPr>
  </w:style>
  <w:style w:type="paragraph" w:customStyle="1" w:styleId="302">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3">
    <w:name w:val="Plain Text"/>
    <w:basedOn w:val="304"/>
    <w:qFormat/>
    <w:uiPriority w:val="0"/>
    <w:pPr>
      <w:widowControl/>
      <w:jc w:val="left"/>
    </w:pPr>
    <w:rPr>
      <w:rFonts w:ascii="宋体" w:hAnsi="Courier New"/>
    </w:rPr>
  </w:style>
  <w:style w:type="paragraph" w:customStyle="1" w:styleId="304">
    <w:name w:val="Normal"/>
    <w:qFormat/>
    <w:uiPriority w:val="0"/>
    <w:pPr>
      <w:widowControl w:val="0"/>
      <w:jc w:val="both"/>
    </w:pPr>
    <w:rPr>
      <w:rFonts w:hint="eastAsia"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34360</Words>
  <Characters>36224</Characters>
  <Lines>490</Lines>
  <Paragraphs>138</Paragraphs>
  <TotalTime>2</TotalTime>
  <ScaleCrop>false</ScaleCrop>
  <LinksUpToDate>false</LinksUpToDate>
  <CharactersWithSpaces>42528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無珂鲰玳k&amp;o_O</cp:lastModifiedBy>
  <cp:lastPrinted>2022-11-15T09:02:00Z</cp:lastPrinted>
  <dcterms:modified xsi:type="dcterms:W3CDTF">2023-04-21T03:19:59Z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