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bookmarkStart w:id="168" w:name="_GoBack"/>
    </w:p>
    <w:p>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绍兴市中医院信息化项目监理服务项目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616"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绍兴市中医院信息化项目监理服务项目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获取招标文件，并于2023年月日 09:00（北京时间）前递交投标文件。</w:t>
                  </w:r>
                </w:p>
              </w:tc>
            </w:tr>
          </w:tbl>
          <w:p>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绍兴市中医院信息化项目监理服务项目</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w:t>
            </w:r>
            <w:r>
              <w:rPr>
                <w:rFonts w:hint="eastAsia" w:ascii="仿宋" w:hAnsi="仿宋" w:eastAsia="仿宋" w:cs="仿宋"/>
                <w:color w:val="auto"/>
                <w:kern w:val="0"/>
                <w:sz w:val="24"/>
                <w:highlight w:val="none"/>
              </w:rPr>
              <w:t>3%(以每个信息化项目中标金额为计算基数)</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信息化项目监理服务项目</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数量:</w:t>
            </w:r>
            <w:r>
              <w:rPr>
                <w:rFonts w:hint="eastAsia" w:ascii="仿宋" w:hAnsi="仿宋" w:eastAsia="仿宋" w:cs="仿宋"/>
                <w:color w:val="auto"/>
                <w:szCs w:val="24"/>
                <w:highlight w:val="none"/>
                <w:lang w:val="en-US" w:eastAsia="zh-CN"/>
              </w:rPr>
              <w:t>2年</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w:t>
            </w:r>
            <w:r>
              <w:rPr>
                <w:rFonts w:hint="eastAsia" w:ascii="仿宋" w:hAnsi="仿宋" w:eastAsia="仿宋" w:cs="仿宋"/>
                <w:color w:val="auto"/>
                <w:kern w:val="0"/>
                <w:sz w:val="24"/>
                <w:highlight w:val="none"/>
              </w:rPr>
              <w:t>3%(以每个信息化项目中标金额为计算基数)</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1"/>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开标时间：2023年月日 09:00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 ：吴滟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监督投诉电话：0575-85209645       </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_GB2312" w:hAnsi="仿宋" w:eastAsia="仿宋_GB2312" w:cs="仿宋_GB2312"/>
                <w:color w:val="auto"/>
                <w:kern w:val="0"/>
                <w:sz w:val="24"/>
                <w:highlight w:val="none"/>
                <w:lang w:val="zh-CN"/>
              </w:rPr>
            </w:pPr>
            <w:r>
              <w:rPr>
                <w:rFonts w:hint="eastAsia" w:ascii="仿宋" w:hAnsi="仿宋" w:eastAsia="仿宋" w:cs="仿宋"/>
                <w:b/>
                <w:color w:val="auto"/>
                <w:sz w:val="24"/>
                <w:highlight w:val="none"/>
              </w:rPr>
              <w:t>讲解演示：</w:t>
            </w:r>
            <w:r>
              <w:rPr>
                <w:rFonts w:hint="eastAsia" w:ascii="仿宋_GB2312" w:hAnsi="仿宋" w:eastAsia="仿宋_GB2312" w:cs="仿宋_GB2312"/>
                <w:color w:val="auto"/>
                <w:kern w:val="0"/>
                <w:sz w:val="24"/>
                <w:highlight w:val="none"/>
                <w:lang w:val="zh-CN"/>
              </w:rPr>
              <w:t>在评标时安排每个投标人进行现场演示，</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w:t>
            </w:r>
            <w:r>
              <w:rPr>
                <w:rFonts w:hint="eastAsia" w:ascii="仿宋_GB2312" w:hAnsi="仿宋" w:eastAsia="仿宋_GB2312" w:cs="仿宋_GB2312"/>
                <w:color w:val="auto"/>
                <w:kern w:val="0"/>
                <w:sz w:val="24"/>
                <w:highlight w:val="none"/>
                <w:lang w:val="en-US" w:eastAsia="zh-CN"/>
              </w:rPr>
              <w:t>0</w:t>
            </w:r>
            <w:r>
              <w:rPr>
                <w:rFonts w:hint="eastAsia" w:ascii="仿宋_GB2312" w:hAnsi="仿宋" w:eastAsia="仿宋_GB2312" w:cs="仿宋_GB2312"/>
                <w:color w:val="auto"/>
                <w:kern w:val="0"/>
                <w:sz w:val="24"/>
                <w:highlight w:val="none"/>
                <w:lang w:val="zh-CN"/>
              </w:rPr>
              <w:t>分钟，演示时间不超过</w:t>
            </w:r>
            <w:r>
              <w:rPr>
                <w:rFonts w:hint="eastAsia" w:ascii="仿宋_GB2312" w:hAnsi="仿宋" w:eastAsia="仿宋_GB2312" w:cs="仿宋_GB2312"/>
                <w:color w:val="auto"/>
                <w:kern w:val="0"/>
                <w:sz w:val="24"/>
                <w:highlight w:val="none"/>
                <w:lang w:val="en-US" w:eastAsia="zh-CN"/>
              </w:rPr>
              <w:t>10</w:t>
            </w:r>
            <w:r>
              <w:rPr>
                <w:rFonts w:hint="eastAsia" w:ascii="仿宋_GB2312" w:hAnsi="仿宋" w:eastAsia="仿宋_GB2312" w:cs="仿宋_GB2312"/>
                <w:color w:val="auto"/>
                <w:kern w:val="0"/>
                <w:sz w:val="24"/>
                <w:highlight w:val="none"/>
                <w:lang w:val="zh-CN"/>
              </w:rPr>
              <w:t>分钟，</w:t>
            </w:r>
            <w:r>
              <w:rPr>
                <w:rFonts w:hint="eastAsia" w:ascii="仿宋_GB2312" w:hAnsi="仿宋_GB2312" w:eastAsia="仿宋_GB2312" w:cs="仿宋_GB2312"/>
                <w:color w:val="auto"/>
                <w:sz w:val="24"/>
                <w:highlight w:val="none"/>
              </w:rPr>
              <w:t>不包含评委提问解答时间。</w:t>
            </w:r>
          </w:p>
          <w:p>
            <w:pPr>
              <w:spacing w:line="440" w:lineRule="exact"/>
              <w:rPr>
                <w:rFonts w:hint="eastAsia" w:ascii="仿宋" w:hAnsi="仿宋" w:eastAsia="仿宋" w:cs="仿宋"/>
                <w:color w:val="auto"/>
                <w:sz w:val="24"/>
                <w:highlight w:val="none"/>
                <w:lang w:val="en-US" w:eastAsia="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numPr>
                <w:ilvl w:val="0"/>
                <w:numId w:val="7"/>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软件和信息技术服务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5"/>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3"/>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403820"/>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1372953"/>
      <w:bookmarkStart w:id="6" w:name="_Toc84325929"/>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360" w:lineRule="auto"/>
        <w:ind w:firstLine="482" w:firstLineChars="200"/>
        <w:outlineLvl w:val="0"/>
        <w:rPr>
          <w:rFonts w:hint="eastAsia" w:ascii="仿宋" w:hAnsi="仿宋" w:eastAsia="仿宋" w:cs="仿宋"/>
          <w:color w:val="auto"/>
          <w:sz w:val="21"/>
          <w:szCs w:val="21"/>
          <w:highlight w:val="none"/>
          <w:lang w:val="en-US"/>
        </w:rPr>
      </w:pPr>
      <w:bookmarkStart w:id="7" w:name="_Toc80157775"/>
      <w:bookmarkStart w:id="8" w:name="_Toc81372787"/>
      <w:bookmarkStart w:id="9" w:name="_Toc84325981"/>
      <w:bookmarkStart w:id="10" w:name="_Toc81372964"/>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highlight w:val="none"/>
          <w:lang w:val="en-US" w:eastAsia="zh-CN"/>
        </w:rPr>
        <w:t>信息化项目监理服务项目</w:t>
      </w:r>
    </w:p>
    <w:p>
      <w:pPr>
        <w:spacing w:line="360" w:lineRule="auto"/>
        <w:ind w:firstLine="422" w:firstLineChars="200"/>
        <w:outlineLvl w:val="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一、招标项目概况:</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项目名称：绍兴市中医院</w:t>
      </w:r>
      <w:r>
        <w:rPr>
          <w:rFonts w:hint="eastAsia" w:ascii="仿宋" w:hAnsi="仿宋" w:eastAsia="仿宋" w:cs="仿宋"/>
          <w:bCs/>
          <w:color w:val="auto"/>
          <w:szCs w:val="21"/>
          <w:highlight w:val="none"/>
          <w:lang w:val="en-US" w:eastAsia="zh-CN"/>
        </w:rPr>
        <w:t>信息化项目监理服务项目</w:t>
      </w:r>
      <w:r>
        <w:rPr>
          <w:rFonts w:hint="eastAsia" w:ascii="仿宋" w:hAnsi="仿宋" w:eastAsia="仿宋" w:cs="仿宋"/>
          <w:bCs/>
          <w:color w:val="auto"/>
          <w:szCs w:val="21"/>
          <w:highlight w:val="none"/>
        </w:rPr>
        <w:t>。</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合同时间：2年</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预算(点数）：信息化项目成交金额的3%。</w:t>
      </w:r>
    </w:p>
    <w:p>
      <w:pPr>
        <w:spacing w:line="360" w:lineRule="auto"/>
        <w:ind w:firstLine="422" w:firstLineChars="200"/>
        <w:outlineLvl w:val="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二、项目要求</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本项目为绍兴市中医院2023-2024年度信息化项目监理服务。主要建设内容为医院内部系统新建、升级改造及配套硬件项目等项目的全过程监理服务。</w:t>
      </w:r>
    </w:p>
    <w:p>
      <w:pPr>
        <w:spacing w:line="360" w:lineRule="auto"/>
        <w:ind w:firstLine="422" w:firstLineChars="200"/>
        <w:outlineLvl w:val="0"/>
        <w:rPr>
          <w:rFonts w:hint="eastAsia" w:ascii="仿宋" w:hAnsi="仿宋" w:eastAsia="仿宋" w:cs="仿宋"/>
          <w:bCs/>
          <w:color w:val="auto"/>
          <w:szCs w:val="21"/>
          <w:highlight w:val="none"/>
        </w:rPr>
      </w:pPr>
      <w:r>
        <w:rPr>
          <w:rFonts w:hint="eastAsia" w:ascii="仿宋" w:hAnsi="仿宋" w:eastAsia="仿宋" w:cs="仿宋"/>
          <w:b/>
          <w:color w:val="auto"/>
          <w:szCs w:val="21"/>
          <w:highlight w:val="none"/>
        </w:rPr>
        <w:t>三、监理服务要求</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1、监理总体要求</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鉴于</w:t>
      </w:r>
      <w:r>
        <w:rPr>
          <w:rFonts w:hint="eastAsia" w:ascii="仿宋" w:hAnsi="仿宋" w:eastAsia="仿宋" w:cs="仿宋"/>
          <w:bCs/>
          <w:color w:val="auto"/>
          <w:szCs w:val="21"/>
          <w:highlight w:val="none"/>
          <w:u w:val="none"/>
        </w:rPr>
        <w:t>绍兴市中医院2023-2024年度信息化监理项目</w:t>
      </w:r>
      <w:r>
        <w:rPr>
          <w:rFonts w:hint="eastAsia" w:ascii="仿宋" w:hAnsi="仿宋" w:eastAsia="仿宋" w:cs="仿宋"/>
          <w:bCs/>
          <w:color w:val="auto"/>
          <w:szCs w:val="21"/>
          <w:highlight w:val="none"/>
        </w:rPr>
        <w:t>建设应用面广，复杂程度高，监理单位要按照建设目标和要求，遵循国家、省有关监理的标准、规范，依据用户需求和项目建设合同，采用先进、科学、合理管理措施，对项目的各个层面进行全方位、全过程的管理、控制和协调，确保“按期、保质、高效、节约”完成建设任务。</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2、监理要求</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2.1监理单位要求：</w:t>
      </w:r>
    </w:p>
    <w:p>
      <w:pPr>
        <w:pStyle w:val="23"/>
        <w:spacing w:before="120" w:after="120"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监理单位须严格按照国家、省市有关信息化监理规定，代表建设单位对本项目建设进行全过程、全方位的监理；监理单位与设计单位、施工单位无经营性的隶属关系和雇佣关系，业绩和履约信誉好，管理水平高、管理设备先进、监理技术班子力量强、工程质量和工期有保证。不允许转包、分包。须提供的设备仪器，保证满足本项目信息化建设监理需要。</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2.2监理人员要求：</w:t>
      </w:r>
    </w:p>
    <w:p>
      <w:pPr>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次项目任务重责任大，故拟派总监理工程师须具有人力资源和社会保障部门颁发的信息系统监理师和信息系统项目管理师（高级）证书的基础上，同时具有注册咨询工程师（电子、信息工程）、系统规划与管理师（高级）、高级工程师职称、软件造价评估师、信息安全保障人员（CISAW）等资质且具有同类项目经验。</w:t>
      </w:r>
    </w:p>
    <w:p>
      <w:pPr>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总监代表须具有人力资源和社会保障部门颁发的信息系统监理师的基础上，同时具有信息系统项目管理师（高级）、高级工程师职称、注册信息安全工程师（CISE）、软件质量检验师等资质且具有同类项目经验。</w:t>
      </w:r>
    </w:p>
    <w:p>
      <w:pPr>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驻场监理工程师须具有人力资源和社会保障部门颁发的信息系统监理师证书基础上，同时具有信息系统项目管理师（高级）、信息安全工程师等资质且具有同类项目经验。</w:t>
      </w:r>
    </w:p>
    <w:p>
      <w:pPr>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为了保证监理团队的专业水平，拟投入本项目的监理服务团队（除去总监理工程师、总监代表外）组成人员须具有人力资源和社会保障部门颁发的信息系统监理师证书的基础上，同时具有信息系统项目管理师（高级）证书。</w:t>
      </w:r>
    </w:p>
    <w:p>
      <w:pPr>
        <w:spacing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★监理人员到位情况：</w:t>
      </w:r>
      <w:r>
        <w:rPr>
          <w:rFonts w:hint="eastAsia" w:ascii="仿宋" w:hAnsi="仿宋" w:eastAsia="仿宋" w:cs="仿宋"/>
          <w:b/>
          <w:color w:val="auto"/>
          <w:szCs w:val="21"/>
          <w:highlight w:val="none"/>
          <w:lang w:val="zh-CN"/>
        </w:rPr>
        <w:t>在本项目上，总监理工程师</w:t>
      </w:r>
      <w:r>
        <w:rPr>
          <w:rFonts w:hint="eastAsia" w:ascii="仿宋" w:hAnsi="仿宋" w:eastAsia="仿宋" w:cs="仿宋"/>
          <w:b/>
          <w:color w:val="auto"/>
          <w:szCs w:val="21"/>
          <w:highlight w:val="none"/>
        </w:rPr>
        <w:t>要求</w:t>
      </w:r>
      <w:r>
        <w:rPr>
          <w:rFonts w:hint="eastAsia" w:ascii="仿宋" w:hAnsi="仿宋" w:eastAsia="仿宋" w:cs="仿宋"/>
          <w:b/>
          <w:color w:val="auto"/>
          <w:szCs w:val="21"/>
          <w:highlight w:val="none"/>
          <w:lang w:val="zh-CN"/>
        </w:rPr>
        <w:t>在项目建设期间全程参与项目监理工作，</w:t>
      </w:r>
      <w:r>
        <w:rPr>
          <w:rFonts w:hint="eastAsia" w:ascii="仿宋" w:hAnsi="仿宋" w:eastAsia="仿宋" w:cs="仿宋"/>
          <w:b/>
          <w:color w:val="auto"/>
          <w:szCs w:val="21"/>
          <w:highlight w:val="none"/>
        </w:rPr>
        <w:t>本项目监理团队不少于5人，项目建设期间常驻现场监理工程师不少于1名，总监和常驻现场监理工程师必须持信息系统监理师证书上岗，并在项目启动后，将相关证书提交至用户单位备案保管，直到项目通过验收。</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所有监理人员均须身体健康，以保证项目监理工作有效开展。在项目投标文件中应明确监理组人员配备表等标准格式。如招标人认为监理工作组人员、设备和技术力量不足的，有权要求监理单位增加、更换监理人员，以及添置监理设备。</w:t>
      </w:r>
    </w:p>
    <w:p>
      <w:pPr>
        <w:snapToGrid w:val="0"/>
        <w:spacing w:line="360" w:lineRule="auto"/>
        <w:ind w:right="-94" w:rightChars="-45" w:firstLine="455" w:firstLineChars="217"/>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总监理工程师、监理工程师，要求具备信息系统监理师资格，至少3年以上工作经验。</w:t>
      </w:r>
    </w:p>
    <w:p>
      <w:pPr>
        <w:snapToGrid w:val="0"/>
        <w:spacing w:line="360" w:lineRule="auto"/>
        <w:ind w:right="-94" w:rightChars="-45" w:firstLine="455" w:firstLineChars="217"/>
        <w:rPr>
          <w:rFonts w:hint="eastAsia" w:ascii="仿宋" w:hAnsi="仿宋" w:eastAsia="仿宋" w:cs="仿宋"/>
          <w:bCs/>
          <w:color w:val="auto"/>
          <w:szCs w:val="21"/>
          <w:highlight w:val="none"/>
        </w:rPr>
      </w:pPr>
      <w:r>
        <w:rPr>
          <w:rFonts w:hint="eastAsia" w:ascii="仿宋" w:hAnsi="仿宋" w:eastAsia="仿宋" w:cs="仿宋"/>
          <w:bCs/>
          <w:color w:val="auto"/>
          <w:kern w:val="0"/>
          <w:szCs w:val="21"/>
          <w:highlight w:val="none"/>
        </w:rPr>
        <w:t>除因生病住院、终止劳动合同关系（需提供相关部门或单位的证明材料）等无法继续履行合同责任和义务等特殊情况外，不得更换项目监理组人员。若需更换，须经业主批准同意，更换后的人员不得低于原投标承诺人员所具有的资格和业绩条件；如擅自更换，须承</w:t>
      </w:r>
      <w:r>
        <w:rPr>
          <w:rFonts w:hint="eastAsia" w:ascii="仿宋" w:hAnsi="仿宋" w:eastAsia="仿宋" w:cs="仿宋"/>
          <w:bCs/>
          <w:color w:val="auto"/>
          <w:szCs w:val="21"/>
          <w:highlight w:val="none"/>
        </w:rPr>
        <w:t>担违约责任。</w:t>
      </w:r>
    </w:p>
    <w:p>
      <w:pPr>
        <w:snapToGrid w:val="0"/>
        <w:spacing w:line="360" w:lineRule="auto"/>
        <w:ind w:right="-94" w:rightChars="-45" w:firstLine="455" w:firstLineChars="217"/>
        <w:rPr>
          <w:rFonts w:hint="eastAsia" w:ascii="仿宋" w:hAnsi="仿宋" w:eastAsia="仿宋" w:cs="仿宋"/>
          <w:bCs/>
          <w:color w:val="auto"/>
          <w:szCs w:val="21"/>
          <w:highlight w:val="none"/>
        </w:rPr>
      </w:pPr>
      <w:r>
        <w:rPr>
          <w:rFonts w:hint="eastAsia" w:ascii="仿宋" w:hAnsi="仿宋" w:eastAsia="仿宋" w:cs="仿宋"/>
          <w:bCs/>
          <w:color w:val="auto"/>
          <w:kern w:val="0"/>
          <w:szCs w:val="21"/>
          <w:highlight w:val="none"/>
        </w:rPr>
        <w:t>在</w:t>
      </w:r>
      <w:r>
        <w:rPr>
          <w:rFonts w:hint="eastAsia" w:ascii="仿宋" w:hAnsi="仿宋" w:eastAsia="仿宋" w:cs="仿宋"/>
          <w:bCs/>
          <w:color w:val="auto"/>
          <w:szCs w:val="21"/>
          <w:highlight w:val="none"/>
        </w:rPr>
        <w:t>监理工作</w:t>
      </w:r>
      <w:r>
        <w:rPr>
          <w:rFonts w:hint="eastAsia" w:ascii="仿宋" w:hAnsi="仿宋" w:eastAsia="仿宋" w:cs="仿宋"/>
          <w:bCs/>
          <w:color w:val="auto"/>
          <w:kern w:val="0"/>
          <w:szCs w:val="21"/>
          <w:highlight w:val="none"/>
        </w:rPr>
        <w:t>中，如发现监理人员不能很好的履行监理职责，招标人有权终止合同责令其退场，并由监理单位赔偿由此引起的经济损失。</w:t>
      </w:r>
      <w:r>
        <w:rPr>
          <w:rFonts w:hint="eastAsia" w:ascii="仿宋" w:hAnsi="仿宋" w:eastAsia="仿宋" w:cs="仿宋"/>
          <w:bCs/>
          <w:color w:val="auto"/>
          <w:szCs w:val="21"/>
          <w:highlight w:val="none"/>
        </w:rPr>
        <w:t>监理合同执行期间，建设单位对不称职的监理人员有权提出更换，中标人不得拒绝或拖延。</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监理工作小组须在业主指定工作地点，提供每周7天*24小时服务。监理工作人员在业主单位工作时，应遵守采购人相关规章和制度。业主将为监理人员免费提供必须的办公用房，但必要的办公用品和生活设施、施工现场交通工具及通讯设备由监理单位自备。</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如经业主方及第三方查实，监理单位及监理人员与被监理单位发生非正常经济往来及其他徇私舞弊情况，业主方有权要求更换监理人员或更换全体监理项目班子，情况严重的，业主方有权终止合同。</w:t>
      </w:r>
    </w:p>
    <w:p>
      <w:pPr>
        <w:snapToGrid w:val="0"/>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监理单位按自身职责对工程质量负终身责任。工程竣工验收后，在使用过程中发现工程质量问题，监理单位接到建设单位通知后，应及时协助配合建设单位及有关部门分析原因，商讨处理意见，做好服务工作。</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2.3监理服务周期</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u w:val="none"/>
        </w:rPr>
        <w:t>（绍兴市中医院2023-2024年度信息化项目全过程监理）</w:t>
      </w:r>
      <w:r>
        <w:rPr>
          <w:rFonts w:hint="eastAsia" w:ascii="仿宋" w:hAnsi="仿宋" w:eastAsia="仿宋" w:cs="仿宋"/>
          <w:bCs/>
          <w:color w:val="auto"/>
          <w:szCs w:val="21"/>
          <w:highlight w:val="none"/>
        </w:rPr>
        <w:t>项目建设最终验收合格为止。</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2.4监理服务内容</w:t>
      </w:r>
    </w:p>
    <w:p>
      <w:pPr>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根据对项目的背景及数据现状的理解，编制监理大纲，按照“五控制、三管理、一协调”的原则，保证项目在规定的时间内完成，实现项目建设的目标。</w:t>
      </w:r>
    </w:p>
    <w:p>
      <w:pPr>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具体内容包括：</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1）项目技术总体方案的把关：审核并确认承建单位的总体设计方案（深化设计方案）、项目建设过程中的各种关键技术方案、承建单位的实施方案、《项目计划》、项目质量保证计划及质量控制体系（含质量控制的关键性节点）、源代码和软件开发文档管理、系统测试及培训和试运行计划、项目进度计划和进度控制节点等。</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（2）项目质量控制：对承建单位的</w:t>
      </w:r>
      <w:r>
        <w:rPr>
          <w:rFonts w:hint="eastAsia" w:ascii="仿宋" w:hAnsi="仿宋" w:eastAsia="仿宋" w:cs="仿宋"/>
          <w:color w:val="auto"/>
          <w:szCs w:val="21"/>
          <w:highlight w:val="none"/>
        </w:rPr>
        <w:t>软硬件</w:t>
      </w:r>
      <w:r>
        <w:rPr>
          <w:rFonts w:hint="eastAsia" w:ascii="仿宋" w:hAnsi="仿宋" w:eastAsia="仿宋" w:cs="仿宋"/>
          <w:color w:val="auto"/>
          <w:szCs w:val="21"/>
          <w:highlight w:val="none"/>
          <w:lang w:val="zh-CN"/>
        </w:rPr>
        <w:t>设备采购、安装调试等质量进行审核，确定是否满足功能、性能、安全等方面的要求；对各个分系统、子系统应用软件的详细需求分析、详细设计、编码测试、系统安装调试、系统试运行进行把关等；监督承建单位实施及培训计划，并征求用户的意见反馈，协助组织各类培训会及审核确认承建单位的培训总结报告。</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（3）项目进度控制：对项目实施进度进行实时跟踪，当工期目标发生偏离时，应及时指出，并提出对策和建议，同时督促承建单位尽快采取措施，以确保项目的阶段和总体进度目标的实现。</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4）项目投资控制：通过对项目实施中的方案及设计的优化，对工程建设中不可预见性费用的开支使用情况进行技术性审核并提出意见，确保投资控制在合理、性价比高的范围内；按照用户单位的财务管理规定，协助用户方做好项目阶段性资金结算及支付申请，保证用户方及承建方的利益并促使合同履行。</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5）项目变更控制：收集并整理项目实施中因实际需求（如政策变动、用户使用便利性等方面）形成的变更需求并对变更必要性及工作量进行评估；审核并确认变更申请并向用户方、承建方给出书面明确意见；整理项目变更管理中的相关过程资料及文档。</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（6）项目合同管理：跟踪检查合同的执行情况，确保承建单位按时履约；对合同工期的延误和延期进行审核确认；对合同变更、索赔等事宜进行审核确认。</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7）项目文档管理：管理好实施期间的各类技术文档；做好项目协调会、技术专题会等各种会议纪要，并督促会议有关事项的执行；做好项目周报并书面反馈用户单位；监理建议书、监理通知、承建方提交的文档资料等。</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8）项目协调管理：经采购人委托，监理方负责协调本项目所涉及的各承建单位之间的工作关系，并协调解决项目建设过程中的各类纠纷。监理方应该通过必要的会议制度来实施协调工作，主要包括：定期例会、监理协调会、专题讨论会、专家论证会、阶段工作总结会、初验和最终验收会。</w:t>
      </w:r>
    </w:p>
    <w:p>
      <w:pPr>
        <w:spacing w:line="360" w:lineRule="auto"/>
        <w:ind w:firstLine="420" w:firstLineChars="20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9）项目安全的管理：监督承建单位在项目施工期间严格遵守公安网、视频专网、社会资源网涉及人员信息等数据和网络安全相关制度和规定；督促做好项目整体网络安全检测与等保测评，保障信息系统安全稳定运行。</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CN"/>
        </w:rPr>
        <w:t>（10）项目知识产权管理：负责项目建设过程中所产生成果的知识产权保护，保证不被非授权使用，其中应用系统（软件）开发项目的所有权应归属用户方所有；负责项目建设过程中涉及知识产权的产品和系统的使用审核，保证业主方不在本项目建设中出现违反知识产权的行为。</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2.5监理服务准则</w:t>
      </w:r>
    </w:p>
    <w:p>
      <w:pPr>
        <w:spacing w:line="360" w:lineRule="auto"/>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遵照国家工信部《信息系统项目监理暂行规定》和《信息化工程监理规范》的规定，以“守法、诚信、公正、科学”的准则执业，维护建设方与承建方的合法权益。具体应做到：</w:t>
      </w:r>
    </w:p>
    <w:p>
      <w:pPr>
        <w:pStyle w:val="93"/>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（1）执行有关项目建设的法律、法规、规范、标准和制度，履行监理合同规定的义务和职责。</w:t>
      </w:r>
    </w:p>
    <w:p>
      <w:pPr>
        <w:pStyle w:val="93"/>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（2）不收受被监理单位的任何礼金。</w:t>
      </w:r>
    </w:p>
    <w:p>
      <w:pPr>
        <w:pStyle w:val="93"/>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（3）不泄漏所监理项目各方认为需要保密的事项。</w:t>
      </w:r>
    </w:p>
    <w:p>
      <w:pPr>
        <w:pStyle w:val="93"/>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（4）遵守国家的法律和政府的有关条例、规定和办法等。</w:t>
      </w:r>
    </w:p>
    <w:p>
      <w:pPr>
        <w:pStyle w:val="93"/>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（5）坚持公正的立场，独立、公正地处理有关各方的争议。</w:t>
      </w:r>
    </w:p>
    <w:p>
      <w:pPr>
        <w:pStyle w:val="93"/>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（6）坚持科学的态度和实事求是的原则。</w:t>
      </w:r>
    </w:p>
    <w:p>
      <w:pPr>
        <w:pStyle w:val="93"/>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（7）在坚持按监理合同的规定向采购人提供技术服务的同时，帮助被监理者完成起担负的建设任务。</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2.6监理服务依据</w:t>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GB/T 19668.1-2014 第1部分：信息技术服务　监理　</w:t>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xml:space="preserve">GB/T 19668.4-2017 </w:t>
      </w:r>
      <w:r>
        <w:rPr>
          <w:rFonts w:hint="eastAsia" w:ascii="仿宋" w:hAnsi="仿宋" w:eastAsia="仿宋" w:cs="仿宋"/>
          <w:bCs/>
          <w:color w:val="auto"/>
          <w:szCs w:val="21"/>
          <w:highlight w:val="none"/>
        </w:rPr>
        <w:fldChar w:fldCharType="begin"/>
      </w:r>
      <w:r>
        <w:rPr>
          <w:rFonts w:hint="eastAsia" w:ascii="仿宋" w:hAnsi="仿宋" w:eastAsia="仿宋" w:cs="仿宋"/>
          <w:bCs/>
          <w:color w:val="auto"/>
          <w:szCs w:val="21"/>
          <w:highlight w:val="none"/>
        </w:rPr>
        <w:instrText xml:space="preserve"> HYPERLINK "http://www.baidu.com/link?url=byvXaG6FAfV0IS98ZUiRIDkDTekvqwfqJnUwwPhO0KbrgIWkK1JH48-w8ToLOJer" \t "https://www.baidu.com/_blank" </w:instrText>
      </w:r>
      <w:r>
        <w:rPr>
          <w:rFonts w:hint="eastAsia" w:ascii="仿宋" w:hAnsi="仿宋" w:eastAsia="仿宋" w:cs="仿宋"/>
          <w:bCs/>
          <w:color w:val="auto"/>
          <w:szCs w:val="21"/>
          <w:highlight w:val="none"/>
        </w:rPr>
        <w:fldChar w:fldCharType="separate"/>
      </w:r>
      <w:r>
        <w:rPr>
          <w:rFonts w:hint="eastAsia" w:ascii="仿宋" w:hAnsi="仿宋" w:eastAsia="仿宋" w:cs="仿宋"/>
          <w:bCs/>
          <w:color w:val="auto"/>
          <w:szCs w:val="21"/>
          <w:highlight w:val="none"/>
        </w:rPr>
        <w:t>信息技术服务 监理 第4部分:信息安全监理规范</w:t>
      </w:r>
      <w:r>
        <w:rPr>
          <w:rFonts w:hint="eastAsia" w:ascii="仿宋" w:hAnsi="仿宋" w:eastAsia="仿宋" w:cs="仿宋"/>
          <w:bCs/>
          <w:color w:val="auto"/>
          <w:szCs w:val="21"/>
          <w:highlight w:val="none"/>
        </w:rPr>
        <w:fldChar w:fldCharType="end"/>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GB/T 19668.5-2018 信息技术服务 监理 第5部分:软件工程监理规范</w:t>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DB11/T160-2002北京市质量技术监督局发布的《信息系统工程监理规范》；</w:t>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《信息系统工程监理企业资质管理规定》信息产业部；</w:t>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《信息系统项目监理暂行规定》（信部信[2002]570号文）；</w:t>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《信息系统工程监理单位资质管理办法》（信部信[2003]142）；</w:t>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《信息系统工程监理工程师资格管理办法》（信部信[2003]142）；</w:t>
      </w:r>
    </w:p>
    <w:p>
      <w:pPr>
        <w:spacing w:line="360" w:lineRule="auto"/>
        <w:ind w:firstLine="465"/>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以及其他国家、省相关法律法规、政策及制度等。</w:t>
      </w:r>
    </w:p>
    <w:p>
      <w:pPr>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2.7其它要求</w:t>
      </w:r>
    </w:p>
    <w:p>
      <w:pPr>
        <w:snapToGrid w:val="0"/>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公司需针对本项目的实际情况与需求，需提供支持PC端及手机端操作的监理工作管控软件，可实现项目质量控制、项目进度控制、项目合同管理、项目变更控制、项目文档管理、项目知识库管理等主要功能，并在安全方面符合信息系统安全等级保护三级及以上相关要求。</w:t>
      </w:r>
    </w:p>
    <w:p>
      <w:pPr>
        <w:snapToGrid w:val="0"/>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验收标准:监理项目的验收与被监理项目的验收同时进行，被监理项目验收通过视作监理任务完成，通过验收。</w:t>
      </w:r>
    </w:p>
    <w:p>
      <w:pPr>
        <w:snapToGrid w:val="0"/>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支付方式：所有子项目合同签订后七个工作日内支付合同总金额的50%预付款，项目终验完成后七个工作日内支付合同总金额的50%。具体付款方式由双方协商后在合同中明确。</w:t>
      </w:r>
    </w:p>
    <w:p>
      <w:pPr>
        <w:pStyle w:val="2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_GB2312"/>
          <w:b/>
          <w:color w:val="auto"/>
          <w:sz w:val="36"/>
          <w:szCs w:val="36"/>
          <w:highlight w:val="none"/>
        </w:rPr>
        <w:t>政府采购合同参考范本</w:t>
      </w:r>
    </w:p>
    <w:p>
      <w:pPr>
        <w:rPr>
          <w:rFonts w:ascii="仿宋_GB2312" w:hAnsi="楷体" w:eastAsia="仿宋_GB2312"/>
          <w:color w:val="auto"/>
          <w:sz w:val="24"/>
          <w:highlight w:val="none"/>
        </w:rPr>
      </w:pPr>
    </w:p>
    <w:p>
      <w:pPr>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合同编号：</w:t>
      </w:r>
      <w:r>
        <w:rPr>
          <w:rFonts w:hint="eastAsia" w:ascii="仿宋_GB2312" w:hAnsi="楷体" w:eastAsia="仿宋_GB2312"/>
          <w:color w:val="auto"/>
          <w:sz w:val="24"/>
          <w:highlight w:val="none"/>
          <w:u w:val="single"/>
        </w:rPr>
        <w:t xml:space="preserve">           </w:t>
      </w:r>
    </w:p>
    <w:p>
      <w:pPr>
        <w:spacing w:line="480" w:lineRule="auto"/>
        <w:jc w:val="center"/>
        <w:rPr>
          <w:rFonts w:ascii="仿宋_GB2312" w:hAnsi="楷体" w:eastAsia="仿宋_GB2312"/>
          <w:b/>
          <w:color w:val="auto"/>
          <w:sz w:val="28"/>
          <w:szCs w:val="28"/>
          <w:highlight w:val="none"/>
        </w:rPr>
      </w:pPr>
    </w:p>
    <w:p>
      <w:pPr>
        <w:spacing w:line="480" w:lineRule="auto"/>
        <w:jc w:val="center"/>
        <w:rPr>
          <w:rFonts w:ascii="仿宋_GB2312" w:hAnsi="仿宋" w:eastAsia="仿宋_GB2312"/>
          <w:b/>
          <w:color w:val="auto"/>
          <w:sz w:val="24"/>
          <w:highlight w:val="none"/>
        </w:rPr>
      </w:pPr>
    </w:p>
    <w:p>
      <w:pPr>
        <w:spacing w:line="480" w:lineRule="auto"/>
        <w:jc w:val="center"/>
        <w:rPr>
          <w:rFonts w:ascii="仿宋_GB2312" w:hAnsi="仿宋" w:eastAsia="仿宋_GB2312"/>
          <w:b/>
          <w:color w:val="auto"/>
          <w:sz w:val="24"/>
          <w:highlight w:val="none"/>
        </w:rPr>
      </w:pP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（服务类）</w:t>
      </w:r>
    </w:p>
    <w:p>
      <w:pPr>
        <w:pStyle w:val="4"/>
        <w:rPr>
          <w:rFonts w:ascii="仿宋" w:hAnsi="仿宋" w:eastAsia="仿宋"/>
          <w:color w:val="auto"/>
          <w:highlight w:val="none"/>
        </w:rPr>
      </w:pPr>
    </w:p>
    <w:p>
      <w:pPr>
        <w:pStyle w:val="4"/>
        <w:rPr>
          <w:rFonts w:ascii="仿宋" w:hAnsi="仿宋" w:eastAsia="仿宋"/>
          <w:color w:val="auto"/>
          <w:highlight w:val="none"/>
        </w:rPr>
      </w:pPr>
    </w:p>
    <w:p>
      <w:pPr>
        <w:pStyle w:val="4"/>
        <w:ind w:firstLine="562"/>
        <w:jc w:val="center"/>
        <w:rPr>
          <w:rFonts w:ascii="仿宋" w:hAnsi="仿宋" w:eastAsia="仿宋"/>
          <w:b/>
          <w:color w:val="auto"/>
          <w:sz w:val="28"/>
          <w:highlight w:val="none"/>
        </w:rPr>
      </w:pPr>
      <w:r>
        <w:rPr>
          <w:rFonts w:hint="eastAsia" w:ascii="仿宋" w:hAnsi="仿宋" w:eastAsia="仿宋"/>
          <w:b/>
          <w:color w:val="auto"/>
          <w:sz w:val="28"/>
          <w:highlight w:val="none"/>
        </w:rPr>
        <w:t>第一部分  合同书</w:t>
      </w:r>
    </w:p>
    <w:p>
      <w:pPr>
        <w:pStyle w:val="4"/>
        <w:rPr>
          <w:rFonts w:ascii="仿宋" w:hAnsi="仿宋" w:eastAsia="仿宋"/>
          <w:color w:val="auto"/>
          <w:highlight w:val="none"/>
        </w:rPr>
      </w:pPr>
    </w:p>
    <w:p>
      <w:pPr>
        <w:pStyle w:val="4"/>
        <w:rPr>
          <w:rFonts w:ascii="仿宋" w:hAnsi="仿宋" w:eastAsia="仿宋"/>
          <w:color w:val="auto"/>
          <w:highlight w:val="none"/>
        </w:rPr>
      </w:pP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p>
    <w:p>
      <w:pPr>
        <w:pStyle w:val="283"/>
        <w:spacing w:before="120" w:line="22" w:lineRule="atLeast"/>
        <w:rPr>
          <w:rFonts w:ascii="仿宋" w:hAnsi="仿宋" w:eastAsia="仿宋"/>
          <w:color w:val="auto"/>
          <w:szCs w:val="24"/>
          <w:highlight w:val="none"/>
        </w:rPr>
      </w:pPr>
    </w:p>
    <w:p>
      <w:pPr>
        <w:pStyle w:val="283"/>
        <w:spacing w:before="120" w:line="22" w:lineRule="atLeast"/>
        <w:rPr>
          <w:rFonts w:ascii="仿宋" w:hAnsi="仿宋" w:eastAsia="仿宋"/>
          <w:color w:val="auto"/>
          <w:szCs w:val="24"/>
          <w:highlight w:val="none"/>
        </w:rPr>
      </w:pPr>
    </w:p>
    <w:p>
      <w:pPr>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签订日期：年月日</w:t>
      </w: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widowControl/>
        <w:jc w:val="left"/>
        <w:rPr>
          <w:rFonts w:ascii="仿宋" w:hAnsi="仿宋" w:eastAsia="仿宋"/>
          <w:color w:val="auto"/>
          <w:kern w:val="0"/>
          <w:sz w:val="24"/>
          <w:highlight w:val="none"/>
        </w:rPr>
      </w:pPr>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年月日</w:t>
      </w:r>
      <w:r>
        <w:rPr>
          <w:rFonts w:hint="eastAsia" w:ascii="仿宋" w:hAnsi="仿宋" w:eastAsia="仿宋"/>
          <w:color w:val="auto"/>
          <w:sz w:val="24"/>
          <w:highlight w:val="none"/>
        </w:rPr>
        <w:t>，</w:t>
      </w:r>
      <w:r>
        <w:rPr>
          <w:rFonts w:hint="eastAsia" w:ascii="仿宋" w:hAnsi="仿宋" w:eastAsia="仿宋"/>
          <w:color w:val="auto"/>
          <w:sz w:val="24"/>
          <w:highlight w:val="none"/>
          <w:u w:val="single"/>
        </w:rPr>
        <w:t>（采购人）</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olor w:val="auto"/>
          <w:sz w:val="24"/>
          <w:highlight w:val="none"/>
          <w:u w:val="single"/>
        </w:rPr>
        <w:t>（采购人）</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pPr>
        <w:spacing w:line="560" w:lineRule="exact"/>
        <w:ind w:firstLine="482" w:firstLineChars="200"/>
        <w:outlineLvl w:val="0"/>
        <w:rPr>
          <w:rFonts w:ascii="仿宋" w:hAnsi="仿宋" w:eastAsia="仿宋"/>
          <w:b/>
          <w:color w:val="auto"/>
          <w:sz w:val="24"/>
          <w:highlight w:val="none"/>
        </w:rPr>
      </w:pPr>
      <w:bookmarkStart w:id="11" w:name="_Toc2232"/>
      <w:bookmarkStart w:id="12" w:name="_Toc3029"/>
      <w:bookmarkStart w:id="13" w:name="_Toc24059"/>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11"/>
      <w:bookmarkEnd w:id="12"/>
      <w:bookmarkEnd w:id="13"/>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中标通知书；</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投标文件（含澄清或者说明文件）；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招标文件（含澄清或者修改文件）；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pPr>
        <w:spacing w:line="560" w:lineRule="exact"/>
        <w:ind w:firstLine="482" w:firstLineChars="200"/>
        <w:outlineLvl w:val="0"/>
        <w:rPr>
          <w:rFonts w:ascii="仿宋" w:hAnsi="仿宋" w:eastAsia="仿宋"/>
          <w:b/>
          <w:color w:val="auto"/>
          <w:sz w:val="24"/>
          <w:highlight w:val="none"/>
        </w:rPr>
      </w:pPr>
      <w:bookmarkStart w:id="14" w:name="_Toc21295"/>
      <w:bookmarkStart w:id="15" w:name="_Toc24300"/>
      <w:bookmarkStart w:id="16" w:name="_Toc27126"/>
      <w:r>
        <w:rPr>
          <w:rFonts w:ascii="仿宋" w:hAnsi="仿宋" w:eastAsia="仿宋"/>
          <w:b/>
          <w:color w:val="auto"/>
          <w:sz w:val="24"/>
          <w:highlight w:val="none"/>
        </w:rPr>
        <w:t xml:space="preserve">1.2 </w:t>
      </w:r>
      <w:bookmarkEnd w:id="14"/>
      <w:bookmarkEnd w:id="15"/>
      <w:bookmarkEnd w:id="16"/>
      <w:r>
        <w:rPr>
          <w:rFonts w:hint="eastAsia" w:ascii="仿宋" w:hAnsi="仿宋" w:eastAsia="仿宋"/>
          <w:b/>
          <w:color w:val="auto"/>
          <w:sz w:val="24"/>
          <w:highlight w:val="none"/>
        </w:rPr>
        <w:t>服务</w:t>
      </w:r>
    </w:p>
    <w:p>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服务名称：；</w:t>
      </w:r>
    </w:p>
    <w:p>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1.2.2 </w:t>
      </w:r>
      <w:r>
        <w:rPr>
          <w:rFonts w:hint="eastAsia" w:ascii="仿宋" w:hAnsi="仿宋" w:eastAsia="仿宋"/>
          <w:color w:val="auto"/>
          <w:sz w:val="24"/>
          <w:highlight w:val="none"/>
        </w:rPr>
        <w:t>服务期限和内容：；</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服务提供地点及方式：</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17" w:name="_Toc21631"/>
      <w:bookmarkStart w:id="18" w:name="_Toc23292"/>
      <w:bookmarkStart w:id="19" w:name="_Toc21551"/>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17"/>
      <w:bookmarkEnd w:id="18"/>
      <w:bookmarkEnd w:id="19"/>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本合同总价为：￥元（大写：元人民币）。</w:t>
      </w:r>
    </w:p>
    <w:p>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ascii="仿宋" w:hAnsi="仿宋" w:eastAsia="仿宋"/>
                <w:color w:val="auto"/>
                <w:sz w:val="24"/>
                <w:szCs w:val="24"/>
                <w:highlight w:val="none"/>
              </w:rPr>
            </w:pPr>
          </w:p>
        </w:tc>
      </w:tr>
    </w:tbl>
    <w:p>
      <w:pPr>
        <w:spacing w:line="440" w:lineRule="exact"/>
        <w:ind w:firstLine="482" w:firstLineChars="200"/>
        <w:outlineLvl w:val="0"/>
        <w:rPr>
          <w:rFonts w:ascii="仿宋" w:hAnsi="仿宋" w:eastAsia="仿宋"/>
          <w:b/>
          <w:color w:val="auto"/>
          <w:sz w:val="24"/>
          <w:highlight w:val="none"/>
        </w:rPr>
      </w:pPr>
      <w:bookmarkStart w:id="20" w:name="_Toc1814"/>
      <w:bookmarkStart w:id="21" w:name="_Toc10340"/>
      <w:bookmarkStart w:id="22" w:name="_Toc22618"/>
      <w:bookmarkStart w:id="23" w:name="_Toc19304"/>
      <w:bookmarkStart w:id="24" w:name="_Toc32071"/>
      <w:bookmarkStart w:id="25" w:name="_Toc2846"/>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20"/>
      <w:bookmarkEnd w:id="21"/>
      <w:bookmarkEnd w:id="22"/>
      <w:r>
        <w:rPr>
          <w:rFonts w:hint="eastAsia" w:ascii="仿宋" w:hAnsi="仿宋" w:eastAsia="仿宋"/>
          <w:b/>
          <w:color w:val="auto"/>
          <w:sz w:val="24"/>
          <w:highlight w:val="none"/>
        </w:rPr>
        <w:t>方式、时间和条件</w:t>
      </w:r>
    </w:p>
    <w:p>
      <w:pPr>
        <w:pStyle w:val="285"/>
        <w:spacing w:before="0" w:beforeAutospacing="0" w:after="0" w:afterAutospacing="0" w:line="440" w:lineRule="exact"/>
        <w:ind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1.4.2</w:t>
      </w:r>
      <w:r>
        <w:rPr>
          <w:rFonts w:hint="eastAsia" w:ascii="仿宋" w:hAnsi="仿宋" w:eastAsia="仿宋"/>
          <w:color w:val="auto"/>
          <w:sz w:val="24"/>
          <w:highlight w:val="none"/>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r>
        <w:rPr>
          <w:rFonts w:ascii="仿宋" w:hAnsi="仿宋" w:eastAsia="仿宋"/>
          <w:b/>
          <w:color w:val="auto"/>
          <w:sz w:val="24"/>
          <w:highlight w:val="none"/>
        </w:rPr>
        <w:t>1.5</w:t>
      </w:r>
      <w:bookmarkEnd w:id="23"/>
      <w:bookmarkEnd w:id="24"/>
      <w:bookmarkEnd w:id="25"/>
      <w:bookmarkStart w:id="26" w:name="_Toc27250"/>
      <w:bookmarkStart w:id="27" w:name="_Toc21423"/>
      <w:bookmarkStart w:id="28" w:name="_Toc19554"/>
      <w:r>
        <w:rPr>
          <w:rFonts w:hint="eastAsia" w:ascii="仿宋" w:hAnsi="仿宋" w:eastAsia="仿宋"/>
          <w:b/>
          <w:color w:val="auto"/>
          <w:sz w:val="24"/>
          <w:highlight w:val="none"/>
        </w:rPr>
        <w:t>违约责任</w:t>
      </w:r>
      <w:bookmarkEnd w:id="26"/>
      <w:bookmarkEnd w:id="27"/>
      <w:bookmarkEnd w:id="28"/>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.1 </w:t>
      </w:r>
      <w:r>
        <w:rPr>
          <w:rFonts w:hint="eastAsia" w:ascii="仿宋" w:hAnsi="仿宋" w:eastAsia="仿宋"/>
          <w:color w:val="auto"/>
          <w:sz w:val="24"/>
          <w:highlight w:val="none"/>
        </w:rPr>
        <w:t>除不可抗力外，如果乙方没有按照本合同约定的期限、地点和方式提供服务，那么甲方可要求乙方支付违约金，违约金按</w:t>
      </w:r>
      <w:r>
        <w:rPr>
          <w:rFonts w:ascii="仿宋" w:hAnsi="仿宋" w:eastAsia="仿宋"/>
          <w:color w:val="auto"/>
          <w:sz w:val="24"/>
          <w:highlight w:val="none"/>
        </w:rPr>
        <w:t>元</w:t>
      </w:r>
      <w:r>
        <w:rPr>
          <w:rFonts w:hint="eastAsia" w:ascii="仿宋" w:hAnsi="仿宋" w:eastAsia="仿宋"/>
          <w:color w:val="auto"/>
          <w:sz w:val="24"/>
          <w:highlight w:val="none"/>
        </w:rPr>
        <w:t>/次</w:t>
      </w:r>
      <w:r>
        <w:rPr>
          <w:rFonts w:ascii="仿宋" w:hAnsi="仿宋" w:eastAsia="仿宋"/>
          <w:color w:val="auto"/>
          <w:sz w:val="24"/>
          <w:highlight w:val="none"/>
        </w:rPr>
        <w:t>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rPr>
        <w:t>%计算，最高限额为本合同总价的%；迟延付款的违约金计算数额达到前述最高限额之日起，乙方有权在要求甲方支付违约金的同时，书面通知甲方解除本合同</w:t>
      </w:r>
      <w:r>
        <w:rPr>
          <w:rFonts w:hint="eastAsia" w:ascii="仿宋" w:hAnsi="仿宋" w:eastAsia="仿宋"/>
          <w:color w:val="auto"/>
          <w:sz w:val="24"/>
          <w:highlight w:val="none"/>
        </w:rPr>
        <w:t>;</w:t>
      </w:r>
    </w:p>
    <w:p>
      <w:pPr>
        <w:spacing w:line="560" w:lineRule="exact"/>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 xml:space="preserve">.6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color w:val="auto"/>
          <w:highlight w:val="none"/>
        </w:rPr>
      </w:pPr>
      <w:r>
        <w:rPr>
          <w:rFonts w:hint="eastAsia" w:ascii="仿宋" w:hAnsi="仿宋" w:eastAsia="仿宋"/>
          <w:color w:val="auto"/>
          <w:sz w:val="24"/>
          <w:highlight w:val="none"/>
        </w:rPr>
        <w:t>1.5.7违约责任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pPr>
        <w:spacing w:line="560" w:lineRule="exact"/>
        <w:ind w:firstLine="482" w:firstLineChars="200"/>
        <w:outlineLvl w:val="0"/>
        <w:rPr>
          <w:rFonts w:ascii="仿宋" w:hAnsi="仿宋" w:eastAsia="仿宋"/>
          <w:b/>
          <w:color w:val="auto"/>
          <w:sz w:val="24"/>
          <w:highlight w:val="none"/>
        </w:rPr>
      </w:pPr>
      <w:bookmarkStart w:id="29" w:name="_Toc15583"/>
      <w:bookmarkStart w:id="30" w:name="_Toc28375"/>
      <w:bookmarkStart w:id="31" w:name="_Toc16021"/>
      <w:r>
        <w:rPr>
          <w:rFonts w:ascii="仿宋" w:hAnsi="仿宋" w:eastAsia="仿宋"/>
          <w:b/>
          <w:color w:val="auto"/>
          <w:sz w:val="24"/>
          <w:highlight w:val="none"/>
        </w:rPr>
        <w:t>1.</w:t>
      </w:r>
      <w:r>
        <w:rPr>
          <w:rFonts w:hint="eastAsia" w:ascii="仿宋" w:hAnsi="仿宋" w:eastAsia="仿宋"/>
          <w:b/>
          <w:color w:val="auto"/>
          <w:sz w:val="24"/>
          <w:highlight w:val="none"/>
        </w:rPr>
        <w:t>6合同争议的解决</w:t>
      </w:r>
      <w:bookmarkEnd w:id="29"/>
      <w:bookmarkEnd w:id="30"/>
      <w:bookmarkEnd w:id="31"/>
    </w:p>
    <w:p>
      <w:pPr>
        <w:spacing w:line="560" w:lineRule="exact"/>
        <w:ind w:left="-61" w:leftChars="-29" w:right="-420" w:rightChars="-20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6</w:t>
      </w:r>
      <w:r>
        <w:rPr>
          <w:rFonts w:ascii="仿宋" w:hAnsi="仿宋" w:eastAsia="仿宋"/>
          <w:color w:val="auto"/>
          <w:sz w:val="24"/>
          <w:highlight w:val="none"/>
        </w:rPr>
        <w:t xml:space="preserve">.1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6</w:t>
      </w:r>
      <w:r>
        <w:rPr>
          <w:rFonts w:ascii="仿宋" w:hAnsi="仿宋" w:eastAsia="仿宋"/>
          <w:color w:val="auto"/>
          <w:sz w:val="24"/>
          <w:highlight w:val="none"/>
        </w:rPr>
        <w:t xml:space="preserve">.2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pPr>
        <w:spacing w:line="560" w:lineRule="exact"/>
        <w:ind w:firstLine="482" w:firstLineChars="200"/>
        <w:outlineLvl w:val="0"/>
        <w:rPr>
          <w:rFonts w:ascii="仿宋" w:hAnsi="仿宋" w:eastAsia="仿宋"/>
          <w:b/>
          <w:color w:val="auto"/>
          <w:sz w:val="24"/>
          <w:highlight w:val="none"/>
        </w:rPr>
      </w:pPr>
      <w:bookmarkStart w:id="32" w:name="_Toc7245"/>
      <w:bookmarkStart w:id="33" w:name="_Toc15322"/>
      <w:bookmarkStart w:id="34" w:name="_Toc11173"/>
      <w:r>
        <w:rPr>
          <w:rFonts w:ascii="仿宋" w:hAnsi="仿宋" w:eastAsia="仿宋"/>
          <w:b/>
          <w:color w:val="auto"/>
          <w:sz w:val="24"/>
          <w:highlight w:val="none"/>
        </w:rPr>
        <w:t>1.</w:t>
      </w:r>
      <w:r>
        <w:rPr>
          <w:rFonts w:hint="eastAsia" w:ascii="仿宋" w:hAnsi="仿宋" w:eastAsia="仿宋"/>
          <w:b/>
          <w:color w:val="auto"/>
          <w:sz w:val="24"/>
          <w:highlight w:val="none"/>
        </w:rPr>
        <w:t>7合同生效</w:t>
      </w:r>
      <w:bookmarkEnd w:id="32"/>
      <w:bookmarkEnd w:id="33"/>
      <w:bookmarkEnd w:id="34"/>
    </w:p>
    <w:p>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pPr>
        <w:autoSpaceDE w:val="0"/>
        <w:autoSpaceDN w:val="0"/>
        <w:spacing w:line="560" w:lineRule="exact"/>
        <w:rPr>
          <w:rFonts w:ascii="仿宋" w:hAnsi="仿宋" w:eastAsia="仿宋"/>
          <w:color w:val="auto"/>
          <w:sz w:val="24"/>
          <w:highlight w:val="none"/>
          <w:lang w:val="zh-CN"/>
        </w:rPr>
      </w:pP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统一社会信用代码：统一社会信用代码或身份证号码：</w:t>
      </w:r>
    </w:p>
    <w:p>
      <w:pPr>
        <w:autoSpaceDE w:val="0"/>
        <w:autoSpaceDN w:val="0"/>
        <w:spacing w:line="560" w:lineRule="exact"/>
        <w:rPr>
          <w:rFonts w:ascii="仿宋" w:hAnsi="仿宋" w:eastAsia="仿宋"/>
          <w:color w:val="auto"/>
          <w:sz w:val="24"/>
          <w:highlight w:val="none"/>
          <w:lang w:val="zh-CN"/>
        </w:rPr>
      </w:pP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住所：住所：</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法定代表人或法定代表人</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联系人：联系人：</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约定送达地址：约定送达地址：</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邮政编码：邮政编码：</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电子邮箱：电子邮箱：</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开户账号：开户账号：</w:t>
      </w:r>
    </w:p>
    <w:p>
      <w:pPr>
        <w:autoSpaceDE w:val="0"/>
        <w:autoSpaceDN w:val="0"/>
        <w:spacing w:line="560" w:lineRule="exact"/>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p>
    <w:p>
      <w:pPr>
        <w:pStyle w:val="284"/>
        <w:pageBreakBefore/>
        <w:spacing w:line="560" w:lineRule="exact"/>
        <w:ind w:firstLine="723"/>
        <w:jc w:val="center"/>
        <w:rPr>
          <w:rFonts w:hint="eastAsia" w:ascii="仿宋" w:hAnsi="仿宋" w:eastAsia="仿宋" w:cs="仿宋"/>
          <w:b/>
          <w:color w:val="auto"/>
          <w:sz w:val="36"/>
          <w:szCs w:val="36"/>
          <w:highlight w:val="none"/>
        </w:rPr>
      </w:pPr>
      <w:bookmarkStart w:id="35" w:name="_Toc331685783"/>
      <w:r>
        <w:rPr>
          <w:rFonts w:hint="eastAsia" w:ascii="仿宋" w:hAnsi="仿宋" w:eastAsia="仿宋" w:cs="仿宋"/>
          <w:b/>
          <w:color w:val="auto"/>
          <w:sz w:val="36"/>
          <w:szCs w:val="36"/>
          <w:highlight w:val="none"/>
        </w:rPr>
        <w:t>第二部分合同一般条款</w:t>
      </w:r>
      <w:bookmarkEnd w:id="35"/>
    </w:p>
    <w:p>
      <w:pPr>
        <w:spacing w:line="560" w:lineRule="exact"/>
        <w:ind w:firstLine="482" w:firstLineChars="200"/>
        <w:outlineLvl w:val="0"/>
        <w:rPr>
          <w:rFonts w:hint="eastAsia" w:ascii="仿宋" w:hAnsi="仿宋" w:eastAsia="仿宋" w:cs="仿宋"/>
          <w:b/>
          <w:color w:val="auto"/>
          <w:sz w:val="24"/>
          <w:highlight w:val="none"/>
        </w:rPr>
      </w:pPr>
      <w:bookmarkStart w:id="36" w:name="_Ref467379195"/>
      <w:bookmarkStart w:id="37" w:name="_Ref467379225"/>
      <w:bookmarkStart w:id="38" w:name="_Ref467379094"/>
      <w:bookmarkStart w:id="39" w:name="_Ref467378404"/>
      <w:bookmarkStart w:id="40" w:name="_Toc16917"/>
      <w:bookmarkStart w:id="41" w:name="_Toc19614"/>
      <w:bookmarkStart w:id="42" w:name="_Ref467379101"/>
      <w:bookmarkStart w:id="43" w:name="_Toc28763"/>
      <w:bookmarkStart w:id="44" w:name="_Toc487900349"/>
      <w:bookmarkStart w:id="45" w:name="_Ref467379109"/>
      <w:bookmarkStart w:id="46" w:name="_Toc259093669"/>
      <w:bookmarkStart w:id="47" w:name="_Ref467379205"/>
      <w:bookmarkStart w:id="48" w:name="_Toc279701240"/>
      <w:bookmarkStart w:id="49" w:name="_Ref467379214"/>
      <w:bookmarkStart w:id="50" w:name="_Ref467378499"/>
      <w:bookmarkStart w:id="51" w:name="_Ref467378463"/>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“甲方”系指与中标供应商签署合同的采购人</w:t>
      </w:r>
      <w:bookmarkEnd w:id="52"/>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pPr>
        <w:spacing w:line="560" w:lineRule="exact"/>
        <w:ind w:firstLine="482" w:firstLineChars="200"/>
        <w:outlineLvl w:val="0"/>
        <w:rPr>
          <w:rFonts w:hint="eastAsia" w:ascii="仿宋" w:hAnsi="仿宋" w:eastAsia="仿宋" w:cs="仿宋"/>
          <w:b/>
          <w:color w:val="auto"/>
          <w:sz w:val="24"/>
          <w:highlight w:val="none"/>
        </w:rPr>
      </w:pPr>
      <w:bookmarkStart w:id="55" w:name="_Toc32504"/>
      <w:bookmarkStart w:id="56" w:name="_Toc259093670"/>
      <w:bookmarkStart w:id="57" w:name="_Toc279701241"/>
      <w:bookmarkStart w:id="58" w:name="_Toc487900350"/>
      <w:bookmarkStart w:id="59" w:name="_Toc13336"/>
      <w:bookmarkStart w:id="60" w:name="_Toc27635"/>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1" w:name="_Toc27853"/>
      <w:bookmarkStart w:id="62" w:name="_Toc9829"/>
      <w:bookmarkStart w:id="63" w:name="_Toc279701242"/>
      <w:bookmarkStart w:id="64" w:name="_Toc259093671"/>
      <w:bookmarkStart w:id="65" w:name="_Toc31634"/>
      <w:bookmarkStart w:id="66" w:name="_Toc487900351"/>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7" w:name="_Toc4194"/>
      <w:bookmarkStart w:id="68" w:name="_Toc29149"/>
      <w:bookmarkStart w:id="69" w:name="_Toc11932"/>
      <w:r>
        <w:rPr>
          <w:rFonts w:hint="eastAsia" w:ascii="仿宋" w:hAnsi="仿宋" w:eastAsia="仿宋" w:cs="仿宋"/>
          <w:b/>
          <w:color w:val="auto"/>
          <w:sz w:val="24"/>
          <w:highlight w:val="none"/>
        </w:rPr>
        <w:t>2.4 包装和装运</w:t>
      </w:r>
      <w:bookmarkEnd w:id="67"/>
      <w:bookmarkEnd w:id="68"/>
      <w:bookmarkEnd w:id="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0" w:name="_Ref467378591"/>
      <w:bookmarkStart w:id="71" w:name="_Toc259093674"/>
      <w:bookmarkStart w:id="72" w:name="_Ref467379536"/>
      <w:bookmarkStart w:id="73" w:name="_Ref467379542"/>
      <w:bookmarkStart w:id="74" w:name="_Toc487900354"/>
      <w:bookmarkStart w:id="75" w:name="_Toc279701245"/>
      <w:bookmarkStart w:id="76" w:name="_Ref467379527"/>
      <w:bookmarkStart w:id="77" w:name="_Ref467378541"/>
      <w:bookmarkStart w:id="78" w:name="_Toc26182"/>
      <w:bookmarkStart w:id="79" w:name="_Toc30272"/>
      <w:bookmarkStart w:id="80" w:name="_Toc19074"/>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pPr>
        <w:spacing w:line="560" w:lineRule="exact"/>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Ref467379793"/>
      <w:bookmarkStart w:id="84" w:name="_Ref467379807"/>
      <w:bookmarkStart w:id="85" w:name="_Toc279701247"/>
      <w:bookmarkStart w:id="86" w:name="_Toc487900357"/>
      <w:bookmarkStart w:id="8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pPr>
        <w:spacing w:line="560" w:lineRule="exact"/>
        <w:ind w:firstLine="482" w:firstLineChars="200"/>
        <w:outlineLvl w:val="0"/>
        <w:rPr>
          <w:rFonts w:hint="eastAsia" w:ascii="仿宋" w:hAnsi="仿宋" w:eastAsia="仿宋" w:cs="仿宋"/>
          <w:b/>
          <w:color w:val="auto"/>
          <w:sz w:val="24"/>
          <w:highlight w:val="none"/>
        </w:rPr>
      </w:pPr>
      <w:bookmarkStart w:id="89" w:name="_Ref467379923"/>
      <w:bookmarkStart w:id="90" w:name="_Toc259093677"/>
      <w:bookmarkStart w:id="91" w:name="_Toc487900358"/>
      <w:bookmarkStart w:id="92" w:name="_Toc279701248"/>
      <w:bookmarkStart w:id="93" w:name="_Ref467379863"/>
      <w:bookmarkStart w:id="94" w:name="_Ref467379852"/>
      <w:bookmarkStart w:id="95" w:name="_Toc3225"/>
      <w:bookmarkStart w:id="96" w:name="_Toc774"/>
      <w:bookmarkStart w:id="97" w:name="_Toc16110"/>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99" w:name="_Toc17244"/>
      <w:bookmarkStart w:id="100" w:name="_Toc487900362"/>
      <w:bookmarkStart w:id="101" w:name="_Toc279701252"/>
      <w:bookmarkStart w:id="102" w:name="_Toc259093681"/>
      <w:r>
        <w:rPr>
          <w:rFonts w:hint="eastAsia" w:ascii="仿宋" w:hAnsi="仿宋" w:eastAsia="仿宋" w:cs="仿宋"/>
          <w:b/>
          <w:color w:val="auto"/>
          <w:sz w:val="24"/>
          <w:highlight w:val="none"/>
        </w:rPr>
        <w:t>2.8 货物的风险负担</w:t>
      </w:r>
      <w:bookmarkEnd w:id="99"/>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4" w:name="_Toc7502"/>
      <w:bookmarkStart w:id="105" w:name="_Toc279701254"/>
      <w:bookmarkStart w:id="106" w:name="_Ref467378121"/>
      <w:bookmarkStart w:id="107" w:name="_Toc259093683"/>
      <w:bookmarkStart w:id="108" w:name="_Toc487900364"/>
      <w:r>
        <w:rPr>
          <w:rFonts w:hint="eastAsia" w:ascii="仿宋" w:hAnsi="仿宋" w:eastAsia="仿宋" w:cs="仿宋"/>
          <w:b/>
          <w:color w:val="auto"/>
          <w:sz w:val="24"/>
          <w:highlight w:val="none"/>
        </w:rPr>
        <w:t>2.10 合同变更</w:t>
      </w:r>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259093688"/>
      <w:bookmarkStart w:id="111" w:name="_Toc487900369"/>
    </w:p>
    <w:p>
      <w:pPr>
        <w:spacing w:line="560" w:lineRule="exact"/>
        <w:ind w:firstLine="482" w:firstLineChars="200"/>
        <w:outlineLvl w:val="0"/>
        <w:rPr>
          <w:rFonts w:hint="eastAsia" w:ascii="仿宋" w:hAnsi="仿宋" w:eastAsia="仿宋" w:cs="仿宋"/>
          <w:b/>
          <w:color w:val="auto"/>
          <w:sz w:val="24"/>
          <w:highlight w:val="none"/>
        </w:rPr>
      </w:pPr>
      <w:bookmarkStart w:id="112" w:name="_Toc10366"/>
      <w:bookmarkStart w:id="113" w:name="_Toc15237"/>
      <w:bookmarkStart w:id="114" w:name="_Toc22955"/>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5" w:name="_Toc13566"/>
      <w:bookmarkStart w:id="116" w:name="_Toc14066"/>
      <w:bookmarkStart w:id="117" w:name="_Toc16508"/>
      <w:r>
        <w:rPr>
          <w:rFonts w:hint="eastAsia" w:ascii="仿宋" w:hAnsi="仿宋" w:eastAsia="仿宋" w:cs="仿宋"/>
          <w:b/>
          <w:color w:val="auto"/>
          <w:sz w:val="24"/>
          <w:highlight w:val="none"/>
        </w:rPr>
        <w:t>2.12 不可抗力</w:t>
      </w:r>
      <w:bookmarkEnd w:id="115"/>
      <w:bookmarkEnd w:id="116"/>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8" w:name="_Toc279701255"/>
      <w:bookmarkStart w:id="119" w:name="_Toc6969"/>
      <w:bookmarkStart w:id="120" w:name="_Toc487900365"/>
      <w:bookmarkStart w:id="121" w:name="_Toc30676"/>
      <w:bookmarkStart w:id="122" w:name="_Toc259093684"/>
      <w:bookmarkStart w:id="123" w:name="_Toc689"/>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4" w:name="_Toc8298"/>
      <w:bookmarkStart w:id="125" w:name="_Toc487900368"/>
      <w:bookmarkStart w:id="126" w:name="_Toc7102"/>
      <w:bookmarkStart w:id="127" w:name="_Toc16959"/>
      <w:bookmarkStart w:id="128" w:name="_Toc259093687"/>
      <w:bookmarkStart w:id="129" w:name="_Toc279701258"/>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9333"/>
      <w:bookmarkStart w:id="131" w:name="_Toc15387"/>
      <w:bookmarkStart w:id="132" w:name="_Toc6134"/>
      <w:r>
        <w:rPr>
          <w:rFonts w:hint="eastAsia" w:ascii="仿宋" w:hAnsi="仿宋" w:eastAsia="仿宋" w:cs="仿宋"/>
          <w:b/>
          <w:color w:val="auto"/>
          <w:sz w:val="24"/>
          <w:highlight w:val="none"/>
        </w:rPr>
        <w:t>2.15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4563"/>
      <w:bookmarkStart w:id="134" w:name="_Toc1125"/>
      <w:bookmarkStart w:id="135" w:name="_Toc6596"/>
      <w:r>
        <w:rPr>
          <w:rFonts w:hint="eastAsia" w:ascii="仿宋" w:hAnsi="仿宋" w:eastAsia="仿宋" w:cs="仿宋"/>
          <w:b/>
          <w:color w:val="auto"/>
          <w:sz w:val="24"/>
          <w:highlight w:val="none"/>
        </w:rPr>
        <w:t>2.16检验和验收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pPr>
        <w:spacing w:line="560" w:lineRule="exact"/>
        <w:ind w:firstLine="482" w:firstLineChars="200"/>
        <w:outlineLvl w:val="0"/>
        <w:rPr>
          <w:rFonts w:hint="eastAsia" w:ascii="仿宋" w:hAnsi="仿宋" w:eastAsia="仿宋" w:cs="仿宋"/>
          <w:b/>
          <w:color w:val="auto"/>
          <w:sz w:val="24"/>
          <w:highlight w:val="none"/>
        </w:rPr>
      </w:pPr>
      <w:bookmarkStart w:id="136" w:name="_Toc279701261"/>
      <w:bookmarkStart w:id="137" w:name="_Toc487900371"/>
      <w:bookmarkStart w:id="138" w:name="_Toc259093690"/>
      <w:bookmarkStart w:id="139" w:name="_Toc25182"/>
      <w:bookmarkStart w:id="140" w:name="_Toc11284"/>
      <w:bookmarkStart w:id="141" w:name="_Toc19604"/>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bookmarkStart w:id="142" w:name="_Toc6698"/>
      <w:bookmarkStart w:id="143" w:name="_Toc3135"/>
      <w:bookmarkStart w:id="144" w:name="_Toc487900372"/>
      <w:bookmarkStart w:id="145" w:name="_Toc279701262"/>
      <w:bookmarkStart w:id="146" w:name="_Toc259093691"/>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2"/>
      <w:bookmarkEnd w:id="143"/>
    </w:p>
    <w:p>
      <w:pPr>
        <w:spacing w:line="560" w:lineRule="exact"/>
        <w:ind w:firstLine="480" w:firstLineChars="200"/>
        <w:rPr>
          <w:rFonts w:hint="eastAsia" w:ascii="仿宋" w:hAnsi="仿宋" w:eastAsia="仿宋" w:cs="仿宋"/>
          <w:color w:val="auto"/>
          <w:sz w:val="24"/>
          <w:highlight w:val="none"/>
        </w:rPr>
      </w:pPr>
      <w:bookmarkStart w:id="147" w:name="_Toc23128"/>
      <w:bookmarkStart w:id="14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pPr>
        <w:spacing w:line="560" w:lineRule="exact"/>
        <w:ind w:firstLine="482" w:firstLineChars="200"/>
        <w:outlineLvl w:val="0"/>
        <w:rPr>
          <w:rFonts w:hint="eastAsia" w:ascii="仿宋" w:hAnsi="仿宋" w:eastAsia="仿宋" w:cs="仿宋"/>
          <w:b/>
          <w:color w:val="auto"/>
          <w:sz w:val="24"/>
          <w:highlight w:val="none"/>
        </w:rPr>
      </w:pPr>
      <w:bookmarkStart w:id="149" w:name="_Toc30599"/>
      <w:bookmarkStart w:id="150" w:name="_Toc18540"/>
      <w:bookmarkStart w:id="151" w:name="_Toc4355"/>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2" w:name="_Toc18567"/>
      <w:bookmarkStart w:id="153" w:name="_Toc12773"/>
      <w:bookmarkStart w:id="154" w:name="_Toc279701263"/>
      <w:bookmarkStart w:id="155" w:name="_Toc259093692"/>
      <w:bookmarkStart w:id="156" w:name="_Toc10330"/>
      <w:bookmarkStart w:id="157" w:name="_Toc4879003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8" w:name="_Toc259093693"/>
      <w:bookmarkStart w:id="159" w:name="_Toc12004"/>
      <w:bookmarkStart w:id="160" w:name="_Toc279701264"/>
      <w:bookmarkStart w:id="161" w:name="_Toc3148"/>
      <w:bookmarkStart w:id="162" w:name="_Toc16673"/>
      <w:bookmarkStart w:id="163" w:name="_Toc487900374"/>
      <w:r>
        <w:rPr>
          <w:rFonts w:hint="eastAsia" w:ascii="仿宋" w:hAnsi="仿宋" w:eastAsia="仿宋" w:cs="仿宋"/>
          <w:b/>
          <w:color w:val="auto"/>
          <w:sz w:val="24"/>
          <w:highlight w:val="none"/>
        </w:rPr>
        <w:t>2.20 履约保证金</w:t>
      </w:r>
      <w:bookmarkEnd w:id="158"/>
      <w:bookmarkEnd w:id="159"/>
      <w:bookmarkEnd w:id="160"/>
      <w:bookmarkEnd w:id="161"/>
      <w:bookmarkEnd w:id="162"/>
    </w:p>
    <w:p>
      <w:pPr>
        <w:pStyle w:val="285"/>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3"/>
    <w:p>
      <w:pPr>
        <w:spacing w:line="560" w:lineRule="exact"/>
        <w:ind w:firstLine="482" w:firstLineChars="200"/>
        <w:outlineLvl w:val="0"/>
        <w:rPr>
          <w:rFonts w:hint="eastAsia" w:ascii="仿宋" w:hAnsi="仿宋" w:eastAsia="仿宋" w:cs="仿宋"/>
          <w:b/>
          <w:color w:val="auto"/>
          <w:sz w:val="24"/>
          <w:highlight w:val="none"/>
        </w:rPr>
      </w:pPr>
      <w:bookmarkStart w:id="164" w:name="_Toc14001"/>
      <w:bookmarkStart w:id="165" w:name="_Toc6885"/>
      <w:bookmarkStart w:id="166" w:name="_Toc19890"/>
      <w:r>
        <w:rPr>
          <w:rFonts w:hint="eastAsia" w:ascii="仿宋" w:hAnsi="仿宋" w:eastAsia="仿宋" w:cs="仿宋"/>
          <w:b/>
          <w:color w:val="auto"/>
          <w:sz w:val="24"/>
          <w:highlight w:val="none"/>
        </w:rPr>
        <w:t>2.22合同份数</w:t>
      </w:r>
      <w:bookmarkEnd w:id="164"/>
      <w:bookmarkEnd w:id="165"/>
      <w:bookmarkEnd w:id="1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7" w:name="_Toc331685784"/>
      <w:bookmarkEnd w:id="167"/>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w:t>
      </w:r>
      <w:r>
        <w:rPr>
          <w:rFonts w:hint="eastAsia" w:ascii="仿宋" w:hAnsi="仿宋" w:eastAsia="仿宋" w:cs="仿宋"/>
          <w:b/>
          <w:bCs/>
          <w:iCs/>
          <w:color w:val="auto"/>
          <w:sz w:val="24"/>
          <w:highlight w:val="none"/>
        </w:rPr>
        <w:t>0分）</w:t>
      </w:r>
    </w:p>
    <w:tbl>
      <w:tblPr>
        <w:tblStyle w:val="43"/>
        <w:tblW w:w="47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763"/>
        <w:gridCol w:w="1116"/>
        <w:gridCol w:w="6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28" w:type="pct"/>
            <w:noWrap w:val="0"/>
            <w:vAlign w:val="center"/>
          </w:tcPr>
          <w:p>
            <w:pPr>
              <w:widowControl/>
              <w:spacing w:line="240" w:lineRule="auto"/>
              <w:jc w:val="center"/>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序号</w:t>
            </w:r>
          </w:p>
        </w:tc>
        <w:tc>
          <w:tcPr>
            <w:tcW w:w="435" w:type="pc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项目</w:t>
            </w:r>
          </w:p>
        </w:tc>
        <w:tc>
          <w:tcPr>
            <w:tcW w:w="636" w:type="pc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分值</w:t>
            </w:r>
          </w:p>
        </w:tc>
        <w:tc>
          <w:tcPr>
            <w:tcW w:w="3599" w:type="pc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28" w:type="pct"/>
            <w:noWrap w:val="0"/>
            <w:vAlign w:val="center"/>
          </w:tcPr>
          <w:p>
            <w:pPr>
              <w:widowControl/>
              <w:spacing w:line="240" w:lineRule="auto"/>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1</w:t>
            </w:r>
          </w:p>
        </w:tc>
        <w:tc>
          <w:tcPr>
            <w:tcW w:w="435" w:type="pct"/>
            <w:vMerge w:val="restart"/>
            <w:noWrap w:val="0"/>
            <w:vAlign w:val="center"/>
          </w:tcPr>
          <w:p>
            <w:pPr>
              <w:widowControl/>
              <w:spacing w:line="24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监理实施方案（43分）</w:t>
            </w:r>
          </w:p>
        </w:tc>
        <w:tc>
          <w:tcPr>
            <w:tcW w:w="636" w:type="pct"/>
            <w:noWrap w:val="0"/>
            <w:vAlign w:val="center"/>
          </w:tcPr>
          <w:p>
            <w:pPr>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监理大纲</w:t>
            </w:r>
          </w:p>
          <w:p>
            <w:pPr>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(0-</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分)</w:t>
            </w:r>
          </w:p>
        </w:tc>
        <w:tc>
          <w:tcPr>
            <w:tcW w:w="3599" w:type="pct"/>
            <w:noWrap w:val="0"/>
            <w:vAlign w:val="center"/>
          </w:tcPr>
          <w:p>
            <w:pPr>
              <w:spacing w:line="24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根据投标人针对本项目监理范围和内容要求制作的监理服务大纲,其内容简明扼要，重点突出，针对性强，契合采购需求的得</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分；内容整体完整合理，针对性较强，较好满足采购需求的得1.</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分；内容粗略，针对性一般，无法较好满足采购需求的得0.1-</w:t>
            </w:r>
            <w:r>
              <w:rPr>
                <w:rFonts w:hint="eastAsia" w:ascii="仿宋" w:hAnsi="仿宋" w:eastAsia="仿宋" w:cs="仿宋"/>
                <w:bCs/>
                <w:color w:val="auto"/>
                <w:szCs w:val="21"/>
                <w:highlight w:val="none"/>
                <w:lang w:val="en-US" w:eastAsia="zh-CN"/>
              </w:rPr>
              <w:t>1.4</w:t>
            </w:r>
            <w:r>
              <w:rPr>
                <w:rFonts w:hint="eastAsia" w:ascii="仿宋" w:hAnsi="仿宋" w:eastAsia="仿宋" w:cs="仿宋"/>
                <w:bCs/>
                <w:color w:val="auto"/>
                <w:szCs w:val="21"/>
                <w:highlight w:val="none"/>
              </w:rPr>
              <w:t>分；未提供或不合格的得0分。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328" w:type="pct"/>
            <w:vMerge w:val="restart"/>
            <w:noWrap w:val="0"/>
            <w:vAlign w:val="center"/>
          </w:tcPr>
          <w:p>
            <w:pPr>
              <w:widowControl/>
              <w:spacing w:line="240" w:lineRule="auto"/>
              <w:jc w:val="center"/>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2</w:t>
            </w:r>
          </w:p>
        </w:tc>
        <w:tc>
          <w:tcPr>
            <w:tcW w:w="435"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636" w:type="pct"/>
            <w:vMerge w:val="restar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关键点的特殊控制方案及合理化建议（0-10分）</w:t>
            </w:r>
          </w:p>
        </w:tc>
        <w:tc>
          <w:tcPr>
            <w:tcW w:w="3599" w:type="pct"/>
            <w:noWrap w:val="0"/>
            <w:vAlign w:val="center"/>
          </w:tcPr>
          <w:p>
            <w:pPr>
              <w:widowControl/>
              <w:spacing w:line="240" w:lineRule="auto"/>
              <w:rPr>
                <w:rFonts w:hint="eastAsia" w:ascii="仿宋" w:hAnsi="仿宋" w:eastAsia="仿宋" w:cs="仿宋"/>
                <w:bCs/>
                <w:color w:val="auto"/>
                <w:szCs w:val="21"/>
                <w:highlight w:val="none"/>
              </w:rPr>
            </w:pPr>
            <w:r>
              <w:rPr>
                <w:rFonts w:hint="eastAsia" w:ascii="仿宋" w:hAnsi="仿宋" w:eastAsia="仿宋" w:cs="仿宋"/>
                <w:b/>
                <w:color w:val="auto"/>
                <w:szCs w:val="21"/>
                <w:highlight w:val="none"/>
              </w:rPr>
              <w:t>关键点的特殊控制方案：</w:t>
            </w:r>
            <w:r>
              <w:rPr>
                <w:rFonts w:hint="eastAsia" w:ascii="仿宋" w:hAnsi="仿宋" w:eastAsia="仿宋" w:cs="仿宋"/>
                <w:bCs/>
                <w:color w:val="auto"/>
                <w:szCs w:val="21"/>
                <w:highlight w:val="none"/>
              </w:rPr>
              <w:t>根据投标人针对本项目分析项目监理中的主要关键点，并提出切实可行的特殊控制措施。方案完整详实，具有科学性、合理性、可行性的得4.1-6分；方案较完整，具有一定科学性、合理性、可行性的得2.1-4分；方案内容欠佳，缺乏科学合理性、可行性的得0.1-2分；未提供或不合格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328"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435"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636"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3599" w:type="pct"/>
            <w:noWrap w:val="0"/>
            <w:vAlign w:val="center"/>
          </w:tcPr>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
                <w:color w:val="auto"/>
                <w:szCs w:val="21"/>
                <w:highlight w:val="none"/>
              </w:rPr>
              <w:t>理解及合理化建议：</w:t>
            </w:r>
            <w:r>
              <w:rPr>
                <w:rFonts w:hint="eastAsia" w:ascii="仿宋" w:hAnsi="仿宋" w:eastAsia="仿宋" w:cs="仿宋"/>
                <w:bCs/>
                <w:color w:val="auto"/>
                <w:szCs w:val="21"/>
                <w:highlight w:val="none"/>
              </w:rPr>
              <w:t>根据投标人针对本项目需求能够准确理解、详细描述且能提出独到的合理化建议。理解深刻，合理化建议非常有针对性，</w:t>
            </w:r>
            <w:r>
              <w:rPr>
                <w:rFonts w:hint="eastAsia" w:ascii="仿宋" w:hAnsi="仿宋" w:eastAsia="仿宋" w:cs="仿宋"/>
                <w:color w:val="auto"/>
                <w:kern w:val="0"/>
                <w:szCs w:val="21"/>
                <w:highlight w:val="none"/>
              </w:rPr>
              <w:t>本项目具有可实施性、可操作性</w:t>
            </w:r>
            <w:r>
              <w:rPr>
                <w:rFonts w:hint="eastAsia" w:ascii="仿宋" w:hAnsi="仿宋" w:eastAsia="仿宋" w:cs="仿宋"/>
                <w:bCs/>
                <w:color w:val="auto"/>
                <w:szCs w:val="21"/>
                <w:highlight w:val="none"/>
              </w:rPr>
              <w:t>的得2.1-4分；理解较深刻，合理化建议较有针对性的得1.1-2分；理解基本符合定位，合理化建议针对性一般的得0.1-1分；未提供或不合格的得0分。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328" w:type="pct"/>
            <w:vMerge w:val="restart"/>
            <w:noWrap w:val="0"/>
            <w:vAlign w:val="center"/>
          </w:tcPr>
          <w:p>
            <w:pPr>
              <w:widowControl/>
              <w:spacing w:line="240" w:lineRule="auto"/>
              <w:jc w:val="center"/>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435"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636" w:type="pct"/>
            <w:noWrap w:val="0"/>
            <w:vAlign w:val="center"/>
          </w:tcPr>
          <w:p>
            <w:pPr>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质量、进度、投资、变更控制方案等（0-23分）</w:t>
            </w:r>
          </w:p>
          <w:p>
            <w:pPr>
              <w:widowControl/>
              <w:spacing w:line="240" w:lineRule="auto"/>
              <w:jc w:val="center"/>
              <w:rPr>
                <w:rFonts w:hint="eastAsia" w:ascii="仿宋" w:hAnsi="仿宋" w:eastAsia="仿宋" w:cs="仿宋"/>
                <w:bCs/>
                <w:color w:val="auto"/>
                <w:szCs w:val="21"/>
                <w:highlight w:val="none"/>
              </w:rPr>
            </w:pPr>
          </w:p>
        </w:tc>
        <w:tc>
          <w:tcPr>
            <w:tcW w:w="3599" w:type="pct"/>
            <w:noWrap w:val="0"/>
            <w:vAlign w:val="center"/>
          </w:tcPr>
          <w:p>
            <w:pPr>
              <w:widowControl/>
              <w:spacing w:line="24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结合用户同类案例，根据投标人针对本项目情况科学合理地采取质量分阶段控制流程、方法及措施，对项目进度的有效的跟踪控制手段，提供准确的进度分析报告和延期处理方案，对本项目定量的投资控制措施、有可能存在的风险分析及制定防范性有效对策，对项目建设内容及工作范围的变更进行规范化流程管理，对合理变更涉及的工程量进行核查，控制措施得当并能提供合理化建设等内容，对合同、文档信息、安全各环节的管理有效控制措施，采取合理有效的协调方案，由评委酌情打分，优18.1-23分，良9.1-18分，差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328"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435"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636" w:type="pct"/>
            <w:noWrap w:val="0"/>
            <w:vAlign w:val="center"/>
          </w:tcPr>
          <w:p>
            <w:pPr>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监理工作相关管理软件</w:t>
            </w:r>
          </w:p>
          <w:p>
            <w:pPr>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（0-6分）</w:t>
            </w:r>
          </w:p>
        </w:tc>
        <w:tc>
          <w:tcPr>
            <w:tcW w:w="3599" w:type="pct"/>
            <w:noWrap w:val="0"/>
            <w:vAlign w:val="center"/>
          </w:tcPr>
          <w:p>
            <w:pPr>
              <w:widowControl/>
              <w:spacing w:line="240" w:lineRule="auto"/>
              <w:jc w:val="left"/>
              <w:textAlignment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投标人提供具有信息系统安全等级保护三级及以上备案证的PC端和手机端的项目管理软件，并实现以下六大功能：</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（1）项目质量控制：能设定项目的模块功能和要求可实时比对，并能快捷生成最终软件完成情况的对照清单。</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（2）项目进度控制：能设定并查看项目里程碑、进度，并能展示项目进度延期的审批情况。</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（3）项目合同管理：能设定明确的合同审核流程并能实时展现流转进度。并能对合同支付里程碑进行到期预警。</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（4）项目变更控制：能设定项目变更进行审批及流转，并能实时图文展现各子项变更情况和关联性。</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（5）项目文档管理：能设定在不同阶段需要上传的文档类型及其周期性和必要性，并能对文档完成度和及时性情况进行预警。</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6）项目知识库管理：能自定义共享文档类型（如政策法规、国家标准等），并能上传共享文件资料，所有人员都可以查看自己上传的文档，其他人员可以按照设定的权限和所属共享组，查看他人上传的共享文档。</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以上功能每具备一项加1分（提供软件等保备案证书、PC端和手机端的软件截图以及该功能的软件流程图），最高得6分。</w:t>
            </w:r>
          </w:p>
          <w:p>
            <w:pPr>
              <w:spacing w:line="240" w:lineRule="auto"/>
              <w:jc w:val="left"/>
              <w:rPr>
                <w:rFonts w:hint="eastAsia" w:ascii="仿宋" w:hAnsi="仿宋" w:eastAsia="仿宋" w:cs="仿宋"/>
                <w:bCs/>
                <w:color w:val="auto"/>
                <w:szCs w:val="21"/>
                <w:highlight w:val="none"/>
              </w:rPr>
            </w:pPr>
            <w:r>
              <w:rPr>
                <w:rFonts w:hint="eastAsia" w:ascii="仿宋" w:hAnsi="仿宋" w:eastAsia="仿宋" w:cs="仿宋"/>
                <w:b/>
                <w:bCs/>
                <w:color w:val="auto"/>
                <w:szCs w:val="21"/>
                <w:highlight w:val="none"/>
              </w:rPr>
              <w:t>【证明材料：1）须提供须提供软件等保备案证书复印件并加盖单位公章；2）须提供PC端和手机端的软件截图以及该功能的软件流程图并加盖单位公章；3）提供的证明材料须能体现相关评审因素，不提供或者不能提供有效证明的，不得分。</w:t>
            </w:r>
            <w:r>
              <w:rPr>
                <w:rFonts w:hint="eastAsia" w:ascii="仿宋" w:hAnsi="仿宋" w:eastAsia="仿宋" w:cs="仿宋"/>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28" w:type="pct"/>
            <w:vMerge w:val="restart"/>
            <w:noWrap w:val="0"/>
            <w:vAlign w:val="center"/>
          </w:tcPr>
          <w:p>
            <w:pPr>
              <w:widowControl/>
              <w:spacing w:line="240" w:lineRule="auto"/>
              <w:jc w:val="center"/>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4</w:t>
            </w:r>
          </w:p>
        </w:tc>
        <w:tc>
          <w:tcPr>
            <w:tcW w:w="435" w:type="pct"/>
            <w:vMerge w:val="restar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项目监理服务团队（19分）</w:t>
            </w:r>
          </w:p>
        </w:tc>
        <w:tc>
          <w:tcPr>
            <w:tcW w:w="636" w:type="pct"/>
            <w:vMerge w:val="restart"/>
            <w:noWrap w:val="0"/>
            <w:vAlign w:val="center"/>
          </w:tcPr>
          <w:p>
            <w:pPr>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总监理及</w:t>
            </w:r>
            <w:r>
              <w:rPr>
                <w:rFonts w:hint="eastAsia" w:ascii="仿宋" w:hAnsi="仿宋" w:eastAsia="仿宋" w:cs="仿宋"/>
                <w:bCs/>
                <w:color w:val="auto"/>
                <w:szCs w:val="21"/>
                <w:highlight w:val="none"/>
              </w:rPr>
              <w:t>总监代表工程师</w:t>
            </w:r>
            <w:r>
              <w:rPr>
                <w:rFonts w:hint="eastAsia" w:ascii="仿宋" w:hAnsi="仿宋" w:eastAsia="仿宋" w:cs="仿宋"/>
                <w:bCs/>
                <w:color w:val="auto"/>
                <w:szCs w:val="21"/>
                <w:highlight w:val="none"/>
              </w:rPr>
              <w:t>、驻场监理工程师资质、实力及经验（0-13分）</w:t>
            </w:r>
          </w:p>
        </w:tc>
        <w:tc>
          <w:tcPr>
            <w:tcW w:w="3599" w:type="pct"/>
            <w:noWrap w:val="0"/>
            <w:vAlign w:val="center"/>
          </w:tcPr>
          <w:p>
            <w:p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拟派本项目总监理工程师具有人力资源和社会保障部门颁发的信息系统监理师和</w:t>
            </w:r>
            <w:r>
              <w:rPr>
                <w:rFonts w:hint="eastAsia" w:ascii="仿宋" w:hAnsi="仿宋" w:eastAsia="仿宋" w:cs="仿宋"/>
                <w:color w:val="auto"/>
                <w:szCs w:val="21"/>
                <w:highlight w:val="none"/>
              </w:rPr>
              <w:t>信息系统项目管理师（高级）证书</w:t>
            </w:r>
            <w:r>
              <w:rPr>
                <w:rFonts w:hint="eastAsia" w:ascii="仿宋" w:hAnsi="仿宋" w:eastAsia="仿宋" w:cs="仿宋"/>
                <w:color w:val="auto"/>
                <w:szCs w:val="21"/>
                <w:highlight w:val="none"/>
              </w:rPr>
              <w:t>的基础上，具有：</w:t>
            </w:r>
          </w:p>
          <w:p>
            <w:p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（1）注册咨询工程师（电子、信息工程）证书得1分；</w:t>
            </w:r>
          </w:p>
          <w:p>
            <w:p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（2）系统规划与管理师（高级）证书得1分；</w:t>
            </w:r>
          </w:p>
          <w:p>
            <w:p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rPr>
              <w:t>高级工程师职称证书得1分；</w:t>
            </w:r>
          </w:p>
          <w:p>
            <w:p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（4）软件造价评估师证书得1分；</w:t>
            </w:r>
          </w:p>
          <w:p>
            <w:pPr>
              <w:spacing w:line="240" w:lineRule="auto"/>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（5）信息安全保障人员（CISAW）证书得1分。</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
                <w:color w:val="auto"/>
                <w:szCs w:val="21"/>
                <w:highlight w:val="none"/>
              </w:rPr>
              <w:t>【证明材料：</w:t>
            </w:r>
            <w:r>
              <w:rPr>
                <w:rFonts w:hint="eastAsia" w:ascii="仿宋" w:hAnsi="仿宋" w:eastAsia="仿宋" w:cs="仿宋"/>
                <w:b/>
                <w:bCs/>
                <w:color w:val="auto"/>
                <w:szCs w:val="21"/>
                <w:highlight w:val="none"/>
              </w:rPr>
              <w:t>1）须提供有效证书复印件并加盖单位公章；2</w:t>
            </w:r>
            <w:r>
              <w:rPr>
                <w:rFonts w:hint="eastAsia" w:ascii="仿宋" w:hAnsi="仿宋" w:eastAsia="仿宋" w:cs="仿宋"/>
                <w:b/>
                <w:color w:val="auto"/>
                <w:szCs w:val="21"/>
                <w:highlight w:val="none"/>
              </w:rPr>
              <w:t>）须提供相关人员投标截止日前3个月在投标人单位的社保证明文件并加盖公章；3）提供的证明材料需能体现相关评审因素，不提供或者不能提供有效证明的，不得分。】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28"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435"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636" w:type="pct"/>
            <w:vMerge w:val="continue"/>
            <w:noWrap w:val="0"/>
            <w:vAlign w:val="center"/>
          </w:tcPr>
          <w:p>
            <w:pPr>
              <w:spacing w:line="240" w:lineRule="auto"/>
              <w:jc w:val="center"/>
              <w:rPr>
                <w:rFonts w:hint="eastAsia" w:ascii="仿宋" w:hAnsi="仿宋" w:eastAsia="仿宋" w:cs="仿宋"/>
                <w:bCs/>
                <w:color w:val="auto"/>
                <w:szCs w:val="21"/>
                <w:highlight w:val="none"/>
              </w:rPr>
            </w:pPr>
          </w:p>
        </w:tc>
        <w:tc>
          <w:tcPr>
            <w:tcW w:w="3599" w:type="pct"/>
            <w:noWrap w:val="0"/>
            <w:vAlign w:val="center"/>
          </w:tcPr>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拟派本项目总监理代表工程师</w:t>
            </w:r>
            <w:r>
              <w:rPr>
                <w:rFonts w:hint="eastAsia" w:ascii="仿宋" w:hAnsi="仿宋" w:eastAsia="仿宋" w:cs="仿宋"/>
                <w:bCs/>
                <w:color w:val="auto"/>
                <w:szCs w:val="21"/>
                <w:highlight w:val="none"/>
              </w:rPr>
              <w:t>具有人力资源和社会保障部门颁发的信息系统监理师证书基础上，具有：</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（1）信息系统项目管理师（高级）证书得1分；</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（2）高级工程师证书得1分；</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（3）注册信息安全工程师（CISE）证书得1分；</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（4）软件质量检验师证书得1分。</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
                <w:color w:val="auto"/>
                <w:szCs w:val="21"/>
                <w:highlight w:val="none"/>
              </w:rPr>
              <w:t>【证明材料：</w:t>
            </w:r>
            <w:r>
              <w:rPr>
                <w:rFonts w:hint="eastAsia" w:ascii="仿宋" w:hAnsi="仿宋" w:eastAsia="仿宋" w:cs="仿宋"/>
                <w:b/>
                <w:bCs/>
                <w:color w:val="auto"/>
                <w:szCs w:val="21"/>
                <w:highlight w:val="none"/>
              </w:rPr>
              <w:t>1）须提供有效证书复印件并加盖单位公章；2</w:t>
            </w:r>
            <w:r>
              <w:rPr>
                <w:rFonts w:hint="eastAsia" w:ascii="仿宋" w:hAnsi="仿宋" w:eastAsia="仿宋" w:cs="仿宋"/>
                <w:b/>
                <w:color w:val="auto"/>
                <w:szCs w:val="21"/>
                <w:highlight w:val="none"/>
              </w:rPr>
              <w:t>）须提供相关人员投标截止日前3个月在投标人单位的社保证明文件并加盖公章；3）提供的证明材料需能体现相关评审因素，不提供或者不能提供有效证明的，不得分。】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28"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435"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636" w:type="pct"/>
            <w:vMerge w:val="continue"/>
            <w:noWrap w:val="0"/>
            <w:vAlign w:val="center"/>
          </w:tcPr>
          <w:p>
            <w:pPr>
              <w:spacing w:line="240" w:lineRule="auto"/>
              <w:jc w:val="center"/>
              <w:rPr>
                <w:rFonts w:hint="eastAsia" w:ascii="仿宋" w:hAnsi="仿宋" w:eastAsia="仿宋" w:cs="仿宋"/>
                <w:bCs/>
                <w:color w:val="auto"/>
                <w:szCs w:val="21"/>
                <w:highlight w:val="none"/>
              </w:rPr>
            </w:pPr>
          </w:p>
        </w:tc>
        <w:tc>
          <w:tcPr>
            <w:tcW w:w="3599" w:type="pct"/>
            <w:noWrap w:val="0"/>
            <w:vAlign w:val="center"/>
          </w:tcPr>
          <w:p>
            <w:pPr>
              <w:widowControl/>
              <w:spacing w:line="240" w:lineRule="auto"/>
              <w:jc w:val="left"/>
              <w:textAlignment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拟派本项目</w:t>
            </w:r>
            <w:r>
              <w:rPr>
                <w:rFonts w:hint="eastAsia" w:ascii="仿宋" w:hAnsi="仿宋" w:eastAsia="仿宋" w:cs="仿宋"/>
                <w:b/>
                <w:color w:val="auto"/>
                <w:szCs w:val="21"/>
                <w:highlight w:val="none"/>
              </w:rPr>
              <w:t>驻场监理工程师</w:t>
            </w:r>
            <w:r>
              <w:rPr>
                <w:rFonts w:hint="eastAsia" w:ascii="仿宋" w:hAnsi="仿宋" w:eastAsia="仿宋" w:cs="仿宋"/>
                <w:bCs/>
                <w:color w:val="auto"/>
                <w:szCs w:val="21"/>
                <w:highlight w:val="none"/>
              </w:rPr>
              <w:t>具有人力资源和社会保障部门颁发的信息系统监理师证书基础上，具有：</w:t>
            </w:r>
          </w:p>
          <w:p>
            <w:pPr>
              <w:widowControl/>
              <w:spacing w:line="240" w:lineRule="auto"/>
              <w:jc w:val="left"/>
              <w:textAlignment w:val="center"/>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（1）信息系统项目管理师（高级）证书得2分；</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（2）信息安全工程师证书得2分；</w:t>
            </w:r>
          </w:p>
          <w:p>
            <w:pPr>
              <w:widowControl/>
              <w:spacing w:line="240" w:lineRule="auto"/>
              <w:jc w:val="left"/>
              <w:textAlignment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【证明材料：</w:t>
            </w:r>
            <w:r>
              <w:rPr>
                <w:rFonts w:hint="eastAsia" w:ascii="仿宋" w:hAnsi="仿宋" w:eastAsia="仿宋" w:cs="仿宋"/>
                <w:b/>
                <w:bCs/>
                <w:color w:val="auto"/>
                <w:szCs w:val="21"/>
                <w:highlight w:val="none"/>
              </w:rPr>
              <w:t>1）须提供有效证书复印件并加盖单位公章；2</w:t>
            </w:r>
            <w:r>
              <w:rPr>
                <w:rFonts w:hint="eastAsia" w:ascii="仿宋" w:hAnsi="仿宋" w:eastAsia="仿宋" w:cs="仿宋"/>
                <w:b/>
                <w:color w:val="auto"/>
                <w:szCs w:val="21"/>
                <w:highlight w:val="none"/>
              </w:rPr>
              <w:t>）须提供相关人员投标截止日前3个月在投标人单位的社保证明文件并加盖公章；3）提供的证明材料需能体现相关评审因素，不提供或者不能提供有效证明的，不得分。】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jc w:val="center"/>
        </w:trPr>
        <w:tc>
          <w:tcPr>
            <w:tcW w:w="328"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435" w:type="pct"/>
            <w:vMerge w:val="continue"/>
            <w:noWrap w:val="0"/>
            <w:vAlign w:val="center"/>
          </w:tcPr>
          <w:p>
            <w:pPr>
              <w:widowControl/>
              <w:spacing w:line="240" w:lineRule="auto"/>
              <w:jc w:val="center"/>
              <w:rPr>
                <w:rFonts w:hint="eastAsia" w:ascii="仿宋" w:hAnsi="仿宋" w:eastAsia="仿宋" w:cs="仿宋"/>
                <w:bCs/>
                <w:color w:val="auto"/>
                <w:szCs w:val="21"/>
                <w:highlight w:val="none"/>
              </w:rPr>
            </w:pPr>
          </w:p>
        </w:tc>
        <w:tc>
          <w:tcPr>
            <w:tcW w:w="636" w:type="pc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监理团队资质、实力及经验</w:t>
            </w:r>
          </w:p>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（0-6分）</w:t>
            </w:r>
          </w:p>
        </w:tc>
        <w:tc>
          <w:tcPr>
            <w:tcW w:w="3599" w:type="pct"/>
            <w:noWrap w:val="0"/>
            <w:vAlign w:val="center"/>
          </w:tcPr>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拟投入本项目的“监理服务团队”组成人员（除去总监理工程师、总监代表、驻场监理工程师外）具有人力资源和社会保障部门颁发的信息系统监理师证书基础上：具有信息系统项目管理师（高级）证书的每人得1分，最高得6分。</w:t>
            </w:r>
          </w:p>
          <w:p>
            <w:pPr>
              <w:widowControl/>
              <w:spacing w:line="240" w:lineRule="auto"/>
              <w:jc w:val="left"/>
              <w:textAlignment w:val="center"/>
              <w:rPr>
                <w:rFonts w:hint="eastAsia" w:ascii="仿宋" w:hAnsi="仿宋" w:eastAsia="仿宋" w:cs="仿宋"/>
                <w:bCs/>
                <w:color w:val="auto"/>
                <w:szCs w:val="21"/>
                <w:highlight w:val="none"/>
              </w:rPr>
            </w:pPr>
            <w:r>
              <w:rPr>
                <w:rFonts w:hint="eastAsia" w:ascii="仿宋" w:hAnsi="仿宋" w:eastAsia="仿宋" w:cs="仿宋"/>
                <w:b/>
                <w:color w:val="auto"/>
                <w:szCs w:val="21"/>
                <w:highlight w:val="none"/>
              </w:rPr>
              <w:t>【证明材料：</w:t>
            </w:r>
            <w:r>
              <w:rPr>
                <w:rFonts w:hint="eastAsia" w:ascii="仿宋" w:hAnsi="仿宋" w:eastAsia="仿宋" w:cs="仿宋"/>
                <w:b/>
                <w:bCs/>
                <w:color w:val="auto"/>
                <w:szCs w:val="21"/>
                <w:highlight w:val="none"/>
              </w:rPr>
              <w:t>1）须提供有效证书复印件并加盖单位公章；2</w:t>
            </w:r>
            <w:r>
              <w:rPr>
                <w:rFonts w:hint="eastAsia" w:ascii="仿宋" w:hAnsi="仿宋" w:eastAsia="仿宋" w:cs="仿宋"/>
                <w:b/>
                <w:color w:val="auto"/>
                <w:szCs w:val="21"/>
                <w:highlight w:val="none"/>
              </w:rPr>
              <w:t>）须提供相关人员投标截止日前3个月在投标人单位的社保证明文件并加盖公章；3）提供的证明材料需能体现相关评审因素，不提供或者不能提供有效证明的，不得分。】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328" w:type="pct"/>
            <w:noWrap w:val="0"/>
            <w:vAlign w:val="center"/>
          </w:tcPr>
          <w:p>
            <w:pPr>
              <w:widowControl/>
              <w:spacing w:line="240" w:lineRule="auto"/>
              <w:jc w:val="center"/>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435" w:type="pc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现场述标（0-10分）</w:t>
            </w:r>
          </w:p>
        </w:tc>
        <w:tc>
          <w:tcPr>
            <w:tcW w:w="636" w:type="pc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现场述标（0-10分）</w:t>
            </w:r>
          </w:p>
        </w:tc>
        <w:tc>
          <w:tcPr>
            <w:tcW w:w="3599" w:type="pct"/>
            <w:noWrap w:val="0"/>
            <w:vAlign w:val="center"/>
          </w:tcPr>
          <w:p>
            <w:pPr>
              <w:widowControl/>
              <w:spacing w:line="240" w:lineRule="auto"/>
              <w:jc w:val="left"/>
              <w:textAlignment w:val="center"/>
              <w:rPr>
                <w:rFonts w:hint="eastAsia" w:ascii="仿宋" w:hAnsi="仿宋" w:eastAsia="仿宋" w:cs="仿宋"/>
                <w:b/>
                <w:color w:val="auto"/>
                <w:szCs w:val="21"/>
                <w:highlight w:val="none"/>
              </w:rPr>
            </w:pPr>
            <w:r>
              <w:rPr>
                <w:rFonts w:hint="eastAsia" w:ascii="仿宋" w:hAnsi="仿宋" w:eastAsia="仿宋" w:cs="仿宋"/>
                <w:color w:val="auto"/>
                <w:kern w:val="0"/>
                <w:szCs w:val="21"/>
                <w:highlight w:val="none"/>
              </w:rPr>
              <w:t>由总监或总监代表对监理方案进行讲解，阐明本项目的难点，要点和关键部位、控制的保证措施，并同时演示如何使用本公司项目管理系统实现对项目的信息化管理，讲解及软件演示时间控制在10分钟以内，专家不进行提问。演示须结合本项目项目质量控制、项目进度控制、项目合同管理、项目变更控制、项目文档管理、项目知识库管理等功能，由评标委员会横向比较，酌情打分。演示软件为真实系统（PPT、文档等形式的演示均不得分），必须是自行研发的或者委托第三方合作研发，提供软件著作权或者委托开发合同证明文件。</w:t>
            </w:r>
            <w:r>
              <w:rPr>
                <w:rFonts w:hint="eastAsia" w:ascii="仿宋" w:hAnsi="仿宋" w:eastAsia="仿宋" w:cs="仿宋"/>
                <w:color w:val="auto"/>
                <w:kern w:val="0"/>
                <w:szCs w:val="21"/>
                <w:highlight w:val="none"/>
              </w:rPr>
              <w:t>非总监或</w:t>
            </w:r>
            <w:r>
              <w:rPr>
                <w:rFonts w:hint="eastAsia" w:ascii="仿宋" w:hAnsi="仿宋" w:eastAsia="仿宋" w:cs="仿宋"/>
                <w:color w:val="auto"/>
                <w:kern w:val="0"/>
                <w:szCs w:val="21"/>
                <w:highlight w:val="none"/>
                <w:lang w:eastAsia="zh-CN"/>
              </w:rPr>
              <w:t>非</w:t>
            </w:r>
            <w:r>
              <w:rPr>
                <w:rFonts w:hint="eastAsia" w:ascii="仿宋" w:hAnsi="仿宋" w:eastAsia="仿宋" w:cs="仿宋"/>
                <w:color w:val="auto"/>
                <w:kern w:val="0"/>
                <w:szCs w:val="21"/>
                <w:highlight w:val="none"/>
              </w:rPr>
              <w:t>总监代表讲解或无真实系统演示不得分</w:t>
            </w:r>
            <w:r>
              <w:rPr>
                <w:rFonts w:hint="eastAsia" w:ascii="仿宋" w:hAnsi="仿宋" w:eastAsia="仿宋" w:cs="仿宋"/>
                <w:color w:val="auto"/>
                <w:kern w:val="0"/>
                <w:szCs w:val="21"/>
                <w:highlight w:val="none"/>
              </w:rPr>
              <w:t>。优的得7.1-10分，良4.1-7的得分，一般的得4-0分。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328" w:type="pct"/>
            <w:noWrap w:val="0"/>
            <w:vAlign w:val="center"/>
          </w:tcPr>
          <w:p>
            <w:pPr>
              <w:widowControl/>
              <w:spacing w:line="240" w:lineRule="auto"/>
              <w:jc w:val="center"/>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6</w:t>
            </w:r>
          </w:p>
        </w:tc>
        <w:tc>
          <w:tcPr>
            <w:tcW w:w="435" w:type="pc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本地化服务能力（3分）</w:t>
            </w:r>
          </w:p>
        </w:tc>
        <w:tc>
          <w:tcPr>
            <w:tcW w:w="636" w:type="pct"/>
            <w:noWrap w:val="0"/>
            <w:vAlign w:val="center"/>
          </w:tcPr>
          <w:p>
            <w:pPr>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本地化服务（0-3分）</w:t>
            </w:r>
          </w:p>
        </w:tc>
        <w:tc>
          <w:tcPr>
            <w:tcW w:w="3599" w:type="pct"/>
            <w:noWrap w:val="0"/>
            <w:vAlign w:val="center"/>
          </w:tcPr>
          <w:p>
            <w:pPr>
              <w:widowControl/>
              <w:spacing w:line="24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投标人具有较强的本地化监理服务能力，能在本地提供持续的监理服务和快速的售后服务响应，根据各单位本地化服务方案综合打分。优秀的得2.1-3分，良好的得1.1-2分，一般的0.1-1分，不提供不得分。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28" w:type="pct"/>
            <w:vMerge w:val="restart"/>
            <w:noWrap w:val="0"/>
            <w:vAlign w:val="center"/>
          </w:tcPr>
          <w:p>
            <w:pPr>
              <w:widowControl/>
              <w:spacing w:line="240" w:lineRule="auto"/>
              <w:jc w:val="center"/>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7</w:t>
            </w:r>
          </w:p>
        </w:tc>
        <w:tc>
          <w:tcPr>
            <w:tcW w:w="435" w:type="pct"/>
            <w:vMerge w:val="restar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投标人综合实力（5分）</w:t>
            </w:r>
          </w:p>
        </w:tc>
        <w:tc>
          <w:tcPr>
            <w:tcW w:w="636" w:type="pct"/>
            <w:noWrap w:val="0"/>
            <w:vAlign w:val="center"/>
          </w:tcPr>
          <w:p>
            <w:pPr>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资质（0-2分）</w:t>
            </w:r>
          </w:p>
        </w:tc>
        <w:tc>
          <w:tcPr>
            <w:tcW w:w="3599" w:type="pct"/>
            <w:noWrap w:val="0"/>
            <w:vAlign w:val="center"/>
          </w:tcPr>
          <w:p>
            <w:p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rPr>
              <w:t>同时具有中国网络安全审查技术与认证中心颁发的信息安全服务资质</w:t>
            </w:r>
            <w:r>
              <w:rPr>
                <w:rFonts w:hint="eastAsia" w:ascii="仿宋" w:hAnsi="仿宋" w:eastAsia="仿宋" w:cs="仿宋"/>
                <w:color w:val="auto"/>
                <w:szCs w:val="21"/>
                <w:highlight w:val="none"/>
              </w:rPr>
              <w:t>（信息系统安全运维、信息安全风险评估）证书得2分。</w:t>
            </w:r>
          </w:p>
          <w:p>
            <w:pPr>
              <w:spacing w:line="240" w:lineRule="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【证明材料：投标文件中提供有效证书复印件并加盖投标人公章，</w:t>
            </w:r>
            <w:r>
              <w:rPr>
                <w:rFonts w:hint="eastAsia" w:ascii="仿宋" w:hAnsi="仿宋" w:eastAsia="仿宋" w:cs="仿宋"/>
                <w:b/>
                <w:bCs/>
                <w:color w:val="auto"/>
                <w:szCs w:val="21"/>
                <w:highlight w:val="none"/>
                <w:lang w:eastAsia="zh-CN"/>
              </w:rPr>
              <w:t>未提供</w:t>
            </w:r>
            <w:r>
              <w:rPr>
                <w:rFonts w:hint="eastAsia" w:ascii="仿宋" w:hAnsi="仿宋" w:eastAsia="仿宋" w:cs="仿宋"/>
                <w:b/>
                <w:bCs/>
                <w:color w:val="auto"/>
                <w:szCs w:val="21"/>
                <w:highlight w:val="none"/>
              </w:rPr>
              <w:t>不得分</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28" w:type="pct"/>
            <w:vMerge w:val="continue"/>
            <w:noWrap w:val="0"/>
            <w:vAlign w:val="center"/>
          </w:tcPr>
          <w:p>
            <w:pPr>
              <w:spacing w:line="240" w:lineRule="auto"/>
              <w:jc w:val="center"/>
              <w:rPr>
                <w:rFonts w:hint="eastAsia" w:ascii="仿宋" w:hAnsi="仿宋" w:eastAsia="仿宋" w:cs="仿宋"/>
                <w:bCs/>
                <w:color w:val="auto"/>
                <w:szCs w:val="21"/>
                <w:highlight w:val="none"/>
              </w:rPr>
            </w:pPr>
          </w:p>
        </w:tc>
        <w:tc>
          <w:tcPr>
            <w:tcW w:w="435" w:type="pct"/>
            <w:vMerge w:val="continue"/>
            <w:noWrap w:val="0"/>
            <w:vAlign w:val="center"/>
          </w:tcPr>
          <w:p>
            <w:pPr>
              <w:spacing w:line="240" w:lineRule="auto"/>
              <w:jc w:val="center"/>
              <w:rPr>
                <w:rFonts w:hint="eastAsia" w:ascii="仿宋" w:hAnsi="仿宋" w:eastAsia="仿宋" w:cs="仿宋"/>
                <w:bCs/>
                <w:color w:val="auto"/>
                <w:szCs w:val="21"/>
                <w:highlight w:val="none"/>
              </w:rPr>
            </w:pPr>
          </w:p>
        </w:tc>
        <w:tc>
          <w:tcPr>
            <w:tcW w:w="636" w:type="pct"/>
            <w:noWrap w:val="0"/>
            <w:vAlign w:val="center"/>
          </w:tcPr>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xml:space="preserve">同类项目业绩 </w:t>
            </w:r>
          </w:p>
          <w:p>
            <w:pPr>
              <w:widowControl/>
              <w:spacing w:line="240"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(0-</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分)</w:t>
            </w:r>
          </w:p>
        </w:tc>
        <w:tc>
          <w:tcPr>
            <w:tcW w:w="3599" w:type="pct"/>
            <w:noWrap w:val="0"/>
            <w:vAlign w:val="center"/>
          </w:tcPr>
          <w:p>
            <w:p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投标人2020年1月1日以来（以合同签订时间为准）监理过同类项目，每个得0.5分，最高</w:t>
            </w:r>
            <w:r>
              <w:rPr>
                <w:rFonts w:hint="eastAsia" w:ascii="仿宋" w:hAnsi="仿宋" w:eastAsia="仿宋" w:cs="仿宋"/>
                <w:color w:val="auto"/>
                <w:szCs w:val="21"/>
                <w:highlight w:val="none"/>
                <w:lang w:val="en-US" w:eastAsia="zh-CN"/>
              </w:rPr>
              <w:t>1.5</w:t>
            </w:r>
            <w:r>
              <w:rPr>
                <w:rFonts w:hint="eastAsia" w:ascii="仿宋" w:hAnsi="仿宋" w:eastAsia="仿宋" w:cs="仿宋"/>
                <w:color w:val="auto"/>
                <w:szCs w:val="21"/>
                <w:highlight w:val="none"/>
              </w:rPr>
              <w:t>分；</w:t>
            </w:r>
          </w:p>
          <w:p>
            <w:pPr>
              <w:spacing w:line="240" w:lineRule="auto"/>
              <w:rPr>
                <w:rFonts w:hint="eastAsia" w:ascii="仿宋" w:hAnsi="仿宋" w:eastAsia="仿宋" w:cs="仿宋"/>
                <w:bCs/>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其中</w:t>
            </w:r>
            <w:r>
              <w:rPr>
                <w:rFonts w:hint="eastAsia" w:ascii="仿宋" w:hAnsi="仿宋" w:eastAsia="仿宋" w:cs="仿宋"/>
                <w:color w:val="auto"/>
                <w:szCs w:val="21"/>
                <w:highlight w:val="none"/>
                <w:lang w:eastAsia="zh-CN"/>
              </w:rPr>
              <w:t>上述提供的业绩中</w:t>
            </w:r>
            <w:r>
              <w:rPr>
                <w:rFonts w:hint="eastAsia" w:ascii="仿宋" w:hAnsi="仿宋" w:eastAsia="仿宋" w:cs="仿宋"/>
                <w:bCs/>
                <w:color w:val="auto"/>
                <w:szCs w:val="21"/>
                <w:highlight w:val="none"/>
              </w:rPr>
              <w:t>所监理“互联互通等级评测”相关项目获得四级以上的加0.5分。本项最高得</w:t>
            </w:r>
            <w:r>
              <w:rPr>
                <w:rFonts w:hint="eastAsia" w:ascii="仿宋" w:hAnsi="仿宋" w:eastAsia="仿宋" w:cs="仿宋"/>
                <w:bCs/>
                <w:color w:val="auto"/>
                <w:szCs w:val="21"/>
                <w:highlight w:val="none"/>
                <w:lang w:val="en-US" w:eastAsia="zh-CN"/>
              </w:rPr>
              <w:t>0.5</w:t>
            </w:r>
            <w:r>
              <w:rPr>
                <w:rFonts w:hint="eastAsia" w:ascii="仿宋" w:hAnsi="仿宋" w:eastAsia="仿宋" w:cs="仿宋"/>
                <w:bCs/>
                <w:color w:val="auto"/>
                <w:szCs w:val="21"/>
                <w:highlight w:val="none"/>
              </w:rPr>
              <w:t>分。</w:t>
            </w:r>
          </w:p>
          <w:p>
            <w:pPr>
              <w:widowControl/>
              <w:spacing w:line="240" w:lineRule="auto"/>
              <w:rPr>
                <w:rFonts w:hint="eastAsia" w:ascii="仿宋" w:hAnsi="仿宋" w:eastAsia="仿宋" w:cs="仿宋"/>
                <w:bCs/>
                <w:color w:val="auto"/>
                <w:szCs w:val="21"/>
                <w:highlight w:val="none"/>
              </w:rPr>
            </w:pPr>
            <w:r>
              <w:rPr>
                <w:rFonts w:hint="eastAsia" w:ascii="仿宋" w:hAnsi="仿宋" w:eastAsia="仿宋" w:cs="仿宋"/>
                <w:b/>
                <w:bCs/>
                <w:color w:val="auto"/>
                <w:szCs w:val="21"/>
                <w:highlight w:val="none"/>
              </w:rPr>
              <w:t>【证明材料：投标文件中提供</w:t>
            </w:r>
            <w:r>
              <w:rPr>
                <w:rFonts w:hint="eastAsia" w:ascii="仿宋" w:hAnsi="仿宋" w:eastAsia="仿宋" w:cs="仿宋"/>
                <w:b/>
                <w:bCs/>
                <w:color w:val="auto"/>
                <w:szCs w:val="21"/>
                <w:highlight w:val="none"/>
              </w:rPr>
              <w:t>合同</w:t>
            </w:r>
            <w:r>
              <w:rPr>
                <w:rFonts w:hint="eastAsia" w:ascii="仿宋" w:hAnsi="仿宋" w:eastAsia="仿宋" w:cs="仿宋"/>
                <w:b/>
                <w:bCs/>
                <w:color w:val="auto"/>
                <w:szCs w:val="21"/>
                <w:highlight w:val="none"/>
              </w:rPr>
              <w:t>复印件并加盖投标人公章，</w:t>
            </w:r>
            <w:r>
              <w:rPr>
                <w:rFonts w:hint="eastAsia" w:ascii="仿宋" w:hAnsi="仿宋" w:eastAsia="仿宋" w:cs="仿宋"/>
                <w:b/>
                <w:bCs/>
                <w:color w:val="auto"/>
                <w:szCs w:val="21"/>
                <w:highlight w:val="none"/>
                <w:lang w:eastAsia="zh-CN"/>
              </w:rPr>
              <w:t>未提供</w:t>
            </w:r>
            <w:r>
              <w:rPr>
                <w:rFonts w:hint="eastAsia" w:ascii="仿宋" w:hAnsi="仿宋" w:eastAsia="仿宋" w:cs="仿宋"/>
                <w:b/>
                <w:bCs/>
                <w:color w:val="auto"/>
                <w:szCs w:val="21"/>
                <w:highlight w:val="none"/>
              </w:rPr>
              <w:t>不得分</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rPr>
              <w:t>】</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5"/>
        <w:spacing w:line="800" w:lineRule="atLeast"/>
        <w:ind w:left="0" w:leftChars="0"/>
        <w:rPr>
          <w:rFonts w:hint="eastAsia" w:ascii="仿宋" w:hAnsi="仿宋" w:eastAsia="仿宋" w:cs="仿宋"/>
          <w:b/>
          <w:color w:val="auto"/>
          <w:sz w:val="36"/>
          <w:szCs w:val="36"/>
          <w:highlight w:val="none"/>
        </w:rPr>
      </w:pPr>
    </w:p>
    <w:p>
      <w:pPr>
        <w:pStyle w:val="5"/>
        <w:spacing w:line="800" w:lineRule="atLeast"/>
        <w:ind w:left="0" w:leftChars="0"/>
        <w:rPr>
          <w:rFonts w:hint="eastAsia" w:ascii="仿宋" w:hAnsi="仿宋" w:eastAsia="仿宋" w:cs="仿宋"/>
          <w:b/>
          <w:color w:val="auto"/>
          <w:sz w:val="36"/>
          <w:szCs w:val="36"/>
          <w:highlight w:val="none"/>
        </w:rPr>
      </w:pPr>
    </w:p>
    <w:p>
      <w:pPr>
        <w:pStyle w:val="5"/>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1"/>
        <w:spacing w:afterLines="0" w:line="440" w:lineRule="exact"/>
        <w:ind w:firstLine="0" w:firstLineChars="0"/>
        <w:rPr>
          <w:rFonts w:hint="eastAsia" w:ascii="仿宋" w:hAnsi="仿宋" w:eastAsia="仿宋" w:cs="仿宋"/>
          <w:color w:val="auto"/>
          <w:szCs w:val="24"/>
          <w:highlight w:val="none"/>
        </w:rPr>
      </w:pPr>
    </w:p>
    <w:p>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单位：</w:t>
      </w:r>
      <w:r>
        <w:rPr>
          <w:rFonts w:hint="eastAsia" w:ascii="仿宋" w:hAnsi="仿宋" w:eastAsia="仿宋" w:cs="仿宋"/>
          <w:color w:val="auto"/>
          <w:sz w:val="24"/>
          <w:highlight w:val="none"/>
          <w:lang w:val="en-US" w:eastAsia="zh-CN"/>
        </w:rPr>
        <w:t>%</w:t>
      </w:r>
    </w:p>
    <w:tbl>
      <w:tblPr>
        <w:tblStyle w:val="4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694"/>
        <w:gridCol w:w="311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694"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服务项目</w:t>
            </w:r>
          </w:p>
        </w:tc>
        <w:tc>
          <w:tcPr>
            <w:tcW w:w="311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投标费率报价</w:t>
            </w:r>
          </w:p>
        </w:tc>
        <w:tc>
          <w:tcPr>
            <w:tcW w:w="2268" w:type="dxa"/>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16"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694" w:type="dxa"/>
            <w:vMerge w:val="restart"/>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Cs w:val="21"/>
                <w:highlight w:val="none"/>
              </w:rPr>
              <w:t>信息化项目监理服务项目</w:t>
            </w:r>
          </w:p>
        </w:tc>
        <w:tc>
          <w:tcPr>
            <w:tcW w:w="3119" w:type="dxa"/>
            <w:vAlign w:val="center"/>
          </w:tcPr>
          <w:p>
            <w:pPr>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小写：</w:t>
            </w:r>
          </w:p>
        </w:tc>
        <w:tc>
          <w:tcPr>
            <w:tcW w:w="2268" w:type="dxa"/>
            <w:vMerge w:val="restart"/>
            <w:vAlign w:val="center"/>
          </w:tcPr>
          <w:p>
            <w:pPr>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本项目费率上限为3%。超过上限费率的作无效标处理。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16" w:type="dxa"/>
            <w:vMerge w:val="continue"/>
            <w:vAlign w:val="center"/>
          </w:tcPr>
          <w:p>
            <w:pPr>
              <w:spacing w:line="440" w:lineRule="exact"/>
              <w:jc w:val="center"/>
              <w:rPr>
                <w:rFonts w:hint="eastAsia" w:ascii="仿宋" w:hAnsi="仿宋" w:eastAsia="仿宋" w:cs="仿宋"/>
                <w:color w:val="auto"/>
                <w:sz w:val="24"/>
                <w:highlight w:val="none"/>
              </w:rPr>
            </w:pPr>
          </w:p>
        </w:tc>
        <w:tc>
          <w:tcPr>
            <w:tcW w:w="2694" w:type="dxa"/>
            <w:vMerge w:val="continue"/>
            <w:vAlign w:val="center"/>
          </w:tcPr>
          <w:p>
            <w:pPr>
              <w:spacing w:line="440" w:lineRule="exact"/>
              <w:jc w:val="center"/>
              <w:rPr>
                <w:rFonts w:hint="eastAsia" w:ascii="仿宋" w:hAnsi="仿宋" w:eastAsia="仿宋" w:cs="仿宋"/>
                <w:color w:val="auto"/>
                <w:sz w:val="24"/>
                <w:highlight w:val="none"/>
              </w:rPr>
            </w:pPr>
          </w:p>
        </w:tc>
        <w:tc>
          <w:tcPr>
            <w:tcW w:w="3119" w:type="dxa"/>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Cs w:val="21"/>
                <w:highlight w:val="none"/>
              </w:rPr>
              <w:t>大写</w:t>
            </w:r>
            <w:r>
              <w:rPr>
                <w:rFonts w:hint="eastAsia" w:ascii="仿宋" w:hAnsi="仿宋" w:eastAsia="仿宋" w:cs="仿宋"/>
                <w:color w:val="auto"/>
                <w:sz w:val="24"/>
                <w:highlight w:val="none"/>
              </w:rPr>
              <w:t>：</w:t>
            </w:r>
          </w:p>
        </w:tc>
        <w:tc>
          <w:tcPr>
            <w:tcW w:w="2268" w:type="dxa"/>
            <w:vMerge w:val="continue"/>
          </w:tcPr>
          <w:p>
            <w:pPr>
              <w:spacing w:line="440" w:lineRule="exact"/>
              <w:rPr>
                <w:rFonts w:hint="eastAsia" w:ascii="仿宋" w:hAnsi="仿宋" w:eastAsia="仿宋" w:cs="仿宋"/>
                <w:color w:val="auto"/>
                <w:sz w:val="24"/>
                <w:highlight w:val="none"/>
              </w:rPr>
            </w:pPr>
          </w:p>
        </w:tc>
      </w:tr>
    </w:tbl>
    <w:p>
      <w:pPr>
        <w:pStyle w:val="52"/>
        <w:rPr>
          <w:rFonts w:hint="eastAsia" w:ascii="仿宋" w:hAnsi="仿宋" w:eastAsia="仿宋" w:cs="仿宋"/>
          <w:color w:val="auto"/>
          <w:highlight w:val="none"/>
        </w:rPr>
      </w:pPr>
    </w:p>
    <w:p>
      <w:pPr>
        <w:spacing w:line="360" w:lineRule="auto"/>
        <w:ind w:right="-817" w:rightChars="-389"/>
        <w:rPr>
          <w:rFonts w:hint="eastAsia" w:ascii="仿宋" w:hAnsi="仿宋" w:eastAsia="仿宋" w:cs="仿宋"/>
          <w:color w:val="auto"/>
          <w:sz w:val="24"/>
          <w:highlight w:val="none"/>
        </w:rPr>
      </w:pPr>
      <w:r>
        <w:rPr>
          <w:rFonts w:hint="eastAsia" w:ascii="仿宋" w:hAnsi="仿宋" w:eastAsia="仿宋" w:cs="仿宋"/>
          <w:color w:val="auto"/>
          <w:sz w:val="24"/>
          <w:highlight w:val="none"/>
        </w:rPr>
        <w:t>注：1.报价一经涂改，应在涂改处加盖单位公章或者由法定代表人或授权委托人签字或盖章，否则其投标作无效标处理。</w:t>
      </w:r>
    </w:p>
    <w:p>
      <w:pPr>
        <w:spacing w:line="360" w:lineRule="auto"/>
        <w:ind w:right="-817" w:rightChars="-389"/>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2.所有单价包括货值、售后服务费、税费等一切费用，买方不需支付任何其它费用。</w:t>
      </w:r>
    </w:p>
    <w:p>
      <w:pPr>
        <w:spacing w:line="360" w:lineRule="auto"/>
        <w:ind w:right="-817" w:rightChars="-38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p>
    <w:p>
      <w:pPr>
        <w:spacing w:line="360" w:lineRule="auto"/>
        <w:jc w:val="right"/>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80" w:firstLineChars="200"/>
        <w:rPr>
          <w:rFonts w:hint="eastAsia" w:ascii="仿宋" w:hAnsi="仿宋" w:eastAsia="仿宋" w:cs="仿宋"/>
          <w:color w:val="auto"/>
          <w:sz w:val="24"/>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信息化项目监理服务项目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信息化项目监理服务项目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绍兴市中医院信息化项目监理服务项目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52"/>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5" w:type="first"/>
          <w:headerReference r:id="rId3" w:type="default"/>
          <w:footerReference r:id="rId4"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bookmarkEnd w:id="168"/>
    <w:sectPr>
      <w:headerReference r:id="rId6" w:type="default"/>
      <w:footerReference r:id="rId7" w:type="default"/>
      <w:footerReference r:id="rId8"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CA2E2C0"/>
    <w:multiLevelType w:val="singleLevel"/>
    <w:tmpl w:val="FCA2E2C0"/>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7"/>
  </w:num>
  <w:num w:numId="5">
    <w:abstractNumId w:val="5"/>
  </w:num>
  <w:num w:numId="6">
    <w:abstractNumId w:val="0"/>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33020E"/>
    <w:rsid w:val="0446241E"/>
    <w:rsid w:val="05043575"/>
    <w:rsid w:val="06AB31FB"/>
    <w:rsid w:val="07D653C6"/>
    <w:rsid w:val="11504E7B"/>
    <w:rsid w:val="137A20FF"/>
    <w:rsid w:val="144B0EEA"/>
    <w:rsid w:val="1618304E"/>
    <w:rsid w:val="17426010"/>
    <w:rsid w:val="21FA7AAB"/>
    <w:rsid w:val="252B7970"/>
    <w:rsid w:val="26125BA4"/>
    <w:rsid w:val="281A2C55"/>
    <w:rsid w:val="2DC02F07"/>
    <w:rsid w:val="32297A9B"/>
    <w:rsid w:val="382168F2"/>
    <w:rsid w:val="3C854832"/>
    <w:rsid w:val="45CC7564"/>
    <w:rsid w:val="46B04891"/>
    <w:rsid w:val="49463453"/>
    <w:rsid w:val="49D2118A"/>
    <w:rsid w:val="4A963F66"/>
    <w:rsid w:val="4BDC6D24"/>
    <w:rsid w:val="4BFA5BC7"/>
    <w:rsid w:val="53FA1DF9"/>
    <w:rsid w:val="580179B6"/>
    <w:rsid w:val="58B17641"/>
    <w:rsid w:val="5ACD4AC6"/>
    <w:rsid w:val="5DD047C5"/>
    <w:rsid w:val="5F9C4824"/>
    <w:rsid w:val="600A6C32"/>
    <w:rsid w:val="63DE1D33"/>
    <w:rsid w:val="694B0523"/>
    <w:rsid w:val="72E87C49"/>
    <w:rsid w:val="74B752B6"/>
    <w:rsid w:val="75673B65"/>
    <w:rsid w:val="76FE49DA"/>
    <w:rsid w:val="7AF96FCA"/>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4"/>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4"/>
    <w:link w:val="60"/>
    <w:qFormat/>
    <w:uiPriority w:val="0"/>
    <w:pPr>
      <w:keepNext/>
      <w:widowControl/>
      <w:numPr>
        <w:ilvl w:val="0"/>
        <w:numId w:val="4"/>
      </w:numPr>
      <w:jc w:val="left"/>
      <w:outlineLvl w:val="4"/>
    </w:pPr>
    <w:rPr>
      <w:kern w:val="0"/>
      <w:sz w:val="24"/>
      <w:szCs w:val="20"/>
    </w:rPr>
  </w:style>
  <w:style w:type="paragraph" w:styleId="9">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link w:val="55"/>
    <w:qFormat/>
    <w:uiPriority w:val="0"/>
    <w:pPr>
      <w:ind w:firstLine="420" w:firstLineChars="200"/>
    </w:pPr>
  </w:style>
  <w:style w:type="paragraph" w:styleId="5">
    <w:name w:val="Body Text Indent"/>
    <w:basedOn w:val="1"/>
    <w:next w:val="1"/>
    <w:link w:val="67"/>
    <w:qFormat/>
    <w:uiPriority w:val="0"/>
    <w:pPr>
      <w:spacing w:after="120"/>
      <w:ind w:left="420" w:left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2"/>
    <w:qFormat/>
    <w:uiPriority w:val="0"/>
    <w:pPr>
      <w:spacing w:line="360" w:lineRule="auto"/>
      <w:jc w:val="center"/>
    </w:pPr>
    <w:rPr>
      <w:rFonts w:ascii="Calibri" w:hAnsi="Calibri"/>
      <w:sz w:val="20"/>
      <w:szCs w:val="20"/>
    </w:rPr>
  </w:style>
  <w:style w:type="paragraph" w:styleId="16">
    <w:name w:val="Document Map"/>
    <w:basedOn w:val="1"/>
    <w:link w:val="121"/>
    <w:semiHidden/>
    <w:qFormat/>
    <w:uiPriority w:val="0"/>
    <w:pPr>
      <w:shd w:val="clear" w:color="auto" w:fill="000080"/>
    </w:pPr>
  </w:style>
  <w:style w:type="paragraph" w:styleId="17">
    <w:name w:val="annotation text"/>
    <w:basedOn w:val="1"/>
    <w:link w:val="73"/>
    <w:qFormat/>
    <w:uiPriority w:val="0"/>
    <w:pPr>
      <w:jc w:val="left"/>
    </w:pPr>
  </w:style>
  <w:style w:type="paragraph" w:styleId="18">
    <w:name w:val="Body Text"/>
    <w:basedOn w:val="1"/>
    <w:next w:val="7"/>
    <w:link w:val="86"/>
    <w:qFormat/>
    <w:uiPriority w:val="0"/>
    <w:pPr>
      <w:spacing w:line="360" w:lineRule="auto"/>
    </w:pPr>
    <w:rPr>
      <w:rFonts w:eastAsia="仿宋_GB2312"/>
      <w:sz w:val="28"/>
    </w:r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index 4"/>
    <w:basedOn w:val="1"/>
    <w:next w:val="1"/>
    <w:unhideWhenUsed/>
    <w:qFormat/>
    <w:uiPriority w:val="99"/>
    <w:pPr>
      <w:ind w:left="600" w:leftChars="600"/>
    </w:pPr>
    <w:rPr>
      <w:szCs w:val="22"/>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5"/>
    <w:qFormat/>
    <w:uiPriority w:val="0"/>
    <w:rPr>
      <w:rFonts w:ascii="宋体" w:hAnsi="Courier New"/>
      <w:szCs w:val="20"/>
    </w:rPr>
  </w:style>
  <w:style w:type="paragraph" w:styleId="24">
    <w:name w:val="Date"/>
    <w:basedOn w:val="1"/>
    <w:next w:val="1"/>
    <w:link w:val="68"/>
    <w:qFormat/>
    <w:uiPriority w:val="0"/>
    <w:rPr>
      <w:rFonts w:ascii="楷体_GB2312" w:eastAsia="楷体_GB2312"/>
      <w:b/>
      <w:sz w:val="28"/>
      <w:szCs w:val="20"/>
    </w:rPr>
  </w:style>
  <w:style w:type="paragraph" w:styleId="25">
    <w:name w:val="Body Text Indent 2"/>
    <w:basedOn w:val="1"/>
    <w:link w:val="82"/>
    <w:qFormat/>
    <w:uiPriority w:val="0"/>
    <w:pPr>
      <w:spacing w:after="120" w:line="480" w:lineRule="auto"/>
      <w:ind w:left="420" w:leftChars="200"/>
    </w:pPr>
  </w:style>
  <w:style w:type="paragraph" w:styleId="26">
    <w:name w:val="Balloon Text"/>
    <w:basedOn w:val="1"/>
    <w:link w:val="200"/>
    <w:qFormat/>
    <w:uiPriority w:val="0"/>
    <w:rPr>
      <w:sz w:val="18"/>
      <w:szCs w:val="18"/>
    </w:rPr>
  </w:style>
  <w:style w:type="paragraph" w:styleId="27">
    <w:name w:val="footer"/>
    <w:basedOn w:val="1"/>
    <w:link w:val="70"/>
    <w:qFormat/>
    <w:uiPriority w:val="0"/>
    <w:pPr>
      <w:tabs>
        <w:tab w:val="center" w:pos="4153"/>
        <w:tab w:val="right" w:pos="8306"/>
      </w:tabs>
      <w:snapToGrid w:val="0"/>
      <w:jc w:val="left"/>
    </w:pPr>
    <w:rPr>
      <w:sz w:val="18"/>
      <w:szCs w:val="18"/>
    </w:rPr>
  </w:style>
  <w:style w:type="paragraph" w:styleId="28">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toc 6"/>
    <w:basedOn w:val="1"/>
    <w:next w:val="1"/>
    <w:qFormat/>
    <w:uiPriority w:val="0"/>
    <w:pPr>
      <w:ind w:left="2100" w:leftChars="1000"/>
    </w:pPr>
  </w:style>
  <w:style w:type="paragraph" w:styleId="32">
    <w:name w:val="Body Text Indent 3"/>
    <w:basedOn w:val="1"/>
    <w:link w:val="201"/>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3"/>
    <w:qFormat/>
    <w:uiPriority w:val="0"/>
    <w:pPr>
      <w:widowControl/>
      <w:spacing w:afterLines="50"/>
    </w:pPr>
    <w:rPr>
      <w:b/>
      <w:bCs/>
      <w:kern w:val="0"/>
      <w:sz w:val="24"/>
      <w:szCs w:val="20"/>
    </w:rPr>
  </w:style>
  <w:style w:type="paragraph" w:styleId="41">
    <w:name w:val="Body Text First Indent"/>
    <w:basedOn w:val="18"/>
    <w:link w:val="204"/>
    <w:qFormat/>
    <w:uiPriority w:val="0"/>
    <w:pPr>
      <w:spacing w:after="120" w:line="240" w:lineRule="auto"/>
      <w:ind w:firstLine="420" w:firstLineChars="100"/>
    </w:pPr>
    <w:rPr>
      <w:rFonts w:eastAsia="宋体"/>
      <w:sz w:val="21"/>
    </w:rPr>
  </w:style>
  <w:style w:type="paragraph" w:styleId="42">
    <w:name w:val="Body Text First Indent 2"/>
    <w:basedOn w:val="5"/>
    <w:next w:val="41"/>
    <w:link w:val="205"/>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2"/>
    <w:qFormat/>
    <w:uiPriority w:val="0"/>
    <w:rPr>
      <w:rFonts w:eastAsia="仿宋_GB2312"/>
      <w:b/>
      <w:kern w:val="44"/>
      <w:sz w:val="44"/>
      <w:lang w:val="en-US" w:eastAsia="zh-CN" w:bidi="ar-SA"/>
    </w:rPr>
  </w:style>
  <w:style w:type="character" w:customStyle="1" w:styleId="55">
    <w:name w:val="正文缩进 Char"/>
    <w:link w:val="4"/>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3"/>
    <w:qFormat/>
    <w:uiPriority w:val="0"/>
    <w:rPr>
      <w:rFonts w:ascii="Arial" w:hAnsi="Arial" w:eastAsia="黑体"/>
      <w:b/>
      <w:kern w:val="2"/>
      <w:sz w:val="32"/>
      <w:lang w:val="en-US" w:eastAsia="zh-CN" w:bidi="ar-SA"/>
    </w:rPr>
  </w:style>
  <w:style w:type="character" w:customStyle="1" w:styleId="58">
    <w:name w:val="标题 3 Char"/>
    <w:link w:val="6"/>
    <w:qFormat/>
    <w:uiPriority w:val="0"/>
    <w:rPr>
      <w:rFonts w:eastAsia="仿宋_GB2312"/>
      <w:b/>
      <w:kern w:val="2"/>
      <w:sz w:val="32"/>
      <w:lang w:val="en-US" w:eastAsia="zh-CN" w:bidi="ar-SA"/>
    </w:rPr>
  </w:style>
  <w:style w:type="character" w:customStyle="1" w:styleId="59">
    <w:name w:val="标题 4 Char1"/>
    <w:link w:val="7"/>
    <w:qFormat/>
    <w:uiPriority w:val="0"/>
    <w:rPr>
      <w:rFonts w:ascii="Arial" w:hAnsi="Arial" w:eastAsia="黑体"/>
      <w:b/>
      <w:kern w:val="2"/>
      <w:sz w:val="28"/>
      <w:lang w:val="en-US" w:eastAsia="zh-CN" w:bidi="ar-SA"/>
    </w:rPr>
  </w:style>
  <w:style w:type="character" w:customStyle="1" w:styleId="60">
    <w:name w:val="标题 5 Char1"/>
    <w:link w:val="8"/>
    <w:qFormat/>
    <w:uiPriority w:val="0"/>
    <w:rPr>
      <w:sz w:val="24"/>
    </w:rPr>
  </w:style>
  <w:style w:type="character" w:customStyle="1" w:styleId="61">
    <w:name w:val="标题 6 Char1"/>
    <w:link w:val="9"/>
    <w:qFormat/>
    <w:uiPriority w:val="0"/>
    <w:rPr>
      <w:rFonts w:ascii="宋体" w:hAnsi="Arial" w:eastAsia="宋体"/>
      <w:sz w:val="24"/>
      <w:lang w:val="en-US" w:eastAsia="zh-CN" w:bidi="ar-SA"/>
    </w:rPr>
  </w:style>
  <w:style w:type="character" w:customStyle="1" w:styleId="62">
    <w:name w:val="标题 7 Char1"/>
    <w:link w:val="10"/>
    <w:qFormat/>
    <w:uiPriority w:val="0"/>
    <w:rPr>
      <w:rFonts w:ascii="宋体" w:hAnsi="Arial" w:eastAsia="宋体"/>
      <w:b/>
      <w:sz w:val="24"/>
      <w:lang w:val="en-US" w:eastAsia="zh-CN" w:bidi="ar-SA"/>
    </w:rPr>
  </w:style>
  <w:style w:type="character" w:customStyle="1" w:styleId="63">
    <w:name w:val="标题 8 Char1"/>
    <w:link w:val="11"/>
    <w:qFormat/>
    <w:uiPriority w:val="0"/>
    <w:rPr>
      <w:rFonts w:ascii="Arial" w:hAnsi="Arial" w:eastAsia="黑体"/>
      <w:sz w:val="24"/>
      <w:lang w:val="en-US" w:eastAsia="zh-CN" w:bidi="ar-SA"/>
    </w:rPr>
  </w:style>
  <w:style w:type="character" w:customStyle="1" w:styleId="64">
    <w:name w:val="标题 9 Char1"/>
    <w:link w:val="12"/>
    <w:qFormat/>
    <w:uiPriority w:val="0"/>
    <w:rPr>
      <w:rFonts w:ascii="Arial" w:hAnsi="Arial" w:eastAsia="黑体"/>
      <w:sz w:val="24"/>
      <w:lang w:val="en-US" w:eastAsia="zh-CN" w:bidi="ar-SA"/>
    </w:rPr>
  </w:style>
  <w:style w:type="character" w:customStyle="1" w:styleId="65">
    <w:name w:val="纯文本 Char"/>
    <w:link w:val="23"/>
    <w:qFormat/>
    <w:uiPriority w:val="0"/>
    <w:rPr>
      <w:rFonts w:ascii="宋体" w:hAnsi="Courier New" w:eastAsia="宋体"/>
      <w:kern w:val="2"/>
      <w:sz w:val="21"/>
      <w:lang w:val="en-US" w:eastAsia="zh-CN" w:bidi="ar-SA"/>
    </w:rPr>
  </w:style>
  <w:style w:type="paragraph" w:customStyle="1" w:styleId="66">
    <w:name w:val="表正文"/>
    <w:basedOn w:val="1"/>
    <w:next w:val="23"/>
    <w:qFormat/>
    <w:uiPriority w:val="0"/>
    <w:rPr>
      <w:rFonts w:ascii="宋体" w:hAnsi="Courier New"/>
      <w:szCs w:val="20"/>
    </w:rPr>
  </w:style>
  <w:style w:type="character" w:customStyle="1" w:styleId="67">
    <w:name w:val="正文文本缩进 Char"/>
    <w:link w:val="5"/>
    <w:qFormat/>
    <w:uiPriority w:val="0"/>
    <w:rPr>
      <w:rFonts w:eastAsia="宋体"/>
      <w:kern w:val="2"/>
      <w:sz w:val="21"/>
      <w:szCs w:val="24"/>
      <w:lang w:val="en-US" w:eastAsia="zh-CN" w:bidi="ar-SA"/>
    </w:rPr>
  </w:style>
  <w:style w:type="character" w:customStyle="1" w:styleId="68">
    <w:name w:val="日期 Char2"/>
    <w:link w:val="24"/>
    <w:qFormat/>
    <w:uiPriority w:val="0"/>
    <w:rPr>
      <w:rFonts w:ascii="楷体_GB2312" w:eastAsia="楷体_GB2312"/>
      <w:b/>
      <w:kern w:val="2"/>
      <w:sz w:val="28"/>
      <w:lang w:val="en-US" w:eastAsia="zh-CN" w:bidi="ar-SA"/>
    </w:rPr>
  </w:style>
  <w:style w:type="character" w:customStyle="1" w:styleId="69">
    <w:name w:val="页眉 Char1"/>
    <w:link w:val="28"/>
    <w:qFormat/>
    <w:uiPriority w:val="0"/>
    <w:rPr>
      <w:rFonts w:eastAsia="宋体"/>
      <w:kern w:val="2"/>
      <w:sz w:val="18"/>
      <w:szCs w:val="18"/>
      <w:lang w:val="en-US" w:eastAsia="zh-CN" w:bidi="ar-SA"/>
    </w:rPr>
  </w:style>
  <w:style w:type="character" w:customStyle="1" w:styleId="70">
    <w:name w:val="页脚 Char"/>
    <w:link w:val="27"/>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7"/>
    <w:qFormat/>
    <w:uiPriority w:val="0"/>
    <w:rPr>
      <w:rFonts w:eastAsia="宋体"/>
      <w:kern w:val="2"/>
      <w:sz w:val="21"/>
      <w:szCs w:val="24"/>
      <w:lang w:val="en-US" w:eastAsia="zh-CN" w:bidi="ar-SA"/>
    </w:rPr>
  </w:style>
  <w:style w:type="character" w:customStyle="1" w:styleId="74">
    <w:name w:val="正文文本 2 Char1"/>
    <w:link w:val="34"/>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5"/>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5"/>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8"/>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6"/>
    <w:qFormat/>
    <w:uiPriority w:val="0"/>
    <w:rPr>
      <w:rFonts w:ascii="Tahoma" w:hAnsi="Tahoma"/>
      <w:sz w:val="24"/>
    </w:rPr>
  </w:style>
  <w:style w:type="paragraph" w:customStyle="1" w:styleId="141">
    <w:name w:val="Char Char Char"/>
    <w:basedOn w:val="16"/>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4"/>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6"/>
    <w:qFormat/>
    <w:uiPriority w:val="0"/>
    <w:rPr>
      <w:kern w:val="2"/>
      <w:sz w:val="18"/>
      <w:szCs w:val="18"/>
    </w:rPr>
  </w:style>
  <w:style w:type="character" w:customStyle="1" w:styleId="201">
    <w:name w:val="正文文本缩进 3 Char"/>
    <w:basedOn w:val="45"/>
    <w:link w:val="32"/>
    <w:qFormat/>
    <w:uiPriority w:val="0"/>
    <w:rPr>
      <w:kern w:val="2"/>
      <w:sz w:val="16"/>
      <w:szCs w:val="16"/>
    </w:rPr>
  </w:style>
  <w:style w:type="character" w:customStyle="1" w:styleId="202">
    <w:name w:val="HTML 预设格式 Char"/>
    <w:basedOn w:val="45"/>
    <w:link w:val="36"/>
    <w:qFormat/>
    <w:uiPriority w:val="0"/>
    <w:rPr>
      <w:rFonts w:ascii="黑体" w:hAnsi="Courier New" w:eastAsia="黑体" w:cs="Courier New"/>
    </w:rPr>
  </w:style>
  <w:style w:type="character" w:customStyle="1" w:styleId="203">
    <w:name w:val="批注主题 Char"/>
    <w:basedOn w:val="170"/>
    <w:link w:val="40"/>
    <w:qFormat/>
    <w:uiPriority w:val="0"/>
    <w:rPr>
      <w:rFonts w:eastAsia="宋体"/>
      <w:b/>
      <w:bCs/>
      <w:kern w:val="2"/>
      <w:sz w:val="24"/>
      <w:szCs w:val="24"/>
      <w:lang w:val="en-US" w:eastAsia="zh-CN" w:bidi="ar-SA"/>
    </w:rPr>
  </w:style>
  <w:style w:type="character" w:customStyle="1" w:styleId="204">
    <w:name w:val="正文首行缩进 Char"/>
    <w:basedOn w:val="165"/>
    <w:link w:val="41"/>
    <w:qFormat/>
    <w:uiPriority w:val="0"/>
    <w:rPr>
      <w:rFonts w:eastAsia="仿宋_GB2312"/>
      <w:kern w:val="2"/>
      <w:sz w:val="21"/>
      <w:szCs w:val="24"/>
      <w:lang w:val="en-US" w:eastAsia="zh-CN" w:bidi="ar-SA"/>
    </w:rPr>
  </w:style>
  <w:style w:type="character" w:customStyle="1" w:styleId="205">
    <w:name w:val="正文首行缩进 2 Char"/>
    <w:basedOn w:val="67"/>
    <w:link w:val="42"/>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qFormat/>
    <w:uiPriority w:val="0"/>
    <w:rPr>
      <w:rFonts w:hint="default" w:ascii="等线" w:hAnsi="等线" w:eastAsia="等线" w:cs="等线"/>
      <w:color w:val="000000"/>
      <w:sz w:val="22"/>
      <w:szCs w:val="22"/>
      <w:u w:val="none"/>
    </w:rPr>
  </w:style>
  <w:style w:type="character" w:customStyle="1" w:styleId="271">
    <w:name w:val="font51"/>
    <w:basedOn w:val="45"/>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5"/>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5"/>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qFormat/>
    <w:uiPriority w:val="34"/>
    <w:pPr>
      <w:ind w:firstLine="420" w:firstLineChars="200"/>
    </w:pPr>
  </w:style>
  <w:style w:type="paragraph" w:customStyle="1" w:styleId="302">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82</Pages>
  <Words>46702</Words>
  <Characters>49442</Characters>
  <Lines>490</Lines>
  <Paragraphs>138</Paragraphs>
  <TotalTime>14</TotalTime>
  <ScaleCrop>false</ScaleCrop>
  <LinksUpToDate>false</LinksUpToDate>
  <CharactersWithSpaces>55613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無珂鲰玳k&amp;o_O</cp:lastModifiedBy>
  <cp:lastPrinted>2022-11-15T09:02:00Z</cp:lastPrinted>
  <dcterms:modified xsi:type="dcterms:W3CDTF">2023-04-18T00:37:06Z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