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绍兴市中医院血液净化中心管理信息系统项目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44"/>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2851" w:hRule="atLeast"/>
        </w:trPr>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绍兴市中医院血液净化中心管理信息系统项目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获取招标文件，并于2023年月日 09:00（北京时间）前递交投标文件。</w:t>
                  </w:r>
                </w:p>
              </w:tc>
            </w:tr>
          </w:tbl>
          <w:p>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TYJZ2023</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绍兴市中医院血液净化中心管理信息系统项目</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495000</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495000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绍兴市中医院血液净化中心管理信息系统项目</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495000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1"/>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时间：/至2023年月日，每天上午00:00至12:00 ，下午12:00至23:59（北京时间，线下获取文件法定节假日除外）</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提交投标文件截止时间：2023年月日 09:00（北京时间）</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绍兴市越城区朝皇路58号正大综合楼601泰宇咨询会议室</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开标时间：2023年月日 09:00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绍兴市越城区朝皇路58号正大综合楼601会议室（泰宇咨询）</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 ：吴滟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监督投诉电话：0575-85209645         </w:t>
            </w:r>
          </w:p>
        </w:tc>
      </w:tr>
      <w:tr>
        <w:tblPrEx>
          <w:tblCellMar>
            <w:top w:w="0" w:type="dxa"/>
            <w:left w:w="0" w:type="dxa"/>
            <w:bottom w:w="0" w:type="dxa"/>
            <w:right w:w="0" w:type="dxa"/>
          </w:tblCellMar>
        </w:tblPrEx>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_GB2312" w:hAnsi="仿宋" w:eastAsia="仿宋_GB2312" w:cs="仿宋_GB2312"/>
                <w:color w:val="auto"/>
                <w:kern w:val="0"/>
                <w:sz w:val="24"/>
                <w:highlight w:val="none"/>
                <w:lang w:val="zh-CN"/>
              </w:rPr>
            </w:pPr>
            <w:r>
              <w:rPr>
                <w:rFonts w:hint="eastAsia" w:ascii="仿宋_GB2312" w:hAnsi="宋体" w:eastAsia="仿宋_GB2312"/>
                <w:b/>
                <w:color w:val="auto"/>
                <w:sz w:val="24"/>
                <w:highlight w:val="none"/>
              </w:rPr>
              <w:t>讲解演示：</w:t>
            </w:r>
            <w:r>
              <w:rPr>
                <w:rFonts w:hint="eastAsia" w:ascii="仿宋_GB2312" w:hAnsi="新宋体" w:eastAsia="仿宋_GB2312" w:cs="Arial"/>
                <w:b/>
                <w:bCs/>
                <w:color w:val="auto"/>
                <w:sz w:val="24"/>
                <w:highlight w:val="none"/>
                <w:bdr w:val="single" w:color="auto" w:sz="4" w:space="0"/>
              </w:rPr>
              <w:t>01标</w:t>
            </w:r>
            <w:r>
              <w:rPr>
                <w:rFonts w:hint="eastAsia" w:ascii="仿宋_GB2312" w:hAnsi="仿宋" w:eastAsia="仿宋_GB2312" w:cs="仿宋_GB2312"/>
                <w:color w:val="auto"/>
                <w:kern w:val="0"/>
                <w:sz w:val="24"/>
                <w:highlight w:val="none"/>
                <w:lang w:val="zh-CN"/>
              </w:rPr>
              <w:t>在评标时安排每个投标人进行现场</w:t>
            </w:r>
            <w:r>
              <w:rPr>
                <w:rFonts w:hint="eastAsia" w:ascii="仿宋_GB2312" w:hAnsi="仿宋" w:eastAsia="仿宋_GB2312" w:cs="仿宋_GB2312"/>
                <w:b/>
                <w:bCs/>
                <w:color w:val="auto"/>
                <w:kern w:val="0"/>
                <w:sz w:val="24"/>
                <w:highlight w:val="none"/>
                <w:lang w:val="zh-CN"/>
              </w:rPr>
              <w:t>演示或</w:t>
            </w:r>
            <w:r>
              <w:rPr>
                <w:rFonts w:hint="eastAsia" w:ascii="仿宋_GB2312" w:hAnsi="仿宋" w:eastAsia="仿宋_GB2312" w:cs="仿宋_GB2312"/>
                <w:b/>
                <w:bCs/>
                <w:color w:val="auto"/>
                <w:kern w:val="0"/>
                <w:sz w:val="24"/>
                <w:highlight w:val="none"/>
                <w:lang w:val="en-US" w:eastAsia="zh-CN"/>
              </w:rPr>
              <w:t>U盘录制演示</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szCs w:val="24"/>
                <w:highlight w:val="none"/>
                <w:lang w:val="zh-CN"/>
              </w:rPr>
              <w:t>使用图片、PPT演示不得分</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w:t>
            </w:r>
            <w:r>
              <w:rPr>
                <w:rFonts w:hint="eastAsia" w:ascii="仿宋_GB2312" w:hAnsi="仿宋" w:eastAsia="仿宋_GB2312" w:cs="仿宋_GB2312"/>
                <w:color w:val="auto"/>
                <w:kern w:val="0"/>
                <w:sz w:val="24"/>
                <w:highlight w:val="none"/>
                <w:lang w:val="en-US" w:eastAsia="zh-CN"/>
              </w:rPr>
              <w:t>0</w:t>
            </w:r>
            <w:r>
              <w:rPr>
                <w:rFonts w:hint="eastAsia" w:ascii="仿宋_GB2312" w:hAnsi="仿宋" w:eastAsia="仿宋_GB2312" w:cs="仿宋_GB2312"/>
                <w:color w:val="auto"/>
                <w:kern w:val="0"/>
                <w:sz w:val="24"/>
                <w:highlight w:val="none"/>
                <w:lang w:val="zh-CN"/>
              </w:rPr>
              <w:t>分钟，演示时间不超过15分钟，</w:t>
            </w:r>
            <w:r>
              <w:rPr>
                <w:rFonts w:hint="eastAsia" w:ascii="仿宋_GB2312" w:hAnsi="仿宋_GB2312" w:eastAsia="仿宋_GB2312" w:cs="仿宋_GB2312"/>
                <w:color w:val="auto"/>
                <w:sz w:val="24"/>
                <w:highlight w:val="none"/>
              </w:rPr>
              <w:t>不包含评委提问解答时间。</w:t>
            </w:r>
          </w:p>
          <w:p>
            <w:pPr>
              <w:spacing w:line="420" w:lineRule="exac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auto"/>
                <w:kern w:val="0"/>
                <w:sz w:val="24"/>
                <w:highlight w:val="none"/>
                <w:lang w:val="zh-CN"/>
              </w:rPr>
              <w:t>以</w:t>
            </w:r>
            <w:r>
              <w:rPr>
                <w:rFonts w:hint="eastAsia" w:ascii="仿宋_GB2312" w:hAnsi="仿宋" w:eastAsia="仿宋_GB2312" w:cs="Arial"/>
                <w:bCs/>
                <w:color w:val="auto"/>
                <w:sz w:val="24"/>
                <w:highlight w:val="none"/>
              </w:rPr>
              <w:t>递交投标</w:t>
            </w:r>
            <w:r>
              <w:rPr>
                <w:rFonts w:hint="eastAsia" w:ascii="仿宋_GB2312" w:hAnsi="仿宋" w:eastAsia="仿宋_GB2312" w:cs="仿宋_GB2312"/>
                <w:color w:val="auto"/>
                <w:kern w:val="0"/>
                <w:sz w:val="24"/>
                <w:highlight w:val="none"/>
                <w:lang w:val="zh-CN"/>
              </w:rPr>
              <w:t>文件先后顺序为准。</w:t>
            </w:r>
          </w:p>
          <w:p>
            <w:pPr>
              <w:spacing w:line="420" w:lineRule="exact"/>
              <w:rPr>
                <w:rFonts w:hint="eastAsia" w:ascii="仿宋_GB2312" w:hAnsi="仿宋" w:eastAsia="仿宋_GB2312" w:cs="仿宋_GB2312"/>
                <w:b/>
                <w:color w:val="auto"/>
                <w:kern w:val="0"/>
                <w:sz w:val="24"/>
                <w:highlight w:val="none"/>
                <w:lang w:val="en-US" w:eastAsia="zh-CN"/>
              </w:rPr>
            </w:pPr>
            <w:r>
              <w:rPr>
                <w:rFonts w:hint="eastAsia" w:ascii="仿宋_GB2312" w:hAnsi="仿宋" w:eastAsia="仿宋_GB2312" w:cs="仿宋_GB2312"/>
                <w:b/>
                <w:color w:val="auto"/>
                <w:kern w:val="0"/>
                <w:sz w:val="24"/>
                <w:highlight w:val="none"/>
                <w:lang w:val="zh-CN"/>
              </w:rPr>
              <w:t>视频邮寄地址及联系方式：</w:t>
            </w:r>
            <w:r>
              <w:rPr>
                <w:rFonts w:hint="eastAsia" w:ascii="仿宋_GB2312" w:hAnsi="仿宋" w:eastAsia="仿宋_GB2312" w:cs="仿宋_GB2312"/>
                <w:b w:val="0"/>
                <w:bCs/>
                <w:color w:val="auto"/>
                <w:kern w:val="0"/>
                <w:sz w:val="24"/>
                <w:highlight w:val="none"/>
                <w:lang w:val="zh-CN"/>
              </w:rPr>
              <w:t>绍兴市越城区朝皇路</w:t>
            </w:r>
            <w:r>
              <w:rPr>
                <w:rFonts w:hint="eastAsia" w:ascii="仿宋_GB2312" w:hAnsi="仿宋" w:eastAsia="仿宋_GB2312" w:cs="仿宋_GB2312"/>
                <w:b w:val="0"/>
                <w:bCs/>
                <w:color w:val="auto"/>
                <w:kern w:val="0"/>
                <w:sz w:val="24"/>
                <w:highlight w:val="none"/>
                <w:lang w:val="en-US" w:eastAsia="zh-CN"/>
              </w:rPr>
              <w:t>58号正大综合楼601招标室，收件人：金锦英，联系电话：13656752180。</w:t>
            </w:r>
          </w:p>
          <w:p>
            <w:pPr>
              <w:spacing w:line="420" w:lineRule="exact"/>
              <w:rPr>
                <w:rFonts w:hint="eastAsia" w:ascii="仿宋_GB2312" w:hAnsi="宋体" w:eastAsia="仿宋_GB2312" w:cs="宋体"/>
                <w:color w:val="auto"/>
                <w:sz w:val="24"/>
                <w:highlight w:val="none"/>
                <w:lang w:eastAsia="zh-CN"/>
              </w:rPr>
            </w:pPr>
            <w:r>
              <w:rPr>
                <w:rFonts w:hint="eastAsia" w:ascii="仿宋_GB2312" w:hAnsi="仿宋" w:eastAsia="仿宋_GB2312" w:cs="仿宋_GB2312"/>
                <w:b/>
                <w:color w:val="auto"/>
                <w:kern w:val="0"/>
                <w:sz w:val="24"/>
                <w:highlight w:val="none"/>
                <w:lang w:val="zh-CN"/>
              </w:rPr>
              <w:t>录制视频接收时间：</w:t>
            </w:r>
            <w:r>
              <w:rPr>
                <w:rFonts w:hint="eastAsia" w:ascii="仿宋_GB2312" w:hAnsi="宋体" w:eastAsia="仿宋_GB2312" w:cs="宋体"/>
                <w:color w:val="auto"/>
                <w:sz w:val="24"/>
                <w:highlight w:val="none"/>
                <w:lang w:eastAsia="zh-CN"/>
              </w:rPr>
              <w:t>投标截止前</w:t>
            </w:r>
          </w:p>
          <w:p>
            <w:pPr>
              <w:spacing w:line="400" w:lineRule="exact"/>
              <w:rPr>
                <w:rFonts w:hint="eastAsia" w:ascii="仿宋" w:hAnsi="仿宋" w:eastAsia="仿宋_GB2312" w:cs="仿宋"/>
                <w:color w:val="auto"/>
                <w:sz w:val="24"/>
                <w:highlight w:val="none"/>
                <w:lang w:val="en-US" w:eastAsia="zh-CN"/>
              </w:rPr>
            </w:pPr>
            <w:r>
              <w:rPr>
                <w:rFonts w:hint="eastAsia" w:ascii="仿宋_GB2312" w:hAnsi="宋体" w:eastAsia="仿宋_GB2312" w:cs="宋体"/>
                <w:b/>
                <w:bCs/>
                <w:color w:val="auto"/>
                <w:sz w:val="24"/>
                <w:highlight w:val="none"/>
              </w:rPr>
              <w:t>其他：</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1）</w:t>
            </w:r>
            <w:r>
              <w:rPr>
                <w:rFonts w:hint="eastAsia" w:ascii="仿宋_GB2312" w:hAnsi="宋体" w:eastAsia="仿宋_GB2312" w:cs="宋体"/>
                <w:color w:val="auto"/>
                <w:sz w:val="24"/>
                <w:highlight w:val="none"/>
                <w:lang w:eastAsia="zh-CN"/>
              </w:rPr>
              <w:t>视频录制后存储</w:t>
            </w:r>
            <w:r>
              <w:rPr>
                <w:rFonts w:hint="eastAsia" w:ascii="仿宋_GB2312" w:hAnsi="宋体" w:eastAsia="仿宋_GB2312" w:cs="宋体"/>
                <w:color w:val="auto"/>
                <w:sz w:val="24"/>
                <w:highlight w:val="none"/>
                <w:lang w:val="en-US" w:eastAsia="zh-CN"/>
              </w:rPr>
              <w:t>U盘内（投标人需自行承担U盘内视频破坏或无法打开等风险），</w:t>
            </w:r>
            <w:r>
              <w:rPr>
                <w:rFonts w:hint="eastAsia" w:ascii="仿宋_GB2312" w:hAnsi="宋体" w:eastAsia="仿宋_GB2312" w:cs="宋体"/>
                <w:color w:val="auto"/>
                <w:sz w:val="24"/>
                <w:highlight w:val="none"/>
              </w:rPr>
              <w:t>需</w:t>
            </w:r>
            <w:r>
              <w:rPr>
                <w:rFonts w:hint="eastAsia" w:ascii="仿宋_GB2312" w:hAnsi="宋体" w:eastAsia="仿宋_GB2312" w:cs="宋体"/>
                <w:color w:val="auto"/>
                <w:sz w:val="24"/>
                <w:highlight w:val="none"/>
                <w:lang w:eastAsia="zh-CN"/>
              </w:rPr>
              <w:t>密封包装、</w:t>
            </w:r>
            <w:r>
              <w:rPr>
                <w:rFonts w:hint="eastAsia" w:ascii="仿宋_GB2312" w:hAnsi="宋体" w:eastAsia="仿宋_GB2312" w:cs="宋体"/>
                <w:color w:val="auto"/>
                <w:sz w:val="24"/>
                <w:highlight w:val="none"/>
              </w:rPr>
              <w:t>贴有标注供应商名称且加盖</w:t>
            </w:r>
            <w:r>
              <w:rPr>
                <w:rFonts w:hint="eastAsia" w:ascii="仿宋_GB2312" w:hAnsi="宋体" w:eastAsia="仿宋_GB2312" w:cs="宋体"/>
                <w:color w:val="auto"/>
                <w:sz w:val="24"/>
                <w:highlight w:val="none"/>
                <w:lang w:eastAsia="zh-CN"/>
              </w:rPr>
              <w:t>投标人</w:t>
            </w:r>
            <w:r>
              <w:rPr>
                <w:rFonts w:hint="eastAsia" w:ascii="仿宋_GB2312" w:hAnsi="宋体" w:eastAsia="仿宋_GB2312" w:cs="宋体"/>
                <w:color w:val="auto"/>
                <w:sz w:val="24"/>
                <w:highlight w:val="none"/>
              </w:rPr>
              <w:t>公章的标签。</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2）中标人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不予退还，由采购人带回并妥善保管作为验收的参考；未中标人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开标结束后请自行带回，本</w:t>
            </w:r>
            <w:r>
              <w:rPr>
                <w:rFonts w:hint="eastAsia" w:ascii="仿宋_GB2312" w:hAnsi="宋体" w:eastAsia="仿宋_GB2312" w:cs="宋体"/>
                <w:color w:val="auto"/>
                <w:sz w:val="24"/>
                <w:highlight w:val="none"/>
                <w:lang w:eastAsia="zh-CN"/>
              </w:rPr>
              <w:t>采购代理机构</w:t>
            </w:r>
            <w:r>
              <w:rPr>
                <w:rFonts w:hint="eastAsia" w:ascii="仿宋_GB2312" w:hAnsi="宋体" w:eastAsia="仿宋_GB2312" w:cs="宋体"/>
                <w:color w:val="auto"/>
                <w:sz w:val="24"/>
                <w:highlight w:val="none"/>
              </w:rPr>
              <w:t>不予保管</w:t>
            </w:r>
            <w:r>
              <w:rPr>
                <w:rFonts w:hint="eastAsia" w:ascii="仿宋_GB2312" w:hAnsi="宋体" w:eastAsia="仿宋_GB2312" w:cs="宋体"/>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_GB2312" w:hAnsi="仿宋" w:eastAsia="仿宋_GB2312"/>
                <w:color w:val="auto"/>
                <w:sz w:val="24"/>
                <w:highlight w:val="none"/>
              </w:rPr>
              <w:t>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血透管理信息主系统   </w:t>
            </w:r>
            <w:r>
              <w:rPr>
                <w:rFonts w:hint="eastAsia" w:ascii="仿宋_GB2312" w:hAnsi="仿宋" w:eastAsia="仿宋_GB2312"/>
                <w:color w:val="auto"/>
                <w:sz w:val="24"/>
                <w:highlight w:val="none"/>
              </w:rPr>
              <w:t>。</w:t>
            </w:r>
          </w:p>
          <w:p>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其他计算机软件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hint="eastAsia" w:ascii="仿宋" w:hAnsi="仿宋" w:eastAsia="仿宋" w:cs="仿宋"/>
                <w:color w:val="auto"/>
                <w:sz w:val="24"/>
                <w:highlight w:val="none"/>
              </w:rPr>
            </w:pPr>
          </w:p>
        </w:tc>
        <w:tc>
          <w:tcPr>
            <w:tcW w:w="8370" w:type="dxa"/>
            <w:gridSpan w:val="2"/>
            <w:vAlign w:val="center"/>
          </w:tcPr>
          <w:p>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62%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6"/>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8"/>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8"/>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8"/>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8"/>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8"/>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7"/>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7"/>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6"/>
        <w:snapToGrid w:val="0"/>
        <w:spacing w:line="440" w:lineRule="exact"/>
        <w:rPr>
          <w:rFonts w:hint="eastAsia" w:ascii="仿宋" w:hAnsi="仿宋" w:eastAsia="仿宋" w:cs="仿宋"/>
          <w:color w:val="auto"/>
          <w:sz w:val="24"/>
          <w:highlight w:val="none"/>
          <w:lang w:val="zh-CN"/>
        </w:rPr>
      </w:pPr>
      <w:bookmarkStart w:id="1" w:name="_Hlt68072998"/>
      <w:bookmarkEnd w:id="1"/>
      <w:bookmarkStart w:id="2" w:name="_Hlt68403820"/>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2"/>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2"/>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2"/>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2"/>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2"/>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6"/>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6"/>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6"/>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8"/>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8"/>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8"/>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8"/>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6"/>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6"/>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6"/>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6"/>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55"/>
        <w:spacing w:before="0"/>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8"/>
        <w:tabs>
          <w:tab w:val="clear" w:pos="454"/>
        </w:tabs>
        <w:spacing w:afterLines="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8"/>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6"/>
        <w:snapToGrid w:val="0"/>
        <w:spacing w:line="440" w:lineRule="exact"/>
        <w:jc w:val="left"/>
        <w:rPr>
          <w:rFonts w:ascii="仿宋" w:hAnsi="仿宋" w:eastAsia="仿宋" w:cs="仿宋"/>
          <w:b/>
          <w:color w:val="auto"/>
          <w:sz w:val="24"/>
          <w:szCs w:val="24"/>
          <w:highlight w:val="none"/>
        </w:rPr>
      </w:pPr>
      <w:bookmarkStart w:id="4" w:name="_Toc84325929"/>
      <w:bookmarkStart w:id="5" w:name="_Toc81372776"/>
      <w:bookmarkStart w:id="6" w:name="_Toc81372953"/>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6"/>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6"/>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6"/>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pPr>
        <w:pStyle w:val="18"/>
        <w:tabs>
          <w:tab w:val="clear" w:pos="454"/>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8"/>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8"/>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8"/>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8"/>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5"/>
        <w:tabs>
          <w:tab w:val="left" w:pos="0"/>
        </w:tabs>
        <w:spacing w:before="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6"/>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6"/>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pacing w:line="360" w:lineRule="auto"/>
        <w:jc w:val="left"/>
        <w:rPr>
          <w:rFonts w:hint="eastAsia" w:ascii="仿宋" w:hAnsi="仿宋" w:eastAsia="仿宋" w:cs="仿宋"/>
          <w:b/>
          <w:color w:val="auto"/>
          <w:szCs w:val="21"/>
          <w:highlight w:val="none"/>
        </w:rPr>
      </w:pPr>
      <w:bookmarkStart w:id="7" w:name="_Toc80157775"/>
      <w:bookmarkStart w:id="8" w:name="_Toc81372787"/>
      <w:bookmarkStart w:id="9" w:name="_Toc84325981"/>
      <w:bookmarkStart w:id="10" w:name="_Toc81372964"/>
      <w:r>
        <w:rPr>
          <w:rFonts w:hint="eastAsia" w:ascii="仿宋" w:hAnsi="仿宋" w:eastAsia="仿宋" w:cs="仿宋"/>
          <w:b/>
          <w:color w:val="auto"/>
          <w:szCs w:val="21"/>
          <w:highlight w:val="none"/>
        </w:rPr>
        <w:t>一、项目背景</w:t>
      </w:r>
    </w:p>
    <w:p>
      <w:pPr>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院血液透析中心病人持续增多，业务规模不断扩大，透析标准越来越严格，而现有科室信息化已不能满足医院血透中心的管理要求。通过本项目建设，建立数字化的血液透析中心，以提升医疗质量、提高工作效率、整体提高血液透析中心的管理水平、更好的服务于临床病人。</w:t>
      </w:r>
    </w:p>
    <w:p>
      <w:pPr>
        <w:spacing w:line="360" w:lineRule="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二、项目建设清单：</w:t>
      </w:r>
    </w:p>
    <w:tbl>
      <w:tblPr>
        <w:tblStyle w:val="4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36"/>
        <w:gridCol w:w="790"/>
        <w:gridCol w:w="1383"/>
        <w:gridCol w:w="475"/>
        <w:gridCol w:w="475"/>
        <w:gridCol w:w="55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spacing w:line="42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序号</w:t>
            </w:r>
          </w:p>
        </w:tc>
        <w:tc>
          <w:tcPr>
            <w:tcW w:w="790" w:type="dxa"/>
            <w:noWrap w:val="0"/>
            <w:vAlign w:val="center"/>
          </w:tcPr>
          <w:p>
            <w:pPr>
              <w:widowControl/>
              <w:spacing w:line="42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类别</w:t>
            </w:r>
          </w:p>
        </w:tc>
        <w:tc>
          <w:tcPr>
            <w:tcW w:w="1382" w:type="dxa"/>
            <w:noWrap w:val="0"/>
            <w:vAlign w:val="center"/>
          </w:tcPr>
          <w:p>
            <w:pPr>
              <w:widowControl/>
              <w:spacing w:line="420" w:lineRule="exact"/>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模块名称</w:t>
            </w:r>
          </w:p>
        </w:tc>
        <w:tc>
          <w:tcPr>
            <w:tcW w:w="0" w:type="auto"/>
            <w:noWrap w:val="0"/>
            <w:vAlign w:val="center"/>
          </w:tcPr>
          <w:p>
            <w:pPr>
              <w:widowControl/>
              <w:spacing w:line="42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规格</w:t>
            </w:r>
          </w:p>
        </w:tc>
        <w:tc>
          <w:tcPr>
            <w:tcW w:w="0" w:type="auto"/>
            <w:tcBorders>
              <w:bottom w:val="single" w:color="auto" w:sz="4" w:space="0"/>
            </w:tcBorders>
            <w:noWrap w:val="0"/>
            <w:vAlign w:val="center"/>
          </w:tcPr>
          <w:p>
            <w:pPr>
              <w:widowControl/>
              <w:spacing w:line="42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数量</w:t>
            </w:r>
          </w:p>
        </w:tc>
        <w:tc>
          <w:tcPr>
            <w:tcW w:w="0" w:type="auto"/>
            <w:tcBorders>
              <w:bottom w:val="single" w:color="auto" w:sz="4" w:space="0"/>
            </w:tcBorders>
            <w:noWrap w:val="0"/>
            <w:vAlign w:val="center"/>
          </w:tcPr>
          <w:p>
            <w:pPr>
              <w:widowControl/>
              <w:spacing w:line="42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w:t>
            </w:r>
          </w:p>
        </w:tc>
        <w:tc>
          <w:tcPr>
            <w:tcW w:w="0" w:type="auto"/>
            <w:gridSpan w:val="5"/>
            <w:noWrap w:val="0"/>
            <w:vAlign w:val="center"/>
          </w:tcPr>
          <w:p>
            <w:pPr>
              <w:pStyle w:val="299"/>
              <w:spacing w:before="21"/>
              <w:ind w:left="107"/>
              <w:rPr>
                <w:rFonts w:hint="eastAsia" w:ascii="仿宋" w:hAnsi="仿宋" w:eastAsia="仿宋" w:cs="仿宋"/>
                <w:color w:val="auto"/>
                <w:highlight w:val="none"/>
              </w:rPr>
            </w:pPr>
            <w:r>
              <w:rPr>
                <w:rFonts w:hint="eastAsia" w:ascii="仿宋" w:hAnsi="仿宋" w:eastAsia="仿宋" w:cs="仿宋"/>
                <w:color w:val="auto"/>
                <w:szCs w:val="21"/>
                <w:highlight w:val="none"/>
              </w:rPr>
              <w:t>软件部份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790" w:type="dxa"/>
            <w:vMerge w:val="restart"/>
            <w:noWrap w:val="0"/>
            <w:vAlign w:val="center"/>
          </w:tcPr>
          <w:p>
            <w:pPr>
              <w:widowControl/>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血液净化中心管理信息系统</w:t>
            </w:r>
          </w:p>
        </w:tc>
        <w:tc>
          <w:tcPr>
            <w:tcW w:w="1382" w:type="dxa"/>
            <w:noWrap w:val="0"/>
            <w:vAlign w:val="center"/>
          </w:tcPr>
          <w:p>
            <w:pPr>
              <w:pStyle w:val="299"/>
              <w:spacing w:before="177"/>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血透管理信息主系统</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21"/>
              <w:rPr>
                <w:rFonts w:hint="eastAsia" w:ascii="仿宋" w:hAnsi="仿宋" w:eastAsia="仿宋" w:cs="仿宋"/>
                <w:color w:val="auto"/>
                <w:highlight w:val="none"/>
              </w:rPr>
            </w:pPr>
            <w:r>
              <w:rPr>
                <w:rFonts w:hint="eastAsia" w:ascii="仿宋" w:hAnsi="仿宋" w:eastAsia="仿宋" w:cs="仿宋"/>
                <w:color w:val="auto"/>
                <w:highlight w:val="none"/>
              </w:rPr>
              <w:t>包括病人管理、排班管理、透析管理、科室管理、设备管理、血透病历管理、统计分析管理、质控上报；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spacing w:before="18"/>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病人自助接诊系统</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18"/>
              <w:rPr>
                <w:rFonts w:hint="eastAsia" w:ascii="仿宋" w:hAnsi="仿宋" w:eastAsia="仿宋" w:cs="仿宋"/>
                <w:color w:val="auto"/>
                <w:highlight w:val="none"/>
              </w:rPr>
            </w:pPr>
            <w:r>
              <w:rPr>
                <w:rFonts w:hint="eastAsia" w:ascii="仿宋" w:hAnsi="仿宋" w:eastAsia="仿宋" w:cs="仿宋"/>
                <w:color w:val="auto"/>
                <w:highlight w:val="none"/>
              </w:rPr>
              <w:t>病人自助刷卡称重并完成接诊，可自助采集体重、血压；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spacing w:before="18"/>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大屏显示呼叫系统</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18"/>
              <w:rPr>
                <w:rFonts w:hint="eastAsia" w:ascii="仿宋" w:hAnsi="仿宋" w:eastAsia="仿宋" w:cs="仿宋"/>
                <w:color w:val="auto"/>
                <w:highlight w:val="none"/>
              </w:rPr>
            </w:pPr>
            <w:r>
              <w:rPr>
                <w:rFonts w:hint="eastAsia" w:ascii="仿宋" w:hAnsi="仿宋" w:eastAsia="仿宋" w:cs="仿宋"/>
                <w:color w:val="auto"/>
                <w:highlight w:val="none"/>
              </w:rPr>
              <w:t>显示病人当天床位安排信息，全程实时显示透析进程，呼叫陪护；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spacing w:before="174"/>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移动护理系统</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18"/>
              <w:rPr>
                <w:rFonts w:hint="eastAsia" w:ascii="仿宋" w:hAnsi="仿宋" w:eastAsia="仿宋" w:cs="仿宋"/>
                <w:color w:val="auto"/>
                <w:highlight w:val="none"/>
              </w:rPr>
            </w:pPr>
            <w:r>
              <w:rPr>
                <w:rFonts w:hint="eastAsia" w:ascii="仿宋" w:hAnsi="仿宋" w:eastAsia="仿宋" w:cs="仿宋"/>
                <w:color w:val="auto"/>
                <w:highlight w:val="none"/>
              </w:rPr>
              <w:t>通过PAD应用、透析过程核对、病人评估、生命体征录入、医嘱执行、复核、双签、耗材费用核对功能；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医生查房系统</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18"/>
              <w:rPr>
                <w:rFonts w:hint="eastAsia" w:ascii="仿宋" w:hAnsi="仿宋" w:eastAsia="仿宋" w:cs="仿宋"/>
                <w:color w:val="auto"/>
                <w:highlight w:val="none"/>
              </w:rPr>
            </w:pPr>
            <w:r>
              <w:rPr>
                <w:rFonts w:hint="eastAsia" w:ascii="仿宋" w:hAnsi="仿宋" w:eastAsia="仿宋" w:cs="仿宋"/>
                <w:color w:val="auto"/>
                <w:highlight w:val="none"/>
              </w:rPr>
              <w:t>医生移动查房，实现透析处方查房调整、用药记录、化验检查明细的查看，与护理形成信息互通、提醒核对的全闭环业务操作。实与无纸化查房。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spacing w:before="177"/>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医嘱、费用管理系统</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21"/>
              <w:rPr>
                <w:rFonts w:hint="eastAsia" w:ascii="仿宋" w:hAnsi="仿宋" w:eastAsia="仿宋" w:cs="仿宋"/>
                <w:color w:val="auto"/>
                <w:highlight w:val="none"/>
              </w:rPr>
            </w:pPr>
            <w:r>
              <w:rPr>
                <w:rFonts w:hint="eastAsia" w:ascii="仿宋" w:hAnsi="仿宋" w:eastAsia="仿宋" w:cs="仿宋"/>
                <w:color w:val="auto"/>
                <w:highlight w:val="none"/>
              </w:rPr>
              <w:t>支持在血透系统完成医嘱开立，费用自动生成，与 HIS 对接完成结算。真正实现无纸化查房；实现智能医嘱管理。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耗材管理系统</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18" w:line="278" w:lineRule="auto"/>
              <w:ind w:right="156"/>
              <w:rPr>
                <w:rFonts w:hint="eastAsia" w:ascii="仿宋" w:hAnsi="仿宋" w:eastAsia="仿宋" w:cs="仿宋"/>
                <w:color w:val="auto"/>
                <w:highlight w:val="none"/>
              </w:rPr>
            </w:pPr>
            <w:r>
              <w:rPr>
                <w:rFonts w:hint="eastAsia" w:ascii="仿宋" w:hAnsi="仿宋" w:eastAsia="仿宋" w:cs="仿宋"/>
                <w:color w:val="auto"/>
                <w:highlight w:val="none"/>
              </w:rPr>
              <w:t>与医院耗材系统对接，完成扫描入库；根据病人排班、透析开始自动生成本次耗材使用清单，透析结束确认扣减数量，形成耗材管理报表。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spacing w:before="174"/>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系统接口</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18"/>
              <w:rPr>
                <w:rFonts w:hint="eastAsia" w:ascii="仿宋" w:hAnsi="仿宋" w:eastAsia="仿宋" w:cs="仿宋"/>
                <w:color w:val="auto"/>
                <w:highlight w:val="none"/>
              </w:rPr>
            </w:pPr>
            <w:r>
              <w:rPr>
                <w:rFonts w:hint="eastAsia" w:ascii="仿宋" w:hAnsi="仿宋" w:eastAsia="仿宋" w:cs="仿宋"/>
                <w:color w:val="auto"/>
                <w:highlight w:val="none"/>
              </w:rPr>
              <w:t>HIS</w:t>
            </w:r>
            <w:r>
              <w:rPr>
                <w:rFonts w:hint="eastAsia" w:ascii="仿宋" w:hAnsi="仿宋" w:eastAsia="仿宋" w:cs="仿宋"/>
                <w:color w:val="auto"/>
                <w:spacing w:val="-15"/>
                <w:highlight w:val="none"/>
              </w:rPr>
              <w:t xml:space="preserve"> 系统、</w:t>
            </w:r>
            <w:r>
              <w:rPr>
                <w:rFonts w:hint="eastAsia" w:ascii="仿宋" w:hAnsi="仿宋" w:eastAsia="仿宋" w:cs="仿宋"/>
                <w:color w:val="auto"/>
                <w:highlight w:val="none"/>
              </w:rPr>
              <w:t>LIS</w:t>
            </w:r>
            <w:r>
              <w:rPr>
                <w:rFonts w:hint="eastAsia" w:ascii="仿宋" w:hAnsi="仿宋" w:eastAsia="仿宋" w:cs="仿宋"/>
                <w:color w:val="auto"/>
                <w:spacing w:val="-14"/>
                <w:highlight w:val="none"/>
              </w:rPr>
              <w:t xml:space="preserve"> 系统、</w:t>
            </w:r>
            <w:r>
              <w:rPr>
                <w:rFonts w:hint="eastAsia" w:ascii="仿宋" w:hAnsi="仿宋" w:eastAsia="仿宋" w:cs="仿宋"/>
                <w:color w:val="auto"/>
                <w:highlight w:val="none"/>
              </w:rPr>
              <w:t>RIS</w:t>
            </w:r>
            <w:r>
              <w:rPr>
                <w:rFonts w:hint="eastAsia" w:ascii="仿宋" w:hAnsi="仿宋" w:eastAsia="仿宋" w:cs="仿宋"/>
                <w:color w:val="auto"/>
                <w:spacing w:val="-12"/>
                <w:highlight w:val="none"/>
              </w:rPr>
              <w:t xml:space="preserve"> 系统接口</w:t>
            </w:r>
            <w:r>
              <w:rPr>
                <w:rFonts w:hint="eastAsia" w:ascii="仿宋" w:hAnsi="仿宋" w:eastAsia="仿宋" w:cs="仿宋"/>
                <w:color w:val="auto"/>
                <w:spacing w:val="-3"/>
                <w:highlight w:val="none"/>
              </w:rPr>
              <w:t>；完成业务相关数据的</w:t>
            </w:r>
            <w:r>
              <w:rPr>
                <w:rFonts w:hint="eastAsia" w:ascii="仿宋" w:hAnsi="仿宋" w:eastAsia="仿宋" w:cs="仿宋"/>
                <w:color w:val="auto"/>
                <w:highlight w:val="none"/>
              </w:rPr>
              <w:t>对接；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质控上报系统</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18" w:line="278" w:lineRule="auto"/>
              <w:ind w:right="156"/>
              <w:rPr>
                <w:rFonts w:hint="eastAsia" w:ascii="仿宋" w:hAnsi="仿宋" w:eastAsia="仿宋" w:cs="仿宋"/>
                <w:color w:val="auto"/>
                <w:highlight w:val="none"/>
              </w:rPr>
            </w:pPr>
            <w:r>
              <w:rPr>
                <w:rFonts w:hint="eastAsia" w:ascii="仿宋" w:hAnsi="仿宋" w:eastAsia="仿宋" w:cs="仿宋"/>
                <w:color w:val="auto"/>
                <w:highlight w:val="none"/>
              </w:rPr>
              <w:t>完成与质控数据的上报接口，能自动生成上报所需的数据并直接上报到省质控平台；含上报数据自动校验完整性功能；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spacing w:before="18"/>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透析质控、统计查询</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18"/>
              <w:rPr>
                <w:rFonts w:hint="eastAsia" w:ascii="仿宋" w:hAnsi="仿宋" w:eastAsia="仿宋" w:cs="仿宋"/>
                <w:color w:val="auto"/>
                <w:highlight w:val="none"/>
              </w:rPr>
            </w:pPr>
            <w:r>
              <w:rPr>
                <w:rFonts w:hint="eastAsia" w:ascii="仿宋" w:hAnsi="仿宋" w:eastAsia="仿宋" w:cs="仿宋"/>
                <w:color w:val="auto"/>
                <w:highlight w:val="none"/>
              </w:rPr>
              <w:t>支持固定统计分析报表、支持自定义统计分析；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790" w:type="dxa"/>
            <w:vMerge w:val="continue"/>
            <w:noWrap w:val="0"/>
            <w:vAlign w:val="center"/>
          </w:tcPr>
          <w:p>
            <w:pPr>
              <w:widowControl/>
              <w:jc w:val="center"/>
              <w:rPr>
                <w:rFonts w:hint="eastAsia" w:ascii="仿宋" w:hAnsi="仿宋" w:eastAsia="仿宋" w:cs="仿宋"/>
                <w:color w:val="auto"/>
                <w:szCs w:val="21"/>
                <w:highlight w:val="none"/>
              </w:rPr>
            </w:pPr>
          </w:p>
        </w:tc>
        <w:tc>
          <w:tcPr>
            <w:tcW w:w="1382" w:type="dxa"/>
            <w:noWrap w:val="0"/>
            <w:vAlign w:val="center"/>
          </w:tcPr>
          <w:p>
            <w:pPr>
              <w:pStyle w:val="299"/>
              <w:spacing w:before="18"/>
              <w:ind w:left="110"/>
              <w:jc w:val="center"/>
              <w:rPr>
                <w:rFonts w:hint="eastAsia" w:ascii="仿宋" w:hAnsi="仿宋" w:eastAsia="仿宋" w:cs="仿宋"/>
                <w:color w:val="auto"/>
                <w:highlight w:val="none"/>
              </w:rPr>
            </w:pPr>
            <w:r>
              <w:rPr>
                <w:rFonts w:hint="eastAsia" w:ascii="仿宋" w:hAnsi="仿宋" w:eastAsia="仿宋" w:cs="仿宋"/>
                <w:color w:val="auto"/>
                <w:szCs w:val="21"/>
                <w:highlight w:val="none"/>
              </w:rPr>
              <w:t>血透机数据采集系统</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bottom w:val="single" w:color="auto" w:sz="4" w:space="0"/>
            </w:tcBorders>
            <w:noWrap w:val="0"/>
            <w:vAlign w:val="center"/>
          </w:tcPr>
          <w:p>
            <w:pPr>
              <w:pStyle w:val="299"/>
              <w:spacing w:before="18"/>
              <w:rPr>
                <w:rFonts w:hint="eastAsia" w:ascii="仿宋" w:hAnsi="仿宋" w:eastAsia="仿宋" w:cs="仿宋"/>
                <w:color w:val="auto"/>
                <w:highlight w:val="none"/>
              </w:rPr>
            </w:pPr>
            <w:r>
              <w:rPr>
                <w:rFonts w:hint="eastAsia" w:ascii="仿宋" w:hAnsi="仿宋" w:eastAsia="仿宋" w:cs="仿宋"/>
                <w:color w:val="auto"/>
                <w:szCs w:val="21"/>
                <w:highlight w:val="none"/>
              </w:rPr>
              <w:t>血透机的相关治疗数据的自动采集； 包括（静脉压、动脉压、血流量设置值、血流量、超滤率、超滤量设置值、超滤量、剩余时间、已透时间、收缩压、舒张压、平均压、心率、置换量设置值、置换量、K值、Kt值、V值）；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790" w:type="dxa"/>
            <w:vMerge w:val="continue"/>
            <w:noWrap w:val="0"/>
            <w:vAlign w:val="center"/>
          </w:tcPr>
          <w:p>
            <w:pPr>
              <w:widowControl/>
              <w:jc w:val="center"/>
              <w:rPr>
                <w:rFonts w:hint="eastAsia" w:ascii="仿宋" w:hAnsi="仿宋" w:eastAsia="仿宋" w:cs="仿宋"/>
                <w:color w:val="auto"/>
                <w:kern w:val="0"/>
                <w:szCs w:val="21"/>
                <w:highlight w:val="none"/>
              </w:rPr>
            </w:pPr>
          </w:p>
        </w:tc>
        <w:tc>
          <w:tcPr>
            <w:tcW w:w="1382" w:type="dxa"/>
            <w:noWrap w:val="0"/>
            <w:vAlign w:val="center"/>
          </w:tcPr>
          <w:p>
            <w:pPr>
              <w:pStyle w:val="299"/>
              <w:ind w:left="110"/>
              <w:jc w:val="center"/>
              <w:rPr>
                <w:rFonts w:hint="eastAsia" w:ascii="仿宋" w:hAnsi="仿宋" w:eastAsia="仿宋" w:cs="仿宋"/>
                <w:color w:val="auto"/>
                <w:highlight w:val="none"/>
              </w:rPr>
            </w:pPr>
            <w:r>
              <w:rPr>
                <w:rFonts w:hint="eastAsia" w:ascii="仿宋" w:hAnsi="仿宋" w:eastAsia="仿宋" w:cs="仿宋"/>
                <w:color w:val="auto"/>
                <w:highlight w:val="none"/>
              </w:rPr>
              <w:t>APP</w:t>
            </w:r>
            <w:r>
              <w:rPr>
                <w:rFonts w:hint="eastAsia" w:ascii="仿宋" w:hAnsi="仿宋" w:eastAsia="仿宋" w:cs="仿宋"/>
                <w:color w:val="auto"/>
                <w:szCs w:val="21"/>
                <w:highlight w:val="none"/>
              </w:rPr>
              <w:t>应用(医护端、患者端)</w:t>
            </w:r>
            <w:r>
              <w:rPr>
                <w:rFonts w:hint="eastAsia" w:ascii="仿宋" w:hAnsi="仿宋" w:eastAsia="仿宋" w:cs="仿宋"/>
                <w:color w:val="auto"/>
                <w:highlight w:val="none"/>
              </w:rPr>
              <w:t xml:space="preserve"> </w:t>
            </w:r>
          </w:p>
        </w:tc>
        <w:tc>
          <w:tcPr>
            <w:tcW w:w="0" w:type="auto"/>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套</w:t>
            </w:r>
          </w:p>
        </w:tc>
        <w:tc>
          <w:tcPr>
            <w:tcW w:w="0" w:type="auto"/>
            <w:tcBorders>
              <w:top w:val="single" w:color="auto" w:sz="4" w:space="0"/>
              <w:bottom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0" w:type="auto"/>
            <w:tcBorders>
              <w:top w:val="single" w:color="auto" w:sz="4" w:space="0"/>
              <w:bottom w:val="single" w:color="auto" w:sz="4" w:space="0"/>
            </w:tcBorders>
            <w:noWrap w:val="0"/>
            <w:vAlign w:val="center"/>
          </w:tcPr>
          <w:p>
            <w:pPr>
              <w:pStyle w:val="299"/>
              <w:spacing w:before="21"/>
              <w:rPr>
                <w:rFonts w:hint="eastAsia" w:ascii="仿宋" w:hAnsi="仿宋" w:eastAsia="仿宋" w:cs="仿宋"/>
                <w:color w:val="auto"/>
                <w:highlight w:val="none"/>
              </w:rPr>
            </w:pPr>
            <w:r>
              <w:rPr>
                <w:rFonts w:hint="eastAsia" w:ascii="仿宋" w:hAnsi="仿宋" w:eastAsia="仿宋" w:cs="仿宋"/>
                <w:color w:val="auto"/>
                <w:highlight w:val="none"/>
              </w:rPr>
              <w:t>医护患者透析助手，帮助病人时时掌握透析状态；查看排班、化验、检查、费用清单；以及医患互动交流等；</w:t>
            </w:r>
          </w:p>
        </w:tc>
      </w:tr>
    </w:tbl>
    <w:p>
      <w:pPr>
        <w:pStyle w:val="300"/>
        <w:ind w:firstLine="199" w:firstLineChars="95"/>
        <w:rPr>
          <w:rFonts w:hint="eastAsia" w:ascii="仿宋" w:hAnsi="仿宋" w:eastAsia="仿宋" w:cs="仿宋"/>
          <w:color w:val="auto"/>
          <w:highlight w:val="none"/>
        </w:rPr>
      </w:pPr>
    </w:p>
    <w:p>
      <w:pPr>
        <w:spacing w:line="288" w:lineRule="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三、详细技术要求</w:t>
      </w:r>
    </w:p>
    <w:p>
      <w:pPr>
        <w:pStyle w:val="301"/>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血透信息管理系统软件功能需求及技术标准</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1136"/>
        <w:gridCol w:w="1271"/>
        <w:gridCol w:w="6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noWrap w:val="0"/>
            <w:vAlign w:val="center"/>
          </w:tcPr>
          <w:p>
            <w:pPr>
              <w:widowControl/>
              <w:spacing w:line="360" w:lineRule="exact"/>
              <w:jc w:val="center"/>
              <w:textAlignment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系统名称</w:t>
            </w:r>
          </w:p>
        </w:tc>
        <w:tc>
          <w:tcPr>
            <w:tcW w:w="0" w:type="auto"/>
            <w:noWrap w:val="0"/>
            <w:vAlign w:val="center"/>
          </w:tcPr>
          <w:p>
            <w:pPr>
              <w:widowControl/>
              <w:spacing w:line="360" w:lineRule="exact"/>
              <w:jc w:val="center"/>
              <w:textAlignment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主要功能</w:t>
            </w:r>
          </w:p>
        </w:tc>
        <w:tc>
          <w:tcPr>
            <w:tcW w:w="1271" w:type="dxa"/>
            <w:noWrap w:val="0"/>
            <w:vAlign w:val="center"/>
          </w:tcPr>
          <w:p>
            <w:pPr>
              <w:widowControl/>
              <w:spacing w:line="360" w:lineRule="exact"/>
              <w:jc w:val="center"/>
              <w:textAlignment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功能清单</w:t>
            </w:r>
          </w:p>
        </w:tc>
        <w:tc>
          <w:tcPr>
            <w:tcW w:w="6016" w:type="dxa"/>
            <w:noWrap w:val="0"/>
            <w:vAlign w:val="center"/>
          </w:tcPr>
          <w:p>
            <w:pPr>
              <w:widowControl/>
              <w:spacing w:line="360" w:lineRule="exact"/>
              <w:jc w:val="center"/>
              <w:textAlignment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功能技术参数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widowControl/>
              <w:spacing w:line="360" w:lineRule="exact"/>
              <w:jc w:val="center"/>
              <w:textAlignment w:val="center"/>
              <w:rPr>
                <w:rFonts w:hint="eastAsia" w:ascii="仿宋" w:hAnsi="仿宋" w:eastAsia="仿宋" w:cs="仿宋"/>
                <w:b/>
                <w:bCs/>
                <w:color w:val="auto"/>
                <w:szCs w:val="21"/>
                <w:highlight w:val="none"/>
              </w:rPr>
            </w:pPr>
            <w:r>
              <w:rPr>
                <w:rFonts w:hint="eastAsia" w:ascii="仿宋" w:hAnsi="仿宋" w:eastAsia="仿宋" w:cs="仿宋"/>
                <w:b/>
                <w:color w:val="auto"/>
                <w:szCs w:val="21"/>
                <w:highlight w:val="none"/>
              </w:rPr>
              <w:t>血透管理信息主系统</w:t>
            </w:r>
          </w:p>
        </w:tc>
        <w:tc>
          <w:tcPr>
            <w:tcW w:w="0" w:type="auto"/>
            <w:vMerge w:val="restart"/>
            <w:noWrap w:val="0"/>
            <w:vAlign w:val="center"/>
          </w:tcPr>
          <w:p>
            <w:pPr>
              <w:widowControl/>
              <w:spacing w:line="360" w:lineRule="exact"/>
              <w:jc w:val="center"/>
              <w:textAlignment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病人管理</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病人基本信息登记</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病人基本信息、血透信息的新增、修改、删除等；可通过HIS接口实现与HIS信息的同步；支持病人照片信息上传和下载。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textAlignment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textAlignment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病人入科登记</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病人诊断信息、传染信息、血管通路、透析方案的制定；各类知情同意书的生成打印。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疾病诊断</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诊断名称、诊断类别、并发症、诊断日期、诊断医生的维护，同一病人可以有多条诊断信息。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传染诊断</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传染诊断名称、诊断日期、诊断医生、传染病上报情况的编辑维护。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血管通路</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通路类型、建立部位、建立时间、导管型号、停用信息的编辑维护。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透析处方</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析方案的建立日期，病人分期、透析方式、频率制定、干体重制定。针对每种透析方式，可制定的默认的透析处方：包括制定日期、医生、透析时间、透析器或血滤器的型号、抗凝方案、透析液的配方、血流量、置换量等编辑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textAlignment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textAlignment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透析记录</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可查看病人所有历史透析记录，可查看透析单明细情况，可手工录入新增透析单。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诊疗费用</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可查看、录入、修改病人的诊疗费用，可直接提交至HIS系统。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w:t>
            </w:r>
            <w:r>
              <w:rPr>
                <w:rFonts w:hint="eastAsia" w:ascii="仿宋" w:hAnsi="仿宋" w:eastAsia="仿宋" w:cs="仿宋"/>
                <w:color w:val="auto"/>
                <w:szCs w:val="21"/>
                <w:highlight w:val="none"/>
              </w:rPr>
              <w:t>医嘱处理</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医嘱费用双向对接：可直接在血液净化中心系统中开具检查申请单；可直接在血液净化中心系统开具检验申请单；可</w:t>
            </w:r>
            <w:r>
              <w:rPr>
                <w:rFonts w:hint="eastAsia" w:ascii="仿宋" w:hAnsi="仿宋" w:eastAsia="仿宋" w:cs="仿宋"/>
                <w:color w:val="auto"/>
                <w:szCs w:val="21"/>
                <w:highlight w:val="none"/>
                <w:shd w:val="clear" w:color="auto" w:fill="auto"/>
              </w:rPr>
              <w:t>查看、编辑病人的各类医嘱：急诊用药、长期医嘱、临时医嘱，可直接提交至HIS系统。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检查检验</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可查看病人所有检查检验信息，可手工添加新的检查检验信息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护理记录</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可查看、新增、编辑病人的护理记录。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交班记录</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可查看、新增、编辑病人的交班记录。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电子病历</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可查看编辑病人的入院记录、病程记录、用药记录、透析记录手术记录、评估记录、出院记录、各类知情同意书。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病人转归</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可进行病人转归的操作，录入转归原因、转归日期可同步生成出院记录。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textAlignment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textAlignment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呼叫</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可以呼叫病人或病人家属。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自定义知情同意书和手写签名</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可自定义维护知情同意书模板，在签订时，病人可使用PAD进行手写签名确认。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textAlignment w:val="center"/>
              <w:rPr>
                <w:rFonts w:hint="eastAsia" w:ascii="仿宋" w:hAnsi="仿宋" w:eastAsia="仿宋" w:cs="仿宋"/>
                <w:b/>
                <w:bCs/>
                <w:color w:val="auto"/>
                <w:szCs w:val="21"/>
                <w:highlight w:val="none"/>
              </w:rPr>
            </w:pPr>
          </w:p>
        </w:tc>
        <w:tc>
          <w:tcPr>
            <w:tcW w:w="0" w:type="auto"/>
            <w:vMerge w:val="restart"/>
            <w:noWrap w:val="0"/>
            <w:vAlign w:val="center"/>
          </w:tcPr>
          <w:p>
            <w:pPr>
              <w:widowControl/>
              <w:spacing w:line="360" w:lineRule="exact"/>
              <w:jc w:val="center"/>
              <w:textAlignment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排班管理</w:t>
            </w:r>
          </w:p>
        </w:tc>
        <w:tc>
          <w:tcPr>
            <w:tcW w:w="1271"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排班模板</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支持排班模板的制定、修改维护，排班的模板分为单双周，可从实际排班中保存为排班模板。排班的天数、班别可以灵活设置。支持点击、拖动、快捷键等多种便捷操作。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实际排班</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1．支持从排班模板中自动生成实际排班信息，阴性阳性病人要有醒目标识；</w:t>
            </w:r>
          </w:p>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2.支持按病人排班和按设备排班，两种排班模式在排班过程中可以随时切换;</w:t>
            </w:r>
          </w:p>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3.要能清晰的反映某个病人已排的日期、班别、透析方式、机器型号；</w:t>
            </w:r>
          </w:p>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4.要能随时反映某个病人的排班完成情况，要能随时反映整体病人的排班完成情况。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排班查看</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提供仅用于查看排班信息但不能编辑修改的功能。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bCs/>
                <w:color w:val="auto"/>
                <w:szCs w:val="21"/>
                <w:highlight w:val="none"/>
              </w:rPr>
            </w:pPr>
          </w:p>
        </w:tc>
        <w:tc>
          <w:tcPr>
            <w:tcW w:w="0" w:type="auto"/>
            <w:vMerge w:val="restart"/>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透析管理</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病人接诊</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诊界面自动列出当天已排班病人的列表，可根据当前时间自动切换成不同班别的病人。可通过刷卡直接定位病人，也可通过病人拼音、姓名、血透号码定位。未排班病人也可通过血透号码进行接诊，已排班病人可直接取消透析。病人接诊时需自动调入该病人的透析处方，可根据本次具体情况进行调整。接诊时可自动从称重设备、血压仪设备读取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透析治疗</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析治疗的列表中列出所有当班病人，界面应清晰直观的展现每个病人的基本信息、诊断、传染情况、本次透析方式、状态。在透析治疗界面，可对已接诊未排班的病人分配床位，可直接在透析治疗界面进行换床、取消透析等操作。透析界面中要随时反映当班所有病人及迅速区分过滤未到病人、接诊病人、透析病人，可按血透床号、病人拼音、姓名等多种方式定位病人，可按区域过滤病人。透析过程中对于应完成的各类操作具备智能、自动的各类提醒和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w:t>
            </w:r>
            <w:r>
              <w:rPr>
                <w:rFonts w:hint="eastAsia" w:ascii="仿宋" w:hAnsi="仿宋" w:eastAsia="仿宋" w:cs="仿宋"/>
                <w:color w:val="auto"/>
                <w:szCs w:val="21"/>
                <w:highlight w:val="none"/>
              </w:rPr>
              <w:t>透析单</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人的透析单自动生成，透析治疗过程中，可以随时录入病人的体症与症状，并开立相应的医嘱。可以自动获取透析仪中的数据，并自动产生透析病历。能够自动生成耗材消耗记录、消毒记录、费用记录，并均可根据此次透析的具体情况进行修改。录入中支持各类模板，支持同步上传交班记录。支持透析单按照不同格式展现，支持生成曲线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治疗数据监测</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具备对患者的透析过程实时全程监控，医护人员可通过界面可随时查看机器的治疗数据曲线图。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透析门诊药品诊疗预购</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可以为透析病人批量购买药品或诊疗项目，并在每次透析中按规则扣除，可与药房或HIS系统对接数据。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透析处方和透析单操作痕迹追溯</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可查看处方、透析单等重要透析数据的历次修改记录，包括修改时间、修改人员、修改前和修改后数据。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智能提醒</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在医护的透析治疗界面，对所管辖区域的患者进行各类提醒，包括新开医嘱新停医嘱的提醒、医嘱执行提醒、医生修改了本次透析设置值后的提醒等各类提醒操作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通路管理</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通过PAD拍照上传患者通路照片，并在照片上标注穿刺点。在每次透析时登记本次使用的穿刺点。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widowControl/>
              <w:spacing w:line="360" w:lineRule="exact"/>
              <w:jc w:val="center"/>
              <w:rPr>
                <w:rFonts w:hint="eastAsia" w:ascii="仿宋" w:hAnsi="仿宋" w:eastAsia="仿宋" w:cs="仿宋"/>
                <w:b/>
                <w:bCs/>
                <w:color w:val="auto"/>
                <w:szCs w:val="21"/>
                <w:highlight w:val="none"/>
              </w:rPr>
            </w:pPr>
            <w:r>
              <w:rPr>
                <w:rFonts w:hint="eastAsia" w:ascii="仿宋" w:hAnsi="仿宋" w:eastAsia="仿宋" w:cs="仿宋"/>
                <w:b/>
                <w:color w:val="auto"/>
                <w:szCs w:val="21"/>
                <w:highlight w:val="none"/>
              </w:rPr>
              <w:t>自助接诊管理系统</w:t>
            </w:r>
          </w:p>
        </w:tc>
        <w:tc>
          <w:tcPr>
            <w:tcW w:w="0" w:type="auto"/>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自助接诊系统</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主要功能</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透病人自助接诊系统，血透病人在透析前后进行自助称重、测压，并把体重、血压数据上传给血透管理系统。整个过程可由病人自助完成，无须护士干预。称重过程中，可通过打印体重单、语音播报多种方式提醒病人称重已完成。支持同一病人多次自助称重，系统自动取用最后一条有效数据。</w:t>
            </w:r>
          </w:p>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医护人员可通过自助接诊系统随时掌握当班病人的总人数、已称人数、未称人数，可在自助接诊系统中直接呼叫病人或病人家属，支持体重、减重数据的修改、支持体重单的补打。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bCs/>
                <w:color w:val="auto"/>
                <w:szCs w:val="21"/>
                <w:highlight w:val="none"/>
              </w:rPr>
            </w:pPr>
          </w:p>
        </w:tc>
        <w:tc>
          <w:tcPr>
            <w:tcW w:w="0" w:type="auto"/>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称重设备、血压仪设备数据采集</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w:t>
            </w:r>
            <w:r>
              <w:rPr>
                <w:rFonts w:hint="eastAsia" w:ascii="仿宋" w:hAnsi="仿宋" w:eastAsia="仿宋" w:cs="仿宋"/>
                <w:color w:val="auto"/>
                <w:szCs w:val="21"/>
                <w:highlight w:val="none"/>
              </w:rPr>
              <w:t>主要功能</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用于实时向称重设备采集体重数据，向血压仪设备采集血压数据：收缩压、舒张压、平均压、心率值。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noWrap w:val="0"/>
            <w:vAlign w:val="center"/>
          </w:tcPr>
          <w:p>
            <w:pPr>
              <w:widowControl/>
              <w:spacing w:line="36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大屏显示呼叫系统</w:t>
            </w:r>
          </w:p>
        </w:tc>
        <w:tc>
          <w:tcPr>
            <w:tcW w:w="0" w:type="auto"/>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大屏呼叫系统</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主要功能</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血透候诊室以大屏的方式显示当日各病人床位、透析方式、治疗进展情况等信息。通过本系统，患者家属或陪护可以了解透析治疗进展，有序等待，医护人员在需要时可随时通过该系统呼叫患者、患者家属或陪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widowControl/>
              <w:spacing w:line="36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移动护理系统</w:t>
            </w:r>
          </w:p>
        </w:tc>
        <w:tc>
          <w:tcPr>
            <w:tcW w:w="0" w:type="auto"/>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移动护理系统</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主要功能</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移动护理系统是由护士手持PAD，在血透机前完成病人的基本信息查看、透前情况查看、透析记录录入、核对执行医嘱、进行坠床跌倒、皮肤瘙痒评估、动静脉内瘘闭塞高危因素评估、中心静脉透析导管评估、护理评估措施记录单、健康宣教评估等各类评估等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评估管理</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评估管理</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范合理的评估及管理模式对延缓慢性肾脏病进展、改善患者生存质量具有重要意义。需提供各类透析病人的评估功能：跌倒坠床评估、皮肤瘙痒评估、动静脉内瘘闭塞高危因素评估、护理评估措施记录单、艾森克人格成人问卷、生物阻抗评估、握力（左、右）评估、症状自评量表（SCL-90）、生活质量问卷（KDQOL SFTM）、主观综合性营养评估（SGA）等，对血透病人的临床研究提供有价值的基础数据。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widowControl/>
              <w:spacing w:line="360" w:lineRule="exact"/>
              <w:jc w:val="center"/>
              <w:rPr>
                <w:rFonts w:hint="eastAsia" w:ascii="仿宋" w:hAnsi="仿宋" w:eastAsia="仿宋" w:cs="仿宋"/>
                <w:b/>
                <w:bCs/>
                <w:color w:val="auto"/>
                <w:szCs w:val="21"/>
                <w:highlight w:val="none"/>
              </w:rPr>
            </w:pPr>
            <w:r>
              <w:rPr>
                <w:rFonts w:hint="eastAsia" w:ascii="仿宋" w:hAnsi="仿宋" w:eastAsia="仿宋" w:cs="仿宋"/>
                <w:b/>
                <w:color w:val="auto"/>
                <w:szCs w:val="21"/>
                <w:highlight w:val="none"/>
              </w:rPr>
              <w:t>移动医生查房系统</w:t>
            </w:r>
          </w:p>
        </w:tc>
        <w:tc>
          <w:tcPr>
            <w:tcW w:w="0" w:type="auto"/>
            <w:vMerge w:val="restart"/>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医生查房</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医生查房系统</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可以方便医生在查房时查看该病人上次透析的主要情况，并方便修改透析参数，录入医嘱等的查房操作，支持实现与医院原有系统的无缝对接，实现无纸化的操作，不需要使用病人的纸质病历。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bCs/>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透前参数设置</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医生可以在查房的时候，实时调整透析参数的设置值，系统会以消息的方式提醒该病人所在区域的护士，由护士进行核实与确认。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bCs/>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透析历史查看</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医生在查房过程中，可以很方便查看所有历次的透析记录。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bCs/>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医嘱录入</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医生在查房过程中，可以方便根据病人的透析记录情况和检验指标情况，录入透析用药，支持提交到医院HIS系统。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noWrap w:val="0"/>
            <w:vAlign w:val="center"/>
          </w:tcPr>
          <w:p>
            <w:pPr>
              <w:widowControl/>
              <w:spacing w:line="360" w:lineRule="exact"/>
              <w:jc w:val="center"/>
              <w:rPr>
                <w:rFonts w:hint="eastAsia" w:ascii="仿宋" w:hAnsi="仿宋" w:eastAsia="仿宋" w:cs="仿宋"/>
                <w:b/>
                <w:bCs/>
                <w:color w:val="auto"/>
                <w:szCs w:val="21"/>
                <w:highlight w:val="none"/>
              </w:rPr>
            </w:pPr>
            <w:r>
              <w:rPr>
                <w:rFonts w:hint="eastAsia" w:ascii="仿宋" w:hAnsi="仿宋" w:eastAsia="仿宋" w:cs="仿宋"/>
                <w:b/>
                <w:color w:val="auto"/>
                <w:szCs w:val="21"/>
                <w:highlight w:val="none"/>
              </w:rPr>
              <w:t>医嘱费用管理系统</w:t>
            </w:r>
          </w:p>
        </w:tc>
        <w:tc>
          <w:tcPr>
            <w:tcW w:w="0" w:type="auto"/>
            <w:noWrap w:val="0"/>
            <w:vAlign w:val="center"/>
          </w:tcPr>
          <w:p>
            <w:pPr>
              <w:widowControl/>
              <w:spacing w:line="36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医嘱费用管理系统</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b/>
                <w:color w:val="auto"/>
                <w:szCs w:val="21"/>
                <w:highlight w:val="none"/>
                <w:shd w:val="clear" w:color="auto" w:fill="auto"/>
              </w:rPr>
              <w:t>▲</w:t>
            </w:r>
            <w:r>
              <w:rPr>
                <w:rFonts w:hint="eastAsia" w:ascii="仿宋" w:hAnsi="仿宋" w:eastAsia="仿宋" w:cs="仿宋"/>
                <w:color w:val="auto"/>
                <w:szCs w:val="21"/>
                <w:highlight w:val="none"/>
                <w:shd w:val="clear" w:color="auto" w:fill="auto"/>
              </w:rPr>
              <w:t>主要功能</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在血透系统完成医嘱开立，费用自动生成，与HIS对接完成结算。真正实现无纸化查房；实现智能医嘱管理；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widowControl/>
              <w:spacing w:line="360" w:lineRule="exact"/>
              <w:jc w:val="center"/>
              <w:rPr>
                <w:rFonts w:hint="eastAsia" w:ascii="仿宋" w:hAnsi="仿宋" w:eastAsia="仿宋" w:cs="仿宋"/>
                <w:b/>
                <w:bCs/>
                <w:color w:val="auto"/>
                <w:szCs w:val="21"/>
                <w:highlight w:val="none"/>
              </w:rPr>
            </w:pPr>
            <w:r>
              <w:rPr>
                <w:rFonts w:hint="eastAsia" w:ascii="仿宋" w:hAnsi="仿宋" w:eastAsia="仿宋" w:cs="仿宋"/>
                <w:b/>
                <w:color w:val="auto"/>
                <w:szCs w:val="21"/>
                <w:highlight w:val="none"/>
              </w:rPr>
              <w:t>耗材管理系统</w:t>
            </w:r>
          </w:p>
        </w:tc>
        <w:tc>
          <w:tcPr>
            <w:tcW w:w="0" w:type="auto"/>
            <w:vMerge w:val="restart"/>
            <w:noWrap w:val="0"/>
            <w:vAlign w:val="center"/>
          </w:tcPr>
          <w:p>
            <w:pPr>
              <w:widowControl/>
              <w:spacing w:line="36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物资耗材管理</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透析耗材基本信息维护</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耗材类型、名称、规格、单位等基本信息维护。耗材厂家维护，支持同一耗材多个厂家。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bCs/>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耗材出入库管理</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支持耗材多种入库方式：采购入库、申领入库、</w:t>
            </w:r>
          </w:p>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调拨入库、盘盈入库；支持耗材多种出库方式：使用出库、盘亏出库、损坏出库。耗材的使用出库在透析中自动生成记录。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bCs/>
                <w:color w:val="auto"/>
                <w:szCs w:val="21"/>
                <w:highlight w:val="none"/>
              </w:rPr>
            </w:pPr>
          </w:p>
        </w:tc>
        <w:tc>
          <w:tcPr>
            <w:tcW w:w="0" w:type="auto"/>
            <w:noWrap w:val="0"/>
            <w:vAlign w:val="center"/>
          </w:tcPr>
          <w:p>
            <w:pPr>
              <w:widowControl/>
              <w:spacing w:line="36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接口</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与医院耗材系统对接</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与医院耗材系统对接，完成扫描入库；根据病人排班、透析开始自动生成本次耗材使用清单，透析结束确认扣减数量，形成耗材管理报表。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bCs/>
                <w:color w:val="auto"/>
                <w:szCs w:val="21"/>
                <w:highlight w:val="none"/>
              </w:rPr>
            </w:pPr>
          </w:p>
        </w:tc>
        <w:tc>
          <w:tcPr>
            <w:tcW w:w="0" w:type="auto"/>
            <w:noWrap w:val="0"/>
            <w:vAlign w:val="center"/>
          </w:tcPr>
          <w:p>
            <w:pPr>
              <w:widowControl/>
              <w:spacing w:line="36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耗材查询</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耗材库存查询</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支持耗材库存随时查询及高低储的报警。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noWrap w:val="0"/>
            <w:vAlign w:val="center"/>
          </w:tcPr>
          <w:p>
            <w:pPr>
              <w:widowControl/>
              <w:spacing w:line="36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系统接口</w:t>
            </w:r>
          </w:p>
        </w:tc>
        <w:tc>
          <w:tcPr>
            <w:tcW w:w="0" w:type="auto"/>
            <w:noWrap w:val="0"/>
            <w:vAlign w:val="center"/>
          </w:tcPr>
          <w:p>
            <w:pPr>
              <w:widowControl/>
              <w:spacing w:line="36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与HIS系统、LIS系统、RIS系统接口</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主要功能</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根据HIS接口提取病人基本信息，根据LIS、RIS接口提取病人检验、检查结果信息；医嘱费用及耗材系统接口等。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noWrap w:val="0"/>
            <w:vAlign w:val="center"/>
          </w:tcPr>
          <w:p>
            <w:pPr>
              <w:widowControl/>
              <w:spacing w:line="360" w:lineRule="exact"/>
              <w:jc w:val="center"/>
              <w:rPr>
                <w:rFonts w:hint="eastAsia" w:ascii="仿宋" w:hAnsi="仿宋" w:eastAsia="仿宋" w:cs="仿宋"/>
                <w:b/>
                <w:bCs/>
                <w:color w:val="auto"/>
                <w:szCs w:val="21"/>
                <w:highlight w:val="none"/>
              </w:rPr>
            </w:pPr>
            <w:r>
              <w:rPr>
                <w:rFonts w:hint="eastAsia" w:ascii="仿宋" w:hAnsi="仿宋" w:eastAsia="仿宋" w:cs="仿宋"/>
                <w:b/>
                <w:color w:val="auto"/>
                <w:szCs w:val="21"/>
                <w:highlight w:val="none"/>
              </w:rPr>
              <w:t>质控上报系统</w:t>
            </w:r>
          </w:p>
        </w:tc>
        <w:tc>
          <w:tcPr>
            <w:tcW w:w="0" w:type="auto"/>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与上级质控平台系统接口</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主要功能</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通过本系统，</w:t>
            </w:r>
            <w:r>
              <w:rPr>
                <w:rFonts w:hint="eastAsia" w:ascii="仿宋" w:hAnsi="仿宋" w:eastAsia="仿宋" w:cs="仿宋"/>
                <w:color w:val="auto"/>
                <w:szCs w:val="21"/>
                <w:highlight w:val="none"/>
              </w:rPr>
              <w:t>可直接生成上报省级血液净化质控中心接口的数据，可以把透析业</w:t>
            </w:r>
            <w:r>
              <w:rPr>
                <w:rFonts w:hint="eastAsia" w:ascii="仿宋" w:hAnsi="仿宋" w:eastAsia="仿宋" w:cs="仿宋"/>
                <w:color w:val="auto"/>
                <w:szCs w:val="21"/>
                <w:highlight w:val="none"/>
              </w:rPr>
              <w:t>务数据通过接口，直接上传到省透析质控中心。具备上传数据质量校验功能。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widowControl/>
              <w:spacing w:line="36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APP互联网应用</w:t>
            </w:r>
          </w:p>
        </w:tc>
        <w:tc>
          <w:tcPr>
            <w:tcW w:w="0" w:type="auto"/>
            <w:vMerge w:val="restart"/>
            <w:noWrap w:val="0"/>
            <w:vAlign w:val="center"/>
          </w:tcPr>
          <w:p>
            <w:pPr>
              <w:widowControl/>
              <w:spacing w:line="360" w:lineRule="exact"/>
              <w:jc w:val="center"/>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APP</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医护端</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医护透析助手，可查看科室日报，可查看病人排班、化验、检查、费用清单；以及医患互动交流等；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患者端</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病人可时时掌握透析状态；查看排班、化验、检查、费用清单；以及医患互动交流等。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widowControl/>
              <w:spacing w:line="360" w:lineRule="exact"/>
              <w:jc w:val="center"/>
              <w:rPr>
                <w:rFonts w:hint="eastAsia" w:ascii="仿宋" w:hAnsi="仿宋" w:eastAsia="仿宋" w:cs="仿宋"/>
                <w:b/>
                <w:bCs/>
                <w:color w:val="auto"/>
                <w:szCs w:val="21"/>
                <w:highlight w:val="none"/>
              </w:rPr>
            </w:pPr>
            <w:r>
              <w:rPr>
                <w:rFonts w:hint="eastAsia" w:ascii="仿宋" w:hAnsi="仿宋" w:eastAsia="仿宋" w:cs="仿宋"/>
                <w:b/>
                <w:color w:val="auto"/>
                <w:szCs w:val="21"/>
                <w:highlight w:val="none"/>
              </w:rPr>
              <w:t>系统管理及统计查询</w:t>
            </w:r>
          </w:p>
        </w:tc>
        <w:tc>
          <w:tcPr>
            <w:tcW w:w="0" w:type="auto"/>
            <w:vMerge w:val="restart"/>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水处理管理</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水处理设备的登记：</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包括品牌、型号、出水量、带动透析机数量、生产日期、采购日期、安装日期、设备状态等信息的编辑维护。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水处理设备的保养</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包括保养日期、保养人员、保养频率、保养内容等。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水处理设备的维修</w:t>
            </w:r>
          </w:p>
        </w:tc>
        <w:tc>
          <w:tcPr>
            <w:tcW w:w="6016"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包括维修日期、维修人员、故障原因、维修内容等。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水处理系统的监测</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可监测水处理设备的运行情况、运行记录，并将水硬度、氯浓度等省质控要求上报的数据自动生成，定时上传。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0" w:type="auto"/>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科室管理</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科室管理</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主要实现对医生、护士的排班以及考勤管理，并对医生、护士的管辖区域进行设定。护士排班后，在透析界面每个护士只能操作自己分管区域的病人。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0" w:type="auto"/>
            <w:vMerge w:val="restart"/>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设备管理</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血透机登记</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新增、修改血透机的基本资料，包括品牌、序列号、供应商、购买日期、生产日期、使用日期、关联的床位号、区域，对于同一品牌的血透机可采用复制的便捷录入方式。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血透机消毒记录</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消毒日期、人员、消毒类别、消毒类型、消毒时长、消毒剂、浓度，支持一次消毒使用多种消毒剂录入和维护。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血透机保养</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保养日期、保养频率、保养内容的录入和维护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血透机修理</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故障现象、故障日期、故障原因、修复日期、错误代码、维修人员、维修费用的录入和维护。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设备移机</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以根据科室需求，将机器按规则交换床位。并确保排班数据、历史透析数据的正确性，实现移机智能一步到位。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0" w:type="auto"/>
            <w:vMerge w:val="restart"/>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统计查询</w:t>
            </w:r>
          </w:p>
        </w:tc>
        <w:tc>
          <w:tcPr>
            <w:tcW w:w="1271" w:type="dxa"/>
            <w:noWrap w:val="0"/>
            <w:vAlign w:val="center"/>
          </w:tcPr>
          <w:p>
            <w:pPr>
              <w:widowControl/>
              <w:spacing w:line="360" w:lineRule="exact"/>
              <w:textAlignment w:val="center"/>
              <w:rPr>
                <w:rFonts w:hint="eastAsia" w:ascii="仿宋" w:hAnsi="仿宋" w:cs="仿宋"/>
                <w:color w:val="auto"/>
                <w:szCs w:val="21"/>
                <w:highlight w:val="none"/>
              </w:rPr>
            </w:pPr>
            <w:r>
              <w:rPr>
                <w:rFonts w:hint="eastAsia" w:ascii="仿宋" w:hAnsi="仿宋" w:eastAsia="仿宋" w:cs="仿宋"/>
                <w:color w:val="auto"/>
                <w:szCs w:val="21"/>
                <w:highlight w:val="none"/>
              </w:rPr>
              <w:t>统计查询主要功能</w:t>
            </w:r>
          </w:p>
          <w:p>
            <w:pPr>
              <w:pStyle w:val="2"/>
              <w:rPr>
                <w:rFonts w:hint="eastAsia"/>
                <w:color w:val="auto"/>
                <w:highlight w:val="none"/>
                <w:lang w:val="en-US"/>
              </w:rPr>
            </w:pP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需提供丰富的统计报表和查询功能，如：透析病人统计、病人性别统计、透析龄统计、透析人次统计、新增患者统计、病人转归统计、透析疾病统计、年龄分区统计、传染病统计、血管通路统计、评估数据统计、透析相关数据查询等多角度、多维度的各类报表。</w:t>
            </w:r>
          </w:p>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具有自定义学术分析功能，可以自定义统计条件进行查询分析所有相关数据。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1271"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检验达标率统计</w:t>
            </w: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可以自定义检验统计区间，按定义的统计区间，对血透患者检验项目完成达标率和完成率的统计。支持图表、数据的导出。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color w:val="auto"/>
                <w:szCs w:val="21"/>
                <w:highlight w:val="none"/>
              </w:rPr>
            </w:pPr>
          </w:p>
        </w:tc>
        <w:tc>
          <w:tcPr>
            <w:tcW w:w="0" w:type="auto"/>
            <w:noWrap w:val="0"/>
            <w:vAlign w:val="center"/>
          </w:tcPr>
          <w:p>
            <w:pPr>
              <w:widowControl/>
              <w:spacing w:line="360" w:lineRule="exact"/>
              <w:jc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多中心管理</w:t>
            </w:r>
          </w:p>
        </w:tc>
        <w:tc>
          <w:tcPr>
            <w:tcW w:w="1271" w:type="dxa"/>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主要功能</w:t>
            </w:r>
          </w:p>
          <w:p>
            <w:pPr>
              <w:spacing w:line="360" w:lineRule="exact"/>
              <w:rPr>
                <w:rFonts w:hint="eastAsia" w:ascii="仿宋" w:hAnsi="仿宋" w:eastAsia="仿宋" w:cs="仿宋"/>
                <w:color w:val="auto"/>
                <w:szCs w:val="21"/>
                <w:highlight w:val="none"/>
              </w:rPr>
            </w:pPr>
          </w:p>
        </w:tc>
        <w:tc>
          <w:tcPr>
            <w:tcW w:w="6016" w:type="dxa"/>
            <w:noWrap w:val="0"/>
            <w:vAlign w:val="top"/>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备支持多血透中心管理的能力，支持一个用户登录不同血透中心，系统自动区分相关数据，支持不同中心的病人各自排班、接诊、上机、透析、下机等管理工作，支持所有中心的病人自动汇总上报到省血透质控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noWrap w:val="0"/>
            <w:vAlign w:val="center"/>
          </w:tcPr>
          <w:p>
            <w:pPr>
              <w:widowControl/>
              <w:spacing w:line="360" w:lineRule="exact"/>
              <w:jc w:val="center"/>
              <w:rPr>
                <w:rFonts w:hint="eastAsia" w:ascii="仿宋" w:hAnsi="仿宋" w:eastAsia="仿宋" w:cs="仿宋"/>
                <w:b/>
                <w:bCs/>
                <w:color w:val="auto"/>
                <w:szCs w:val="21"/>
                <w:highlight w:val="none"/>
              </w:rPr>
            </w:pPr>
            <w:r>
              <w:rPr>
                <w:rFonts w:hint="eastAsia" w:ascii="仿宋" w:hAnsi="仿宋" w:eastAsia="仿宋" w:cs="仿宋"/>
                <w:b/>
                <w:color w:val="auto"/>
                <w:szCs w:val="21"/>
                <w:highlight w:val="none"/>
              </w:rPr>
              <w:t>血透机自动数据采集系统</w:t>
            </w:r>
          </w:p>
        </w:tc>
        <w:tc>
          <w:tcPr>
            <w:tcW w:w="0" w:type="auto"/>
            <w:noWrap w:val="0"/>
            <w:vAlign w:val="center"/>
          </w:tcPr>
          <w:p>
            <w:pPr>
              <w:widowControl/>
              <w:spacing w:line="36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血透机数据采集</w:t>
            </w:r>
          </w:p>
        </w:tc>
        <w:tc>
          <w:tcPr>
            <w:tcW w:w="1271" w:type="dxa"/>
            <w:noWrap w:val="0"/>
            <w:vAlign w:val="center"/>
          </w:tcPr>
          <w:p>
            <w:pPr>
              <w:widowControl/>
              <w:spacing w:line="360" w:lineRule="exact"/>
              <w:textAlignment w:val="center"/>
              <w:rPr>
                <w:rFonts w:hint="eastAsia" w:ascii="仿宋" w:hAnsi="仿宋" w:cs="仿宋"/>
                <w:color w:val="auto"/>
                <w:szCs w:val="21"/>
                <w:highlight w:val="none"/>
              </w:rPr>
            </w:pPr>
            <w:r>
              <w:rPr>
                <w:rFonts w:hint="eastAsia" w:ascii="仿宋" w:hAnsi="仿宋" w:eastAsia="仿宋" w:cs="仿宋"/>
                <w:b/>
                <w:color w:val="auto"/>
                <w:sz w:val="18"/>
                <w:szCs w:val="18"/>
                <w:highlight w:val="none"/>
              </w:rPr>
              <w:t>▲</w:t>
            </w:r>
            <w:r>
              <w:rPr>
                <w:rFonts w:hint="eastAsia" w:ascii="仿宋" w:hAnsi="仿宋" w:eastAsia="仿宋" w:cs="仿宋"/>
                <w:color w:val="auto"/>
                <w:szCs w:val="21"/>
                <w:highlight w:val="none"/>
              </w:rPr>
              <w:t>主要功能</w:t>
            </w:r>
          </w:p>
          <w:p>
            <w:pPr>
              <w:pStyle w:val="2"/>
              <w:ind w:firstLine="0" w:firstLineChars="0"/>
              <w:rPr>
                <w:rFonts w:hint="eastAsia"/>
                <w:color w:val="auto"/>
                <w:highlight w:val="none"/>
                <w:lang w:val="en-US"/>
              </w:rPr>
            </w:pP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含医院现有20台血透机治疗数据自动采集；采集内容包含：（静脉压、动脉压、血流量设置值、血流量、超滤率、超滤量设置值、超滤量、剩余时间、已透时间、收缩压、舒张压、平均压、心率、置换量设置值、置换量、K值、Kt值、V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restart"/>
            <w:noWrap w:val="0"/>
            <w:vAlign w:val="center"/>
          </w:tcPr>
          <w:p>
            <w:pPr>
              <w:widowControl/>
              <w:spacing w:line="36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其他</w:t>
            </w:r>
          </w:p>
        </w:tc>
        <w:tc>
          <w:tcPr>
            <w:tcW w:w="0" w:type="auto"/>
            <w:vMerge w:val="restart"/>
            <w:noWrap w:val="0"/>
            <w:vAlign w:val="center"/>
          </w:tcPr>
          <w:p>
            <w:pPr>
              <w:widowControl/>
              <w:spacing w:line="36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医院信息化改造</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互联互通等级评审</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能配合医院国家互联互通等级评审要求。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电子病历等级评审</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能配合医院国家电子病历等级评审要求。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restart"/>
            <w:noWrap w:val="0"/>
            <w:vAlign w:val="center"/>
          </w:tcPr>
          <w:p>
            <w:pPr>
              <w:widowControl/>
              <w:spacing w:line="36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提供系统配套硬件</w:t>
            </w: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移动PAD</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数量13台，内存：4GB</w:t>
            </w:r>
            <w:r>
              <w:rPr>
                <w:rFonts w:ascii="仿宋" w:hAnsi="仿宋" w:eastAsia="仿宋" w:cs="仿宋"/>
                <w:color w:val="auto"/>
                <w:szCs w:val="21"/>
                <w:highlight w:val="none"/>
              </w:rPr>
              <w:t>-6</w:t>
            </w:r>
            <w:r>
              <w:rPr>
                <w:rFonts w:hint="eastAsia" w:ascii="仿宋" w:hAnsi="仿宋" w:eastAsia="仿宋" w:cs="仿宋"/>
                <w:color w:val="auto"/>
                <w:szCs w:val="21"/>
                <w:highlight w:val="none"/>
              </w:rPr>
              <w:t>GB，存储：3</w:t>
            </w:r>
            <w:r>
              <w:rPr>
                <w:rFonts w:ascii="仿宋" w:hAnsi="仿宋" w:eastAsia="仿宋" w:cs="仿宋"/>
                <w:color w:val="auto"/>
                <w:szCs w:val="21"/>
                <w:highlight w:val="none"/>
              </w:rPr>
              <w:t>2-</w:t>
            </w:r>
            <w:r>
              <w:rPr>
                <w:rFonts w:hint="eastAsia" w:ascii="仿宋" w:hAnsi="仿宋" w:eastAsia="仿宋" w:cs="仿宋"/>
                <w:color w:val="auto"/>
                <w:szCs w:val="21"/>
                <w:highlight w:val="none"/>
              </w:rPr>
              <w:t>64GB；屏幕尺寸10.</w:t>
            </w:r>
            <w:r>
              <w:rPr>
                <w:rFonts w:ascii="仿宋" w:hAnsi="仿宋" w:eastAsia="仿宋" w:cs="仿宋"/>
                <w:color w:val="auto"/>
                <w:szCs w:val="21"/>
                <w:highlight w:val="none"/>
              </w:rPr>
              <w:t>0-10.5</w:t>
            </w:r>
            <w:r>
              <w:rPr>
                <w:rFonts w:hint="eastAsia" w:ascii="仿宋" w:hAnsi="仿宋" w:eastAsia="仿宋" w:cs="仿宋"/>
                <w:color w:val="auto"/>
                <w:szCs w:val="21"/>
                <w:highlight w:val="none"/>
              </w:rPr>
              <w:t>英寸 分辨率：≥1920×1200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大屏显示器</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数量1台，带安卓系统；显示屏≥65吋；4K 高清，四核-八核处理器，双核 GPU，运行内存≥2G，存储闪存≥16G；支持 WIFI；支持 USB、HDMI；内置播放器，支持 RM、FLV、MOV、AVI、MKV、TS、MP4 等主流格式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自助接诊机</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数量1台，显示器：≥32"高品质液晶显示器；触摸屏：≥32寸最新红外线触摸屏、分辨率≥4096X4096；4G</w:t>
            </w:r>
            <w:r>
              <w:rPr>
                <w:rFonts w:ascii="仿宋" w:hAnsi="仿宋" w:eastAsia="仿宋" w:cs="仿宋"/>
                <w:color w:val="auto"/>
                <w:szCs w:val="21"/>
                <w:highlight w:val="none"/>
              </w:rPr>
              <w:t>-8</w:t>
            </w:r>
            <w:r>
              <w:rPr>
                <w:rFonts w:hint="eastAsia" w:ascii="仿宋" w:hAnsi="仿宋" w:eastAsia="仿宋" w:cs="仿宋"/>
                <w:color w:val="auto"/>
                <w:szCs w:val="21"/>
                <w:highlight w:val="none"/>
              </w:rPr>
              <w:t>G内存、≥128G固态硬盘；品牌热敏打印机；标准磁卡（非接触感应）刷卡器；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体重秤</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数量1台，血透室专用体重称，支持轮椅上秤、支持数据自动传输与血透管理系统完成对接；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读卡器</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数量1台，配套感应卡制卡，读非接卡，频率≥13.56Mhz。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血透卡</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数量500张，M1配套感应卡、存储容量：1024*8bit EEPROM存储单元，16个分区，每分区两组独立的密频率：工作频率≥13.56MHZ；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血压计</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数量1台，医用全自动电子血压计：测量方法：示波法；显示方法：数字式 LED 显示压力显示范围：0-299mmHg；测量范围：血压：40-260mmHg脉搏数:40-180次/分；测量位置：左右臂均可测量压力监测：半导体压力传感器；精确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vMerge w:val="continue"/>
            <w:noWrap w:val="0"/>
            <w:vAlign w:val="center"/>
          </w:tcPr>
          <w:p>
            <w:pPr>
              <w:widowControl/>
              <w:spacing w:line="360" w:lineRule="exact"/>
              <w:jc w:val="center"/>
              <w:rPr>
                <w:rFonts w:hint="eastAsia" w:ascii="仿宋" w:hAnsi="仿宋" w:eastAsia="仿宋" w:cs="仿宋"/>
                <w:b/>
                <w:color w:val="auto"/>
                <w:szCs w:val="21"/>
                <w:highlight w:val="none"/>
              </w:rPr>
            </w:pPr>
          </w:p>
        </w:tc>
        <w:tc>
          <w:tcPr>
            <w:tcW w:w="0" w:type="auto"/>
            <w:vMerge w:val="continue"/>
            <w:noWrap w:val="0"/>
            <w:vAlign w:val="center"/>
          </w:tcPr>
          <w:p>
            <w:pPr>
              <w:widowControl/>
              <w:spacing w:line="360" w:lineRule="exact"/>
              <w:jc w:val="center"/>
              <w:rPr>
                <w:rFonts w:hint="eastAsia" w:ascii="仿宋" w:hAnsi="仿宋" w:eastAsia="仿宋" w:cs="仿宋"/>
                <w:bCs/>
                <w:color w:val="auto"/>
                <w:szCs w:val="21"/>
                <w:highlight w:val="none"/>
              </w:rPr>
            </w:pPr>
          </w:p>
        </w:tc>
        <w:tc>
          <w:tcPr>
            <w:tcW w:w="1271" w:type="dxa"/>
            <w:noWrap w:val="0"/>
            <w:vAlign w:val="center"/>
          </w:tcPr>
          <w:p>
            <w:pPr>
              <w:widowControl/>
              <w:spacing w:line="36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血压计联机屏</w:t>
            </w:r>
          </w:p>
        </w:tc>
        <w:tc>
          <w:tcPr>
            <w:tcW w:w="6016" w:type="dxa"/>
            <w:noWrap w:val="0"/>
            <w:vAlign w:val="top"/>
          </w:tcPr>
          <w:p>
            <w:pPr>
              <w:widowControl/>
              <w:spacing w:line="360" w:lineRule="exact"/>
              <w:textAlignment w:val="top"/>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数量1台，全视角，IPS液晶屏；显示屏：≥8英寸；分辨率：≥800*1280；内存：≥2GB；红外：≥130万。</w:t>
            </w:r>
          </w:p>
        </w:tc>
      </w:tr>
    </w:tbl>
    <w:p>
      <w:pPr>
        <w:snapToGrid w:val="0"/>
        <w:spacing w:before="156" w:beforeLines="50" w:after="50"/>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（四）售后服务</w:t>
      </w:r>
    </w:p>
    <w:p>
      <w:pPr>
        <w:snapToGrid w:val="0"/>
        <w:spacing w:before="156" w:beforeLines="50" w:after="50"/>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所提供的技术服务至少为7×24小时支持维护服务，包括邮件、电话、远程维护、现场服务等方式。必须保证1小时之内响应。</w:t>
      </w:r>
    </w:p>
    <w:p>
      <w:pPr>
        <w:snapToGrid w:val="0"/>
        <w:spacing w:before="156" w:beforeLines="50" w:after="50"/>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（五）付款方式</w:t>
      </w:r>
    </w:p>
    <w:p>
      <w:pPr>
        <w:ind w:firstLine="420" w:firstLineChars="200"/>
        <w:rPr>
          <w:rFonts w:hint="eastAsia" w:ascii="仿宋" w:hAnsi="仿宋" w:eastAsia="仿宋" w:cs="仿宋"/>
          <w:color w:val="auto"/>
          <w:szCs w:val="21"/>
          <w:highlight w:val="none"/>
          <w:lang w:bidi="ar"/>
        </w:rPr>
      </w:pPr>
      <w:r>
        <w:rPr>
          <w:rFonts w:hint="eastAsia" w:ascii="仿宋" w:hAnsi="仿宋" w:eastAsia="仿宋" w:cs="仿宋"/>
          <w:color w:val="auto"/>
          <w:szCs w:val="21"/>
          <w:highlight w:val="none"/>
          <w:lang w:bidi="ar"/>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pStyle w:val="2"/>
        <w:numPr>
          <w:ilvl w:val="0"/>
          <w:numId w:val="8"/>
        </w:numPr>
        <w:ind w:firstLine="0" w:firstLineChars="0"/>
        <w:rPr>
          <w:rFonts w:hint="eastAsia" w:ascii="仿宋" w:hAnsi="仿宋" w:eastAsia="仿宋" w:cs="仿宋"/>
          <w:b/>
          <w:bCs/>
          <w:color w:val="auto"/>
          <w:szCs w:val="21"/>
          <w:highlight w:val="none"/>
          <w:lang w:bidi="ar"/>
        </w:rPr>
      </w:pPr>
      <w:r>
        <w:rPr>
          <w:rFonts w:hint="eastAsia" w:ascii="仿宋" w:hAnsi="仿宋" w:eastAsia="仿宋" w:cs="仿宋"/>
          <w:b/>
          <w:bCs/>
          <w:color w:val="auto"/>
          <w:szCs w:val="21"/>
          <w:highlight w:val="none"/>
          <w:lang w:bidi="ar"/>
        </w:rPr>
        <w:t>其他要求</w:t>
      </w:r>
    </w:p>
    <w:p>
      <w:pPr>
        <w:ind w:firstLine="420" w:firstLineChars="200"/>
        <w:rPr>
          <w:rFonts w:hint="eastAsia" w:ascii="仿宋" w:hAnsi="仿宋" w:eastAsia="仿宋" w:cs="仿宋"/>
          <w:color w:val="auto"/>
          <w:szCs w:val="21"/>
          <w:highlight w:val="none"/>
          <w:lang w:bidi="ar"/>
        </w:rPr>
      </w:pPr>
      <w:r>
        <w:rPr>
          <w:rFonts w:hint="eastAsia" w:ascii="仿宋" w:hAnsi="仿宋" w:eastAsia="仿宋" w:cs="仿宋"/>
          <w:color w:val="auto"/>
          <w:szCs w:val="21"/>
          <w:highlight w:val="none"/>
          <w:lang w:bidi="ar"/>
        </w:rPr>
        <w:t>1.支持达到互联互通四级甲等及电子病历五级信息建设要求，须每年提供相关操作文档包括开发文档及数据采集相关材料。</w:t>
      </w:r>
    </w:p>
    <w:p>
      <w:pPr>
        <w:ind w:firstLine="420" w:firstLineChars="200"/>
        <w:rPr>
          <w:rFonts w:hint="eastAsia" w:ascii="仿宋" w:hAnsi="仿宋" w:eastAsia="仿宋" w:cs="仿宋"/>
          <w:color w:val="auto"/>
          <w:szCs w:val="21"/>
          <w:highlight w:val="none"/>
          <w:lang w:bidi="ar"/>
        </w:rPr>
      </w:pPr>
      <w:r>
        <w:rPr>
          <w:rFonts w:hint="eastAsia" w:ascii="仿宋" w:hAnsi="仿宋" w:eastAsia="仿宋" w:cs="仿宋"/>
          <w:color w:val="auto"/>
          <w:szCs w:val="21"/>
          <w:highlight w:val="none"/>
          <w:lang w:bidi="ar"/>
        </w:rPr>
        <w:t>2.维保期内未涉及产品框架改造，中标方应按医院业务需求修改，不收取任何费用。</w:t>
      </w:r>
    </w:p>
    <w:p>
      <w:pPr>
        <w:ind w:firstLine="420" w:firstLineChars="200"/>
        <w:rPr>
          <w:rFonts w:hint="eastAsia" w:ascii="仿宋" w:hAnsi="仿宋" w:eastAsia="仿宋" w:cs="仿宋"/>
          <w:color w:val="auto"/>
          <w:szCs w:val="21"/>
          <w:highlight w:val="none"/>
          <w:lang w:bidi="ar"/>
        </w:rPr>
      </w:pPr>
      <w:r>
        <w:rPr>
          <w:rFonts w:ascii="仿宋" w:hAnsi="仿宋" w:eastAsia="仿宋" w:cs="仿宋"/>
          <w:color w:val="auto"/>
          <w:szCs w:val="21"/>
          <w:highlight w:val="none"/>
          <w:lang w:bidi="ar"/>
        </w:rPr>
        <w:t>3</w:t>
      </w:r>
      <w:r>
        <w:rPr>
          <w:rFonts w:hint="eastAsia" w:ascii="仿宋" w:hAnsi="仿宋" w:eastAsia="仿宋" w:cs="仿宋"/>
          <w:color w:val="auto"/>
          <w:szCs w:val="21"/>
          <w:highlight w:val="none"/>
          <w:lang w:bidi="ar"/>
        </w:rPr>
        <w:t>.系统应符合应用系统等保要求。</w:t>
      </w:r>
    </w:p>
    <w:p>
      <w:pPr>
        <w:ind w:firstLine="420" w:firstLineChars="200"/>
        <w:rPr>
          <w:rFonts w:hint="eastAsia" w:ascii="仿宋" w:hAnsi="仿宋" w:eastAsia="仿宋" w:cs="仿宋"/>
          <w:color w:val="auto"/>
          <w:szCs w:val="21"/>
          <w:highlight w:val="none"/>
          <w:lang w:bidi="ar"/>
        </w:rPr>
      </w:pPr>
      <w:r>
        <w:rPr>
          <w:rFonts w:ascii="仿宋" w:hAnsi="仿宋" w:eastAsia="仿宋" w:cs="仿宋"/>
          <w:color w:val="auto"/>
          <w:szCs w:val="21"/>
          <w:highlight w:val="none"/>
          <w:lang w:bidi="ar"/>
        </w:rPr>
        <w:t>4</w:t>
      </w:r>
      <w:r>
        <w:rPr>
          <w:rFonts w:hint="eastAsia" w:ascii="仿宋" w:hAnsi="仿宋" w:eastAsia="仿宋" w:cs="仿宋"/>
          <w:color w:val="auto"/>
          <w:szCs w:val="21"/>
          <w:highlight w:val="none"/>
          <w:lang w:bidi="ar"/>
        </w:rPr>
        <w:t>.此项目实施过程中所产生的一切实施费用均由中标方承担。</w:t>
      </w:r>
    </w:p>
    <w:p>
      <w:pPr>
        <w:ind w:firstLine="420" w:firstLineChars="200"/>
        <w:rPr>
          <w:rFonts w:hint="eastAsia" w:ascii="仿宋" w:hAnsi="仿宋" w:eastAsia="仿宋" w:cs="仿宋"/>
          <w:color w:val="auto"/>
          <w:szCs w:val="21"/>
          <w:highlight w:val="none"/>
          <w:lang w:bidi="ar"/>
        </w:rPr>
      </w:pPr>
      <w:r>
        <w:rPr>
          <w:rFonts w:ascii="仿宋" w:hAnsi="仿宋" w:eastAsia="仿宋" w:cs="仿宋"/>
          <w:color w:val="auto"/>
          <w:szCs w:val="21"/>
          <w:highlight w:val="none"/>
          <w:lang w:bidi="ar"/>
        </w:rPr>
        <w:t>5</w:t>
      </w:r>
      <w:r>
        <w:rPr>
          <w:rFonts w:hint="eastAsia" w:ascii="仿宋" w:hAnsi="仿宋" w:eastAsia="仿宋" w:cs="仿宋"/>
          <w:color w:val="auto"/>
          <w:szCs w:val="21"/>
          <w:highlight w:val="none"/>
          <w:lang w:bidi="ar"/>
        </w:rPr>
        <w:t>.针对与集成平台对接应承诺不收取任何费用。</w:t>
      </w:r>
    </w:p>
    <w:p>
      <w:pPr>
        <w:ind w:firstLine="420" w:firstLineChars="200"/>
        <w:rPr>
          <w:rFonts w:hint="eastAsia" w:ascii="仿宋" w:hAnsi="仿宋" w:eastAsia="仿宋" w:cs="仿宋"/>
          <w:b/>
          <w:bCs/>
          <w:color w:val="auto"/>
          <w:szCs w:val="21"/>
          <w:highlight w:val="none"/>
          <w:lang w:bidi="ar"/>
        </w:rPr>
      </w:pPr>
      <w:r>
        <w:rPr>
          <w:rFonts w:ascii="仿宋" w:hAnsi="仿宋" w:eastAsia="仿宋" w:cs="仿宋"/>
          <w:color w:val="auto"/>
          <w:szCs w:val="21"/>
          <w:highlight w:val="none"/>
          <w:lang w:bidi="ar"/>
        </w:rPr>
        <w:t>6</w:t>
      </w:r>
      <w:r>
        <w:rPr>
          <w:rFonts w:hint="eastAsia" w:ascii="仿宋" w:hAnsi="仿宋" w:eastAsia="仿宋" w:cs="仿宋"/>
          <w:color w:val="auto"/>
          <w:szCs w:val="21"/>
          <w:highlight w:val="none"/>
          <w:lang w:bidi="ar"/>
        </w:rPr>
        <w:t>.中标方提供免费接口供其它系统使用及认证并承担与本软件相关的His等相关医院信息系统接口费用。</w:t>
      </w:r>
    </w:p>
    <w:p>
      <w:pPr>
        <w:spacing w:line="440" w:lineRule="exact"/>
        <w:ind w:right="420"/>
        <w:rPr>
          <w:rFonts w:hint="eastAsia" w:ascii="仿宋" w:hAnsi="仿宋" w:eastAsia="仿宋" w:cs="仿宋"/>
          <w:b/>
          <w:bCs/>
          <w:color w:val="auto"/>
          <w:sz w:val="24"/>
          <w:highlight w:val="none"/>
          <w:lang w:val="en-US" w:eastAsia="zh-CN"/>
        </w:rPr>
      </w:pPr>
    </w:p>
    <w:p>
      <w:pPr>
        <w:pStyle w:val="26"/>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5"/>
        <w:rPr>
          <w:rFonts w:hint="eastAsia" w:ascii="仿宋" w:hAnsi="仿宋" w:eastAsia="仿宋" w:cs="仿宋"/>
          <w:color w:val="auto"/>
          <w:highlight w:val="none"/>
        </w:rPr>
      </w:pPr>
    </w:p>
    <w:p>
      <w:pPr>
        <w:pStyle w:val="5"/>
        <w:rPr>
          <w:rFonts w:hint="eastAsia" w:ascii="仿宋" w:hAnsi="仿宋" w:eastAsia="仿宋" w:cs="仿宋"/>
          <w:color w:val="auto"/>
          <w:highlight w:val="none"/>
        </w:rPr>
      </w:pPr>
    </w:p>
    <w:p>
      <w:pPr>
        <w:pStyle w:val="5"/>
        <w:ind w:firstLine="562"/>
        <w:jc w:val="center"/>
        <w:rPr>
          <w:rFonts w:hint="eastAsia" w:ascii="仿宋" w:hAnsi="仿宋" w:eastAsia="仿宋" w:cs="仿宋"/>
          <w:b/>
          <w:color w:val="auto"/>
          <w:sz w:val="28"/>
          <w:highlight w:val="none"/>
        </w:rPr>
      </w:pPr>
      <w:r>
        <w:rPr>
          <w:rFonts w:hint="eastAsia" w:ascii="仿宋" w:hAnsi="仿宋" w:eastAsia="仿宋" w:cs="仿宋"/>
          <w:b/>
          <w:color w:val="auto"/>
          <w:sz w:val="28"/>
          <w:highlight w:val="none"/>
        </w:rPr>
        <w:t>第一部分  合同书</w:t>
      </w:r>
    </w:p>
    <w:p>
      <w:pPr>
        <w:pStyle w:val="5"/>
        <w:rPr>
          <w:rFonts w:hint="eastAsia" w:ascii="仿宋" w:hAnsi="仿宋" w:eastAsia="仿宋" w:cs="仿宋"/>
          <w:color w:val="auto"/>
          <w:highlight w:val="none"/>
        </w:rPr>
      </w:pPr>
    </w:p>
    <w:p>
      <w:pPr>
        <w:pStyle w:val="5"/>
        <w:rPr>
          <w:rFonts w:hint="eastAsia" w:ascii="仿宋" w:hAnsi="仿宋" w:eastAsia="仿宋" w:cs="仿宋"/>
          <w:color w:val="auto"/>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283"/>
        <w:spacing w:before="120" w:line="22" w:lineRule="atLeast"/>
        <w:rPr>
          <w:rFonts w:hint="eastAsia" w:ascii="仿宋" w:hAnsi="仿宋" w:eastAsia="仿宋" w:cs="仿宋"/>
          <w:color w:val="auto"/>
          <w:szCs w:val="24"/>
          <w:highlight w:val="none"/>
        </w:rPr>
      </w:pPr>
    </w:p>
    <w:p>
      <w:pPr>
        <w:pStyle w:val="283"/>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11" w:name="_Toc2232"/>
      <w:bookmarkStart w:id="12" w:name="_Toc3029"/>
      <w:bookmarkStart w:id="13" w:name="_Toc24059"/>
      <w:r>
        <w:rPr>
          <w:rFonts w:hint="eastAsia" w:ascii="仿宋" w:hAnsi="仿宋" w:eastAsia="仿宋" w:cs="仿宋"/>
          <w:b/>
          <w:color w:val="auto"/>
          <w:sz w:val="24"/>
          <w:highlight w:val="none"/>
        </w:rPr>
        <w:t>1.1 合同组成部分</w:t>
      </w:r>
      <w:bookmarkEnd w:id="11"/>
      <w:bookmarkEnd w:id="12"/>
      <w:bookmarkEnd w:id="1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14" w:name="_Toc21295"/>
      <w:bookmarkStart w:id="15" w:name="_Toc27126"/>
      <w:bookmarkStart w:id="16" w:name="_Toc24300"/>
      <w:r>
        <w:rPr>
          <w:rFonts w:hint="eastAsia" w:ascii="仿宋" w:hAnsi="仿宋" w:eastAsia="仿宋" w:cs="仿宋"/>
          <w:b/>
          <w:color w:val="auto"/>
          <w:sz w:val="24"/>
          <w:highlight w:val="none"/>
        </w:rPr>
        <w:t xml:space="preserve">1.2 </w:t>
      </w:r>
      <w:bookmarkEnd w:id="14"/>
      <w:bookmarkEnd w:id="15"/>
      <w:bookmarkEnd w:id="16"/>
      <w:r>
        <w:rPr>
          <w:rFonts w:hint="eastAsia" w:ascii="仿宋" w:hAnsi="仿宋" w:eastAsia="仿宋" w:cs="仿宋"/>
          <w:b/>
          <w:color w:val="auto"/>
          <w:sz w:val="24"/>
          <w:highlight w:val="none"/>
        </w:rPr>
        <w:t>服务</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服务名称：；</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服务期限和内容：；</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服务提供地点及方式：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7" w:name="_Toc21551"/>
      <w:bookmarkStart w:id="18" w:name="_Toc21631"/>
      <w:bookmarkStart w:id="19" w:name="_Toc23292"/>
      <w:r>
        <w:rPr>
          <w:rFonts w:hint="eastAsia" w:ascii="仿宋" w:hAnsi="仿宋" w:eastAsia="仿宋" w:cs="仿宋"/>
          <w:b/>
          <w:color w:val="auto"/>
          <w:sz w:val="24"/>
          <w:highlight w:val="none"/>
        </w:rPr>
        <w:t>1.3 价款</w:t>
      </w:r>
      <w:bookmarkEnd w:id="17"/>
      <w:bookmarkEnd w:id="18"/>
      <w:bookmarkEnd w:id="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本合同总价为：￥元（大写：元人民币）。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bl>
    <w:p>
      <w:pPr>
        <w:spacing w:line="440" w:lineRule="exact"/>
        <w:ind w:firstLine="482" w:firstLineChars="200"/>
        <w:outlineLvl w:val="0"/>
        <w:rPr>
          <w:rFonts w:hint="eastAsia" w:ascii="仿宋" w:hAnsi="仿宋" w:eastAsia="仿宋" w:cs="仿宋"/>
          <w:b/>
          <w:color w:val="auto"/>
          <w:sz w:val="24"/>
          <w:highlight w:val="none"/>
        </w:rPr>
      </w:pPr>
      <w:bookmarkStart w:id="20" w:name="_Toc10340"/>
      <w:bookmarkStart w:id="21" w:name="_Toc22618"/>
      <w:bookmarkStart w:id="22" w:name="_Toc1814"/>
      <w:bookmarkStart w:id="23" w:name="_Toc2846"/>
      <w:bookmarkStart w:id="24" w:name="_Toc32071"/>
      <w:bookmarkStart w:id="25" w:name="_Toc19304"/>
      <w:r>
        <w:rPr>
          <w:rFonts w:hint="eastAsia" w:ascii="仿宋" w:hAnsi="仿宋" w:eastAsia="仿宋" w:cs="仿宋"/>
          <w:b/>
          <w:color w:val="auto"/>
          <w:sz w:val="24"/>
          <w:highlight w:val="none"/>
        </w:rPr>
        <w:t>1.4 付款</w:t>
      </w:r>
      <w:bookmarkEnd w:id="20"/>
      <w:bookmarkEnd w:id="21"/>
      <w:bookmarkEnd w:id="22"/>
      <w:r>
        <w:rPr>
          <w:rFonts w:hint="eastAsia" w:ascii="仿宋" w:hAnsi="仿宋" w:eastAsia="仿宋" w:cs="仿宋"/>
          <w:b/>
          <w:color w:val="auto"/>
          <w:sz w:val="24"/>
          <w:highlight w:val="none"/>
        </w:rPr>
        <w:t>方式、时间和条件</w:t>
      </w:r>
    </w:p>
    <w:p>
      <w:pPr>
        <w:pStyle w:val="285"/>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23"/>
      <w:bookmarkEnd w:id="24"/>
      <w:bookmarkEnd w:id="25"/>
      <w:bookmarkStart w:id="26" w:name="_Toc21423"/>
      <w:bookmarkStart w:id="27" w:name="_Toc27250"/>
      <w:bookmarkStart w:id="28" w:name="_Toc19554"/>
      <w:r>
        <w:rPr>
          <w:rFonts w:hint="eastAsia" w:ascii="仿宋" w:hAnsi="仿宋" w:eastAsia="仿宋" w:cs="仿宋"/>
          <w:b/>
          <w:color w:val="auto"/>
          <w:sz w:val="24"/>
          <w:highlight w:val="none"/>
        </w:rPr>
        <w:t>违约责任</w:t>
      </w:r>
      <w:bookmarkEnd w:id="26"/>
      <w:bookmarkEnd w:id="27"/>
      <w:bookmarkEnd w:id="2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1.5.7违约责任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29" w:name="_Toc28375"/>
      <w:bookmarkStart w:id="30" w:name="_Toc15583"/>
      <w:bookmarkStart w:id="31" w:name="_Toc16021"/>
      <w:r>
        <w:rPr>
          <w:rFonts w:hint="eastAsia" w:ascii="仿宋" w:hAnsi="仿宋" w:eastAsia="仿宋" w:cs="仿宋"/>
          <w:b/>
          <w:color w:val="auto"/>
          <w:sz w:val="24"/>
          <w:highlight w:val="none"/>
        </w:rPr>
        <w:t>1.6合同争议的解决</w:t>
      </w:r>
      <w:bookmarkEnd w:id="29"/>
      <w:bookmarkEnd w:id="30"/>
      <w:bookmarkEnd w:id="31"/>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32" w:name="_Toc15322"/>
      <w:bookmarkStart w:id="33" w:name="_Toc11173"/>
      <w:bookmarkStart w:id="34" w:name="_Toc7245"/>
      <w:r>
        <w:rPr>
          <w:rFonts w:hint="eastAsia" w:ascii="仿宋" w:hAnsi="仿宋" w:eastAsia="仿宋" w:cs="仿宋"/>
          <w:b/>
          <w:color w:val="auto"/>
          <w:sz w:val="24"/>
          <w:highlight w:val="none"/>
        </w:rPr>
        <w:t>1.7合同生效</w:t>
      </w:r>
      <w:bookmarkEnd w:id="32"/>
      <w:bookmarkEnd w:id="33"/>
      <w:bookmarkEnd w:id="34"/>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rPr>
          <w:rFonts w:hint="eastAsia" w:ascii="仿宋" w:hAnsi="仿宋" w:eastAsia="仿宋" w:cs="仿宋"/>
          <w:color w:val="auto"/>
          <w:sz w:val="24"/>
          <w:highlight w:val="none"/>
          <w:u w:val="single"/>
        </w:rPr>
      </w:pPr>
    </w:p>
    <w:p>
      <w:pPr>
        <w:pStyle w:val="284"/>
        <w:pageBreakBefore/>
        <w:spacing w:line="560" w:lineRule="exact"/>
        <w:ind w:firstLine="723"/>
        <w:jc w:val="center"/>
        <w:rPr>
          <w:rFonts w:hint="eastAsia" w:ascii="仿宋" w:hAnsi="仿宋" w:eastAsia="仿宋" w:cs="仿宋"/>
          <w:b/>
          <w:color w:val="auto"/>
          <w:sz w:val="36"/>
          <w:szCs w:val="36"/>
          <w:highlight w:val="none"/>
        </w:rPr>
      </w:pPr>
      <w:bookmarkStart w:id="35" w:name="_Toc331685783"/>
      <w:r>
        <w:rPr>
          <w:rFonts w:hint="eastAsia" w:ascii="仿宋" w:hAnsi="仿宋" w:eastAsia="仿宋" w:cs="仿宋"/>
          <w:b/>
          <w:color w:val="auto"/>
          <w:sz w:val="36"/>
          <w:szCs w:val="36"/>
          <w:highlight w:val="none"/>
        </w:rPr>
        <w:t>第二部分合同一般条款</w:t>
      </w:r>
      <w:bookmarkEnd w:id="35"/>
    </w:p>
    <w:p>
      <w:pPr>
        <w:spacing w:line="560" w:lineRule="exact"/>
        <w:ind w:firstLine="482" w:firstLineChars="200"/>
        <w:outlineLvl w:val="0"/>
        <w:rPr>
          <w:rFonts w:hint="eastAsia" w:ascii="仿宋" w:hAnsi="仿宋" w:eastAsia="仿宋" w:cs="仿宋"/>
          <w:b/>
          <w:color w:val="auto"/>
          <w:sz w:val="24"/>
          <w:highlight w:val="none"/>
        </w:rPr>
      </w:pPr>
      <w:bookmarkStart w:id="36" w:name="_Ref467379195"/>
      <w:bookmarkStart w:id="37" w:name="_Ref467379225"/>
      <w:bookmarkStart w:id="38" w:name="_Ref467379094"/>
      <w:bookmarkStart w:id="39" w:name="_Ref467378404"/>
      <w:bookmarkStart w:id="40" w:name="_Toc16917"/>
      <w:bookmarkStart w:id="41" w:name="_Toc19614"/>
      <w:bookmarkStart w:id="42" w:name="_Ref467379101"/>
      <w:bookmarkStart w:id="43" w:name="_Toc28763"/>
      <w:bookmarkStart w:id="44" w:name="_Toc487900349"/>
      <w:bookmarkStart w:id="45" w:name="_Ref467379109"/>
      <w:bookmarkStart w:id="46" w:name="_Toc259093669"/>
      <w:bookmarkStart w:id="47" w:name="_Ref467379205"/>
      <w:bookmarkStart w:id="48" w:name="_Toc279701240"/>
      <w:bookmarkStart w:id="49" w:name="_Ref467379214"/>
      <w:bookmarkStart w:id="50" w:name="_Ref467378499"/>
      <w:bookmarkStart w:id="51" w:name="_Ref467378463"/>
      <w:r>
        <w:rPr>
          <w:rFonts w:hint="eastAsia" w:ascii="仿宋" w:hAnsi="仿宋" w:eastAsia="仿宋" w:cs="仿宋"/>
          <w:b/>
          <w:color w:val="auto"/>
          <w:sz w:val="24"/>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2" w:name="_Ref467378840"/>
      <w:r>
        <w:rPr>
          <w:rFonts w:hint="eastAsia" w:ascii="仿宋" w:hAnsi="仿宋" w:eastAsia="仿宋" w:cs="仿宋"/>
          <w:color w:val="auto"/>
          <w:sz w:val="24"/>
          <w:highlight w:val="none"/>
        </w:rPr>
        <w:t>2.1.4 “甲方”系指与中标供应商签署合同的采购人</w:t>
      </w:r>
      <w:bookmarkEnd w:id="52"/>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3" w:name="_Ref467379400"/>
      <w:r>
        <w:rPr>
          <w:rFonts w:hint="eastAsia" w:ascii="仿宋" w:hAnsi="仿宋" w:eastAsia="仿宋" w:cs="仿宋"/>
          <w:color w:val="auto"/>
          <w:sz w:val="24"/>
          <w:highlight w:val="none"/>
        </w:rPr>
        <w:t>2.1.5 “乙方”系指根据合同约定交付货物的中标供应商</w:t>
      </w:r>
      <w:bookmarkEnd w:id="5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4" w:name="_Ref467379436"/>
      <w:r>
        <w:rPr>
          <w:rFonts w:hint="eastAsia" w:ascii="仿宋" w:hAnsi="仿宋" w:eastAsia="仿宋" w:cs="仿宋"/>
          <w:color w:val="auto"/>
          <w:sz w:val="24"/>
          <w:highlight w:val="none"/>
        </w:rPr>
        <w:t>2.1.6 “现场”系指合同约定货物将要运至或者安装的地点。</w:t>
      </w:r>
      <w:bookmarkEnd w:id="54"/>
    </w:p>
    <w:p>
      <w:pPr>
        <w:spacing w:line="560" w:lineRule="exact"/>
        <w:ind w:firstLine="482" w:firstLineChars="200"/>
        <w:outlineLvl w:val="0"/>
        <w:rPr>
          <w:rFonts w:hint="eastAsia" w:ascii="仿宋" w:hAnsi="仿宋" w:eastAsia="仿宋" w:cs="仿宋"/>
          <w:b/>
          <w:color w:val="auto"/>
          <w:sz w:val="24"/>
          <w:highlight w:val="none"/>
        </w:rPr>
      </w:pPr>
      <w:bookmarkStart w:id="55" w:name="_Toc32504"/>
      <w:bookmarkStart w:id="56" w:name="_Toc259093670"/>
      <w:bookmarkStart w:id="57" w:name="_Toc27635"/>
      <w:bookmarkStart w:id="58" w:name="_Toc13336"/>
      <w:bookmarkStart w:id="59" w:name="_Toc279701241"/>
      <w:bookmarkStart w:id="60" w:name="_Toc487900350"/>
      <w:r>
        <w:rPr>
          <w:rFonts w:hint="eastAsia" w:ascii="仿宋" w:hAnsi="仿宋" w:eastAsia="仿宋" w:cs="仿宋"/>
          <w:b/>
          <w:color w:val="auto"/>
          <w:sz w:val="24"/>
          <w:highlight w:val="none"/>
        </w:rPr>
        <w:t>2.2 技术规范</w:t>
      </w:r>
      <w:bookmarkEnd w:id="55"/>
      <w:bookmarkEnd w:id="56"/>
      <w:bookmarkEnd w:id="57"/>
      <w:bookmarkEnd w:id="58"/>
      <w:bookmarkEnd w:id="59"/>
      <w:bookmarkEnd w:id="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1" w:name="_Toc27853"/>
      <w:bookmarkStart w:id="62" w:name="_Toc9829"/>
      <w:bookmarkStart w:id="63" w:name="_Toc279701242"/>
      <w:bookmarkStart w:id="64" w:name="_Toc31634"/>
      <w:bookmarkStart w:id="65" w:name="_Toc259093671"/>
      <w:bookmarkStart w:id="66" w:name="_Toc487900351"/>
      <w:r>
        <w:rPr>
          <w:rFonts w:hint="eastAsia" w:ascii="仿宋" w:hAnsi="仿宋" w:eastAsia="仿宋" w:cs="仿宋"/>
          <w:b/>
          <w:color w:val="auto"/>
          <w:sz w:val="24"/>
          <w:highlight w:val="none"/>
        </w:rPr>
        <w:t>2.3 知识产权</w:t>
      </w:r>
      <w:bookmarkEnd w:id="61"/>
      <w:bookmarkEnd w:id="62"/>
      <w:bookmarkEnd w:id="63"/>
      <w:bookmarkEnd w:id="64"/>
      <w:bookmarkEnd w:id="65"/>
      <w:bookmarkEnd w:id="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7" w:name="_Toc29149"/>
      <w:bookmarkStart w:id="68" w:name="_Toc4194"/>
      <w:bookmarkStart w:id="69" w:name="_Toc11932"/>
      <w:r>
        <w:rPr>
          <w:rFonts w:hint="eastAsia" w:ascii="仿宋" w:hAnsi="仿宋" w:eastAsia="仿宋" w:cs="仿宋"/>
          <w:b/>
          <w:color w:val="auto"/>
          <w:sz w:val="24"/>
          <w:highlight w:val="none"/>
        </w:rPr>
        <w:t>2.4 包装和装运</w:t>
      </w:r>
      <w:bookmarkEnd w:id="67"/>
      <w:bookmarkEnd w:id="68"/>
      <w:bookmarkEnd w:id="6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0" w:name="_Ref467378591"/>
      <w:bookmarkStart w:id="71" w:name="_Toc259093674"/>
      <w:bookmarkStart w:id="72" w:name="_Ref467379536"/>
      <w:bookmarkStart w:id="73" w:name="_Ref467379542"/>
      <w:bookmarkStart w:id="74" w:name="_Toc487900354"/>
      <w:bookmarkStart w:id="75" w:name="_Toc279701245"/>
      <w:bookmarkStart w:id="76" w:name="_Ref467379527"/>
      <w:bookmarkStart w:id="77" w:name="_Ref467378541"/>
      <w:bookmarkStart w:id="78" w:name="_Toc26182"/>
      <w:bookmarkStart w:id="79" w:name="_Toc30272"/>
      <w:bookmarkStart w:id="80" w:name="_Toc19074"/>
      <w:r>
        <w:rPr>
          <w:rFonts w:hint="eastAsia" w:ascii="仿宋" w:hAnsi="仿宋" w:eastAsia="仿宋" w:cs="仿宋"/>
          <w:b/>
          <w:color w:val="auto"/>
          <w:sz w:val="24"/>
          <w:highlight w:val="none"/>
        </w:rPr>
        <w:t>2.</w:t>
      </w:r>
      <w:bookmarkEnd w:id="70"/>
      <w:bookmarkEnd w:id="71"/>
      <w:bookmarkEnd w:id="72"/>
      <w:bookmarkEnd w:id="73"/>
      <w:bookmarkEnd w:id="74"/>
      <w:bookmarkEnd w:id="75"/>
      <w:bookmarkEnd w:id="76"/>
      <w:bookmarkEnd w:id="77"/>
      <w:r>
        <w:rPr>
          <w:rFonts w:hint="eastAsia" w:ascii="仿宋" w:hAnsi="仿宋" w:eastAsia="仿宋" w:cs="仿宋"/>
          <w:b/>
          <w:color w:val="auto"/>
          <w:sz w:val="24"/>
          <w:highlight w:val="none"/>
        </w:rPr>
        <w:t>5 履约检查和问题反馈</w:t>
      </w:r>
      <w:bookmarkEnd w:id="78"/>
      <w:bookmarkEnd w:id="79"/>
      <w:bookmarkEnd w:id="80"/>
    </w:p>
    <w:p>
      <w:pPr>
        <w:spacing w:line="560" w:lineRule="exact"/>
        <w:ind w:firstLine="480" w:firstLineChars="200"/>
        <w:rPr>
          <w:rFonts w:hint="eastAsia" w:ascii="仿宋" w:hAnsi="仿宋" w:eastAsia="仿宋" w:cs="仿宋"/>
          <w:color w:val="auto"/>
          <w:sz w:val="24"/>
          <w:highlight w:val="none"/>
        </w:rPr>
      </w:pPr>
      <w:bookmarkStart w:id="81" w:name="_Ref467379657"/>
      <w:r>
        <w:rPr>
          <w:rFonts w:hint="eastAsia" w:ascii="仿宋" w:hAnsi="仿宋" w:eastAsia="仿宋" w:cs="仿宋"/>
          <w:color w:val="auto"/>
          <w:sz w:val="24"/>
          <w:highlight w:val="none"/>
        </w:rPr>
        <w:t>2.5.1</w:t>
      </w:r>
      <w:bookmarkEnd w:id="81"/>
      <w:bookmarkStart w:id="82" w:name="_Toc186431854"/>
      <w:bookmarkStart w:id="83" w:name="_Ref467379793"/>
      <w:bookmarkStart w:id="84" w:name="_Ref467379807"/>
      <w:bookmarkStart w:id="85" w:name="_Toc279701247"/>
      <w:bookmarkStart w:id="86" w:name="_Toc487900357"/>
      <w:bookmarkStart w:id="87"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cs="仿宋"/>
          <w:color w:val="auto"/>
          <w:sz w:val="24"/>
          <w:highlight w:val="none"/>
        </w:rPr>
        <w:t>。</w:t>
      </w:r>
    </w:p>
    <w:bookmarkEnd w:id="83"/>
    <w:bookmarkEnd w:id="84"/>
    <w:bookmarkEnd w:id="85"/>
    <w:bookmarkEnd w:id="86"/>
    <w:bookmarkEnd w:id="87"/>
    <w:bookmarkEnd w:id="88"/>
    <w:p>
      <w:pPr>
        <w:spacing w:line="560" w:lineRule="exact"/>
        <w:ind w:firstLine="482" w:firstLineChars="200"/>
        <w:outlineLvl w:val="0"/>
        <w:rPr>
          <w:rFonts w:hint="eastAsia" w:ascii="仿宋" w:hAnsi="仿宋" w:eastAsia="仿宋" w:cs="仿宋"/>
          <w:b/>
          <w:color w:val="auto"/>
          <w:sz w:val="24"/>
          <w:highlight w:val="none"/>
        </w:rPr>
      </w:pPr>
      <w:bookmarkStart w:id="89" w:name="_Ref467379923"/>
      <w:bookmarkStart w:id="90" w:name="_Toc259093677"/>
      <w:bookmarkStart w:id="91" w:name="_Toc487900358"/>
      <w:bookmarkStart w:id="92" w:name="_Toc279701248"/>
      <w:bookmarkStart w:id="93" w:name="_Ref467379863"/>
      <w:bookmarkStart w:id="94" w:name="_Ref467379852"/>
      <w:bookmarkStart w:id="95" w:name="_Toc3225"/>
      <w:bookmarkStart w:id="96" w:name="_Toc774"/>
      <w:bookmarkStart w:id="97" w:name="_Toc16110"/>
      <w:r>
        <w:rPr>
          <w:rFonts w:hint="eastAsia" w:ascii="仿宋" w:hAnsi="仿宋" w:eastAsia="仿宋" w:cs="仿宋"/>
          <w:b/>
          <w:color w:val="auto"/>
          <w:sz w:val="24"/>
          <w:highlight w:val="none"/>
        </w:rPr>
        <w:t>2.6 技术资料</w:t>
      </w:r>
      <w:bookmarkEnd w:id="89"/>
      <w:bookmarkEnd w:id="90"/>
      <w:bookmarkEnd w:id="91"/>
      <w:bookmarkEnd w:id="92"/>
      <w:bookmarkEnd w:id="93"/>
      <w:bookmarkEnd w:id="94"/>
      <w:r>
        <w:rPr>
          <w:rFonts w:hint="eastAsia" w:ascii="仿宋" w:hAnsi="仿宋" w:eastAsia="仿宋" w:cs="仿宋"/>
          <w:b/>
          <w:color w:val="auto"/>
          <w:sz w:val="24"/>
          <w:highlight w:val="none"/>
        </w:rPr>
        <w:t>和保密义务</w:t>
      </w:r>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98" w:name="_Toc7860"/>
      <w:r>
        <w:rPr>
          <w:rFonts w:hint="eastAsia" w:ascii="仿宋" w:hAnsi="仿宋" w:eastAsia="仿宋" w:cs="仿宋"/>
          <w:b/>
          <w:color w:val="auto"/>
          <w:sz w:val="24"/>
          <w:highlight w:val="none"/>
        </w:rPr>
        <w:t>2.7 质量保证</w:t>
      </w:r>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99" w:name="_Toc17244"/>
      <w:bookmarkStart w:id="100" w:name="_Toc487900362"/>
      <w:bookmarkStart w:id="101" w:name="_Toc279701252"/>
      <w:bookmarkStart w:id="102" w:name="_Toc259093681"/>
      <w:r>
        <w:rPr>
          <w:rFonts w:hint="eastAsia" w:ascii="仿宋" w:hAnsi="仿宋" w:eastAsia="仿宋" w:cs="仿宋"/>
          <w:b/>
          <w:color w:val="auto"/>
          <w:sz w:val="24"/>
          <w:highlight w:val="none"/>
        </w:rPr>
        <w:t>2.8 货物的风险负担</w:t>
      </w:r>
      <w:bookmarkEnd w:id="99"/>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14055"/>
      <w:r>
        <w:rPr>
          <w:rFonts w:hint="eastAsia" w:ascii="仿宋" w:hAnsi="仿宋" w:eastAsia="仿宋" w:cs="仿宋"/>
          <w:b/>
          <w:color w:val="auto"/>
          <w:sz w:val="24"/>
          <w:highlight w:val="none"/>
        </w:rPr>
        <w:t>2.9 延迟交货</w:t>
      </w:r>
      <w:bookmarkEnd w:id="100"/>
      <w:bookmarkEnd w:id="101"/>
      <w:bookmarkEnd w:id="102"/>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4" w:name="_Toc7502"/>
      <w:bookmarkStart w:id="105" w:name="_Toc279701254"/>
      <w:bookmarkStart w:id="106" w:name="_Ref467378121"/>
      <w:bookmarkStart w:id="107" w:name="_Toc259093683"/>
      <w:bookmarkStart w:id="108" w:name="_Toc487900364"/>
      <w:r>
        <w:rPr>
          <w:rFonts w:hint="eastAsia" w:ascii="仿宋" w:hAnsi="仿宋" w:eastAsia="仿宋" w:cs="仿宋"/>
          <w:b/>
          <w:color w:val="auto"/>
          <w:sz w:val="24"/>
          <w:highlight w:val="none"/>
        </w:rPr>
        <w:t>2.10 合同变更</w:t>
      </w:r>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259093688"/>
      <w:bookmarkStart w:id="111" w:name="_Toc487900369"/>
    </w:p>
    <w:p>
      <w:pPr>
        <w:spacing w:line="560" w:lineRule="exact"/>
        <w:ind w:firstLine="482" w:firstLineChars="200"/>
        <w:outlineLvl w:val="0"/>
        <w:rPr>
          <w:rFonts w:hint="eastAsia" w:ascii="仿宋" w:hAnsi="仿宋" w:eastAsia="仿宋" w:cs="仿宋"/>
          <w:b/>
          <w:color w:val="auto"/>
          <w:sz w:val="24"/>
          <w:highlight w:val="none"/>
        </w:rPr>
      </w:pPr>
      <w:bookmarkStart w:id="112" w:name="_Toc10366"/>
      <w:bookmarkStart w:id="113" w:name="_Toc15237"/>
      <w:bookmarkStart w:id="114" w:name="_Toc22955"/>
      <w:r>
        <w:rPr>
          <w:rFonts w:hint="eastAsia" w:ascii="仿宋" w:hAnsi="仿宋" w:eastAsia="仿宋" w:cs="仿宋"/>
          <w:b/>
          <w:color w:val="auto"/>
          <w:sz w:val="24"/>
          <w:highlight w:val="none"/>
        </w:rPr>
        <w:t>2.11 合同转让</w:t>
      </w:r>
      <w:bookmarkEnd w:id="109"/>
      <w:bookmarkEnd w:id="110"/>
      <w:bookmarkEnd w:id="111"/>
      <w:r>
        <w:rPr>
          <w:rFonts w:hint="eastAsia" w:ascii="仿宋" w:hAnsi="仿宋" w:eastAsia="仿宋" w:cs="仿宋"/>
          <w:b/>
          <w:color w:val="auto"/>
          <w:sz w:val="24"/>
          <w:highlight w:val="none"/>
        </w:rPr>
        <w:t>和分包</w:t>
      </w:r>
      <w:bookmarkEnd w:id="112"/>
      <w:bookmarkEnd w:id="113"/>
      <w:bookmarkEnd w:id="114"/>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5" w:name="_Toc13566"/>
      <w:bookmarkStart w:id="116" w:name="_Toc14066"/>
      <w:bookmarkStart w:id="117" w:name="_Toc16508"/>
      <w:r>
        <w:rPr>
          <w:rFonts w:hint="eastAsia" w:ascii="仿宋" w:hAnsi="仿宋" w:eastAsia="仿宋" w:cs="仿宋"/>
          <w:b/>
          <w:color w:val="auto"/>
          <w:sz w:val="24"/>
          <w:highlight w:val="none"/>
        </w:rPr>
        <w:t>2.12 不可抗力</w:t>
      </w:r>
      <w:bookmarkEnd w:id="115"/>
      <w:bookmarkEnd w:id="116"/>
      <w:bookmarkEnd w:id="11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18" w:name="_Toc279701255"/>
      <w:bookmarkStart w:id="119" w:name="_Toc487900365"/>
      <w:bookmarkStart w:id="120" w:name="_Toc6969"/>
      <w:bookmarkStart w:id="121" w:name="_Toc259093684"/>
      <w:bookmarkStart w:id="122" w:name="_Toc30676"/>
      <w:bookmarkStart w:id="123" w:name="_Toc689"/>
      <w:r>
        <w:rPr>
          <w:rFonts w:hint="eastAsia" w:ascii="仿宋" w:hAnsi="仿宋" w:eastAsia="仿宋" w:cs="仿宋"/>
          <w:b/>
          <w:color w:val="auto"/>
          <w:sz w:val="24"/>
          <w:highlight w:val="none"/>
        </w:rPr>
        <w:t>2.13 税费</w:t>
      </w:r>
      <w:bookmarkEnd w:id="118"/>
      <w:bookmarkEnd w:id="119"/>
      <w:bookmarkEnd w:id="120"/>
      <w:bookmarkEnd w:id="121"/>
      <w:bookmarkEnd w:id="122"/>
      <w:bookmarkEnd w:id="12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4" w:name="_Toc8298"/>
      <w:bookmarkStart w:id="125" w:name="_Toc487900368"/>
      <w:bookmarkStart w:id="126" w:name="_Toc7102"/>
      <w:bookmarkStart w:id="127" w:name="_Toc16959"/>
      <w:bookmarkStart w:id="128" w:name="_Toc259093687"/>
      <w:bookmarkStart w:id="129" w:name="_Toc279701258"/>
      <w:r>
        <w:rPr>
          <w:rFonts w:hint="eastAsia" w:ascii="仿宋" w:hAnsi="仿宋" w:eastAsia="仿宋" w:cs="仿宋"/>
          <w:b/>
          <w:color w:val="auto"/>
          <w:sz w:val="24"/>
          <w:highlight w:val="none"/>
        </w:rPr>
        <w:t>2.14乙方破产</w:t>
      </w:r>
      <w:bookmarkEnd w:id="124"/>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9333"/>
      <w:bookmarkStart w:id="131" w:name="_Toc15387"/>
      <w:bookmarkStart w:id="132" w:name="_Toc6134"/>
      <w:r>
        <w:rPr>
          <w:rFonts w:hint="eastAsia" w:ascii="仿宋" w:hAnsi="仿宋" w:eastAsia="仿宋" w:cs="仿宋"/>
          <w:b/>
          <w:color w:val="auto"/>
          <w:sz w:val="24"/>
          <w:highlight w:val="none"/>
        </w:rPr>
        <w:t>2.15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4563"/>
      <w:bookmarkStart w:id="134" w:name="_Toc1125"/>
      <w:bookmarkStart w:id="135" w:name="_Toc6596"/>
      <w:r>
        <w:rPr>
          <w:rFonts w:hint="eastAsia" w:ascii="仿宋" w:hAnsi="仿宋" w:eastAsia="仿宋" w:cs="仿宋"/>
          <w:b/>
          <w:color w:val="auto"/>
          <w:sz w:val="24"/>
          <w:highlight w:val="none"/>
        </w:rPr>
        <w:t>2.16检验和验收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5"/>
    <w:bookmarkEnd w:id="106"/>
    <w:bookmarkEnd w:id="107"/>
    <w:bookmarkEnd w:id="108"/>
    <w:p>
      <w:pPr>
        <w:spacing w:line="560" w:lineRule="exact"/>
        <w:ind w:firstLine="482" w:firstLineChars="200"/>
        <w:outlineLvl w:val="0"/>
        <w:rPr>
          <w:rFonts w:hint="eastAsia" w:ascii="仿宋" w:hAnsi="仿宋" w:eastAsia="仿宋" w:cs="仿宋"/>
          <w:b/>
          <w:color w:val="auto"/>
          <w:sz w:val="24"/>
          <w:highlight w:val="none"/>
        </w:rPr>
      </w:pPr>
      <w:bookmarkStart w:id="136" w:name="_Toc279701261"/>
      <w:bookmarkStart w:id="137" w:name="_Toc487900371"/>
      <w:bookmarkStart w:id="138" w:name="_Toc259093690"/>
      <w:bookmarkStart w:id="139" w:name="_Toc19604"/>
      <w:bookmarkStart w:id="140" w:name="_Toc25182"/>
      <w:bookmarkStart w:id="141" w:name="_Toc11284"/>
      <w:r>
        <w:rPr>
          <w:rFonts w:hint="eastAsia" w:ascii="仿宋" w:hAnsi="仿宋" w:eastAsia="仿宋" w:cs="仿宋"/>
          <w:b/>
          <w:color w:val="auto"/>
          <w:sz w:val="24"/>
          <w:highlight w:val="none"/>
        </w:rPr>
        <w:t>2.17 通知</w:t>
      </w:r>
      <w:bookmarkEnd w:id="136"/>
      <w:bookmarkEnd w:id="137"/>
      <w:bookmarkEnd w:id="138"/>
      <w:r>
        <w:rPr>
          <w:rFonts w:hint="eastAsia" w:ascii="仿宋" w:hAnsi="仿宋" w:eastAsia="仿宋" w:cs="仿宋"/>
          <w:b/>
          <w:color w:val="auto"/>
          <w:sz w:val="24"/>
          <w:highlight w:val="none"/>
        </w:rPr>
        <w:t>和送达</w:t>
      </w:r>
      <w:bookmarkEnd w:id="139"/>
      <w:bookmarkEnd w:id="140"/>
      <w:bookmarkEnd w:id="141"/>
    </w:p>
    <w:p>
      <w:pPr>
        <w:spacing w:line="560" w:lineRule="exact"/>
        <w:ind w:firstLine="480" w:firstLineChars="200"/>
        <w:rPr>
          <w:rFonts w:hint="eastAsia" w:ascii="仿宋" w:hAnsi="仿宋" w:eastAsia="仿宋" w:cs="仿宋"/>
          <w:color w:val="auto"/>
          <w:sz w:val="24"/>
          <w:highlight w:val="none"/>
        </w:rPr>
      </w:pPr>
      <w:bookmarkStart w:id="142" w:name="_Toc6698"/>
      <w:bookmarkStart w:id="143" w:name="_Toc3135"/>
      <w:bookmarkStart w:id="144" w:name="_Toc487900372"/>
      <w:bookmarkStart w:id="145" w:name="_Toc279701262"/>
      <w:bookmarkStart w:id="146" w:name="_Toc259093691"/>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2"/>
      <w:bookmarkEnd w:id="143"/>
    </w:p>
    <w:p>
      <w:pPr>
        <w:spacing w:line="560" w:lineRule="exact"/>
        <w:ind w:firstLine="480" w:firstLineChars="200"/>
        <w:rPr>
          <w:rFonts w:hint="eastAsia" w:ascii="仿宋" w:hAnsi="仿宋" w:eastAsia="仿宋" w:cs="仿宋"/>
          <w:color w:val="auto"/>
          <w:sz w:val="24"/>
          <w:highlight w:val="none"/>
        </w:rPr>
      </w:pPr>
      <w:bookmarkStart w:id="147" w:name="_Toc23128"/>
      <w:bookmarkStart w:id="14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pPr>
        <w:spacing w:line="560" w:lineRule="exact"/>
        <w:ind w:firstLine="482" w:firstLineChars="200"/>
        <w:outlineLvl w:val="0"/>
        <w:rPr>
          <w:rFonts w:hint="eastAsia" w:ascii="仿宋" w:hAnsi="仿宋" w:eastAsia="仿宋" w:cs="仿宋"/>
          <w:b/>
          <w:color w:val="auto"/>
          <w:sz w:val="24"/>
          <w:highlight w:val="none"/>
        </w:rPr>
      </w:pPr>
      <w:bookmarkStart w:id="149" w:name="_Toc30599"/>
      <w:bookmarkStart w:id="150" w:name="_Toc18540"/>
      <w:bookmarkStart w:id="151" w:name="_Toc4355"/>
      <w:r>
        <w:rPr>
          <w:rFonts w:hint="eastAsia" w:ascii="仿宋" w:hAnsi="仿宋" w:eastAsia="仿宋" w:cs="仿宋"/>
          <w:b/>
          <w:color w:val="auto"/>
          <w:sz w:val="24"/>
          <w:highlight w:val="none"/>
        </w:rPr>
        <w:t>2.18 计量单位</w:t>
      </w:r>
      <w:bookmarkEnd w:id="144"/>
      <w:bookmarkEnd w:id="145"/>
      <w:bookmarkEnd w:id="146"/>
      <w:bookmarkEnd w:id="149"/>
      <w:bookmarkEnd w:id="150"/>
      <w:bookmarkEnd w:id="1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2" w:name="_Toc18567"/>
      <w:bookmarkStart w:id="153" w:name="_Toc12773"/>
      <w:bookmarkStart w:id="154" w:name="_Toc279701263"/>
      <w:bookmarkStart w:id="155" w:name="_Toc259093692"/>
      <w:bookmarkStart w:id="156" w:name="_Toc10330"/>
      <w:bookmarkStart w:id="157" w:name="_Toc4879003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8" w:name="_Toc259093693"/>
      <w:bookmarkStart w:id="159" w:name="_Toc12004"/>
      <w:bookmarkStart w:id="160" w:name="_Toc279701264"/>
      <w:bookmarkStart w:id="161" w:name="_Toc3148"/>
      <w:bookmarkStart w:id="162" w:name="_Toc16673"/>
      <w:bookmarkStart w:id="163" w:name="_Toc487900374"/>
      <w:r>
        <w:rPr>
          <w:rFonts w:hint="eastAsia" w:ascii="仿宋" w:hAnsi="仿宋" w:eastAsia="仿宋" w:cs="仿宋"/>
          <w:b/>
          <w:color w:val="auto"/>
          <w:sz w:val="24"/>
          <w:highlight w:val="none"/>
        </w:rPr>
        <w:t>2.20 履约保证金</w:t>
      </w:r>
      <w:bookmarkEnd w:id="158"/>
      <w:bookmarkEnd w:id="159"/>
      <w:bookmarkEnd w:id="160"/>
      <w:bookmarkEnd w:id="161"/>
      <w:bookmarkEnd w:id="162"/>
    </w:p>
    <w:p>
      <w:pPr>
        <w:pStyle w:val="285"/>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3"/>
    <w:p>
      <w:pPr>
        <w:spacing w:line="560" w:lineRule="exact"/>
        <w:ind w:firstLine="482" w:firstLineChars="200"/>
        <w:outlineLvl w:val="0"/>
        <w:rPr>
          <w:rFonts w:hint="eastAsia" w:ascii="仿宋" w:hAnsi="仿宋" w:eastAsia="仿宋" w:cs="仿宋"/>
          <w:b/>
          <w:color w:val="auto"/>
          <w:sz w:val="24"/>
          <w:highlight w:val="none"/>
        </w:rPr>
      </w:pPr>
      <w:bookmarkStart w:id="164" w:name="_Toc14001"/>
      <w:bookmarkStart w:id="165" w:name="_Toc6885"/>
      <w:bookmarkStart w:id="166" w:name="_Toc19890"/>
      <w:r>
        <w:rPr>
          <w:rFonts w:hint="eastAsia" w:ascii="仿宋" w:hAnsi="仿宋" w:eastAsia="仿宋" w:cs="仿宋"/>
          <w:b/>
          <w:color w:val="auto"/>
          <w:sz w:val="24"/>
          <w:highlight w:val="none"/>
        </w:rPr>
        <w:t>2.22合同份数</w:t>
      </w:r>
      <w:bookmarkEnd w:id="164"/>
      <w:bookmarkEnd w:id="165"/>
      <w:bookmarkEnd w:id="1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7" w:name="_Toc331685784"/>
      <w:bookmarkEnd w:id="167"/>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6"/>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4"/>
        <w:tblW w:w="9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683"/>
        <w:gridCol w:w="990"/>
        <w:gridCol w:w="6380"/>
        <w:gridCol w:w="558"/>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1" w:type="dxa"/>
            <w:tcBorders>
              <w:top w:val="single" w:color="auto" w:sz="4" w:space="0"/>
              <w:left w:val="single" w:color="auto" w:sz="4" w:space="0"/>
              <w:bottom w:val="nil"/>
              <w:right w:val="single" w:color="auto" w:sz="4" w:space="0"/>
            </w:tcBorders>
            <w:shd w:val="clear" w:color="auto" w:fill="B3B3B3"/>
            <w:noWrap w:val="0"/>
            <w:vAlign w:val="center"/>
          </w:tcPr>
          <w:p>
            <w:pPr>
              <w:adjustRightInd w:val="0"/>
              <w:snapToGrid w:val="0"/>
              <w:spacing w:line="28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683" w:type="dxa"/>
            <w:tcBorders>
              <w:top w:val="single" w:color="auto" w:sz="4" w:space="0"/>
              <w:left w:val="single" w:color="auto" w:sz="4" w:space="0"/>
              <w:bottom w:val="nil"/>
              <w:right w:val="single" w:color="auto" w:sz="4" w:space="0"/>
            </w:tcBorders>
            <w:shd w:val="clear" w:color="auto" w:fill="B3B3B3"/>
            <w:noWrap w:val="0"/>
            <w:vAlign w:val="center"/>
          </w:tcPr>
          <w:p>
            <w:pPr>
              <w:adjustRightInd w:val="0"/>
              <w:snapToGrid w:val="0"/>
              <w:spacing w:line="28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评分项目</w:t>
            </w:r>
          </w:p>
        </w:tc>
        <w:tc>
          <w:tcPr>
            <w:tcW w:w="7370" w:type="dxa"/>
            <w:gridSpan w:val="2"/>
            <w:tcBorders>
              <w:top w:val="single" w:color="auto" w:sz="4" w:space="0"/>
              <w:left w:val="single" w:color="auto" w:sz="4" w:space="0"/>
              <w:bottom w:val="single" w:color="auto" w:sz="4" w:space="0"/>
              <w:right w:val="single" w:color="auto" w:sz="4" w:space="0"/>
            </w:tcBorders>
            <w:shd w:val="clear" w:color="auto" w:fill="B3B3B3"/>
            <w:noWrap w:val="0"/>
            <w:vAlign w:val="center"/>
          </w:tcPr>
          <w:p>
            <w:pPr>
              <w:adjustRightInd w:val="0"/>
              <w:snapToGrid w:val="0"/>
              <w:spacing w:line="28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评分细则</w:t>
            </w:r>
          </w:p>
        </w:tc>
        <w:tc>
          <w:tcPr>
            <w:tcW w:w="567" w:type="dxa"/>
            <w:gridSpan w:val="2"/>
            <w:tcBorders>
              <w:top w:val="single" w:color="auto" w:sz="4" w:space="0"/>
              <w:left w:val="single" w:color="auto" w:sz="4" w:space="0"/>
              <w:bottom w:val="single" w:color="auto" w:sz="4" w:space="0"/>
              <w:right w:val="single" w:color="auto" w:sz="4" w:space="0"/>
            </w:tcBorders>
            <w:shd w:val="clear" w:color="auto" w:fill="B3B3B3"/>
            <w:noWrap w:val="0"/>
            <w:vAlign w:val="center"/>
          </w:tcPr>
          <w:p>
            <w:pPr>
              <w:adjustRightInd w:val="0"/>
              <w:snapToGrid w:val="0"/>
              <w:spacing w:line="28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restart"/>
            <w:tcBorders>
              <w:top w:val="single" w:color="auto" w:sz="4" w:space="0"/>
              <w:left w:val="single" w:color="auto" w:sz="4" w:space="0"/>
              <w:right w:val="single" w:color="auto" w:sz="4" w:space="0"/>
            </w:tcBorders>
            <w:noWrap w:val="0"/>
            <w:vAlign w:val="center"/>
          </w:tcPr>
          <w:p>
            <w:pPr>
              <w:spacing w:line="28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1</w:t>
            </w:r>
          </w:p>
        </w:tc>
        <w:tc>
          <w:tcPr>
            <w:tcW w:w="683" w:type="dxa"/>
            <w:vMerge w:val="restart"/>
            <w:tcBorders>
              <w:top w:val="single" w:color="auto" w:sz="4" w:space="0"/>
              <w:left w:val="single" w:color="auto" w:sz="4" w:space="0"/>
              <w:right w:val="single" w:color="auto" w:sz="4" w:space="0"/>
            </w:tcBorders>
            <w:noWrap w:val="0"/>
            <w:vAlign w:val="center"/>
          </w:tcPr>
          <w:p>
            <w:pPr>
              <w:spacing w:line="28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企业实力信誉及业绩</w:t>
            </w:r>
          </w:p>
        </w:tc>
        <w:tc>
          <w:tcPr>
            <w:tcW w:w="99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知识产权质量保证</w:t>
            </w:r>
          </w:p>
        </w:tc>
        <w:tc>
          <w:tcPr>
            <w:tcW w:w="638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lang w:eastAsia="zh-CN"/>
              </w:rPr>
              <w:t>具有</w:t>
            </w:r>
            <w:r>
              <w:rPr>
                <w:rFonts w:hint="eastAsia" w:ascii="仿宋" w:hAnsi="仿宋" w:eastAsia="仿宋" w:cs="仿宋"/>
                <w:color w:val="auto"/>
                <w:szCs w:val="21"/>
                <w:highlight w:val="none"/>
              </w:rPr>
              <w:t>质量管理体系认证</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信息安全管理体系认证</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信息技术服务管理体系认证；</w:t>
            </w:r>
            <w:r>
              <w:rPr>
                <w:rFonts w:hint="eastAsia" w:ascii="仿宋" w:hAnsi="仿宋" w:eastAsia="仿宋" w:cs="仿宋"/>
                <w:color w:val="auto"/>
                <w:szCs w:val="21"/>
                <w:highlight w:val="none"/>
                <w:lang w:eastAsia="zh-CN"/>
              </w:rPr>
              <w:t>每提供一份</w:t>
            </w:r>
            <w:r>
              <w:rPr>
                <w:rFonts w:hint="eastAsia" w:ascii="仿宋" w:hAnsi="仿宋" w:eastAsia="仿宋" w:cs="仿宋"/>
                <w:color w:val="auto"/>
                <w:szCs w:val="21"/>
                <w:highlight w:val="none"/>
              </w:rPr>
              <w:t>证书</w:t>
            </w:r>
            <w:r>
              <w:rPr>
                <w:rFonts w:hint="eastAsia" w:ascii="仿宋" w:hAnsi="仿宋" w:eastAsia="仿宋" w:cs="仿宋"/>
                <w:color w:val="auto"/>
                <w:szCs w:val="21"/>
                <w:highlight w:val="none"/>
                <w:lang w:eastAsia="zh-CN"/>
              </w:rPr>
              <w:t>得</w:t>
            </w:r>
            <w:r>
              <w:rPr>
                <w:rFonts w:hint="eastAsia" w:ascii="仿宋" w:hAnsi="仿宋" w:eastAsia="仿宋" w:cs="仿宋"/>
                <w:color w:val="auto"/>
                <w:szCs w:val="21"/>
                <w:highlight w:val="none"/>
              </w:rPr>
              <w:t>1分，</w:t>
            </w:r>
            <w:r>
              <w:rPr>
                <w:rFonts w:hint="eastAsia" w:ascii="仿宋" w:hAnsi="仿宋" w:eastAsia="仿宋" w:cs="仿宋"/>
                <w:color w:val="auto"/>
                <w:szCs w:val="21"/>
                <w:highlight w:val="none"/>
                <w:lang w:eastAsia="zh-CN"/>
              </w:rPr>
              <w:t>最高</w:t>
            </w:r>
            <w:r>
              <w:rPr>
                <w:rFonts w:hint="eastAsia" w:ascii="仿宋" w:hAnsi="仿宋" w:eastAsia="仿宋" w:cs="仿宋"/>
                <w:color w:val="auto"/>
                <w:szCs w:val="21"/>
                <w:highlight w:val="none"/>
              </w:rPr>
              <w:t>得3分</w:t>
            </w:r>
            <w:r>
              <w:rPr>
                <w:rFonts w:hint="eastAsia" w:ascii="仿宋" w:hAnsi="仿宋" w:eastAsia="仿宋" w:cs="仿宋"/>
                <w:color w:val="auto"/>
                <w:szCs w:val="21"/>
                <w:highlight w:val="none"/>
                <w:lang w:eastAsia="zh-CN"/>
              </w:rPr>
              <w:t>，需</w:t>
            </w:r>
            <w:r>
              <w:rPr>
                <w:rFonts w:hint="eastAsia" w:ascii="仿宋" w:hAnsi="仿宋" w:eastAsia="仿宋" w:cs="仿宋"/>
                <w:color w:val="auto"/>
                <w:kern w:val="0"/>
                <w:szCs w:val="21"/>
                <w:highlight w:val="none"/>
                <w:lang w:bidi="ar"/>
              </w:rPr>
              <w:t>提供证书</w:t>
            </w:r>
            <w:r>
              <w:rPr>
                <w:rFonts w:hint="eastAsia" w:ascii="仿宋" w:hAnsi="仿宋" w:eastAsia="仿宋" w:cs="仿宋"/>
                <w:color w:val="auto"/>
                <w:kern w:val="0"/>
                <w:szCs w:val="21"/>
                <w:highlight w:val="none"/>
                <w:lang w:eastAsia="zh-CN" w:bidi="ar"/>
              </w:rPr>
              <w:t>复印</w:t>
            </w:r>
            <w:r>
              <w:rPr>
                <w:rFonts w:hint="eastAsia" w:ascii="仿宋" w:hAnsi="仿宋" w:eastAsia="仿宋" w:cs="仿宋"/>
                <w:color w:val="auto"/>
                <w:kern w:val="0"/>
                <w:szCs w:val="21"/>
                <w:highlight w:val="none"/>
                <w:lang w:bidi="ar"/>
              </w:rPr>
              <w:t>件并加盖</w:t>
            </w:r>
            <w:r>
              <w:rPr>
                <w:rFonts w:hint="eastAsia" w:ascii="仿宋" w:hAnsi="仿宋" w:eastAsia="仿宋" w:cs="仿宋"/>
                <w:color w:val="auto"/>
                <w:kern w:val="0"/>
                <w:szCs w:val="21"/>
                <w:highlight w:val="none"/>
                <w:lang w:eastAsia="zh-CN" w:bidi="ar"/>
              </w:rPr>
              <w:t>投标人公章</w:t>
            </w:r>
            <w:r>
              <w:rPr>
                <w:rFonts w:hint="eastAsia" w:ascii="仿宋" w:hAnsi="仿宋" w:eastAsia="仿宋" w:cs="仿宋"/>
                <w:color w:val="auto"/>
                <w:kern w:val="0"/>
                <w:szCs w:val="21"/>
                <w:highlight w:val="none"/>
                <w:lang w:bidi="ar"/>
              </w:rPr>
              <w:t>，</w:t>
            </w:r>
            <w:r>
              <w:rPr>
                <w:rFonts w:hint="eastAsia" w:ascii="仿宋" w:hAnsi="仿宋" w:eastAsia="仿宋" w:cs="仿宋"/>
                <w:color w:val="auto"/>
                <w:kern w:val="0"/>
                <w:szCs w:val="21"/>
                <w:highlight w:val="none"/>
                <w:lang w:eastAsia="zh-CN" w:bidi="ar"/>
              </w:rPr>
              <w:t>未提供</w:t>
            </w:r>
            <w:r>
              <w:rPr>
                <w:rFonts w:hint="eastAsia" w:ascii="仿宋" w:hAnsi="仿宋" w:eastAsia="仿宋" w:cs="仿宋"/>
                <w:color w:val="auto"/>
                <w:kern w:val="0"/>
                <w:szCs w:val="21"/>
                <w:highlight w:val="none"/>
                <w:lang w:bidi="ar"/>
              </w:rPr>
              <w:t>不得分。</w:t>
            </w:r>
          </w:p>
        </w:tc>
        <w:tc>
          <w:tcPr>
            <w:tcW w:w="567"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886" w:hRule="atLeast"/>
          <w:jc w:val="center"/>
        </w:trPr>
        <w:tc>
          <w:tcPr>
            <w:tcW w:w="641"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rFonts w:hint="eastAsia" w:ascii="仿宋" w:hAnsi="仿宋" w:eastAsia="仿宋" w:cs="仿宋"/>
                <w:color w:val="auto"/>
                <w:szCs w:val="21"/>
                <w:highlight w:val="none"/>
              </w:rPr>
            </w:pPr>
          </w:p>
        </w:tc>
        <w:tc>
          <w:tcPr>
            <w:tcW w:w="638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投标人需提供由国家版权局颁发与本项目血透系统相关著作权登记证书，且著作权人应为投标人，得1分。</w:t>
            </w:r>
            <w:r>
              <w:rPr>
                <w:rFonts w:hint="eastAsia" w:ascii="仿宋" w:hAnsi="仿宋" w:eastAsia="仿宋" w:cs="仿宋"/>
                <w:color w:val="auto"/>
                <w:szCs w:val="21"/>
                <w:highlight w:val="none"/>
                <w:lang w:eastAsia="zh-CN"/>
              </w:rPr>
              <w:t>需</w:t>
            </w:r>
            <w:r>
              <w:rPr>
                <w:rFonts w:hint="eastAsia" w:ascii="仿宋" w:hAnsi="仿宋" w:eastAsia="仿宋" w:cs="仿宋"/>
                <w:color w:val="auto"/>
                <w:kern w:val="0"/>
                <w:szCs w:val="21"/>
                <w:highlight w:val="none"/>
                <w:lang w:bidi="ar"/>
              </w:rPr>
              <w:t>提供证书</w:t>
            </w:r>
            <w:r>
              <w:rPr>
                <w:rFonts w:hint="eastAsia" w:ascii="仿宋" w:hAnsi="仿宋" w:eastAsia="仿宋" w:cs="仿宋"/>
                <w:color w:val="auto"/>
                <w:kern w:val="0"/>
                <w:szCs w:val="21"/>
                <w:highlight w:val="none"/>
                <w:lang w:eastAsia="zh-CN" w:bidi="ar"/>
              </w:rPr>
              <w:t>复印</w:t>
            </w:r>
            <w:r>
              <w:rPr>
                <w:rFonts w:hint="eastAsia" w:ascii="仿宋" w:hAnsi="仿宋" w:eastAsia="仿宋" w:cs="仿宋"/>
                <w:color w:val="auto"/>
                <w:kern w:val="0"/>
                <w:szCs w:val="21"/>
                <w:highlight w:val="none"/>
                <w:lang w:bidi="ar"/>
              </w:rPr>
              <w:t>件并加盖</w:t>
            </w:r>
            <w:r>
              <w:rPr>
                <w:rFonts w:hint="eastAsia" w:ascii="仿宋" w:hAnsi="仿宋" w:eastAsia="仿宋" w:cs="仿宋"/>
                <w:color w:val="auto"/>
                <w:kern w:val="0"/>
                <w:szCs w:val="21"/>
                <w:highlight w:val="none"/>
                <w:lang w:eastAsia="zh-CN" w:bidi="ar"/>
              </w:rPr>
              <w:t>投标人公</w:t>
            </w:r>
            <w:r>
              <w:rPr>
                <w:rFonts w:hint="eastAsia" w:ascii="仿宋" w:hAnsi="仿宋" w:eastAsia="仿宋" w:cs="仿宋"/>
                <w:color w:val="auto"/>
                <w:kern w:val="0"/>
                <w:szCs w:val="21"/>
                <w:highlight w:val="none"/>
                <w:lang w:bidi="ar"/>
              </w:rPr>
              <w:t>章，</w:t>
            </w:r>
            <w:r>
              <w:rPr>
                <w:rFonts w:hint="eastAsia" w:ascii="仿宋" w:hAnsi="仿宋" w:eastAsia="仿宋" w:cs="仿宋"/>
                <w:color w:val="auto"/>
                <w:kern w:val="0"/>
                <w:szCs w:val="21"/>
                <w:highlight w:val="none"/>
                <w:lang w:eastAsia="zh-CN" w:bidi="ar"/>
              </w:rPr>
              <w:t>未提供</w:t>
            </w:r>
            <w:r>
              <w:rPr>
                <w:rFonts w:hint="eastAsia" w:ascii="仿宋" w:hAnsi="仿宋" w:eastAsia="仿宋" w:cs="仿宋"/>
                <w:color w:val="auto"/>
                <w:kern w:val="0"/>
                <w:szCs w:val="21"/>
                <w:highlight w:val="none"/>
                <w:lang w:bidi="ar"/>
              </w:rPr>
              <w:t>不得分。</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17" w:hRule="atLeast"/>
          <w:jc w:val="center"/>
        </w:trPr>
        <w:tc>
          <w:tcPr>
            <w:tcW w:w="641"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rFonts w:hint="eastAsia" w:ascii="仿宋" w:hAnsi="仿宋" w:eastAsia="仿宋" w:cs="仿宋"/>
                <w:color w:val="auto"/>
                <w:szCs w:val="21"/>
                <w:highlight w:val="none"/>
              </w:rPr>
            </w:pPr>
          </w:p>
        </w:tc>
        <w:tc>
          <w:tcPr>
            <w:tcW w:w="638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投标人通过国家高新技术企业认定的，得1分，</w:t>
            </w:r>
            <w:r>
              <w:rPr>
                <w:rFonts w:hint="eastAsia" w:ascii="仿宋" w:hAnsi="仿宋" w:eastAsia="仿宋" w:cs="仿宋"/>
                <w:color w:val="auto"/>
                <w:szCs w:val="21"/>
                <w:highlight w:val="none"/>
                <w:lang w:eastAsia="zh-CN"/>
              </w:rPr>
              <w:t>需提供</w:t>
            </w:r>
            <w:r>
              <w:rPr>
                <w:rFonts w:hint="eastAsia" w:ascii="仿宋" w:hAnsi="仿宋" w:eastAsia="仿宋" w:cs="仿宋"/>
                <w:color w:val="auto"/>
                <w:szCs w:val="21"/>
                <w:highlight w:val="none"/>
              </w:rPr>
              <w:t>证书</w:t>
            </w:r>
            <w:r>
              <w:rPr>
                <w:rFonts w:hint="eastAsia" w:ascii="仿宋" w:hAnsi="仿宋" w:eastAsia="仿宋" w:cs="仿宋"/>
                <w:color w:val="auto"/>
                <w:szCs w:val="21"/>
                <w:highlight w:val="none"/>
                <w:lang w:eastAsia="zh-CN"/>
              </w:rPr>
              <w:t>复印件加盖投标人公章，未提供</w:t>
            </w:r>
            <w:r>
              <w:rPr>
                <w:rFonts w:hint="eastAsia" w:ascii="仿宋" w:hAnsi="仿宋" w:eastAsia="仿宋" w:cs="仿宋"/>
                <w:color w:val="auto"/>
                <w:szCs w:val="21"/>
                <w:highlight w:val="none"/>
              </w:rPr>
              <w:t>不得分。</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065" w:hRule="atLeast"/>
          <w:jc w:val="center"/>
        </w:trPr>
        <w:tc>
          <w:tcPr>
            <w:tcW w:w="641"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同类业绩</w:t>
            </w:r>
          </w:p>
        </w:tc>
        <w:tc>
          <w:tcPr>
            <w:tcW w:w="638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投标人在2020年1月1日以后具有医院血液净化类似信息系统客户（要求联机台数大于等于30台）建设经验的，每个业绩得0.5分，最多3分。需提供合同复印件及用户盖章确认联机的验收合格报告均加盖投标人公章，不提供或提供不全不得分。</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267" w:hRule="atLeast"/>
          <w:jc w:val="center"/>
        </w:trPr>
        <w:tc>
          <w:tcPr>
            <w:tcW w:w="641"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vMerge w:val="restart"/>
            <w:tcBorders>
              <w:top w:val="single" w:color="auto" w:sz="4" w:space="0"/>
              <w:left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支持医院信息化改造技术实力</w:t>
            </w:r>
          </w:p>
        </w:tc>
        <w:tc>
          <w:tcPr>
            <w:tcW w:w="638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投标人或生产厂商需提供相关血透系统参与医院互联互通评级相关证明，能提供参与互联互通四级证明的得 2 分。</w:t>
            </w:r>
            <w:r>
              <w:rPr>
                <w:rFonts w:hint="eastAsia" w:ascii="仿宋" w:hAnsi="仿宋" w:eastAsia="仿宋" w:cs="仿宋"/>
                <w:color w:val="auto"/>
                <w:szCs w:val="21"/>
                <w:highlight w:val="none"/>
                <w:lang w:eastAsia="zh-CN"/>
              </w:rPr>
              <w:t>需</w:t>
            </w:r>
            <w:r>
              <w:rPr>
                <w:rFonts w:hint="eastAsia" w:ascii="仿宋" w:hAnsi="仿宋" w:eastAsia="仿宋" w:cs="仿宋"/>
                <w:color w:val="auto"/>
                <w:szCs w:val="21"/>
                <w:highlight w:val="none"/>
              </w:rPr>
              <w:t>提供国家卫生健康委统计信息中心颁的医院过评证明</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医院出具的血透软件参评证明</w:t>
            </w:r>
            <w:r>
              <w:rPr>
                <w:rFonts w:hint="eastAsia" w:ascii="仿宋" w:hAnsi="仿宋" w:eastAsia="仿宋" w:cs="仿宋"/>
                <w:color w:val="auto"/>
                <w:szCs w:val="21"/>
                <w:highlight w:val="none"/>
                <w:lang w:eastAsia="zh-CN"/>
              </w:rPr>
              <w:t>相关资料均加盖投标人呢公章，</w:t>
            </w:r>
            <w:r>
              <w:rPr>
                <w:rFonts w:hint="eastAsia" w:ascii="仿宋" w:hAnsi="仿宋" w:eastAsia="仿宋" w:cs="仿宋"/>
                <w:color w:val="auto"/>
                <w:szCs w:val="21"/>
                <w:highlight w:val="none"/>
              </w:rPr>
              <w:t>不提供或提供不全不得分。</w:t>
            </w:r>
          </w:p>
        </w:tc>
        <w:tc>
          <w:tcPr>
            <w:tcW w:w="558" w:type="dxa"/>
            <w:tcBorders>
              <w:top w:val="single" w:color="auto" w:sz="4" w:space="0"/>
              <w:left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1447" w:hRule="atLeast"/>
          <w:jc w:val="center"/>
        </w:trPr>
        <w:tc>
          <w:tcPr>
            <w:tcW w:w="641" w:type="dxa"/>
            <w:vMerge w:val="continue"/>
            <w:tcBorders>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vMerge w:val="continue"/>
            <w:tcBorders>
              <w:left w:val="single" w:color="auto" w:sz="4" w:space="0"/>
              <w:bottom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vMerge w:val="continue"/>
            <w:tcBorders>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color w:val="auto"/>
                <w:szCs w:val="21"/>
                <w:highlight w:val="none"/>
              </w:rPr>
            </w:pPr>
          </w:p>
        </w:tc>
        <w:tc>
          <w:tcPr>
            <w:tcW w:w="638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投标人或生产厂商需提供相关血透系统参与医院电子病历评级相关证明，能提供参与电子病历6 级及以上证明的得 2分。</w:t>
            </w:r>
            <w:r>
              <w:rPr>
                <w:rFonts w:hint="eastAsia" w:ascii="仿宋" w:hAnsi="仿宋" w:eastAsia="仿宋" w:cs="仿宋"/>
                <w:color w:val="auto"/>
                <w:szCs w:val="21"/>
                <w:highlight w:val="none"/>
                <w:lang w:eastAsia="zh-CN"/>
              </w:rPr>
              <w:t>需</w:t>
            </w:r>
            <w:r>
              <w:rPr>
                <w:rFonts w:hint="eastAsia" w:ascii="仿宋" w:hAnsi="仿宋" w:eastAsia="仿宋" w:cs="仿宋"/>
                <w:color w:val="auto"/>
                <w:szCs w:val="21"/>
                <w:highlight w:val="none"/>
              </w:rPr>
              <w:t>提供国家卫生健康委统计信息中心颁的医院过评证明</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医院出具的血透软件参评证明</w:t>
            </w:r>
            <w:r>
              <w:rPr>
                <w:rFonts w:hint="eastAsia" w:ascii="仿宋" w:hAnsi="仿宋" w:eastAsia="仿宋" w:cs="仿宋"/>
                <w:color w:val="auto"/>
                <w:szCs w:val="21"/>
                <w:highlight w:val="none"/>
                <w:lang w:eastAsia="zh-CN"/>
              </w:rPr>
              <w:t>相关资料均加盖投标人公章，</w:t>
            </w:r>
            <w:r>
              <w:rPr>
                <w:rFonts w:hint="eastAsia" w:ascii="仿宋" w:hAnsi="仿宋" w:eastAsia="仿宋" w:cs="仿宋"/>
                <w:color w:val="auto"/>
                <w:szCs w:val="21"/>
                <w:highlight w:val="none"/>
              </w:rPr>
              <w:t>不提供或提供不全不得分。</w:t>
            </w:r>
          </w:p>
        </w:tc>
        <w:tc>
          <w:tcPr>
            <w:tcW w:w="558" w:type="dxa"/>
            <w:tcBorders>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41" w:type="dxa"/>
            <w:vMerge w:val="restart"/>
            <w:tcBorders>
              <w:top w:val="single" w:color="auto" w:sz="4" w:space="0"/>
              <w:left w:val="single" w:color="auto" w:sz="4" w:space="0"/>
              <w:right w:val="single" w:color="auto" w:sz="4" w:space="0"/>
            </w:tcBorders>
            <w:noWrap w:val="0"/>
            <w:vAlign w:val="center"/>
          </w:tcPr>
          <w:p>
            <w:pPr>
              <w:spacing w:line="28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w:t>
            </w:r>
          </w:p>
        </w:tc>
        <w:tc>
          <w:tcPr>
            <w:tcW w:w="683" w:type="dxa"/>
            <w:vMerge w:val="restart"/>
            <w:tcBorders>
              <w:top w:val="single" w:color="auto" w:sz="4" w:space="0"/>
              <w:left w:val="single" w:color="auto" w:sz="4" w:space="0"/>
              <w:right w:val="single" w:color="auto" w:sz="4" w:space="0"/>
            </w:tcBorders>
            <w:noWrap w:val="0"/>
            <w:vAlign w:val="center"/>
          </w:tcPr>
          <w:p>
            <w:pPr>
              <w:spacing w:line="28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技术性能分</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整体解决方案</w:t>
            </w:r>
          </w:p>
        </w:tc>
        <w:tc>
          <w:tcPr>
            <w:tcW w:w="638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根据投标人提供的项目整体解决方案是否符合国内外数字化血液净化中心发展并满足医院实际情况，是否具有一定的前瞻性和先进性等进行打分：</w:t>
            </w:r>
          </w:p>
          <w:p>
            <w:pPr>
              <w:numPr>
                <w:ilvl w:val="0"/>
                <w:numId w:val="9"/>
              </w:numPr>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设计方案先进、科学、全面可行，完全能够满足采购人要求的得</w:t>
            </w:r>
            <w:r>
              <w:rPr>
                <w:rFonts w:ascii="仿宋" w:hAnsi="仿宋" w:eastAsia="仿宋" w:cs="仿宋"/>
                <w:color w:val="auto"/>
                <w:szCs w:val="21"/>
                <w:highlight w:val="none"/>
              </w:rPr>
              <w:t>1</w:t>
            </w:r>
            <w:r>
              <w:rPr>
                <w:rFonts w:hint="eastAsia" w:ascii="仿宋" w:hAnsi="仿宋" w:eastAsia="仿宋" w:cs="仿宋"/>
                <w:color w:val="auto"/>
                <w:szCs w:val="21"/>
                <w:highlight w:val="none"/>
              </w:rPr>
              <w:t>.1-</w:t>
            </w:r>
            <w:r>
              <w:rPr>
                <w:rFonts w:ascii="仿宋" w:hAnsi="仿宋" w:eastAsia="仿宋" w:cs="仿宋"/>
                <w:color w:val="auto"/>
                <w:szCs w:val="21"/>
                <w:highlight w:val="none"/>
              </w:rPr>
              <w:t>2</w:t>
            </w:r>
            <w:r>
              <w:rPr>
                <w:rFonts w:hint="eastAsia" w:ascii="仿宋" w:hAnsi="仿宋" w:eastAsia="仿宋" w:cs="仿宋"/>
                <w:color w:val="auto"/>
                <w:szCs w:val="21"/>
                <w:highlight w:val="none"/>
              </w:rPr>
              <w:t>分；</w:t>
            </w:r>
          </w:p>
          <w:p>
            <w:pPr>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2.设计方案比较先进、科学、全面可行，基本上能够满足采购人要求的得</w:t>
            </w:r>
            <w:r>
              <w:rPr>
                <w:rFonts w:ascii="仿宋" w:hAnsi="仿宋" w:eastAsia="仿宋" w:cs="仿宋"/>
                <w:color w:val="auto"/>
                <w:szCs w:val="21"/>
                <w:highlight w:val="none"/>
              </w:rPr>
              <w:t>0</w:t>
            </w:r>
            <w:r>
              <w:rPr>
                <w:rFonts w:hint="eastAsia" w:ascii="仿宋" w:hAnsi="仿宋" w:eastAsia="仿宋" w:cs="仿宋"/>
                <w:color w:val="auto"/>
                <w:szCs w:val="21"/>
                <w:highlight w:val="none"/>
              </w:rPr>
              <w:t>.1-</w:t>
            </w:r>
            <w:r>
              <w:rPr>
                <w:rFonts w:ascii="仿宋" w:hAnsi="仿宋" w:eastAsia="仿宋" w:cs="仿宋"/>
                <w:color w:val="auto"/>
                <w:szCs w:val="21"/>
                <w:highlight w:val="none"/>
              </w:rPr>
              <w:t>1</w:t>
            </w:r>
            <w:r>
              <w:rPr>
                <w:rFonts w:hint="eastAsia" w:ascii="仿宋" w:hAnsi="仿宋" w:eastAsia="仿宋" w:cs="仿宋"/>
                <w:color w:val="auto"/>
                <w:szCs w:val="21"/>
                <w:highlight w:val="none"/>
              </w:rPr>
              <w:t>分；</w:t>
            </w:r>
          </w:p>
          <w:p>
            <w:pPr>
              <w:spacing w:line="280" w:lineRule="exac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3.设计方案缺项漏项，偏离了采购人要求的不得分。</w:t>
            </w:r>
          </w:p>
        </w:tc>
        <w:tc>
          <w:tcPr>
            <w:tcW w:w="567"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ascii="仿宋" w:hAnsi="仿宋" w:eastAsia="仿宋" w:cs="仿宋"/>
                <w:bCs/>
                <w:color w:val="auto"/>
                <w:szCs w:val="21"/>
                <w:highlight w:val="none"/>
              </w:rPr>
              <w:t>2</w:t>
            </w:r>
            <w:r>
              <w:rPr>
                <w:rFonts w:hint="eastAsia" w:ascii="仿宋" w:hAnsi="仿宋" w:eastAsia="仿宋" w:cs="仿宋"/>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90" w:hRule="atLeast"/>
          <w:jc w:val="center"/>
        </w:trPr>
        <w:tc>
          <w:tcPr>
            <w:tcW w:w="641"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项目经理</w:t>
            </w:r>
          </w:p>
        </w:tc>
        <w:tc>
          <w:tcPr>
            <w:tcW w:w="638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投标人</w:t>
            </w:r>
            <w:r>
              <w:rPr>
                <w:rFonts w:hint="eastAsia" w:ascii="仿宋" w:hAnsi="仿宋" w:eastAsia="仿宋" w:cs="仿宋"/>
                <w:bCs/>
                <w:color w:val="auto"/>
                <w:szCs w:val="21"/>
                <w:highlight w:val="none"/>
                <w:lang w:eastAsia="zh-CN"/>
              </w:rPr>
              <w:t>拟派</w:t>
            </w:r>
            <w:r>
              <w:rPr>
                <w:rFonts w:hint="eastAsia" w:ascii="仿宋" w:hAnsi="仿宋" w:eastAsia="仿宋" w:cs="仿宋"/>
                <w:bCs/>
                <w:color w:val="auto"/>
                <w:szCs w:val="21"/>
                <w:highlight w:val="none"/>
              </w:rPr>
              <w:t>项目经理具备PMP证书或高级项目经理证书，满足得2分，</w:t>
            </w:r>
            <w:r>
              <w:rPr>
                <w:rFonts w:hint="eastAsia" w:ascii="仿宋" w:hAnsi="仿宋" w:eastAsia="仿宋" w:cs="仿宋"/>
                <w:bCs/>
                <w:color w:val="auto"/>
                <w:szCs w:val="21"/>
                <w:highlight w:val="none"/>
                <w:lang w:eastAsia="zh-CN"/>
              </w:rPr>
              <w:t>需</w:t>
            </w:r>
            <w:r>
              <w:rPr>
                <w:rFonts w:hint="eastAsia" w:ascii="仿宋" w:hAnsi="仿宋" w:eastAsia="仿宋" w:cs="仿宋"/>
                <w:color w:val="auto"/>
                <w:szCs w:val="21"/>
                <w:highlight w:val="none"/>
              </w:rPr>
              <w:t>提供证书</w:t>
            </w:r>
            <w:r>
              <w:rPr>
                <w:rFonts w:hint="eastAsia" w:ascii="仿宋" w:hAnsi="仿宋" w:eastAsia="仿宋" w:cs="仿宋"/>
                <w:color w:val="auto"/>
                <w:szCs w:val="21"/>
                <w:highlight w:val="none"/>
                <w:lang w:eastAsia="zh-CN"/>
              </w:rPr>
              <w:t>复印</w:t>
            </w:r>
            <w:r>
              <w:rPr>
                <w:rFonts w:hint="eastAsia" w:ascii="仿宋" w:hAnsi="仿宋" w:eastAsia="仿宋" w:cs="仿宋"/>
                <w:color w:val="auto"/>
                <w:szCs w:val="21"/>
                <w:highlight w:val="none"/>
              </w:rPr>
              <w:t>件及最近3个月在职社保缴纳证明并加盖</w:t>
            </w:r>
            <w:r>
              <w:rPr>
                <w:rFonts w:hint="eastAsia" w:ascii="仿宋" w:hAnsi="仿宋" w:eastAsia="仿宋" w:cs="仿宋"/>
                <w:color w:val="auto"/>
                <w:szCs w:val="21"/>
                <w:highlight w:val="none"/>
                <w:lang w:eastAsia="zh-CN"/>
              </w:rPr>
              <w:t>投标人公章</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未</w:t>
            </w:r>
            <w:r>
              <w:rPr>
                <w:rFonts w:hint="eastAsia" w:ascii="仿宋" w:hAnsi="仿宋" w:eastAsia="仿宋" w:cs="仿宋"/>
                <w:color w:val="auto"/>
                <w:szCs w:val="21"/>
                <w:highlight w:val="none"/>
              </w:rPr>
              <w:t>提供不得分。</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971" w:hRule="atLeast"/>
          <w:jc w:val="center"/>
        </w:trPr>
        <w:tc>
          <w:tcPr>
            <w:tcW w:w="641"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实施方案</w:t>
            </w:r>
          </w:p>
        </w:tc>
        <w:tc>
          <w:tcPr>
            <w:tcW w:w="638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根据投标人提供的项目实施方案（包括项目人员配备、进度控制、质量保证等）是否能够保证项目正常稳定实施并保证产品稳定运行等进行打分：</w:t>
            </w:r>
          </w:p>
          <w:p>
            <w:pPr>
              <w:numPr>
                <w:ilvl w:val="0"/>
                <w:numId w:val="10"/>
              </w:numPr>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项目实施方案人员配置、进度安排、质量保证措施科学、合理，完全能够满足采购人要求的得</w:t>
            </w:r>
            <w:r>
              <w:rPr>
                <w:rFonts w:ascii="仿宋" w:hAnsi="仿宋" w:eastAsia="仿宋" w:cs="仿宋"/>
                <w:color w:val="auto"/>
                <w:szCs w:val="21"/>
                <w:highlight w:val="none"/>
              </w:rPr>
              <w:t>1</w:t>
            </w:r>
            <w:r>
              <w:rPr>
                <w:rFonts w:hint="eastAsia" w:ascii="仿宋" w:hAnsi="仿宋" w:eastAsia="仿宋" w:cs="仿宋"/>
                <w:color w:val="auto"/>
                <w:szCs w:val="21"/>
                <w:highlight w:val="none"/>
              </w:rPr>
              <w:t>.1-</w:t>
            </w:r>
            <w:r>
              <w:rPr>
                <w:rFonts w:ascii="仿宋" w:hAnsi="仿宋" w:eastAsia="仿宋" w:cs="仿宋"/>
                <w:color w:val="auto"/>
                <w:szCs w:val="21"/>
                <w:highlight w:val="none"/>
              </w:rPr>
              <w:t>2</w:t>
            </w:r>
            <w:r>
              <w:rPr>
                <w:rFonts w:hint="eastAsia" w:ascii="仿宋" w:hAnsi="仿宋" w:eastAsia="仿宋" w:cs="仿宋"/>
                <w:color w:val="auto"/>
                <w:szCs w:val="21"/>
                <w:highlight w:val="none"/>
              </w:rPr>
              <w:t>分；</w:t>
            </w:r>
          </w:p>
          <w:p>
            <w:pPr>
              <w:numPr>
                <w:ilvl w:val="0"/>
                <w:numId w:val="10"/>
              </w:numPr>
              <w:spacing w:line="28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项目实施方案人员配置、进度安排、质量保证措施比较科学、合理，基本上能够满足采购人要求的得</w:t>
            </w:r>
            <w:r>
              <w:rPr>
                <w:rFonts w:ascii="仿宋" w:hAnsi="仿宋" w:eastAsia="仿宋" w:cs="仿宋"/>
                <w:color w:val="auto"/>
                <w:szCs w:val="21"/>
                <w:highlight w:val="none"/>
              </w:rPr>
              <w:t>0</w:t>
            </w:r>
            <w:r>
              <w:rPr>
                <w:rFonts w:hint="eastAsia" w:ascii="仿宋" w:hAnsi="仿宋" w:eastAsia="仿宋" w:cs="仿宋"/>
                <w:color w:val="auto"/>
                <w:szCs w:val="21"/>
                <w:highlight w:val="none"/>
              </w:rPr>
              <w:t>.1-</w:t>
            </w:r>
            <w:r>
              <w:rPr>
                <w:rFonts w:ascii="仿宋" w:hAnsi="仿宋" w:eastAsia="仿宋" w:cs="仿宋"/>
                <w:color w:val="auto"/>
                <w:szCs w:val="21"/>
                <w:highlight w:val="none"/>
              </w:rPr>
              <w:t>1</w:t>
            </w:r>
            <w:r>
              <w:rPr>
                <w:rFonts w:hint="eastAsia" w:ascii="仿宋" w:hAnsi="仿宋" w:eastAsia="仿宋" w:cs="仿宋"/>
                <w:color w:val="auto"/>
                <w:szCs w:val="21"/>
                <w:highlight w:val="none"/>
              </w:rPr>
              <w:t>分；</w:t>
            </w:r>
          </w:p>
          <w:p>
            <w:pPr>
              <w:spacing w:line="280" w:lineRule="exac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3.项目实施方案人员配置、进度安排、质量保证措施不科学、合理，不能够满足采购人要求的不得分。</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ascii="仿宋" w:hAnsi="仿宋" w:eastAsia="仿宋" w:cs="仿宋"/>
                <w:bCs/>
                <w:color w:val="auto"/>
                <w:szCs w:val="21"/>
                <w:highlight w:val="none"/>
              </w:rPr>
              <w:t>2</w:t>
            </w:r>
            <w:r>
              <w:rPr>
                <w:rFonts w:hint="eastAsia" w:ascii="仿宋" w:hAnsi="仿宋" w:eastAsia="仿宋" w:cs="仿宋"/>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939" w:hRule="atLeast"/>
          <w:jc w:val="center"/>
        </w:trPr>
        <w:tc>
          <w:tcPr>
            <w:tcW w:w="641"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vMerge w:val="continue"/>
            <w:tcBorders>
              <w:left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tcBorders>
              <w:top w:val="single" w:color="auto" w:sz="4" w:space="0"/>
              <w:left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技术指标响应</w:t>
            </w:r>
          </w:p>
        </w:tc>
        <w:tc>
          <w:tcPr>
            <w:tcW w:w="6380" w:type="dxa"/>
            <w:tcBorders>
              <w:top w:val="single" w:color="auto" w:sz="4" w:space="0"/>
              <w:left w:val="single" w:color="auto" w:sz="4" w:space="0"/>
              <w:bottom w:val="single" w:color="auto" w:sz="4" w:space="0"/>
              <w:right w:val="single" w:color="auto" w:sz="4" w:space="0"/>
            </w:tcBorders>
            <w:noWrap w:val="0"/>
            <w:vAlign w:val="center"/>
          </w:tcPr>
          <w:p>
            <w:pPr>
              <w:pStyle w:val="301"/>
              <w:spacing w:line="240" w:lineRule="auto"/>
              <w:ind w:left="0" w:leftChars="0" w:firstLine="0" w:firstLineChars="0"/>
              <w:jc w:val="left"/>
              <w:rPr>
                <w:rFonts w:hint="eastAsia" w:ascii="仿宋" w:hAnsi="仿宋" w:eastAsia="仿宋" w:cs="仿宋"/>
                <w:bCs/>
                <w:color w:val="auto"/>
                <w:szCs w:val="21"/>
                <w:highlight w:val="none"/>
              </w:rPr>
            </w:pPr>
            <w:r>
              <w:rPr>
                <w:rFonts w:hint="eastAsia" w:ascii="仿宋" w:hAnsi="仿宋" w:eastAsia="仿宋" w:cs="仿宋"/>
                <w:color w:val="auto"/>
                <w:kern w:val="2"/>
                <w:sz w:val="21"/>
                <w:szCs w:val="21"/>
                <w:highlight w:val="none"/>
                <w:lang w:val="en-US" w:eastAsia="zh-CN" w:bidi="ar-SA"/>
              </w:rPr>
              <w:t>完全满足”血透信息管理系统软件功能需求及技术标准”中技术指标要求的得24分，打“▲”的为重要技术指标，每负偏离一项扣3分；其他一般技术指标每负偏离一项扣1分，扣完为止。</w:t>
            </w:r>
          </w:p>
        </w:tc>
        <w:tc>
          <w:tcPr>
            <w:tcW w:w="558" w:type="dxa"/>
            <w:tcBorders>
              <w:top w:val="single" w:color="auto" w:sz="4" w:space="0"/>
              <w:left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24</w:t>
            </w:r>
            <w:r>
              <w:rPr>
                <w:rFonts w:hint="eastAsia" w:ascii="仿宋" w:hAnsi="仿宋" w:eastAsia="仿宋" w:cs="仿宋"/>
                <w:bCs/>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90" w:hRule="atLeast"/>
          <w:jc w:val="center"/>
        </w:trPr>
        <w:tc>
          <w:tcPr>
            <w:tcW w:w="641" w:type="dxa"/>
            <w:vMerge w:val="continue"/>
            <w:tcBorders>
              <w:left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vMerge w:val="continue"/>
            <w:tcBorders>
              <w:left w:val="single" w:color="auto" w:sz="4" w:space="0"/>
              <w:bottom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tcBorders>
              <w:left w:val="single" w:color="auto" w:sz="4" w:space="0"/>
              <w:bottom w:val="single" w:color="auto" w:sz="4" w:space="0"/>
              <w:right w:val="single" w:color="auto" w:sz="4" w:space="0"/>
            </w:tcBorders>
            <w:noWrap w:val="0"/>
            <w:vAlign w:val="center"/>
          </w:tcPr>
          <w:p>
            <w:pPr>
              <w:widowControl/>
              <w:spacing w:line="28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软件系统兼容性</w:t>
            </w:r>
          </w:p>
        </w:tc>
        <w:tc>
          <w:tcPr>
            <w:tcW w:w="638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人需提供所投产品的联机证明文件，联机≥10种主流血液透析机型的得2.1- 3分，6≤联机＜10种的得1.1-2分，联机＜6种主流血液透析机型的得0-1分，需提供相关证明文件并加盖投标人公章，不提供或提供不全不得分。</w:t>
            </w:r>
          </w:p>
        </w:tc>
        <w:tc>
          <w:tcPr>
            <w:tcW w:w="558" w:type="dxa"/>
            <w:tcBorders>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ascii="仿宋" w:hAnsi="仿宋" w:eastAsia="仿宋" w:cs="仿宋"/>
                <w:bCs/>
                <w:color w:val="auto"/>
                <w:szCs w:val="21"/>
                <w:highlight w:val="none"/>
              </w:rPr>
              <w:t>3</w:t>
            </w:r>
            <w:r>
              <w:rPr>
                <w:rFonts w:hint="eastAsia" w:ascii="仿宋" w:hAnsi="仿宋" w:eastAsia="仿宋" w:cs="仿宋"/>
                <w:bCs/>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90" w:hRule="atLeast"/>
          <w:jc w:val="center"/>
        </w:trPr>
        <w:tc>
          <w:tcPr>
            <w:tcW w:w="641" w:type="dxa"/>
            <w:vMerge w:val="continue"/>
            <w:tcBorders>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仿宋" w:hAnsi="仿宋" w:eastAsia="仿宋" w:cs="仿宋"/>
                <w:b/>
                <w:bCs/>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rFonts w:hint="eastAsia" w:ascii="仿宋" w:hAnsi="仿宋" w:eastAsia="仿宋" w:cs="仿宋"/>
                <w:b/>
                <w:bCs/>
                <w:color w:val="auto"/>
                <w:szCs w:val="21"/>
                <w:highlight w:val="none"/>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产品演示</w:t>
            </w:r>
          </w:p>
        </w:tc>
        <w:tc>
          <w:tcPr>
            <w:tcW w:w="6380"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topLinePunct w:val="0"/>
              <w:autoSpaceDE/>
              <w:autoSpaceDN/>
              <w:bidi w:val="0"/>
              <w:adjustRightInd/>
              <w:snapToGrid/>
              <w:spacing w:line="360" w:lineRule="exact"/>
              <w:textAlignment w:val="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投</w:t>
            </w:r>
            <w:r>
              <w:rPr>
                <w:rFonts w:hint="eastAsia" w:ascii="仿宋" w:hAnsi="仿宋" w:eastAsia="仿宋" w:cs="仿宋"/>
                <w:color w:val="auto"/>
                <w:sz w:val="21"/>
                <w:szCs w:val="21"/>
                <w:highlight w:val="none"/>
              </w:rPr>
              <w:t>标人须对以下相关功能进行</w:t>
            </w:r>
            <w:r>
              <w:rPr>
                <w:rFonts w:hint="eastAsia" w:ascii="仿宋" w:hAnsi="仿宋" w:eastAsia="仿宋" w:cs="仿宋"/>
                <w:b/>
                <w:bCs/>
                <w:color w:val="auto"/>
                <w:sz w:val="21"/>
                <w:szCs w:val="21"/>
                <w:highlight w:val="none"/>
                <w:lang w:val="zh-CN"/>
              </w:rPr>
              <w:t>现场演示或</w:t>
            </w:r>
            <w:r>
              <w:rPr>
                <w:rFonts w:hint="eastAsia" w:ascii="仿宋" w:hAnsi="仿宋" w:eastAsia="仿宋" w:cs="仿宋"/>
                <w:b/>
                <w:bCs/>
                <w:color w:val="auto"/>
                <w:sz w:val="21"/>
                <w:szCs w:val="21"/>
                <w:highlight w:val="none"/>
                <w:lang w:val="zh-CN" w:eastAsia="zh-CN"/>
              </w:rPr>
              <w:t>U盘</w:t>
            </w:r>
            <w:r>
              <w:rPr>
                <w:rFonts w:hint="eastAsia" w:ascii="仿宋" w:hAnsi="仿宋" w:eastAsia="仿宋" w:cs="仿宋"/>
                <w:b/>
                <w:bCs/>
                <w:color w:val="auto"/>
                <w:sz w:val="21"/>
                <w:szCs w:val="21"/>
                <w:highlight w:val="none"/>
                <w:lang w:val="zh-CN"/>
              </w:rPr>
              <w:t>录制视频演示</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rPr>
              <w:t>演示时间不超过</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分钟，采用ppt，图片彩页形式不得分，完整完成1项功能演示，该项演示得分，否则该项演示不得分：</w:t>
            </w:r>
          </w:p>
          <w:p>
            <w:pPr>
              <w:tabs>
                <w:tab w:val="left" w:pos="945"/>
                <w:tab w:val="left" w:pos="1155"/>
                <w:tab w:val="left" w:pos="3823"/>
              </w:tabs>
              <w:spacing w:line="2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 自定义知情同意书和手写签名（</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3分）：可自定义维护知情同意书模板，在签订时，病人可使用PAD进行手写签名确认。</w:t>
            </w:r>
          </w:p>
          <w:p>
            <w:pPr>
              <w:tabs>
                <w:tab w:val="left" w:pos="945"/>
                <w:tab w:val="left" w:pos="1155"/>
                <w:tab w:val="left" w:pos="3823"/>
              </w:tabs>
              <w:spacing w:line="2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 透析门诊药品诊疗预购（</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3分）：可以为透析病人批量购买药品或诊疗项目，并在每次透析中按规则扣除，可与药房或HIS系统对接数据。</w:t>
            </w:r>
          </w:p>
          <w:p>
            <w:pPr>
              <w:tabs>
                <w:tab w:val="left" w:pos="945"/>
                <w:tab w:val="left" w:pos="1155"/>
                <w:tab w:val="left" w:pos="3823"/>
              </w:tabs>
              <w:spacing w:line="2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 透析处方和透析单操作痕迹追溯（</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3分）：可查看处方、透析单等重要透析数据的历次修改记录，包括修改时间、修改人员、修改前和修改后数据。</w:t>
            </w:r>
          </w:p>
          <w:p>
            <w:pPr>
              <w:tabs>
                <w:tab w:val="left" w:pos="945"/>
                <w:tab w:val="left" w:pos="1155"/>
                <w:tab w:val="left" w:pos="3823"/>
              </w:tabs>
              <w:spacing w:line="2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 智能提醒功能（</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3分）：在医护的透析治疗界面，对所管辖区域的患者进行各类提醒，包括新开医嘱新停医嘱的提醒、医嘱执行提醒、医生修改了本次透析设置值后的提醒等各类提醒操作。</w:t>
            </w:r>
          </w:p>
          <w:p>
            <w:pPr>
              <w:tabs>
                <w:tab w:val="left" w:pos="945"/>
                <w:tab w:val="left" w:pos="1155"/>
                <w:tab w:val="left" w:pos="3823"/>
              </w:tabs>
              <w:spacing w:line="2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5. 通路管理功能（</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3分）：通过PAD拍照上传患者通路照片，并在照片上标注穿</w:t>
            </w:r>
            <w:bookmarkStart w:id="168" w:name="_GoBack"/>
            <w:bookmarkEnd w:id="168"/>
            <w:r>
              <w:rPr>
                <w:rFonts w:hint="eastAsia" w:ascii="仿宋" w:hAnsi="仿宋" w:eastAsia="仿宋" w:cs="仿宋"/>
                <w:color w:val="auto"/>
                <w:szCs w:val="21"/>
                <w:highlight w:val="none"/>
              </w:rPr>
              <w:t>刺点。在每次透析时登记本次使用的穿刺点。</w:t>
            </w:r>
          </w:p>
          <w:p>
            <w:pPr>
              <w:tabs>
                <w:tab w:val="left" w:pos="945"/>
                <w:tab w:val="left" w:pos="1155"/>
                <w:tab w:val="left" w:pos="3823"/>
              </w:tabs>
              <w:spacing w:line="2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6. 设备移机（</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3分分）：以根据科室需求，将机器按规则交换床位。并确保排班数据、历史透析数据的正确性，实现移机智能一步到位。</w:t>
            </w:r>
          </w:p>
          <w:p>
            <w:pPr>
              <w:tabs>
                <w:tab w:val="left" w:pos="945"/>
                <w:tab w:val="left" w:pos="1155"/>
                <w:tab w:val="left" w:pos="3823"/>
              </w:tabs>
              <w:spacing w:line="28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7. 检验达标率统计（</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3分分）：可以自定义检验统计区间，按定义的统计区间，对血透患者检验项目完成达标率和完成率的统计。支持图表、数据的导出。</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641"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3</w:t>
            </w:r>
          </w:p>
        </w:tc>
        <w:tc>
          <w:tcPr>
            <w:tcW w:w="683"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售后服务</w:t>
            </w:r>
          </w:p>
        </w:tc>
        <w:tc>
          <w:tcPr>
            <w:tcW w:w="7370"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default" w:ascii="仿宋" w:hAnsi="仿宋" w:eastAsia="仿宋" w:cs="仿宋"/>
                <w:bCs/>
                <w:color w:val="auto"/>
                <w:szCs w:val="21"/>
                <w:highlight w:val="none"/>
                <w:lang w:val="en-US" w:eastAsia="zh-CN"/>
              </w:rPr>
            </w:pPr>
            <w:r>
              <w:rPr>
                <w:rFonts w:hint="eastAsia" w:ascii="仿宋" w:hAnsi="仿宋" w:eastAsia="仿宋" w:cs="仿宋"/>
                <w:color w:val="auto"/>
                <w:szCs w:val="21"/>
                <w:highlight w:val="none"/>
              </w:rPr>
              <w:t>根据投标人提供的售后服务方案（包括服务承诺、最近服务网点、响应时间，巡检、培训）等进行打分。</w:t>
            </w:r>
            <w:r>
              <w:rPr>
                <w:rFonts w:hint="eastAsia" w:ascii="仿宋" w:hAnsi="仿宋" w:eastAsia="仿宋" w:cs="仿宋"/>
                <w:color w:val="auto"/>
                <w:szCs w:val="21"/>
                <w:highlight w:val="none"/>
                <w:lang w:eastAsia="zh-CN"/>
              </w:rPr>
              <w:t>优得</w:t>
            </w:r>
            <w:r>
              <w:rPr>
                <w:rFonts w:hint="eastAsia" w:ascii="仿宋" w:hAnsi="仿宋" w:eastAsia="仿宋" w:cs="仿宋"/>
                <w:color w:val="auto"/>
                <w:szCs w:val="21"/>
                <w:highlight w:val="none"/>
                <w:lang w:val="en-US" w:eastAsia="zh-CN"/>
              </w:rPr>
              <w:t>3.1-4.0分，良得2.1-3.0分，一般得0-2.0分。</w:t>
            </w:r>
          </w:p>
        </w:tc>
        <w:tc>
          <w:tcPr>
            <w:tcW w:w="567"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仿宋" w:hAnsi="仿宋" w:eastAsia="仿宋" w:cs="仿宋"/>
                <w:bCs/>
                <w:color w:val="auto"/>
                <w:szCs w:val="21"/>
                <w:highlight w:val="none"/>
              </w:rPr>
            </w:pPr>
            <w:r>
              <w:rPr>
                <w:rFonts w:ascii="仿宋" w:hAnsi="仿宋" w:eastAsia="仿宋" w:cs="仿宋"/>
                <w:bCs/>
                <w:color w:val="auto"/>
                <w:szCs w:val="21"/>
                <w:highlight w:val="none"/>
              </w:rPr>
              <w:t>4</w:t>
            </w:r>
            <w:r>
              <w:rPr>
                <w:rFonts w:hint="eastAsia" w:ascii="仿宋" w:hAnsi="仿宋" w:eastAsia="仿宋" w:cs="仿宋"/>
                <w:color w:val="auto"/>
                <w:szCs w:val="21"/>
                <w:highlight w:val="none"/>
              </w:rPr>
              <w:t>分</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bookmarkEnd w:id="7"/>
      <w:bookmarkEnd w:id="8"/>
      <w:bookmarkEnd w:id="9"/>
      <w:bookmarkEnd w:id="10"/>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6"/>
        <w:spacing w:line="800" w:lineRule="atLeast"/>
        <w:ind w:left="0" w:leftChars="0"/>
        <w:rPr>
          <w:rFonts w:hint="eastAsia" w:ascii="仿宋" w:hAnsi="仿宋" w:eastAsia="仿宋" w:cs="仿宋"/>
          <w:b/>
          <w:color w:val="auto"/>
          <w:sz w:val="36"/>
          <w:szCs w:val="36"/>
          <w:highlight w:val="none"/>
        </w:rPr>
      </w:pPr>
    </w:p>
    <w:p>
      <w:pPr>
        <w:pStyle w:val="6"/>
        <w:spacing w:line="800" w:lineRule="atLeast"/>
        <w:ind w:left="0" w:leftChars="0"/>
        <w:rPr>
          <w:rFonts w:hint="eastAsia" w:ascii="仿宋" w:hAnsi="仿宋" w:eastAsia="仿宋" w:cs="仿宋"/>
          <w:b/>
          <w:color w:val="auto"/>
          <w:sz w:val="36"/>
          <w:szCs w:val="36"/>
          <w:highlight w:val="none"/>
        </w:rPr>
      </w:pPr>
    </w:p>
    <w:p>
      <w:pPr>
        <w:pStyle w:val="6"/>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1"/>
        <w:spacing w:afterLines="0" w:line="440" w:lineRule="exact"/>
        <w:ind w:firstLine="0" w:firstLineChars="0"/>
        <w:rPr>
          <w:rFonts w:hint="eastAsia" w:ascii="仿宋" w:hAnsi="仿宋" w:eastAsia="仿宋" w:cs="仿宋"/>
          <w:color w:val="auto"/>
          <w:szCs w:val="24"/>
          <w:highlight w:val="none"/>
        </w:rPr>
      </w:pPr>
    </w:p>
    <w:p>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7"/>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7"/>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血液净化中心管理信息系统项目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血液净化中心管理信息系统项目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绍兴市中医院血液净化中心管理信息系统项目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TYJZ2023</w:t>
      </w:r>
      <w:r>
        <w:rPr>
          <w:rFonts w:hint="eastAsia" w:ascii="仿宋" w:hAnsi="仿宋" w:eastAsia="仿宋" w:cs="仿宋"/>
          <w:color w:val="auto"/>
          <w:sz w:val="24"/>
          <w:highlight w:val="none"/>
        </w:rPr>
        <w:t>）招标文件中关于申请人资格要求的下列条件：</w:t>
      </w:r>
    </w:p>
    <w:p>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6"/>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both"/>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2"/>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footerReference r:id="rId4" w:type="first"/>
          <w:footerReference r:id="rId3"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7" DrawAspect="Content" ObjectID="_1468075727" r:id="rId13">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headerReference r:id="rId5" w:type="default"/>
      <w:footerReference r:id="rId6" w:type="default"/>
      <w:footerReference r:id="rId7"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3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4C64D"/>
    <w:multiLevelType w:val="singleLevel"/>
    <w:tmpl w:val="85B4C64D"/>
    <w:lvl w:ilvl="0" w:tentative="0">
      <w:start w:val="1"/>
      <w:numFmt w:val="decimal"/>
      <w:lvlText w:val="%1."/>
      <w:lvlJc w:val="left"/>
      <w:pPr>
        <w:tabs>
          <w:tab w:val="left" w:pos="312"/>
        </w:tabs>
      </w:pPr>
    </w:lvl>
  </w:abstractNum>
  <w:abstractNum w:abstractNumId="1">
    <w:nsid w:val="9D4CEE88"/>
    <w:multiLevelType w:val="singleLevel"/>
    <w:tmpl w:val="9D4CEE88"/>
    <w:lvl w:ilvl="0" w:tentative="0">
      <w:start w:val="1"/>
      <w:numFmt w:val="decimal"/>
      <w:lvlText w:val="%1."/>
      <w:lvlJc w:val="left"/>
      <w:pPr>
        <w:tabs>
          <w:tab w:val="left" w:pos="312"/>
        </w:tabs>
      </w:pPr>
    </w:lvl>
  </w:abstractNum>
  <w:abstractNum w:abstractNumId="2">
    <w:nsid w:val="AFB45AF8"/>
    <w:multiLevelType w:val="singleLevel"/>
    <w:tmpl w:val="AFB45AF8"/>
    <w:lvl w:ilvl="0" w:tentative="0">
      <w:start w:val="4"/>
      <w:numFmt w:val="decimal"/>
      <w:lvlText w:val="%1."/>
      <w:lvlJc w:val="left"/>
      <w:pPr>
        <w:tabs>
          <w:tab w:val="left" w:pos="312"/>
        </w:tabs>
      </w:pPr>
    </w:lvl>
  </w:abstractNum>
  <w:abstractNum w:abstractNumId="3">
    <w:nsid w:val="FFFFFF7E"/>
    <w:multiLevelType w:val="singleLevel"/>
    <w:tmpl w:val="FFFFFF7E"/>
    <w:lvl w:ilvl="0" w:tentative="0">
      <w:start w:val="1"/>
      <w:numFmt w:val="decimal"/>
      <w:pStyle w:val="11"/>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3E8351EB"/>
    <w:multiLevelType w:val="singleLevel"/>
    <w:tmpl w:val="3E8351EB"/>
    <w:lvl w:ilvl="0" w:tentative="0">
      <w:start w:val="6"/>
      <w:numFmt w:val="chineseCounting"/>
      <w:suff w:val="nothing"/>
      <w:lvlText w:val="（%1）"/>
      <w:lvlJc w:val="left"/>
      <w:rPr>
        <w:rFonts w:hint="eastAsia"/>
      </w:rPr>
    </w:lvl>
  </w:abstractNum>
  <w:abstractNum w:abstractNumId="8">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10"/>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A383B68"/>
    <w:multiLevelType w:val="singleLevel"/>
    <w:tmpl w:val="6A383B68"/>
    <w:lvl w:ilvl="0" w:tentative="0">
      <w:start w:val="1"/>
      <w:numFmt w:val="upperLetter"/>
      <w:pStyle w:val="12"/>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4"/>
  </w:num>
  <w:num w:numId="3">
    <w:abstractNumId w:val="3"/>
  </w:num>
  <w:num w:numId="4">
    <w:abstractNumId w:val="9"/>
  </w:num>
  <w:num w:numId="5">
    <w:abstractNumId w:val="6"/>
  </w:num>
  <w:num w:numId="6">
    <w:abstractNumId w:val="2"/>
  </w:num>
  <w:num w:numId="7">
    <w:abstractNumId w:val="10"/>
  </w:num>
  <w:num w:numId="8">
    <w:abstractNumId w:val="7"/>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446241E"/>
    <w:rsid w:val="06AB31FB"/>
    <w:rsid w:val="11504E7B"/>
    <w:rsid w:val="137A20FF"/>
    <w:rsid w:val="1618304E"/>
    <w:rsid w:val="252B7970"/>
    <w:rsid w:val="32297A9B"/>
    <w:rsid w:val="382168F2"/>
    <w:rsid w:val="3C854832"/>
    <w:rsid w:val="45CC7564"/>
    <w:rsid w:val="46B04891"/>
    <w:rsid w:val="49463453"/>
    <w:rsid w:val="4A963F66"/>
    <w:rsid w:val="4BDC6D24"/>
    <w:rsid w:val="4BFA5BC7"/>
    <w:rsid w:val="53FA1DF9"/>
    <w:rsid w:val="580179B6"/>
    <w:rsid w:val="5DD047C5"/>
    <w:rsid w:val="5F9C4824"/>
    <w:rsid w:val="600A6C32"/>
    <w:rsid w:val="72E87C49"/>
    <w:rsid w:val="74B752B6"/>
    <w:rsid w:val="75673B65"/>
    <w:rsid w:val="76FE49DA"/>
    <w:rsid w:val="7AF96FCA"/>
    <w:rsid w:val="7DFBB8BB"/>
    <w:rsid w:val="7E261385"/>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11">
    <w:name w:val="heading 3"/>
    <w:basedOn w:val="1"/>
    <w:next w:val="5"/>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10">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2">
    <w:name w:val="heading 5"/>
    <w:basedOn w:val="1"/>
    <w:next w:val="5"/>
    <w:link w:val="60"/>
    <w:qFormat/>
    <w:uiPriority w:val="0"/>
    <w:pPr>
      <w:keepNext/>
      <w:widowControl/>
      <w:numPr>
        <w:ilvl w:val="0"/>
        <w:numId w:val="4"/>
      </w:numPr>
      <w:jc w:val="left"/>
      <w:outlineLvl w:val="4"/>
    </w:pPr>
    <w:rPr>
      <w:kern w:val="0"/>
      <w:sz w:val="24"/>
      <w:szCs w:val="20"/>
    </w:rPr>
  </w:style>
  <w:style w:type="paragraph" w:styleId="13">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4">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5">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6">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1"/>
    <w:qFormat/>
    <w:uiPriority w:val="0"/>
    <w:pPr>
      <w:adjustRightInd w:val="0"/>
      <w:spacing w:line="360" w:lineRule="auto"/>
      <w:ind w:firstLine="480" w:firstLineChars="200"/>
    </w:pPr>
    <w:rPr>
      <w:sz w:val="24"/>
      <w:szCs w:val="20"/>
      <w:lang w:val="zh-CN"/>
    </w:rPr>
  </w:style>
  <w:style w:type="paragraph" w:styleId="5">
    <w:name w:val="Normal Indent"/>
    <w:basedOn w:val="1"/>
    <w:next w:val="6"/>
    <w:link w:val="55"/>
    <w:qFormat/>
    <w:uiPriority w:val="0"/>
    <w:pPr>
      <w:ind w:firstLine="420" w:firstLineChars="200"/>
    </w:pPr>
  </w:style>
  <w:style w:type="paragraph" w:styleId="6">
    <w:name w:val="Body Text Indent"/>
    <w:basedOn w:val="1"/>
    <w:next w:val="7"/>
    <w:link w:val="67"/>
    <w:qFormat/>
    <w:uiPriority w:val="0"/>
    <w:pPr>
      <w:spacing w:after="120"/>
      <w:ind w:left="420" w:leftChars="200"/>
    </w:pPr>
  </w:style>
  <w:style w:type="paragraph" w:styleId="7">
    <w:name w:val="Body Text First Indent 2"/>
    <w:basedOn w:val="6"/>
    <w:next w:val="8"/>
    <w:link w:val="205"/>
    <w:qFormat/>
    <w:uiPriority w:val="0"/>
    <w:pPr>
      <w:ind w:firstLine="420" w:firstLineChars="200"/>
    </w:pPr>
  </w:style>
  <w:style w:type="paragraph" w:styleId="8">
    <w:name w:val="Body Text First Indent"/>
    <w:basedOn w:val="9"/>
    <w:link w:val="204"/>
    <w:qFormat/>
    <w:uiPriority w:val="0"/>
    <w:pPr>
      <w:spacing w:after="120" w:line="240" w:lineRule="auto"/>
      <w:ind w:firstLine="420" w:firstLineChars="100"/>
    </w:pPr>
    <w:rPr>
      <w:rFonts w:eastAsia="宋体"/>
      <w:sz w:val="21"/>
    </w:rPr>
  </w:style>
  <w:style w:type="paragraph" w:styleId="9">
    <w:name w:val="Body Text"/>
    <w:basedOn w:val="1"/>
    <w:next w:val="10"/>
    <w:link w:val="86"/>
    <w:qFormat/>
    <w:uiPriority w:val="0"/>
    <w:pPr>
      <w:spacing w:line="360" w:lineRule="auto"/>
    </w:pPr>
    <w:rPr>
      <w:rFonts w:eastAsia="仿宋_GB2312"/>
      <w:sz w:val="28"/>
    </w:rPr>
  </w:style>
  <w:style w:type="paragraph" w:styleId="17">
    <w:name w:val="List Number 2"/>
    <w:basedOn w:val="1"/>
    <w:qFormat/>
    <w:uiPriority w:val="0"/>
    <w:pPr>
      <w:widowControl/>
      <w:tabs>
        <w:tab w:val="left" w:pos="1697"/>
      </w:tabs>
      <w:spacing w:afterLines="50"/>
      <w:ind w:left="1697" w:hanging="420"/>
      <w:jc w:val="left"/>
    </w:pPr>
    <w:rPr>
      <w:kern w:val="0"/>
      <w:sz w:val="24"/>
      <w:szCs w:val="20"/>
    </w:rPr>
  </w:style>
  <w:style w:type="paragraph" w:styleId="18">
    <w:name w:val="List Number"/>
    <w:basedOn w:val="1"/>
    <w:qFormat/>
    <w:uiPriority w:val="0"/>
    <w:pPr>
      <w:widowControl/>
      <w:tabs>
        <w:tab w:val="left" w:pos="454"/>
      </w:tabs>
      <w:spacing w:afterLines="50"/>
      <w:ind w:left="454" w:hanging="284"/>
      <w:jc w:val="left"/>
    </w:pPr>
    <w:rPr>
      <w:kern w:val="0"/>
      <w:sz w:val="24"/>
      <w:szCs w:val="20"/>
    </w:rPr>
  </w:style>
  <w:style w:type="paragraph" w:styleId="19">
    <w:name w:val="caption"/>
    <w:basedOn w:val="1"/>
    <w:next w:val="1"/>
    <w:link w:val="282"/>
    <w:qFormat/>
    <w:uiPriority w:val="0"/>
    <w:pPr>
      <w:spacing w:line="360" w:lineRule="auto"/>
      <w:jc w:val="center"/>
    </w:pPr>
    <w:rPr>
      <w:rFonts w:ascii="Calibri" w:hAnsi="Calibri"/>
      <w:sz w:val="20"/>
      <w:szCs w:val="20"/>
    </w:rPr>
  </w:style>
  <w:style w:type="paragraph" w:styleId="20">
    <w:name w:val="Document Map"/>
    <w:basedOn w:val="1"/>
    <w:link w:val="121"/>
    <w:semiHidden/>
    <w:qFormat/>
    <w:uiPriority w:val="0"/>
    <w:pPr>
      <w:shd w:val="clear" w:color="auto" w:fill="000080"/>
    </w:pPr>
  </w:style>
  <w:style w:type="paragraph" w:styleId="21">
    <w:name w:val="annotation text"/>
    <w:basedOn w:val="1"/>
    <w:link w:val="73"/>
    <w:qFormat/>
    <w:uiPriority w:val="0"/>
    <w:pPr>
      <w:jc w:val="left"/>
    </w:pPr>
  </w:style>
  <w:style w:type="paragraph" w:styleId="22">
    <w:name w:val="List Number 3"/>
    <w:basedOn w:val="1"/>
    <w:qFormat/>
    <w:uiPriority w:val="0"/>
    <w:pPr>
      <w:widowControl/>
      <w:tabs>
        <w:tab w:val="left" w:pos="482"/>
      </w:tabs>
      <w:spacing w:afterLines="50"/>
      <w:ind w:left="482" w:hanging="340"/>
      <w:jc w:val="left"/>
    </w:pPr>
    <w:rPr>
      <w:kern w:val="0"/>
      <w:sz w:val="24"/>
      <w:szCs w:val="20"/>
    </w:r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index 4"/>
    <w:basedOn w:val="1"/>
    <w:next w:val="1"/>
    <w:unhideWhenUsed/>
    <w:qFormat/>
    <w:uiPriority w:val="99"/>
    <w:pPr>
      <w:ind w:left="600" w:leftChars="600"/>
    </w:pPr>
    <w:rPr>
      <w:szCs w:val="22"/>
    </w:rPr>
  </w:style>
  <w:style w:type="paragraph" w:styleId="25">
    <w:name w:val="toc 3"/>
    <w:basedOn w:val="1"/>
    <w:next w:val="1"/>
    <w:unhideWhenUsed/>
    <w:qFormat/>
    <w:uiPriority w:val="0"/>
    <w:pPr>
      <w:ind w:left="840" w:leftChars="400"/>
    </w:pPr>
    <w:rPr>
      <w:rFonts w:ascii="Calibri" w:hAnsi="Calibri"/>
      <w:szCs w:val="22"/>
    </w:rPr>
  </w:style>
  <w:style w:type="paragraph" w:styleId="26">
    <w:name w:val="Plain Text"/>
    <w:basedOn w:val="1"/>
    <w:next w:val="1"/>
    <w:link w:val="65"/>
    <w:qFormat/>
    <w:uiPriority w:val="0"/>
    <w:rPr>
      <w:rFonts w:ascii="宋体" w:hAnsi="Courier New"/>
      <w:szCs w:val="20"/>
    </w:rPr>
  </w:style>
  <w:style w:type="paragraph" w:styleId="27">
    <w:name w:val="Date"/>
    <w:basedOn w:val="1"/>
    <w:next w:val="1"/>
    <w:link w:val="68"/>
    <w:qFormat/>
    <w:uiPriority w:val="0"/>
    <w:rPr>
      <w:rFonts w:ascii="楷体_GB2312" w:eastAsia="楷体_GB2312"/>
      <w:b/>
      <w:sz w:val="28"/>
      <w:szCs w:val="20"/>
    </w:rPr>
  </w:style>
  <w:style w:type="paragraph" w:styleId="28">
    <w:name w:val="Body Text Indent 2"/>
    <w:basedOn w:val="1"/>
    <w:link w:val="82"/>
    <w:qFormat/>
    <w:uiPriority w:val="0"/>
    <w:pPr>
      <w:spacing w:after="120" w:line="480" w:lineRule="auto"/>
      <w:ind w:left="420" w:leftChars="200"/>
    </w:pPr>
  </w:style>
  <w:style w:type="paragraph" w:styleId="29">
    <w:name w:val="Balloon Text"/>
    <w:basedOn w:val="1"/>
    <w:link w:val="200"/>
    <w:qFormat/>
    <w:uiPriority w:val="0"/>
    <w:rPr>
      <w:sz w:val="18"/>
      <w:szCs w:val="18"/>
    </w:rPr>
  </w:style>
  <w:style w:type="paragraph" w:styleId="30">
    <w:name w:val="footer"/>
    <w:basedOn w:val="1"/>
    <w:link w:val="70"/>
    <w:qFormat/>
    <w:uiPriority w:val="0"/>
    <w:pPr>
      <w:tabs>
        <w:tab w:val="center" w:pos="4153"/>
        <w:tab w:val="right" w:pos="8306"/>
      </w:tabs>
      <w:snapToGrid w:val="0"/>
      <w:jc w:val="left"/>
    </w:pPr>
    <w:rPr>
      <w:sz w:val="18"/>
      <w:szCs w:val="18"/>
    </w:rPr>
  </w:style>
  <w:style w:type="paragraph" w:styleId="31">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semiHidden/>
    <w:qFormat/>
    <w:uiPriority w:val="0"/>
  </w:style>
  <w:style w:type="paragraph" w:styleId="33">
    <w:name w:val="toc 4"/>
    <w:basedOn w:val="1"/>
    <w:next w:val="1"/>
    <w:semiHidden/>
    <w:qFormat/>
    <w:uiPriority w:val="0"/>
    <w:pPr>
      <w:tabs>
        <w:tab w:val="right" w:leader="dot" w:pos="8314"/>
      </w:tabs>
      <w:ind w:firstLine="588" w:firstLineChars="245"/>
    </w:pPr>
  </w:style>
  <w:style w:type="paragraph" w:styleId="34">
    <w:name w:val="toc 6"/>
    <w:basedOn w:val="1"/>
    <w:next w:val="1"/>
    <w:qFormat/>
    <w:uiPriority w:val="0"/>
    <w:pPr>
      <w:ind w:left="2100" w:leftChars="1000"/>
    </w:pPr>
  </w:style>
  <w:style w:type="paragraph" w:styleId="35">
    <w:name w:val="Body Text Indent 3"/>
    <w:basedOn w:val="1"/>
    <w:link w:val="201"/>
    <w:qFormat/>
    <w:uiPriority w:val="0"/>
    <w:pPr>
      <w:spacing w:after="120"/>
      <w:ind w:left="420" w:leftChars="200"/>
    </w:pPr>
    <w:rPr>
      <w:sz w:val="16"/>
      <w:szCs w:val="16"/>
    </w:rPr>
  </w:style>
  <w:style w:type="paragraph" w:styleId="36">
    <w:name w:val="toc 2"/>
    <w:basedOn w:val="1"/>
    <w:next w:val="1"/>
    <w:semiHidden/>
    <w:qFormat/>
    <w:uiPriority w:val="0"/>
    <w:pPr>
      <w:ind w:left="420" w:leftChars="200"/>
    </w:pPr>
  </w:style>
  <w:style w:type="paragraph" w:styleId="37">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8">
    <w:name w:val="List Continue 2"/>
    <w:basedOn w:val="1"/>
    <w:qFormat/>
    <w:uiPriority w:val="0"/>
    <w:pPr>
      <w:spacing w:after="120"/>
      <w:ind w:left="840" w:leftChars="400"/>
    </w:pPr>
  </w:style>
  <w:style w:type="paragraph" w:styleId="39">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0">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1">
    <w:name w:val="index 1"/>
    <w:basedOn w:val="1"/>
    <w:next w:val="1"/>
    <w:semiHidden/>
    <w:qFormat/>
    <w:uiPriority w:val="0"/>
    <w:pPr>
      <w:spacing w:line="320" w:lineRule="exact"/>
    </w:pPr>
    <w:rPr>
      <w:b/>
      <w:snapToGrid w:val="0"/>
      <w:color w:val="FF6600"/>
      <w:kern w:val="0"/>
      <w:sz w:val="18"/>
      <w:szCs w:val="21"/>
    </w:rPr>
  </w:style>
  <w:style w:type="paragraph" w:styleId="42">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3">
    <w:name w:val="annotation subject"/>
    <w:basedOn w:val="21"/>
    <w:next w:val="21"/>
    <w:link w:val="203"/>
    <w:qFormat/>
    <w:uiPriority w:val="0"/>
    <w:pPr>
      <w:widowControl/>
      <w:spacing w:afterLines="50"/>
    </w:pPr>
    <w:rPr>
      <w:b/>
      <w:bCs/>
      <w:kern w:val="0"/>
      <w:sz w:val="24"/>
      <w:szCs w:val="20"/>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3"/>
    <w:qFormat/>
    <w:uiPriority w:val="0"/>
    <w:rPr>
      <w:rFonts w:eastAsia="仿宋_GB2312"/>
      <w:b/>
      <w:kern w:val="44"/>
      <w:sz w:val="44"/>
      <w:lang w:val="en-US" w:eastAsia="zh-CN" w:bidi="ar-SA"/>
    </w:rPr>
  </w:style>
  <w:style w:type="character" w:customStyle="1" w:styleId="55">
    <w:name w:val="正文缩进 Char"/>
    <w:link w:val="5"/>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4"/>
    <w:qFormat/>
    <w:uiPriority w:val="0"/>
    <w:rPr>
      <w:rFonts w:ascii="Arial" w:hAnsi="Arial" w:eastAsia="黑体"/>
      <w:b/>
      <w:kern w:val="2"/>
      <w:sz w:val="32"/>
      <w:lang w:val="en-US" w:eastAsia="zh-CN" w:bidi="ar-SA"/>
    </w:rPr>
  </w:style>
  <w:style w:type="character" w:customStyle="1" w:styleId="58">
    <w:name w:val="标题 3 Char"/>
    <w:link w:val="11"/>
    <w:qFormat/>
    <w:uiPriority w:val="0"/>
    <w:rPr>
      <w:rFonts w:eastAsia="仿宋_GB2312"/>
      <w:b/>
      <w:kern w:val="2"/>
      <w:sz w:val="32"/>
      <w:lang w:val="en-US" w:eastAsia="zh-CN" w:bidi="ar-SA"/>
    </w:rPr>
  </w:style>
  <w:style w:type="character" w:customStyle="1" w:styleId="59">
    <w:name w:val="标题 4 Char1"/>
    <w:link w:val="10"/>
    <w:qFormat/>
    <w:uiPriority w:val="0"/>
    <w:rPr>
      <w:rFonts w:ascii="Arial" w:hAnsi="Arial" w:eastAsia="黑体"/>
      <w:b/>
      <w:kern w:val="2"/>
      <w:sz w:val="28"/>
      <w:lang w:val="en-US" w:eastAsia="zh-CN" w:bidi="ar-SA"/>
    </w:rPr>
  </w:style>
  <w:style w:type="character" w:customStyle="1" w:styleId="60">
    <w:name w:val="标题 5 Char1"/>
    <w:link w:val="12"/>
    <w:qFormat/>
    <w:uiPriority w:val="0"/>
    <w:rPr>
      <w:sz w:val="24"/>
    </w:rPr>
  </w:style>
  <w:style w:type="character" w:customStyle="1" w:styleId="61">
    <w:name w:val="标题 6 Char1"/>
    <w:link w:val="13"/>
    <w:qFormat/>
    <w:uiPriority w:val="0"/>
    <w:rPr>
      <w:rFonts w:ascii="宋体" w:hAnsi="Arial" w:eastAsia="宋体"/>
      <w:sz w:val="24"/>
      <w:lang w:val="en-US" w:eastAsia="zh-CN" w:bidi="ar-SA"/>
    </w:rPr>
  </w:style>
  <w:style w:type="character" w:customStyle="1" w:styleId="62">
    <w:name w:val="标题 7 Char1"/>
    <w:link w:val="14"/>
    <w:qFormat/>
    <w:uiPriority w:val="0"/>
    <w:rPr>
      <w:rFonts w:ascii="宋体" w:hAnsi="Arial" w:eastAsia="宋体"/>
      <w:b/>
      <w:sz w:val="24"/>
      <w:lang w:val="en-US" w:eastAsia="zh-CN" w:bidi="ar-SA"/>
    </w:rPr>
  </w:style>
  <w:style w:type="character" w:customStyle="1" w:styleId="63">
    <w:name w:val="标题 8 Char1"/>
    <w:link w:val="15"/>
    <w:qFormat/>
    <w:uiPriority w:val="0"/>
    <w:rPr>
      <w:rFonts w:ascii="Arial" w:hAnsi="Arial" w:eastAsia="黑体"/>
      <w:sz w:val="24"/>
      <w:lang w:val="en-US" w:eastAsia="zh-CN" w:bidi="ar-SA"/>
    </w:rPr>
  </w:style>
  <w:style w:type="character" w:customStyle="1" w:styleId="64">
    <w:name w:val="标题 9 Char1"/>
    <w:link w:val="16"/>
    <w:qFormat/>
    <w:uiPriority w:val="0"/>
    <w:rPr>
      <w:rFonts w:ascii="Arial" w:hAnsi="Arial" w:eastAsia="黑体"/>
      <w:sz w:val="24"/>
      <w:lang w:val="en-US" w:eastAsia="zh-CN" w:bidi="ar-SA"/>
    </w:rPr>
  </w:style>
  <w:style w:type="character" w:customStyle="1" w:styleId="65">
    <w:name w:val="纯文本 Char"/>
    <w:link w:val="26"/>
    <w:qFormat/>
    <w:uiPriority w:val="0"/>
    <w:rPr>
      <w:rFonts w:ascii="宋体" w:hAnsi="Courier New" w:eastAsia="宋体"/>
      <w:kern w:val="2"/>
      <w:sz w:val="21"/>
      <w:lang w:val="en-US" w:eastAsia="zh-CN" w:bidi="ar-SA"/>
    </w:rPr>
  </w:style>
  <w:style w:type="paragraph" w:customStyle="1" w:styleId="66">
    <w:name w:val="表正文"/>
    <w:basedOn w:val="1"/>
    <w:next w:val="26"/>
    <w:qFormat/>
    <w:uiPriority w:val="0"/>
    <w:rPr>
      <w:rFonts w:ascii="宋体" w:hAnsi="Courier New"/>
      <w:szCs w:val="20"/>
    </w:rPr>
  </w:style>
  <w:style w:type="character" w:customStyle="1" w:styleId="67">
    <w:name w:val="正文文本缩进 Char"/>
    <w:link w:val="6"/>
    <w:qFormat/>
    <w:uiPriority w:val="0"/>
    <w:rPr>
      <w:rFonts w:eastAsia="宋体"/>
      <w:kern w:val="2"/>
      <w:sz w:val="21"/>
      <w:szCs w:val="24"/>
      <w:lang w:val="en-US" w:eastAsia="zh-CN" w:bidi="ar-SA"/>
    </w:rPr>
  </w:style>
  <w:style w:type="character" w:customStyle="1" w:styleId="68">
    <w:name w:val="日期 Char2"/>
    <w:link w:val="27"/>
    <w:qFormat/>
    <w:uiPriority w:val="0"/>
    <w:rPr>
      <w:rFonts w:ascii="楷体_GB2312" w:eastAsia="楷体_GB2312"/>
      <w:b/>
      <w:kern w:val="2"/>
      <w:sz w:val="28"/>
      <w:lang w:val="en-US" w:eastAsia="zh-CN" w:bidi="ar-SA"/>
    </w:rPr>
  </w:style>
  <w:style w:type="character" w:customStyle="1" w:styleId="69">
    <w:name w:val="页眉 Char1"/>
    <w:link w:val="31"/>
    <w:qFormat/>
    <w:uiPriority w:val="0"/>
    <w:rPr>
      <w:rFonts w:eastAsia="宋体"/>
      <w:kern w:val="2"/>
      <w:sz w:val="18"/>
      <w:szCs w:val="18"/>
      <w:lang w:val="en-US" w:eastAsia="zh-CN" w:bidi="ar-SA"/>
    </w:rPr>
  </w:style>
  <w:style w:type="character" w:customStyle="1" w:styleId="70">
    <w:name w:val="页脚 Char"/>
    <w:link w:val="30"/>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21"/>
    <w:qFormat/>
    <w:uiPriority w:val="0"/>
    <w:rPr>
      <w:rFonts w:eastAsia="宋体"/>
      <w:kern w:val="2"/>
      <w:sz w:val="21"/>
      <w:szCs w:val="24"/>
      <w:lang w:val="en-US" w:eastAsia="zh-CN" w:bidi="ar-SA"/>
    </w:rPr>
  </w:style>
  <w:style w:type="character" w:customStyle="1" w:styleId="74">
    <w:name w:val="正文文本 2 Char1"/>
    <w:link w:val="37"/>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6"/>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8"/>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9"/>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6"/>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6"/>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20"/>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20"/>
    <w:qFormat/>
    <w:uiPriority w:val="0"/>
    <w:rPr>
      <w:rFonts w:ascii="Tahoma" w:hAnsi="Tahoma"/>
      <w:sz w:val="24"/>
    </w:rPr>
  </w:style>
  <w:style w:type="paragraph" w:customStyle="1" w:styleId="141">
    <w:name w:val="Char Char Char"/>
    <w:basedOn w:val="20"/>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6"/>
    <w:qFormat/>
    <w:uiPriority w:val="0"/>
  </w:style>
  <w:style w:type="paragraph" w:customStyle="1" w:styleId="153">
    <w:name w:val="样式 正文缩进 + 首行缩进:  2 字符"/>
    <w:basedOn w:val="5"/>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6"/>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8"/>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2"/>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2"/>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11"/>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6"/>
    <w:link w:val="29"/>
    <w:qFormat/>
    <w:uiPriority w:val="0"/>
    <w:rPr>
      <w:kern w:val="2"/>
      <w:sz w:val="18"/>
      <w:szCs w:val="18"/>
    </w:rPr>
  </w:style>
  <w:style w:type="character" w:customStyle="1" w:styleId="201">
    <w:name w:val="正文文本缩进 3 Char"/>
    <w:basedOn w:val="46"/>
    <w:link w:val="35"/>
    <w:qFormat/>
    <w:uiPriority w:val="0"/>
    <w:rPr>
      <w:kern w:val="2"/>
      <w:sz w:val="16"/>
      <w:szCs w:val="16"/>
    </w:rPr>
  </w:style>
  <w:style w:type="character" w:customStyle="1" w:styleId="202">
    <w:name w:val="HTML 预设格式 Char"/>
    <w:basedOn w:val="46"/>
    <w:link w:val="39"/>
    <w:qFormat/>
    <w:uiPriority w:val="0"/>
    <w:rPr>
      <w:rFonts w:ascii="黑体" w:hAnsi="Courier New" w:eastAsia="黑体" w:cs="Courier New"/>
    </w:rPr>
  </w:style>
  <w:style w:type="character" w:customStyle="1" w:styleId="203">
    <w:name w:val="批注主题 Char"/>
    <w:basedOn w:val="170"/>
    <w:link w:val="43"/>
    <w:qFormat/>
    <w:uiPriority w:val="0"/>
    <w:rPr>
      <w:rFonts w:eastAsia="宋体"/>
      <w:b/>
      <w:bCs/>
      <w:kern w:val="2"/>
      <w:sz w:val="24"/>
      <w:szCs w:val="24"/>
      <w:lang w:val="en-US" w:eastAsia="zh-CN" w:bidi="ar-SA"/>
    </w:rPr>
  </w:style>
  <w:style w:type="character" w:customStyle="1" w:styleId="204">
    <w:name w:val="正文首行缩进 Char"/>
    <w:basedOn w:val="165"/>
    <w:link w:val="8"/>
    <w:qFormat/>
    <w:uiPriority w:val="0"/>
    <w:rPr>
      <w:rFonts w:eastAsia="仿宋_GB2312"/>
      <w:kern w:val="2"/>
      <w:sz w:val="21"/>
      <w:szCs w:val="24"/>
      <w:lang w:val="en-US" w:eastAsia="zh-CN" w:bidi="ar-SA"/>
    </w:rPr>
  </w:style>
  <w:style w:type="character" w:customStyle="1" w:styleId="205">
    <w:name w:val="正文首行缩进 2 Char"/>
    <w:basedOn w:val="67"/>
    <w:link w:val="7"/>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qFormat/>
    <w:uiPriority w:val="0"/>
    <w:rPr>
      <w:rFonts w:hint="default" w:ascii="等线" w:hAnsi="等线" w:eastAsia="等线" w:cs="等线"/>
      <w:color w:val="000000"/>
      <w:sz w:val="22"/>
      <w:szCs w:val="22"/>
      <w:u w:val="none"/>
    </w:rPr>
  </w:style>
  <w:style w:type="character" w:customStyle="1" w:styleId="271">
    <w:name w:val="font51"/>
    <w:basedOn w:val="46"/>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9"/>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6"/>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85</Pages>
  <Words>48803</Words>
  <Characters>51636</Characters>
  <Lines>490</Lines>
  <Paragraphs>138</Paragraphs>
  <TotalTime>0</TotalTime>
  <ScaleCrop>false</ScaleCrop>
  <LinksUpToDate>false</LinksUpToDate>
  <CharactersWithSpaces>57849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無珂鲰玳k&amp;o_O</cp:lastModifiedBy>
  <cp:lastPrinted>2022-11-15T09:02:00Z</cp:lastPrinted>
  <dcterms:modified xsi:type="dcterms:W3CDTF">2023-03-14T00:56:37Z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