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w:t>
      </w:r>
    </w:p>
    <w:p>
      <w:pPr>
        <w:jc w:val="center"/>
        <w:outlineLvl w:val="0"/>
        <w:rPr>
          <w:rFonts w:hint="eastAsia" w:ascii="仿宋" w:hAnsi="仿宋" w:eastAsia="仿宋" w:cs="仿宋"/>
          <w:b/>
          <w:color w:val="auto"/>
          <w:spacing w:val="-12"/>
          <w:sz w:val="48"/>
          <w:szCs w:val="48"/>
          <w:highlight w:val="none"/>
        </w:rPr>
      </w:pPr>
      <w:r>
        <w:rPr>
          <w:rFonts w:hint="eastAsia" w:ascii="仿宋" w:hAnsi="仿宋" w:eastAsia="仿宋" w:cs="仿宋"/>
          <w:b/>
          <w:color w:val="auto"/>
          <w:spacing w:val="-12"/>
          <w:sz w:val="48"/>
          <w:szCs w:val="48"/>
          <w:highlight w:val="none"/>
          <w:lang w:eastAsia="zh-CN"/>
        </w:rPr>
        <w:t>新机房数据中心建设项目</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pPr>
        <w:jc w:val="cente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TYJZ2022125</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二○二二年</w:t>
            </w:r>
            <w:r>
              <w:rPr>
                <w:rFonts w:hint="eastAsia" w:ascii="仿宋" w:hAnsi="仿宋" w:eastAsia="仿宋" w:cs="仿宋"/>
                <w:color w:val="auto"/>
                <w:sz w:val="28"/>
                <w:szCs w:val="28"/>
                <w:highlight w:val="none"/>
                <w:lang w:eastAsia="zh-CN"/>
              </w:rPr>
              <w:t>十二</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3"/>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3"/>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8205" w:type="dxa"/>
                </w:tcPr>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绍兴市中医院新机房数据中心建设项目</w:t>
                  </w:r>
                  <w:r>
                    <w:rPr>
                      <w:rFonts w:hint="eastAsia" w:ascii="仿宋" w:hAnsi="仿宋" w:eastAsia="仿宋" w:cs="仿宋"/>
                      <w:color w:val="auto"/>
                      <w:szCs w:val="24"/>
                      <w:highlight w:val="none"/>
                    </w:rPr>
                    <w:t>的潜在投标人应在</w:t>
                  </w:r>
                  <w:r>
                    <w:rPr>
                      <w:rStyle w:val="278"/>
                      <w:rFonts w:hint="eastAsia" w:ascii="仿宋" w:hAnsi="仿宋" w:eastAsia="仿宋" w:cs="仿宋"/>
                      <w:color w:val="auto"/>
                      <w:sz w:val="27"/>
                      <w:szCs w:val="27"/>
                      <w:highlight w:val="none"/>
                    </w:rPr>
                    <w:t>https://www.zcygov.cn</w:t>
                  </w:r>
                  <w:r>
                    <w:rPr>
                      <w:rFonts w:hint="eastAsia" w:ascii="仿宋" w:hAnsi="仿宋" w:eastAsia="仿宋" w:cs="仿宋"/>
                      <w:color w:val="auto"/>
                      <w:szCs w:val="24"/>
                      <w:highlight w:val="none"/>
                    </w:rPr>
                    <w:t>获取（下载）招标文件，并于202</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01</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13</w:t>
                  </w:r>
                  <w:r>
                    <w:rPr>
                      <w:rFonts w:hint="eastAsia" w:ascii="仿宋" w:hAnsi="仿宋" w:eastAsia="仿宋" w:cs="仿宋"/>
                      <w:color w:val="auto"/>
                      <w:szCs w:val="24"/>
                      <w:highlight w:val="none"/>
                    </w:rPr>
                    <w:t xml:space="preserve">日 </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0（北京时间）前递交（上传）投标文件。</w:t>
                  </w:r>
                </w:p>
              </w:tc>
            </w:tr>
          </w:tbl>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TYJZ2022125</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绍兴市中医院新机房数据中心建设项目</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1800000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1800000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绍兴市中医院新机房数据中心建设项目</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数量:1</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1800000</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备注：无</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69"/>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69"/>
              <w:spacing w:afterLines="0" w:line="440" w:lineRule="exact"/>
              <w:ind w:firstLine="42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29060800"/>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29060800"/>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785" w:firstLineChars="374"/>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2906080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2365989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2906080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2906080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6959412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29060803"/>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 ，小微企业合同金额应当达到%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4.本项目的特定资格要求：无</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时间：/至202</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01</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13</w:t>
            </w:r>
            <w:r>
              <w:rPr>
                <w:rFonts w:hint="eastAsia" w:ascii="仿宋" w:hAnsi="仿宋" w:eastAsia="仿宋" w:cs="仿宋"/>
                <w:color w:val="auto"/>
                <w:szCs w:val="24"/>
                <w:highlight w:val="none"/>
              </w:rPr>
              <w:t>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地点（网址）：</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w:t>
            </w:r>
            <w:bookmarkStart w:id="184" w:name="_GoBack"/>
            <w:bookmarkEnd w:id="184"/>
            <w:r>
              <w:rPr>
                <w:rFonts w:hint="eastAsia" w:ascii="仿宋" w:hAnsi="仿宋" w:eastAsia="仿宋" w:cs="仿宋"/>
                <w:bCs/>
                <w:color w:val="auto"/>
                <w:highlight w:val="none"/>
              </w:rPr>
              <w:t>在获取采购文件菜单中选择项目，申请获取采购文件）。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售价（元）：0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01</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13</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01</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13</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9</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0</w:t>
            </w:r>
            <w:r>
              <w:rPr>
                <w:rFonts w:hint="eastAsia" w:ascii="仿宋" w:hAnsi="仿宋" w:eastAsia="仿宋" w:cs="仿宋"/>
                <w:color w:val="auto"/>
                <w:szCs w:val="24"/>
                <w:highlight w:val="none"/>
              </w:rPr>
              <w:t>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w:t>
            </w:r>
            <w:r>
              <w:rPr>
                <w:rFonts w:hint="eastAsia" w:ascii="仿宋" w:hAnsi="仿宋" w:eastAsia="仿宋" w:cs="仿宋"/>
                <w:color w:val="auto"/>
                <w:highlight w:val="none"/>
              </w:rPr>
              <w:t>绍兴市越城区朝皇路58号正大综合楼601泰宇咨询会议室</w:t>
            </w:r>
            <w:r>
              <w:rPr>
                <w:rFonts w:hint="eastAsia" w:ascii="仿宋" w:hAnsi="仿宋" w:eastAsia="仿宋" w:cs="仿宋"/>
                <w:color w:val="auto"/>
                <w:szCs w:val="24"/>
                <w:highlight w:val="none"/>
              </w:rPr>
              <w:t>，在政府采购云平台（www.zcygov.cn）上开启响应文件。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名称：绍兴市中医院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color w:val="auto"/>
                <w:highlight w:val="none"/>
              </w:rPr>
              <w:t>绍兴市越城区人民中路6</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1号</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项目联系人（询问）：王宁</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项目联系方式（询问）：0575-89102270</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highlight w:val="none"/>
              </w:rPr>
              <w:t> </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2.采购代理机构信息       </w:t>
            </w:r>
            <w:r>
              <w:rPr>
                <w:rFonts w:hint="eastAsia" w:ascii="仿宋" w:hAnsi="仿宋" w:eastAsia="仿宋" w:cs="仿宋"/>
                <w:color w:val="auto"/>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名称：泰宇建筑工程技术咨询有限公司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质疑联系方式：0575-85080066</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：宋晓林       </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tblPrEx>
          <w:tblCellMar>
            <w:top w:w="0" w:type="dxa"/>
            <w:left w:w="0" w:type="dxa"/>
            <w:bottom w:w="0" w:type="dxa"/>
            <w:right w:w="0" w:type="dxa"/>
          </w:tblCellMar>
        </w:tblPrEx>
        <w:tc>
          <w:tcPr>
            <w:tcW w:w="827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sdt>
              <w:sdtPr>
                <w:rPr>
                  <w:rFonts w:hint="eastAsia" w:ascii="仿宋" w:hAnsi="仿宋" w:eastAsia="仿宋" w:cs="仿宋"/>
                  <w:color w:val="auto"/>
                  <w:kern w:val="0"/>
                  <w:sz w:val="24"/>
                  <w:highlight w:val="none"/>
                </w:rPr>
                <w:id w:val="2906080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r>
              <w:rPr>
                <w:rFonts w:hint="eastAsia" w:ascii="仿宋" w:hAnsi="仿宋" w:eastAsia="仿宋" w:cs="仿宋"/>
                <w:b/>
                <w:bCs/>
                <w:color w:val="auto"/>
                <w:sz w:val="24"/>
                <w:highlight w:val="none"/>
              </w:rPr>
              <w:t>供应商须在收到中标通知书5个工作日内提供二份与电子投标文件一致的纸质投标文件，并邮寄到绍兴市越城区朝皇路正大综合楼601。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2632206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94006690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74078883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7518134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83321284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2906081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影像存储</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906081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（1）标的：标项一，属于行业</w:t>
            </w:r>
            <w:r>
              <w:rPr>
                <w:rFonts w:hint="default" w:ascii="仿宋" w:hAnsi="仿宋" w:eastAsia="仿宋" w:cs="仿宋"/>
                <w:color w:val="auto"/>
                <w:kern w:val="0"/>
                <w:sz w:val="24"/>
                <w:highlight w:val="none"/>
              </w:rPr>
              <w:t>：</w:t>
            </w:r>
            <w:r>
              <w:rPr>
                <w:rFonts w:hint="eastAsia" w:ascii="仿宋" w:hAnsi="仿宋" w:eastAsia="仿宋" w:cs="仿宋"/>
                <w:i w:val="0"/>
                <w:iCs w:val="0"/>
                <w:caps w:val="0"/>
                <w:color w:val="auto"/>
                <w:spacing w:val="0"/>
                <w:kern w:val="0"/>
                <w:sz w:val="24"/>
                <w:szCs w:val="24"/>
                <w:highlight w:val="none"/>
                <w:u w:val="single"/>
                <w:shd w:val="clear"/>
              </w:rPr>
              <w:t>行业应用软件</w:t>
            </w:r>
            <w:r>
              <w:rPr>
                <w:rFonts w:hint="eastAsia" w:ascii="仿宋" w:hAnsi="仿宋" w:eastAsia="仿宋" w:cs="仿宋"/>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40" w:lineRule="exact"/>
              <w:rPr>
                <w:rFonts w:hint="eastAsia" w:ascii="仿宋" w:hAnsi="仿宋" w:eastAsia="仿宋" w:cs="仿宋"/>
                <w:b/>
                <w:color w:val="auto"/>
                <w:sz w:val="24"/>
                <w:highlight w:val="none"/>
              </w:rPr>
            </w:pPr>
          </w:p>
        </w:tc>
        <w:tc>
          <w:tcPr>
            <w:tcW w:w="7515" w:type="dxa"/>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color w:val="auto"/>
                <w:sz w:val="24"/>
                <w:highlight w:val="none"/>
              </w:rPr>
            </w:pPr>
          </w:p>
        </w:tc>
        <w:tc>
          <w:tcPr>
            <w:tcW w:w="8370" w:type="dxa"/>
            <w:gridSpan w:val="2"/>
            <w:vAlign w:val="center"/>
          </w:tcPr>
          <w:p>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81633666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联合体投标的，联合体各方均需按招标文件第四部分评标标准要求提供资信证明文件，否则视为不符合相关要求。</w:t>
            </w:r>
          </w:p>
          <w:p>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23231189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color w:val="auto"/>
                <w:sz w:val="24"/>
                <w:highlight w:val="none"/>
                <w:lang w:val="en-US" w:eastAsia="zh-CN"/>
              </w:rPr>
              <w:t>*62</w:t>
            </w:r>
            <w:r>
              <w:rPr>
                <w:rFonts w:hint="eastAsia" w:ascii="仿宋" w:hAnsi="仿宋" w:eastAsia="仿宋" w:cs="仿宋"/>
                <w:color w:val="auto"/>
                <w:sz w:val="24"/>
                <w:highlight w:val="none"/>
              </w:rPr>
              <w:t>%进行收费。服务费不到2000元按照2000元收取。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解释：凡涉及本招标文件的解释权属于采购人和本</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为本项目的采购人（合同中的甲方），</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为采购</w:t>
      </w:r>
      <w:r>
        <w:rPr>
          <w:rFonts w:hint="eastAsia" w:ascii="仿宋" w:hAnsi="仿宋" w:eastAsia="仿宋" w:cs="仿宋"/>
          <w:color w:val="auto"/>
          <w:sz w:val="24"/>
          <w:highlight w:val="none"/>
          <w:lang w:eastAsia="zh-CN"/>
        </w:rPr>
        <w:t>代理</w:t>
      </w:r>
      <w:r>
        <w:rPr>
          <w:rFonts w:hint="eastAsia" w:ascii="仿宋" w:hAnsi="仿宋" w:eastAsia="仿宋" w:cs="仿宋"/>
          <w:color w:val="auto"/>
          <w:sz w:val="24"/>
          <w:highlight w:val="none"/>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4"/>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6"/>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72" w:firstLineChars="196"/>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投标文件由“报价文件资料”、“商务技术（资信）文件资料”两部分组成，其中</w:t>
      </w:r>
      <w:r>
        <w:rPr>
          <w:rFonts w:hint="eastAsia" w:ascii="仿宋" w:hAnsi="仿宋" w:eastAsia="仿宋" w:cs="仿宋"/>
          <w:b/>
          <w:color w:val="auto"/>
          <w:sz w:val="24"/>
          <w:highlight w:val="none"/>
        </w:rPr>
        <w:t>电子投标文件中所须加盖公章部分均应采用电子签章。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4"/>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3"/>
        <w:snapToGrid w:val="0"/>
        <w:spacing w:line="440" w:lineRule="exact"/>
        <w:rPr>
          <w:rFonts w:hint="eastAsia" w:ascii="仿宋" w:hAnsi="仿宋" w:eastAsia="仿宋" w:cs="仿宋"/>
          <w:color w:val="auto"/>
          <w:sz w:val="24"/>
          <w:highlight w:val="none"/>
          <w:lang w:val="zh-CN"/>
        </w:rPr>
      </w:pPr>
      <w:bookmarkStart w:id="1" w:name="_Hlt68403820"/>
      <w:bookmarkEnd w:id="1"/>
      <w:bookmarkStart w:id="2" w:name="_Hlt68072998"/>
      <w:bookmarkEnd w:id="2"/>
      <w:bookmarkStart w:id="3" w:name="_Hlt68073093"/>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3"/>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5.投标文件的规定</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5.1投标文件由“商务技术（资信）文件资料”、“报价文件资料”两部分文件组成，应按统一格式填写。</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5.2投标文件须按附件格式要求进行电子签章，投标人应写全称。</w:t>
      </w:r>
    </w:p>
    <w:p>
      <w:pPr>
        <w:pStyle w:val="23"/>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5.3投标文件不得涂改，若有修改错漏处，须加盖单位公章（或电子签章）或者法定代表人或其授权代表签字或盖章。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投标人应按“招标公告”规定的时间、方式将投标文件提交给采购机构，</w:t>
      </w:r>
      <w:r>
        <w:rPr>
          <w:rFonts w:hint="eastAsia" w:ascii="仿宋" w:hAnsi="仿宋" w:eastAsia="仿宋" w:cs="仿宋"/>
          <w:b/>
          <w:color w:val="auto"/>
          <w:sz w:val="24"/>
          <w:highlight w:val="none"/>
        </w:rPr>
        <w:t>采购机构将拒绝接受逾期提交的投标文件。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w:t>
      </w:r>
      <w:r>
        <w:rPr>
          <w:rFonts w:hint="eastAsia" w:ascii="仿宋" w:hAnsi="仿宋" w:eastAsia="仿宋" w:cs="仿宋"/>
          <w:b/>
          <w:color w:val="auto"/>
          <w:kern w:val="0"/>
          <w:sz w:val="24"/>
          <w:highlight w:val="none"/>
        </w:rPr>
        <w:t>投标文件的补充和修改</w:t>
      </w:r>
    </w:p>
    <w:p>
      <w:pPr>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3.6评</w:t>
      </w:r>
      <w:r>
        <w:rPr>
          <w:rFonts w:hint="eastAsia" w:ascii="仿宋" w:hAnsi="仿宋" w:eastAsia="仿宋" w:cs="仿宋"/>
          <w:color w:val="auto"/>
          <w:sz w:val="24"/>
          <w:highlight w:val="none"/>
        </w:rPr>
        <w:t>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 《政府采购货物和服务招标投标管理办法》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6.8评标委员会依据招标文件规定的评标标准和方法，对投标文件进行评审和比较后，向本</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8.9报</w:t>
      </w:r>
      <w:r>
        <w:rPr>
          <w:rFonts w:hint="eastAsia" w:ascii="仿宋" w:hAnsi="仿宋" w:eastAsia="仿宋" w:cs="仿宋"/>
          <w:b/>
          <w:color w:val="auto"/>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8.10</w:t>
      </w:r>
      <w:r>
        <w:rPr>
          <w:rFonts w:hint="eastAsia" w:ascii="仿宋" w:hAnsi="仿宋" w:eastAsia="仿宋" w:cs="仿宋"/>
          <w:b/>
          <w:color w:val="auto"/>
          <w:sz w:val="24"/>
          <w:highlight w:val="none"/>
        </w:rPr>
        <w:t>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8.11出现同一标的物或本次招标产品(服务)内的主要产品(重要组成部分)出现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8.12《技</w:t>
      </w:r>
      <w:r>
        <w:rPr>
          <w:rFonts w:hint="eastAsia" w:ascii="仿宋" w:hAnsi="仿宋" w:eastAsia="仿宋" w:cs="仿宋"/>
          <w:b/>
          <w:color w:val="auto"/>
          <w:sz w:val="24"/>
          <w:highlight w:val="none"/>
        </w:rPr>
        <w:t>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8.13投</w:t>
      </w:r>
      <w:r>
        <w:rPr>
          <w:rFonts w:hint="eastAsia" w:ascii="仿宋" w:hAnsi="仿宋" w:eastAsia="仿宋" w:cs="仿宋"/>
          <w:b/>
          <w:color w:val="auto"/>
          <w:kern w:val="0"/>
          <w:sz w:val="24"/>
          <w:highlight w:val="none"/>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8.14评</w:t>
      </w:r>
      <w:r>
        <w:rPr>
          <w:rFonts w:hint="eastAsia" w:ascii="仿宋" w:hAnsi="仿宋" w:eastAsia="仿宋" w:cs="仿宋"/>
          <w:b/>
          <w:color w:val="auto"/>
          <w:sz w:val="24"/>
          <w:highlight w:val="none"/>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8.22.2供应商按照采购人或者采购机构的授意撤换、修改投标文件或者响应文件；</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8.22.3供应商之间协商报价、技术方案等投标文件或者响应文件的实质性内容；</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8.22.4属于同一集团、协会、商会等组织成员的供应商按照该组织要求协同参加政府采购活动；</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8.22.5供应商之间事先约定由某一特定供应商中标、成交；</w:t>
      </w:r>
    </w:p>
    <w:p>
      <w:pPr>
        <w:spacing w:line="440" w:lineRule="exact"/>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8.23</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pacing w:line="440" w:lineRule="exac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highlight w:val="none"/>
        </w:rPr>
      </w:pPr>
      <w:bookmarkStart w:id="4" w:name="_Toc81372953"/>
      <w:bookmarkStart w:id="5" w:name="_Toc81372776"/>
      <w:bookmarkStart w:id="6" w:name="_Toc84325929"/>
      <w:r>
        <w:rPr>
          <w:rFonts w:hint="eastAsia" w:ascii="仿宋" w:hAnsi="仿宋" w:eastAsia="仿宋" w:cs="仿宋"/>
          <w:b/>
          <w:color w:val="auto"/>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bookmarkEnd w:id="4"/>
    <w:bookmarkEnd w:id="5"/>
    <w:bookmarkEnd w:id="6"/>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3"/>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Style w:val="50"/>
          <w:rFonts w:hint="eastAsia" w:ascii="仿宋" w:hAnsi="仿宋" w:eastAsia="仿宋" w:cs="仿宋"/>
          <w:color w:val="auto"/>
          <w:kern w:val="0"/>
          <w:highlight w:val="none"/>
        </w:rPr>
        <w:t>http://zfcg.czt.zj.gov.cn/</w:t>
      </w:r>
      <w:r>
        <w:rPr>
          <w:rStyle w:val="50"/>
          <w:rFonts w:hint="eastAsia" w:ascii="仿宋" w:hAnsi="仿宋" w:eastAsia="仿宋" w:cs="仿宋"/>
          <w:color w:val="auto"/>
          <w:kern w:val="0"/>
          <w:highlight w:val="none"/>
        </w:rPr>
        <w:fldChar w:fldCharType="end"/>
      </w:r>
      <w:r>
        <w:rPr>
          <w:rFonts w:hint="eastAsia" w:ascii="仿宋" w:hAnsi="仿宋" w:eastAsia="仿宋" w:cs="仿宋"/>
          <w:color w:val="auto"/>
          <w:kern w:val="0"/>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Style w:val="50"/>
          <w:rFonts w:hint="eastAsia" w:ascii="仿宋" w:hAnsi="仿宋" w:eastAsia="仿宋" w:cs="仿宋"/>
          <w:color w:val="auto"/>
          <w:highlight w:val="none"/>
        </w:rPr>
        <w:t>http://ggb.sx.gov.cn</w:t>
      </w:r>
      <w:r>
        <w:rPr>
          <w:rStyle w:val="50"/>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8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1.设备（材料）要求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2.数量调整</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3.安装及调试、验收</w:t>
      </w:r>
    </w:p>
    <w:p>
      <w:pPr>
        <w:pStyle w:val="69"/>
        <w:widowControl w:val="0"/>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4.技术培训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5.售后服务</w:t>
      </w:r>
    </w:p>
    <w:p>
      <w:pPr>
        <w:pStyle w:val="6"/>
        <w:spacing w:line="440" w:lineRule="exact"/>
        <w:ind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w:t>
      </w:r>
      <w:r>
        <w:rPr>
          <w:rFonts w:hint="eastAsia" w:ascii="仿宋" w:hAnsi="仿宋" w:eastAsia="仿宋" w:cs="仿宋"/>
          <w:b/>
          <w:color w:val="auto"/>
          <w:sz w:val="24"/>
          <w:highlight w:val="none"/>
          <w:u w:val="single"/>
        </w:rPr>
        <w:t>绍兴附近</w:t>
      </w:r>
      <w:r>
        <w:rPr>
          <w:rFonts w:hint="eastAsia" w:ascii="仿宋" w:hAnsi="仿宋" w:eastAsia="仿宋" w:cs="仿宋"/>
          <w:color w:val="auto"/>
          <w:sz w:val="24"/>
          <w:highlight w:val="none"/>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highlight w:val="none"/>
          <w:u w:val="wave"/>
        </w:rPr>
      </w:pPr>
      <w:r>
        <w:rPr>
          <w:rFonts w:hint="eastAsia" w:ascii="仿宋" w:hAnsi="仿宋" w:eastAsia="仿宋" w:cs="仿宋"/>
          <w:b/>
          <w:color w:val="auto"/>
          <w:sz w:val="24"/>
          <w:highlight w:val="none"/>
        </w:rPr>
        <w:t>6. 服务要求</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项目实施人员费用</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highlight w:val="none"/>
        </w:rPr>
      </w:pPr>
      <w:bookmarkStart w:id="7" w:name="_Toc151354173"/>
      <w:bookmarkStart w:id="8" w:name="_Toc80157775"/>
      <w:bookmarkStart w:id="9" w:name="_Toc81372787"/>
      <w:bookmarkStart w:id="10" w:name="_Toc84325981"/>
      <w:bookmarkStart w:id="11" w:name="_Toc81372964"/>
      <w:r>
        <w:rPr>
          <w:rFonts w:hint="eastAsia" w:ascii="仿宋" w:hAnsi="仿宋" w:eastAsia="仿宋" w:cs="仿宋"/>
          <w:b/>
          <w:color w:val="auto"/>
          <w:sz w:val="24"/>
          <w:highlight w:val="none"/>
        </w:rPr>
        <w:t>8.招标项目设备名称及数量：</w:t>
      </w:r>
    </w:p>
    <w:p>
      <w:pPr>
        <w:spacing w:line="440" w:lineRule="exact"/>
        <w:ind w:right="42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bdr w:val="single" w:color="auto" w:sz="4" w:space="0"/>
        </w:rPr>
        <w:t>01标</w:t>
      </w:r>
      <w:bookmarkStart w:id="12" w:name="_Toc7206"/>
      <w:bookmarkStart w:id="13" w:name="_Toc32678"/>
      <w:r>
        <w:rPr>
          <w:rFonts w:hint="eastAsia" w:ascii="仿宋" w:hAnsi="仿宋" w:eastAsia="仿宋" w:cs="仿宋"/>
          <w:b/>
          <w:bCs/>
          <w:color w:val="auto"/>
          <w:sz w:val="24"/>
          <w:highlight w:val="none"/>
          <w:lang w:eastAsia="zh-CN"/>
        </w:rPr>
        <w:t>绍兴市中医院新机房数据中心建设项目，</w:t>
      </w:r>
      <w:r>
        <w:rPr>
          <w:rFonts w:hint="eastAsia" w:ascii="仿宋" w:hAnsi="仿宋" w:eastAsia="仿宋" w:cs="仿宋"/>
          <w:b/>
          <w:bCs/>
          <w:color w:val="auto"/>
          <w:highlight w:val="none"/>
        </w:rPr>
        <w:t>总预算</w:t>
      </w:r>
      <w:r>
        <w:rPr>
          <w:rFonts w:hint="eastAsia" w:ascii="仿宋" w:hAnsi="仿宋" w:eastAsia="仿宋" w:cs="仿宋"/>
          <w:b/>
          <w:bCs/>
          <w:color w:val="auto"/>
          <w:highlight w:val="none"/>
          <w:lang w:val="en-US" w:eastAsia="zh-CN"/>
        </w:rPr>
        <w:t>180</w:t>
      </w:r>
      <w:r>
        <w:rPr>
          <w:rFonts w:hint="eastAsia" w:ascii="仿宋" w:hAnsi="仿宋" w:eastAsia="仿宋" w:cs="仿宋"/>
          <w:b/>
          <w:bCs/>
          <w:color w:val="auto"/>
          <w:highlight w:val="none"/>
        </w:rPr>
        <w:t>万</w:t>
      </w:r>
      <w:r>
        <w:rPr>
          <w:rFonts w:hint="eastAsia" w:ascii="仿宋" w:hAnsi="仿宋" w:eastAsia="仿宋" w:cs="仿宋"/>
          <w:b/>
          <w:bCs/>
          <w:color w:val="auto"/>
          <w:sz w:val="24"/>
          <w:highlight w:val="none"/>
          <w:lang w:eastAsia="zh-CN"/>
        </w:rPr>
        <w:t>。</w:t>
      </w:r>
    </w:p>
    <w:bookmarkEnd w:id="7"/>
    <w:bookmarkEnd w:id="12"/>
    <w:bookmarkEnd w:id="13"/>
    <w:p>
      <w:pPr>
        <w:pStyle w:val="6"/>
        <w:numPr>
          <w:ilvl w:val="0"/>
          <w:numId w:val="0"/>
        </w:numPr>
        <w:spacing w:line="420" w:lineRule="exact"/>
        <w:ind w:leftChars="0" w:firstLine="482" w:firstLineChars="200"/>
        <w:rPr>
          <w:rFonts w:hint="eastAsia" w:ascii="仿宋" w:hAnsi="仿宋" w:eastAsia="仿宋" w:cs="仿宋"/>
          <w:b/>
          <w:sz w:val="21"/>
          <w:szCs w:val="21"/>
          <w:highlight w:val="none"/>
        </w:rPr>
      </w:pPr>
      <w:r>
        <w:rPr>
          <w:rFonts w:hint="eastAsia" w:ascii="仿宋" w:hAnsi="仿宋" w:eastAsia="仿宋" w:cs="仿宋"/>
          <w:b/>
          <w:sz w:val="24"/>
          <w:highlight w:val="none"/>
          <w:lang w:eastAsia="zh-CN"/>
        </w:rPr>
        <w:t>一、</w:t>
      </w:r>
      <w:r>
        <w:rPr>
          <w:rFonts w:hint="eastAsia" w:ascii="仿宋" w:hAnsi="仿宋" w:eastAsia="仿宋" w:cs="仿宋"/>
          <w:b/>
          <w:sz w:val="21"/>
          <w:szCs w:val="21"/>
          <w:highlight w:val="none"/>
        </w:rPr>
        <w:t>采购内容一览表</w:t>
      </w:r>
    </w:p>
    <w:tbl>
      <w:tblPr>
        <w:tblStyle w:val="44"/>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7"/>
        <w:gridCol w:w="4878"/>
        <w:gridCol w:w="2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jc w:val="center"/>
              <w:rPr>
                <w:rFonts w:hint="eastAsia" w:ascii="仿宋" w:hAnsi="仿宋" w:eastAsia="仿宋" w:cs="仿宋"/>
                <w:b/>
                <w:caps/>
                <w:sz w:val="21"/>
                <w:szCs w:val="21"/>
                <w:highlight w:val="none"/>
              </w:rPr>
            </w:pPr>
            <w:r>
              <w:rPr>
                <w:rFonts w:hint="eastAsia" w:ascii="仿宋" w:hAnsi="仿宋" w:eastAsia="仿宋" w:cs="仿宋"/>
                <w:b/>
                <w:caps/>
                <w:sz w:val="21"/>
                <w:szCs w:val="21"/>
                <w:highlight w:val="none"/>
              </w:rPr>
              <w:t>序号</w:t>
            </w:r>
          </w:p>
        </w:tc>
        <w:tc>
          <w:tcPr>
            <w:tcW w:w="2871" w:type="pct"/>
            <w:noWrap w:val="0"/>
            <w:vAlign w:val="center"/>
          </w:tcPr>
          <w:p>
            <w:pPr>
              <w:spacing w:line="420" w:lineRule="exact"/>
              <w:jc w:val="center"/>
              <w:rPr>
                <w:rFonts w:hint="eastAsia" w:ascii="仿宋" w:hAnsi="仿宋" w:eastAsia="仿宋" w:cs="仿宋"/>
                <w:b/>
                <w:caps/>
                <w:sz w:val="21"/>
                <w:szCs w:val="21"/>
                <w:highlight w:val="none"/>
              </w:rPr>
            </w:pPr>
            <w:r>
              <w:rPr>
                <w:rFonts w:hint="eastAsia" w:ascii="仿宋" w:hAnsi="仿宋" w:eastAsia="仿宋" w:cs="仿宋"/>
                <w:b/>
                <w:caps/>
                <w:sz w:val="21"/>
                <w:szCs w:val="21"/>
                <w:highlight w:val="none"/>
              </w:rPr>
              <w:t>设备名称</w:t>
            </w:r>
          </w:p>
        </w:tc>
        <w:tc>
          <w:tcPr>
            <w:tcW w:w="1187" w:type="pct"/>
            <w:noWrap w:val="0"/>
            <w:vAlign w:val="center"/>
          </w:tcPr>
          <w:p>
            <w:pPr>
              <w:spacing w:line="420" w:lineRule="exact"/>
              <w:jc w:val="center"/>
              <w:rPr>
                <w:rFonts w:hint="eastAsia" w:ascii="仿宋" w:hAnsi="仿宋" w:eastAsia="仿宋" w:cs="仿宋"/>
                <w:b/>
                <w:caps/>
                <w:sz w:val="21"/>
                <w:szCs w:val="21"/>
                <w:highlight w:val="none"/>
              </w:rPr>
            </w:pPr>
            <w:r>
              <w:rPr>
                <w:rFonts w:hint="eastAsia" w:ascii="仿宋" w:hAnsi="仿宋" w:eastAsia="仿宋" w:cs="仿宋"/>
                <w:b/>
                <w:caps/>
                <w:sz w:val="21"/>
                <w:szCs w:val="21"/>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虚拟化服务器HBA卡</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虚拟化服务器万兆网卡</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12块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虚拟化服务器内存条</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72条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PACS数据库一体机</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PACS应用一体机</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影像存储（核心产品）</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卫生专网防火墙</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安全运营前哨探针</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安全运营服务</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940" w:type="pct"/>
            <w:noWrap w:val="0"/>
            <w:vAlign w:val="center"/>
          </w:tcPr>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2871" w:type="pct"/>
            <w:noWrap w:val="0"/>
            <w:vAlign w:val="center"/>
          </w:tcPr>
          <w:p>
            <w:pPr>
              <w:spacing w:line="420" w:lineRule="exact"/>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时钟同步设备</w:t>
            </w:r>
          </w:p>
        </w:tc>
        <w:tc>
          <w:tcPr>
            <w:tcW w:w="1187" w:type="pct"/>
            <w:noWrap w:val="0"/>
            <w:vAlign w:val="center"/>
          </w:tcPr>
          <w:p>
            <w:pPr>
              <w:spacing w:line="420" w:lineRule="exact"/>
              <w:ind w:firstLine="29" w:firstLineChars="14"/>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1套</w:t>
            </w:r>
          </w:p>
        </w:tc>
      </w:tr>
    </w:tbl>
    <w:p>
      <w:pPr>
        <w:pStyle w:val="6"/>
        <w:spacing w:line="420" w:lineRule="exact"/>
        <w:ind w:firstLine="211" w:firstLineChars="100"/>
        <w:rPr>
          <w:rFonts w:hint="eastAsia" w:ascii="仿宋" w:hAnsi="仿宋" w:eastAsia="仿宋" w:cs="仿宋"/>
          <w:b/>
          <w:sz w:val="21"/>
          <w:szCs w:val="21"/>
          <w:highlight w:val="none"/>
        </w:rPr>
      </w:pPr>
      <w:r>
        <w:rPr>
          <w:rFonts w:hint="eastAsia" w:ascii="仿宋" w:hAnsi="仿宋" w:eastAsia="仿宋" w:cs="仿宋"/>
          <w:b/>
          <w:sz w:val="21"/>
          <w:szCs w:val="21"/>
          <w:highlight w:val="none"/>
          <w:lang w:eastAsia="zh-CN"/>
        </w:rPr>
        <w:t>二、</w:t>
      </w:r>
      <w:r>
        <w:rPr>
          <w:rFonts w:hint="eastAsia" w:ascii="仿宋" w:hAnsi="仿宋" w:eastAsia="仿宋" w:cs="仿宋"/>
          <w:b/>
          <w:sz w:val="21"/>
          <w:szCs w:val="21"/>
          <w:highlight w:val="none"/>
        </w:rPr>
        <w:t>招标技术要求</w:t>
      </w:r>
    </w:p>
    <w:p>
      <w:pPr>
        <w:pStyle w:val="6"/>
        <w:spacing w:line="420" w:lineRule="exact"/>
        <w:ind w:firstLine="0" w:firstLineChars="0"/>
        <w:rPr>
          <w:rFonts w:hint="eastAsia" w:ascii="仿宋" w:hAnsi="仿宋" w:eastAsia="仿宋" w:cs="仿宋"/>
          <w:b/>
          <w:sz w:val="21"/>
          <w:szCs w:val="21"/>
          <w:highlight w:val="none"/>
        </w:rPr>
      </w:pPr>
      <w:r>
        <w:rPr>
          <w:rFonts w:hint="eastAsia" w:ascii="仿宋" w:hAnsi="仿宋" w:eastAsia="仿宋" w:cs="仿宋"/>
          <w:b/>
          <w:sz w:val="21"/>
          <w:szCs w:val="21"/>
          <w:highlight w:val="none"/>
        </w:rPr>
        <w:t>2.1项目概况</w:t>
      </w:r>
    </w:p>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绍兴市中医院在满足医院业务需求的基础上对机房设备现状进行了全面梳理，形成核心生产所需的设备扩充列表、网络安全优化完善策略，为进一步提高整体信息系统安全性，须采购服务器存储等设备。</w:t>
      </w:r>
    </w:p>
    <w:p>
      <w:pPr>
        <w:pStyle w:val="6"/>
        <w:spacing w:line="420" w:lineRule="exact"/>
        <w:ind w:firstLine="0" w:firstLineChars="0"/>
        <w:rPr>
          <w:rFonts w:hint="eastAsia" w:ascii="仿宋" w:hAnsi="仿宋" w:eastAsia="仿宋" w:cs="仿宋"/>
          <w:b/>
          <w:sz w:val="21"/>
          <w:szCs w:val="21"/>
          <w:highlight w:val="none"/>
        </w:rPr>
      </w:pPr>
      <w:r>
        <w:rPr>
          <w:rFonts w:hint="eastAsia" w:ascii="仿宋" w:hAnsi="仿宋" w:eastAsia="仿宋" w:cs="仿宋"/>
          <w:b/>
          <w:sz w:val="21"/>
          <w:szCs w:val="21"/>
          <w:highlight w:val="none"/>
        </w:rPr>
        <w:t>2.2招标技术及其它要求</w:t>
      </w:r>
    </w:p>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1.虚拟化服务器HBA卡技术参数要求：</w:t>
      </w:r>
    </w:p>
    <w:tbl>
      <w:tblPr>
        <w:tblStyle w:val="44"/>
        <w:tblW w:w="825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55"/>
        <w:gridCol w:w="6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155"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指标项</w:t>
            </w:r>
          </w:p>
        </w:tc>
        <w:tc>
          <w:tcPr>
            <w:tcW w:w="6096"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155" w:type="dxa"/>
            <w:noWrap w:val="0"/>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DELL R740 HBA卡</w:t>
            </w:r>
          </w:p>
        </w:tc>
        <w:tc>
          <w:tcPr>
            <w:tcW w:w="6096" w:type="dxa"/>
            <w:noWrap w:val="0"/>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16GB HBA卡（含模块）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155" w:type="dxa"/>
            <w:noWrap w:val="0"/>
            <w:vAlign w:val="top"/>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服务</w:t>
            </w:r>
          </w:p>
        </w:tc>
        <w:tc>
          <w:tcPr>
            <w:tcW w:w="6096" w:type="dxa"/>
            <w:noWrap w:val="0"/>
            <w:vAlign w:val="top"/>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由相应DELL原厂认证工程师完成安装实施，提供三年保修</w:t>
            </w:r>
          </w:p>
        </w:tc>
      </w:tr>
    </w:tbl>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2. 虚拟化服务器万兆网卡技术参数要求：</w:t>
      </w:r>
    </w:p>
    <w:tbl>
      <w:tblPr>
        <w:tblStyle w:val="44"/>
        <w:tblW w:w="825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46"/>
        <w:gridCol w:w="5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546"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指标项</w:t>
            </w:r>
          </w:p>
        </w:tc>
        <w:tc>
          <w:tcPr>
            <w:tcW w:w="5705"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546" w:type="dxa"/>
            <w:noWrap w:val="0"/>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DELL R740双口万兆网卡</w:t>
            </w:r>
          </w:p>
        </w:tc>
        <w:tc>
          <w:tcPr>
            <w:tcW w:w="5705" w:type="dxa"/>
            <w:noWrap w:val="0"/>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双端口万兆网卡（含多模模块）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546" w:type="dxa"/>
            <w:noWrap w:val="0"/>
            <w:vAlign w:val="top"/>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服务</w:t>
            </w:r>
          </w:p>
        </w:tc>
        <w:tc>
          <w:tcPr>
            <w:tcW w:w="5705" w:type="dxa"/>
            <w:noWrap w:val="0"/>
            <w:vAlign w:val="top"/>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由相应DELL原厂认证工程师完成安装实施，提供三年保修</w:t>
            </w:r>
          </w:p>
        </w:tc>
      </w:tr>
    </w:tbl>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3. 虚拟化服务器内存条技术参数要求：</w:t>
      </w:r>
    </w:p>
    <w:tbl>
      <w:tblPr>
        <w:tblStyle w:val="44"/>
        <w:tblW w:w="825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46"/>
        <w:gridCol w:w="5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546"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指标项</w:t>
            </w:r>
          </w:p>
        </w:tc>
        <w:tc>
          <w:tcPr>
            <w:tcW w:w="5705" w:type="dxa"/>
            <w:noWrap w:val="0"/>
            <w:vAlign w:val="center"/>
          </w:tcPr>
          <w:p>
            <w:pPr>
              <w:tabs>
                <w:tab w:val="left" w:pos="1106"/>
                <w:tab w:val="left" w:pos="2211"/>
                <w:tab w:val="left" w:pos="3317"/>
                <w:tab w:val="left" w:pos="4423"/>
                <w:tab w:val="left" w:pos="5528"/>
                <w:tab w:val="left" w:pos="6634"/>
                <w:tab w:val="left" w:pos="7740"/>
              </w:tabs>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546" w:type="dxa"/>
            <w:noWrap w:val="0"/>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DELL R740 内存条</w:t>
            </w:r>
          </w:p>
        </w:tc>
        <w:tc>
          <w:tcPr>
            <w:tcW w:w="5705" w:type="dxa"/>
            <w:noWrap w:val="0"/>
            <w:vAlign w:val="center"/>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32GB内存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546" w:type="dxa"/>
            <w:noWrap w:val="0"/>
            <w:vAlign w:val="top"/>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服务</w:t>
            </w:r>
          </w:p>
        </w:tc>
        <w:tc>
          <w:tcPr>
            <w:tcW w:w="5705" w:type="dxa"/>
            <w:noWrap w:val="0"/>
            <w:vAlign w:val="top"/>
          </w:tcPr>
          <w:p>
            <w:pPr>
              <w:tabs>
                <w:tab w:val="left" w:pos="1106"/>
                <w:tab w:val="left" w:pos="2211"/>
                <w:tab w:val="left" w:pos="3317"/>
                <w:tab w:val="left" w:pos="4423"/>
                <w:tab w:val="left" w:pos="5528"/>
                <w:tab w:val="left" w:pos="6634"/>
                <w:tab w:val="left" w:pos="7740"/>
              </w:tabs>
              <w:spacing w:line="36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由相应DELL原厂认证工程师完成安装实施，提供三年保修</w:t>
            </w:r>
          </w:p>
        </w:tc>
      </w:tr>
    </w:tbl>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4.PACS数据库一体机技术参数要求：</w:t>
      </w:r>
    </w:p>
    <w:tbl>
      <w:tblPr>
        <w:tblStyle w:val="43"/>
        <w:tblW w:w="51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716"/>
        <w:gridCol w:w="6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42"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指标项</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42"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CPU</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4U机架式服务器；配置上机架导轨；配置4颗16核心Intel Gold 5218 2.3G CPU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内存</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配置48个DIMM插槽，支持RDIMM，LRDIMM，NVDIMM-N内存，支持12个NVDIMM内存；本次配置≥512G DDR4 2933MT/s内存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RAID卡</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支持RAID 0,1,5,6,10,50，配置2GB Cache，最大支持8GB Cache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硬盘</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最大支持不少于32个硬盘插槽且支持SSD硬盘，支持服务器生命周期结束或者挪作它用时一键删除硬盘/SSD所有信息；本次配置≥2块960G SATA SSD 2.5英寸热插拔硬盘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网卡</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本次配置4端口千兆网卡和2块双端口万兆网卡含SFP+模块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HBA</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配置2块单端口16Gb FC卡含16Gb模块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vMerge w:val="restar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管理功能</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配置远程管理卡，具有单独的管理网口，可不依赖主机操作系统进行远程操作。提供远程监控图形界面, 可实现与操作系统无关的远程对服务器的完全控制，包括远程的开关机、重启、更新Firmware, 虚拟KVM, 虚拟软驱, 虚拟光驱、虚拟介质重定向等操作；支持SNMP，IPMI和Redfish；支持IPv6。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主板内部提供冗余SD卡槽位,用户可选择增配2张SD卡,配置成冗余方式,用来安装操作系统或者虚拟化系统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主板内部集成可管理存储空间，集成管理软件及驱动, 可实现在线升级，可实现无需安装软件直接管理服务器,提供快速无盘布署和管理功能，提供单界面即可完成所有管理服务的管理软件；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前面板带可编程LCD诊断显示屏, 支持不开机箱或前面盖直接察看面板LCD显示屏显示告警信息，支持通过蓝牙/WIFI等方式无线同步查看系统状态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电源</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满配热插拔冗余电源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GPU支持</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支持4个双宽企业级GPU或多达8个FPGA。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990"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w:t>
            </w:r>
          </w:p>
        </w:tc>
        <w:tc>
          <w:tcPr>
            <w:tcW w:w="4009"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原厂三年7*24小时服务，中标后三天内提供针对本项目的原厂授权函；供货时提供原厂三年7*24小时的售后服务承诺</w:t>
            </w:r>
          </w:p>
        </w:tc>
      </w:tr>
    </w:tbl>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5.PACS应用一体机技术参数要求：</w:t>
      </w:r>
    </w:p>
    <w:tbl>
      <w:tblPr>
        <w:tblStyle w:val="43"/>
        <w:tblW w:w="51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29"/>
        <w:gridCol w:w="7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42"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指标项</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42"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CPU</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4U机架式服务器；配置上机架导轨；配置4颗16核心Intel Gold 5218 2.3G CPU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内存</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配置48个DIMM插槽，支持RDIMM，LRDIMM，NVDIMM-N内存，支持12个NVDIMM内存；本次配置≥512G DDR4 2933MT/s内存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RAID卡</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支持RAID 0,1,5,6,10,50，配置2GB Cache，最大支持8GB Cache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硬盘</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最大支持不少于32个硬盘插槽且支持SSD硬盘，支持服务器生命周期结束或者挪作它用时一键删除硬盘/SSD所有信息；本次配置≥2块960G SATA SSD 2.5英寸热插拔硬盘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网卡</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本次配置4端口千兆网卡和2块双端口万兆网卡含SFP+模块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HBA</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配置2块单端口16Gb FC卡含16Gb模块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vMerge w:val="restar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管理功能</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配置远程管理卡，具有单独的管理网口，可不依赖主机操作系统进行远程操作。提供远程监控图形界面, 可实现与操作系统无关的远程对服务器的完全控制，包括远程的开关机、重启、更新Firmware, 虚拟KVM, 虚拟软驱, 虚拟光驱、虚拟介质重定向等操作；支持SNMP，IPMI和Redfish；支持IPv6。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主板内部提供冗余SD卡槽位,用户可选择增配2张SD卡,配置成冗余方式,用来安装操作系统或者虚拟化系统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主板内部集成可管理存储空间，集成管理软件及驱动, 可实现在线升级，可实现无需安装软件直接管理服务器,提供快速无盘布署和管理功能，提供单界面即可完成所有管理服务的管理软件；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vMerge w:val="continue"/>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前面板带可编程LCD诊断显示屏, 支持不开机箱或前面盖直接察看面板LCD显示屏显示告警信息，支持通过蓝牙/WIFI等方式无线同步查看系统状态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电源</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满配热插拔冗余电源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GPU支持</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支持4个双宽企业级GPU或多达8个FPGA。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348" w:hRule="atLeast"/>
        </w:trPr>
        <w:tc>
          <w:tcPr>
            <w:tcW w:w="76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w:t>
            </w:r>
          </w:p>
        </w:tc>
        <w:tc>
          <w:tcPr>
            <w:tcW w:w="4238" w:type="pct"/>
            <w:noWrap w:val="0"/>
            <w:vAlign w:val="center"/>
          </w:tcPr>
          <w:p>
            <w:pPr>
              <w:tabs>
                <w:tab w:val="left" w:pos="1106"/>
                <w:tab w:val="left" w:pos="2211"/>
                <w:tab w:val="left" w:pos="3317"/>
                <w:tab w:val="left" w:pos="4423"/>
                <w:tab w:val="left" w:pos="5528"/>
                <w:tab w:val="left" w:pos="6634"/>
                <w:tab w:val="left" w:pos="7740"/>
              </w:tabs>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原厂三年7*24小时服务，中标后三天内提供针对本项目的原厂授权函；供货时提供原厂三年7*24小时的售后服务承诺</w:t>
            </w:r>
          </w:p>
        </w:tc>
      </w:tr>
    </w:tbl>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6.影像存储技术参数要求：</w:t>
      </w:r>
    </w:p>
    <w:tbl>
      <w:tblPr>
        <w:tblStyle w:val="43"/>
        <w:tblW w:w="51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7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bookmarkStart w:id="14" w:name="_Hlk95808695"/>
            <w:r>
              <w:rPr>
                <w:rFonts w:hint="eastAsia" w:ascii="仿宋" w:hAnsi="仿宋" w:eastAsia="仿宋" w:cs="仿宋"/>
                <w:sz w:val="21"/>
                <w:szCs w:val="21"/>
                <w:highlight w:val="none"/>
              </w:rPr>
              <w:t>指标项</w:t>
            </w:r>
          </w:p>
        </w:tc>
        <w:tc>
          <w:tcPr>
            <w:tcW w:w="4058" w:type="pct"/>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品牌</w:t>
            </w:r>
          </w:p>
        </w:tc>
        <w:tc>
          <w:tcPr>
            <w:tcW w:w="4058" w:type="pct"/>
            <w:noWrap w:val="0"/>
            <w:vAlign w:val="top"/>
          </w:tcPr>
          <w:p>
            <w:pPr>
              <w:pStyle w:val="37"/>
              <w:widowControl/>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知名存储品牌，投放市场超过十年，具有完全自有知识产权和开发能力产品，非OEM，不接受现场组装的产品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体系结构</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采用横向扩展集群NAS存储架构，采用全Active集群模式，NAS节点数量可以在线动态扩展，可以不停机扩展到至少200个节点，并可以在线调整数据保护方式。要求系统无独立元数据（索引和管理等之类）节点，无单独管理节点，存储系统提供单一文件系统, 单一卷，最大可扩展不少于50PB。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协议支持</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bookmarkStart w:id="15" w:name="OLE_LINK4"/>
            <w:bookmarkStart w:id="16" w:name="OLE_LINK3"/>
            <w:r>
              <w:rPr>
                <w:rFonts w:hint="eastAsia" w:ascii="仿宋" w:hAnsi="仿宋" w:eastAsia="仿宋" w:cs="仿宋"/>
                <w:sz w:val="21"/>
                <w:szCs w:val="21"/>
                <w:highlight w:val="none"/>
              </w:rPr>
              <w:t>要求配置NFS、CIFS、FTP、http、HDFS和swift等主要文件和S3对象协议。要求在任何情况下都无需在客户端主机增加任何软件或驱动程序。</w:t>
            </w:r>
            <w:bookmarkEnd w:id="15"/>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数据保护</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要求支持多副本及跨节点ECC技术，要求全局数据灵活多级别冗余设置数据保护，最大可达N+4保护级别和6倍副本镜像保护。要求支持在线更改保护机制，而不影响前端应用数据访问。要求支持SSH管理和B/S管理。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CPU配置/节点</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要求每个节点配置不少于1个CPU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缓存配置</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要每个节点配置不小于96GB（非SSD）缓存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硬盘配置/节点</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本次配置至少4个节点，要求每节点配置不少于15块8TB SATA硬盘和1块800GB</w:t>
            </w:r>
            <w:r>
              <w:rPr>
                <w:rFonts w:hint="eastAsia" w:ascii="仿宋" w:hAnsi="仿宋" w:eastAsia="仿宋" w:cs="仿宋"/>
                <w:sz w:val="21"/>
                <w:szCs w:val="21"/>
                <w:highlight w:val="none"/>
                <w:lang w:eastAsia="zh-CN"/>
              </w:rPr>
              <w:t>缓存</w:t>
            </w:r>
            <w:r>
              <w:rPr>
                <w:rFonts w:hint="eastAsia" w:ascii="仿宋" w:hAnsi="仿宋" w:eastAsia="仿宋" w:cs="仿宋"/>
                <w:sz w:val="21"/>
                <w:szCs w:val="21"/>
                <w:highlight w:val="none"/>
              </w:rPr>
              <w:t>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前端端口配置/节点</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要求每个节点配置不少于2个25Gb端口，包含相关的10Gb SFP+多模模块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后端端口配置/节点</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要求每个节点配置不少于2个25Gb端口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内部网络互联</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节点内部互联网络采用25Gb 网络交换机互连，每个节点配置2个25Gb网络接口。配置2台10/25GB网络交换机，包含相关线缆。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1" w:type="pct"/>
            <w:vMerge w:val="restar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存储软件</w:t>
            </w:r>
          </w:p>
        </w:tc>
        <w:tc>
          <w:tcPr>
            <w:tcW w:w="4058" w:type="pct"/>
            <w:noWrap w:val="0"/>
            <w:vAlign w:val="center"/>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配置负载均衡功能,实现针对节点轮询的均衡策略，无需客户端安装任何Agent或者其他调度管理的角色服务器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41" w:type="pct"/>
            <w:vMerge w:val="continue"/>
            <w:noWrap w:val="0"/>
            <w:vAlign w:val="center"/>
          </w:tcPr>
          <w:p>
            <w:pPr>
              <w:pStyle w:val="37"/>
              <w:widowControl/>
              <w:spacing w:before="300" w:after="300" w:line="240" w:lineRule="auto"/>
              <w:ind w:firstLine="360"/>
              <w:jc w:val="center"/>
              <w:rPr>
                <w:rFonts w:hint="eastAsia" w:ascii="仿宋" w:hAnsi="仿宋" w:eastAsia="仿宋" w:cs="仿宋"/>
                <w:sz w:val="21"/>
                <w:szCs w:val="21"/>
                <w:highlight w:val="none"/>
              </w:rPr>
            </w:pPr>
          </w:p>
        </w:tc>
        <w:tc>
          <w:tcPr>
            <w:tcW w:w="4058" w:type="pct"/>
            <w:noWrap w:val="0"/>
            <w:vAlign w:val="center"/>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支持存储分层功能，数据可以根据策将原有存储节点和新购节点间的进行自动迁移，优化存储性能和效率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41" w:type="pct"/>
            <w:vMerge w:val="continue"/>
            <w:noWrap w:val="0"/>
            <w:vAlign w:val="center"/>
          </w:tcPr>
          <w:p>
            <w:pPr>
              <w:pStyle w:val="37"/>
              <w:widowControl/>
              <w:spacing w:before="300" w:after="300" w:line="240" w:lineRule="auto"/>
              <w:ind w:firstLine="360"/>
              <w:jc w:val="center"/>
              <w:rPr>
                <w:rFonts w:hint="eastAsia" w:ascii="仿宋" w:hAnsi="仿宋" w:eastAsia="仿宋" w:cs="仿宋"/>
                <w:sz w:val="21"/>
                <w:szCs w:val="21"/>
                <w:highlight w:val="none"/>
              </w:rPr>
            </w:pPr>
          </w:p>
        </w:tc>
        <w:tc>
          <w:tcPr>
            <w:tcW w:w="4058" w:type="pct"/>
            <w:noWrap w:val="0"/>
            <w:vAlign w:val="center"/>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配置配额管理功能，实现针对目录、子目录和用户、用户组的配额管理功能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941" w:type="pct"/>
            <w:vMerge w:val="continue"/>
            <w:noWrap w:val="0"/>
            <w:vAlign w:val="center"/>
          </w:tcPr>
          <w:p>
            <w:pPr>
              <w:pStyle w:val="37"/>
              <w:widowControl/>
              <w:spacing w:before="300" w:after="300" w:line="240" w:lineRule="auto"/>
              <w:ind w:firstLine="360"/>
              <w:jc w:val="center"/>
              <w:rPr>
                <w:rFonts w:hint="eastAsia" w:ascii="仿宋" w:hAnsi="仿宋" w:eastAsia="仿宋" w:cs="仿宋"/>
                <w:sz w:val="21"/>
                <w:szCs w:val="21"/>
                <w:highlight w:val="none"/>
              </w:rPr>
            </w:pPr>
          </w:p>
        </w:tc>
        <w:tc>
          <w:tcPr>
            <w:tcW w:w="4058" w:type="pct"/>
            <w:noWrap w:val="0"/>
            <w:vAlign w:val="center"/>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支持快照管理功能，可通过按需快照恢复有效地保护数据并加快关键数据的恢复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41" w:type="pct"/>
            <w:vMerge w:val="continue"/>
            <w:noWrap w:val="0"/>
            <w:vAlign w:val="center"/>
          </w:tcPr>
          <w:p>
            <w:pPr>
              <w:pStyle w:val="37"/>
              <w:widowControl/>
              <w:spacing w:before="300" w:after="300" w:line="240" w:lineRule="auto"/>
              <w:ind w:firstLine="360"/>
              <w:jc w:val="center"/>
              <w:rPr>
                <w:rFonts w:hint="eastAsia" w:ascii="仿宋" w:hAnsi="仿宋" w:eastAsia="仿宋" w:cs="仿宋"/>
                <w:sz w:val="21"/>
                <w:szCs w:val="21"/>
                <w:highlight w:val="none"/>
              </w:rPr>
            </w:pPr>
          </w:p>
        </w:tc>
        <w:tc>
          <w:tcPr>
            <w:tcW w:w="4058" w:type="pct"/>
            <w:noWrap w:val="0"/>
            <w:vAlign w:val="center"/>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远程复制功能，可将数据集安全复制到多个站点以进行可靠的灾难恢复，并使用一键式故障切换和故障恢复；数据复制能够针对特定的数据集。要求支持对具有快照的目录做远程复制。数据复制能够针对特定的数据集，比如：特定类型的文件、特定大小的文件等；数据复制要能够灵活设定时间表和策略；支持一对一、一对多、多对多复制方式；支持单向和双向复制；支持增量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41" w:type="pct"/>
            <w:vMerge w:val="restar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其它功能要求</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配置CIFS、NFS和HDFS等协议的文件存取操作审计功能，以及系统管理操作审计，并支持转发到集中式管理平台。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941" w:type="pct"/>
            <w:vMerge w:val="continue"/>
            <w:noWrap w:val="0"/>
            <w:vAlign w:val="center"/>
          </w:tcPr>
          <w:p>
            <w:pPr>
              <w:pStyle w:val="37"/>
              <w:widowControl/>
              <w:spacing w:before="300" w:after="300" w:line="240" w:lineRule="auto"/>
              <w:ind w:firstLine="360"/>
              <w:jc w:val="center"/>
              <w:rPr>
                <w:rFonts w:hint="eastAsia" w:ascii="仿宋" w:hAnsi="仿宋" w:eastAsia="仿宋" w:cs="仿宋"/>
                <w:sz w:val="21"/>
                <w:szCs w:val="21"/>
                <w:highlight w:val="none"/>
              </w:rPr>
            </w:pPr>
          </w:p>
        </w:tc>
        <w:tc>
          <w:tcPr>
            <w:tcW w:w="4058" w:type="pct"/>
            <w:noWrap w:val="0"/>
            <w:vAlign w:val="top"/>
          </w:tcPr>
          <w:p>
            <w:pPr>
              <w:pStyle w:val="37"/>
              <w:spacing w:before="300" w:after="300" w:line="240" w:lineRule="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配置WORM(一写多读)功能，防止关键数据意外、过早或恶意更改或删除，同时满足严格合规性要求和管理要求</w:t>
            </w:r>
            <w:r>
              <w:rPr>
                <w:rFonts w:hint="eastAsia" w:ascii="仿宋" w:hAnsi="仿宋" w:eastAsia="仿宋" w:cs="仿宋"/>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941" w:type="pct"/>
            <w:vMerge w:val="continue"/>
            <w:noWrap w:val="0"/>
            <w:vAlign w:val="center"/>
          </w:tcPr>
          <w:p>
            <w:pPr>
              <w:pStyle w:val="37"/>
              <w:widowControl/>
              <w:spacing w:before="300" w:after="300" w:line="240" w:lineRule="auto"/>
              <w:ind w:firstLine="360"/>
              <w:jc w:val="center"/>
              <w:rPr>
                <w:rFonts w:hint="eastAsia" w:ascii="仿宋" w:hAnsi="仿宋" w:eastAsia="仿宋" w:cs="仿宋"/>
                <w:sz w:val="21"/>
                <w:szCs w:val="21"/>
                <w:highlight w:val="none"/>
              </w:rPr>
            </w:pP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支持标准的ICAP防病毒协议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41" w:type="pct"/>
            <w:vMerge w:val="continue"/>
            <w:noWrap w:val="0"/>
            <w:vAlign w:val="center"/>
          </w:tcPr>
          <w:p>
            <w:pPr>
              <w:pStyle w:val="37"/>
              <w:widowControl/>
              <w:spacing w:before="300" w:after="300" w:line="240" w:lineRule="auto"/>
              <w:ind w:firstLine="360"/>
              <w:jc w:val="center"/>
              <w:rPr>
                <w:rFonts w:hint="eastAsia" w:ascii="仿宋" w:hAnsi="仿宋" w:eastAsia="仿宋" w:cs="仿宋"/>
                <w:sz w:val="21"/>
                <w:szCs w:val="21"/>
                <w:highlight w:val="none"/>
              </w:rPr>
            </w:pP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要求配置NDMP协议。支持2-way NDMP 数据备份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941" w:type="pct"/>
            <w:vMerge w:val="continue"/>
            <w:noWrap w:val="0"/>
            <w:vAlign w:val="center"/>
          </w:tcPr>
          <w:p>
            <w:pPr>
              <w:pStyle w:val="37"/>
              <w:widowControl/>
              <w:spacing w:before="300" w:after="300" w:line="240" w:lineRule="auto"/>
              <w:ind w:firstLine="360"/>
              <w:jc w:val="center"/>
              <w:rPr>
                <w:rFonts w:hint="eastAsia" w:ascii="仿宋" w:hAnsi="仿宋" w:eastAsia="仿宋" w:cs="仿宋"/>
                <w:sz w:val="21"/>
                <w:szCs w:val="21"/>
                <w:highlight w:val="none"/>
              </w:rPr>
            </w:pP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同一个文件数据可同时通过NAS方式和HDFS方式访问，无需存储支持与应用系统Hadoop模块集成，Hadoop应用需通过原生HDFS方式（非NFS方式）读写存储，实现数据存储服务；且Hadoop计算节点无需额外安装插件将HDFS请求转换为NFS请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面板管理</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支持存储节点液晶面板直接操作完成存储扩容，可通过存储节点的液晶面板进行管理，液晶面板功能包括显示状态和告警信息等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41" w:type="pct"/>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云对接</w:t>
            </w:r>
          </w:p>
        </w:tc>
        <w:tc>
          <w:tcPr>
            <w:tcW w:w="4058" w:type="pct"/>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要求支持云分层功能，存储可将数据分层至公有云和私有云存储中，如亚马逊S3、微软Azure中。该功能对应用透明，不改变客户业务系统。</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c>
          <w:tcPr>
            <w:tcW w:w="941" w:type="pct"/>
            <w:tcBorders>
              <w:top w:val="single" w:color="auto" w:sz="4" w:space="0"/>
              <w:left w:val="single" w:color="auto" w:sz="4" w:space="0"/>
              <w:bottom w:val="single" w:color="auto" w:sz="4" w:space="0"/>
              <w:right w:val="single" w:color="auto" w:sz="4" w:space="0"/>
            </w:tcBorders>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售后服务</w:t>
            </w:r>
          </w:p>
        </w:tc>
        <w:tc>
          <w:tcPr>
            <w:tcW w:w="4058" w:type="pct"/>
            <w:tcBorders>
              <w:top w:val="single" w:color="auto" w:sz="4" w:space="0"/>
              <w:left w:val="single" w:color="auto" w:sz="4" w:space="0"/>
              <w:bottom w:val="single" w:color="auto" w:sz="4" w:space="0"/>
              <w:right w:val="single" w:color="auto" w:sz="4" w:space="0"/>
            </w:tcBorders>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要求提供原厂商3年7*24小时服务，中标后三天内提供针对本项目的原厂授权函；供货时提供原厂三年7*24小时的售后服务承诺</w:t>
            </w:r>
          </w:p>
        </w:tc>
      </w:tr>
      <w:bookmarkEnd w:id="14"/>
    </w:tbl>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7.卫生专网防火墙技术参数要求：</w:t>
      </w:r>
    </w:p>
    <w:tbl>
      <w:tblPr>
        <w:tblStyle w:val="44"/>
        <w:tblW w:w="922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7"/>
        <w:gridCol w:w="80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1167" w:type="dxa"/>
            <w:noWrap w:val="0"/>
            <w:vAlign w:val="center"/>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指标项</w:t>
            </w:r>
          </w:p>
        </w:tc>
        <w:tc>
          <w:tcPr>
            <w:tcW w:w="8059" w:type="dxa"/>
            <w:noWrap w:val="0"/>
            <w:vAlign w:val="top"/>
          </w:tcPr>
          <w:p>
            <w:pPr>
              <w:tabs>
                <w:tab w:val="left" w:pos="1106"/>
                <w:tab w:val="left" w:pos="2211"/>
                <w:tab w:val="left" w:pos="3317"/>
                <w:tab w:val="left" w:pos="4423"/>
                <w:tab w:val="left" w:pos="5528"/>
                <w:tab w:val="left" w:pos="6634"/>
                <w:tab w:val="left" w:pos="7740"/>
              </w:tabs>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技术指标要求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noWrap w:val="0"/>
            <w:vAlign w:val="center"/>
          </w:tcPr>
          <w:p>
            <w:pPr>
              <w:widowControl/>
              <w:spacing w:line="240" w:lineRule="auto"/>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产品性能配置</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网络层吞吐量≥15 Gbps;应用层吞吐量≥6 Gbps;防病毒吞吐量≥1 Gbps；并发连接数≥200万;HTTP新建连接数≥9万；IPSec VPN吞吐量≥700 Mbps; 1U机箱; 产品不少于6个千兆电口、2千兆光口；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noWrap w:val="0"/>
            <w:vAlign w:val="center"/>
          </w:tcPr>
          <w:p>
            <w:pPr>
              <w:widowControl/>
              <w:spacing w:line="240" w:lineRule="auto"/>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工作模式</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bookmarkStart w:id="17" w:name="_Hlk56083575"/>
            <w:r>
              <w:rPr>
                <w:rFonts w:hint="eastAsia" w:ascii="仿宋" w:hAnsi="仿宋" w:eastAsia="仿宋" w:cs="仿宋"/>
                <w:kern w:val="0"/>
                <w:sz w:val="21"/>
                <w:szCs w:val="21"/>
                <w:highlight w:val="none"/>
              </w:rPr>
              <w:t>产品支持路由模式、透明模式、虚拟网线模式、旁路镜像模式等多种部署方式。</w:t>
            </w:r>
            <w:bookmarkEnd w:id="17"/>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67" w:type="dxa"/>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color w:val="000000"/>
                <w:kern w:val="0"/>
                <w:sz w:val="21"/>
                <w:szCs w:val="21"/>
                <w:highlight w:val="none"/>
              </w:rPr>
              <w:t>路由特性</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bookmarkStart w:id="18" w:name="_Hlk56088684"/>
            <w:r>
              <w:rPr>
                <w:rFonts w:hint="eastAsia" w:ascii="仿宋" w:hAnsi="仿宋" w:eastAsia="仿宋" w:cs="仿宋"/>
                <w:kern w:val="0"/>
                <w:sz w:val="21"/>
                <w:szCs w:val="21"/>
                <w:highlight w:val="none"/>
              </w:rPr>
              <w:t>产品支持静态路由、策略路由和多播路由协议，并支持BGP、RIP、OSPF等动态路由协议。</w:t>
            </w:r>
            <w:bookmarkEnd w:id="18"/>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vMerge w:val="restart"/>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VPN功能</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bookmarkStart w:id="19" w:name="_Hlk56174746"/>
            <w:r>
              <w:rPr>
                <w:rFonts w:hint="eastAsia" w:ascii="仿宋" w:hAnsi="仿宋" w:eastAsia="仿宋" w:cs="仿宋"/>
                <w:sz w:val="21"/>
                <w:szCs w:val="21"/>
                <w:highlight w:val="none"/>
              </w:rPr>
              <w:t>产品支持</w:t>
            </w:r>
            <w:r>
              <w:rPr>
                <w:rFonts w:hint="eastAsia" w:ascii="仿宋" w:hAnsi="仿宋" w:eastAsia="仿宋" w:cs="仿宋"/>
                <w:bCs/>
                <w:kern w:val="0"/>
                <w:sz w:val="21"/>
                <w:szCs w:val="21"/>
                <w:highlight w:val="none"/>
              </w:rPr>
              <w:t>IPSec VPN智能选路功能，根据线路质量实现自动链路切换</w:t>
            </w:r>
            <w:bookmarkEnd w:id="19"/>
            <w:r>
              <w:rPr>
                <w:rFonts w:hint="eastAsia" w:ascii="仿宋" w:hAnsi="仿宋" w:eastAsia="仿宋" w:cs="仿宋"/>
                <w:bCs/>
                <w:kern w:val="0"/>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vMerge w:val="continue"/>
            <w:noWrap w:val="0"/>
            <w:vAlign w:val="center"/>
          </w:tcPr>
          <w:p>
            <w:pPr>
              <w:widowControl/>
              <w:spacing w:line="240" w:lineRule="auto"/>
              <w:jc w:val="center"/>
              <w:rPr>
                <w:rFonts w:hint="eastAsia" w:ascii="仿宋" w:hAnsi="仿宋" w:eastAsia="仿宋" w:cs="仿宋"/>
                <w:kern w:val="0"/>
                <w:sz w:val="21"/>
                <w:szCs w:val="21"/>
                <w:highlight w:val="none"/>
              </w:rPr>
            </w:pPr>
          </w:p>
        </w:tc>
        <w:tc>
          <w:tcPr>
            <w:tcW w:w="8059" w:type="dxa"/>
            <w:noWrap w:val="0"/>
            <w:vAlign w:val="top"/>
          </w:tcPr>
          <w:p>
            <w:pPr>
              <w:widowControl/>
              <w:spacing w:line="240" w:lineRule="auto"/>
              <w:rPr>
                <w:rFonts w:hint="eastAsia" w:ascii="仿宋" w:hAnsi="仿宋" w:eastAsia="仿宋" w:cs="仿宋"/>
                <w:sz w:val="21"/>
                <w:szCs w:val="21"/>
                <w:highlight w:val="none"/>
              </w:rPr>
            </w:pPr>
            <w:bookmarkStart w:id="20" w:name="_Hlk56175434"/>
            <w:r>
              <w:rPr>
                <w:rFonts w:hint="eastAsia" w:ascii="仿宋" w:hAnsi="仿宋" w:eastAsia="仿宋" w:cs="仿宋"/>
                <w:kern w:val="0"/>
                <w:sz w:val="21"/>
                <w:szCs w:val="21"/>
                <w:highlight w:val="none"/>
              </w:rPr>
              <w:t>产品支持多种SSL VPN用户认证方式，至少包括本地密码认证、LADP认证和硬件特征码认证。</w:t>
            </w:r>
            <w:bookmarkEnd w:id="2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应用控制</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bookmarkStart w:id="21" w:name="_Hlk56179407"/>
            <w:r>
              <w:rPr>
                <w:rFonts w:hint="eastAsia" w:ascii="仿宋" w:hAnsi="仿宋" w:eastAsia="仿宋" w:cs="仿宋"/>
                <w:kern w:val="0"/>
                <w:sz w:val="21"/>
                <w:szCs w:val="21"/>
                <w:highlight w:val="none"/>
              </w:rPr>
              <w:t>产品支持对不</w:t>
            </w:r>
            <w:r>
              <w:rPr>
                <w:rFonts w:hint="eastAsia" w:ascii="仿宋" w:hAnsi="仿宋" w:eastAsia="仿宋" w:cs="仿宋"/>
                <w:color w:val="000000"/>
                <w:kern w:val="0"/>
                <w:sz w:val="21"/>
                <w:szCs w:val="21"/>
                <w:highlight w:val="none"/>
              </w:rPr>
              <w:t>少于9880种应</w:t>
            </w:r>
            <w:r>
              <w:rPr>
                <w:rFonts w:hint="eastAsia" w:ascii="仿宋" w:hAnsi="仿宋" w:eastAsia="仿宋" w:cs="仿宋"/>
                <w:kern w:val="0"/>
                <w:sz w:val="21"/>
                <w:szCs w:val="21"/>
                <w:highlight w:val="none"/>
              </w:rPr>
              <w:t>用的识别和控制，应用类型包括游戏、购物、图书百科、工作招聘、P2P下载、聊天工具、旅游出行、股票软件等类型应用进行检测与控制。</w:t>
            </w:r>
            <w:bookmarkEnd w:id="21"/>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vMerge w:val="restart"/>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防病毒</w:t>
            </w:r>
          </w:p>
        </w:tc>
        <w:tc>
          <w:tcPr>
            <w:tcW w:w="8059" w:type="dxa"/>
            <w:noWrap w:val="0"/>
            <w:vAlign w:val="top"/>
          </w:tcPr>
          <w:p>
            <w:pPr>
              <w:widowControl/>
              <w:spacing w:line="240" w:lineRule="auto"/>
              <w:rPr>
                <w:rFonts w:hint="eastAsia" w:ascii="仿宋" w:hAnsi="仿宋" w:eastAsia="仿宋" w:cs="仿宋"/>
                <w:color w:val="000000"/>
                <w:sz w:val="21"/>
                <w:szCs w:val="21"/>
                <w:highlight w:val="none"/>
              </w:rPr>
            </w:pPr>
            <w:bookmarkStart w:id="22" w:name="_Hlk57293701"/>
            <w:r>
              <w:rPr>
                <w:rFonts w:hint="eastAsia" w:ascii="仿宋" w:hAnsi="仿宋" w:eastAsia="仿宋" w:cs="仿宋"/>
                <w:color w:val="000000"/>
                <w:sz w:val="21"/>
                <w:szCs w:val="21"/>
                <w:highlight w:val="none"/>
              </w:rPr>
              <w:t>产品支持对多重压缩文件的病毒检测能力，支持不小于12层压缩文件病毒检测与处置。</w:t>
            </w:r>
            <w:bookmarkEnd w:id="22"/>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8" w:hRule="atLeast"/>
        </w:trPr>
        <w:tc>
          <w:tcPr>
            <w:tcW w:w="1167" w:type="dxa"/>
            <w:vMerge w:val="continue"/>
            <w:noWrap w:val="0"/>
            <w:vAlign w:val="center"/>
          </w:tcPr>
          <w:p>
            <w:pPr>
              <w:widowControl/>
              <w:spacing w:line="240" w:lineRule="auto"/>
              <w:jc w:val="center"/>
              <w:rPr>
                <w:rFonts w:hint="eastAsia" w:ascii="仿宋" w:hAnsi="仿宋" w:eastAsia="仿宋" w:cs="仿宋"/>
                <w:kern w:val="0"/>
                <w:sz w:val="21"/>
                <w:szCs w:val="21"/>
                <w:highlight w:val="none"/>
              </w:rPr>
            </w:pP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产品支持勒索病毒检测与防御功能，针对勒索病毒攻击设置专项安全策略，需提供产品相关功能截图，并提供公安部计算机信息系统安全产品质量监督检验中心、中国信息安全测评中心、中华人民共和国国家版权局之中任意一家检测机构出具关于“勒索病毒”的相关证书证明功能有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入侵防御</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bookmarkStart w:id="23" w:name="_Hlk57302178"/>
            <w:r>
              <w:rPr>
                <w:rFonts w:hint="eastAsia" w:ascii="仿宋" w:hAnsi="仿宋" w:eastAsia="仿宋" w:cs="仿宋"/>
                <w:kern w:val="0"/>
                <w:sz w:val="21"/>
                <w:szCs w:val="21"/>
                <w:highlight w:val="none"/>
              </w:rPr>
              <w:t>产品支持僵尸主机检测功能，产品预定义特征库超过110万种，可识别主机的异常外联行为</w:t>
            </w:r>
            <w:bookmarkEnd w:id="23"/>
            <w:r>
              <w:rPr>
                <w:rFonts w:hint="eastAsia" w:ascii="仿宋" w:hAnsi="仿宋" w:eastAsia="仿宋" w:cs="仿宋"/>
                <w:kern w:val="0"/>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账号安全</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bookmarkStart w:id="24" w:name="_Hlk57311075"/>
            <w:r>
              <w:rPr>
                <w:rFonts w:hint="eastAsia" w:ascii="仿宋" w:hAnsi="仿宋" w:eastAsia="仿宋" w:cs="仿宋"/>
                <w:kern w:val="0"/>
                <w:sz w:val="21"/>
                <w:szCs w:val="21"/>
                <w:highlight w:val="none"/>
              </w:rPr>
              <w:t>产品支持用户账号全生命周期保护功能，包括用户账号多余入口检测、用户账号弱口令检测、用户账号暴力破解检测、失陷账号检测，防止因账号被暴力破解导致的非法提权情况发生。</w:t>
            </w:r>
            <w:bookmarkEnd w:id="24"/>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vMerge w:val="restart"/>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Web安全防护</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产品支持服务器漏洞防扫描功能，并对扫描源IP进行日志记录和联动封锁。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vMerge w:val="continue"/>
            <w:noWrap w:val="0"/>
            <w:vAlign w:val="center"/>
          </w:tcPr>
          <w:p>
            <w:pPr>
              <w:widowControl/>
              <w:spacing w:line="240" w:lineRule="auto"/>
              <w:jc w:val="center"/>
              <w:rPr>
                <w:rFonts w:hint="eastAsia" w:ascii="仿宋" w:hAnsi="仿宋" w:eastAsia="仿宋" w:cs="仿宋"/>
                <w:kern w:val="0"/>
                <w:sz w:val="21"/>
                <w:szCs w:val="21"/>
                <w:highlight w:val="none"/>
              </w:rPr>
            </w:pP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color w:val="000000"/>
                <w:sz w:val="21"/>
                <w:szCs w:val="21"/>
                <w:highlight w:val="none"/>
              </w:rPr>
              <w:t>▲</w:t>
            </w:r>
            <w:r>
              <w:rPr>
                <w:rFonts w:hint="eastAsia" w:ascii="仿宋" w:hAnsi="仿宋" w:eastAsia="仿宋" w:cs="仿宋"/>
                <w:kern w:val="0"/>
                <w:sz w:val="21"/>
                <w:szCs w:val="21"/>
                <w:highlight w:val="none"/>
              </w:rPr>
              <w:t>产品支持CC攻击防护功能，</w:t>
            </w:r>
            <w:r>
              <w:rPr>
                <w:rFonts w:hint="eastAsia" w:ascii="仿宋" w:hAnsi="仿宋" w:eastAsia="仿宋" w:cs="仿宋"/>
                <w:bCs/>
                <w:color w:val="000000"/>
                <w:kern w:val="0"/>
                <w:sz w:val="21"/>
                <w:szCs w:val="21"/>
                <w:highlight w:val="none"/>
              </w:rPr>
              <w:t>为保障勒CC攻击的检测效果，</w:t>
            </w:r>
            <w:r>
              <w:rPr>
                <w:rFonts w:hint="eastAsia" w:ascii="仿宋" w:hAnsi="仿宋" w:eastAsia="仿宋" w:cs="仿宋"/>
                <w:color w:val="000000"/>
                <w:sz w:val="21"/>
                <w:szCs w:val="21"/>
                <w:highlight w:val="none"/>
              </w:rPr>
              <w:t>所投产品必须提供具备CMA（中国国家认证认可监督管理委员会）认证的第三方权威机构关于“</w:t>
            </w:r>
            <w:r>
              <w:rPr>
                <w:rFonts w:hint="eastAsia" w:ascii="仿宋" w:hAnsi="仿宋" w:eastAsia="仿宋" w:cs="仿宋"/>
                <w:bCs/>
                <w:color w:val="000000"/>
                <w:kern w:val="0"/>
                <w:sz w:val="21"/>
                <w:szCs w:val="21"/>
                <w:highlight w:val="none"/>
              </w:rPr>
              <w:t>CC攻击防护</w:t>
            </w:r>
            <w:r>
              <w:rPr>
                <w:rFonts w:hint="eastAsia" w:ascii="仿宋" w:hAnsi="仿宋" w:eastAsia="仿宋" w:cs="仿宋"/>
                <w:color w:val="000000"/>
                <w:sz w:val="21"/>
                <w:szCs w:val="21"/>
                <w:highlight w:val="none"/>
              </w:rPr>
              <w:t>”功能项的产品检测报告</w:t>
            </w:r>
            <w:r>
              <w:rPr>
                <w:rFonts w:hint="eastAsia" w:ascii="仿宋" w:hAnsi="仿宋" w:eastAsia="仿宋" w:cs="仿宋"/>
                <w:color w:val="000000"/>
                <w:kern w:val="0"/>
                <w:sz w:val="21"/>
                <w:szCs w:val="21"/>
                <w:highlight w:val="none"/>
              </w:rPr>
              <w:t>并加盖原厂公章</w:t>
            </w:r>
            <w:r>
              <w:rPr>
                <w:rFonts w:hint="eastAsia" w:ascii="仿宋" w:hAnsi="仿宋" w:eastAsia="仿宋" w:cs="仿宋"/>
                <w:color w:val="000000"/>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vMerge w:val="continue"/>
            <w:noWrap w:val="0"/>
            <w:vAlign w:val="center"/>
          </w:tcPr>
          <w:p>
            <w:pPr>
              <w:widowControl/>
              <w:spacing w:line="240" w:lineRule="auto"/>
              <w:jc w:val="center"/>
              <w:rPr>
                <w:rFonts w:hint="eastAsia" w:ascii="仿宋" w:hAnsi="仿宋" w:eastAsia="仿宋" w:cs="仿宋"/>
                <w:kern w:val="0"/>
                <w:sz w:val="21"/>
                <w:szCs w:val="21"/>
                <w:highlight w:val="none"/>
              </w:rPr>
            </w:pPr>
          </w:p>
        </w:tc>
        <w:tc>
          <w:tcPr>
            <w:tcW w:w="8059" w:type="dxa"/>
            <w:noWrap w:val="0"/>
            <w:vAlign w:val="top"/>
          </w:tcPr>
          <w:p>
            <w:pPr>
              <w:widowControl/>
              <w:spacing w:line="240" w:lineRule="auto"/>
              <w:rPr>
                <w:rFonts w:hint="eastAsia" w:ascii="仿宋" w:hAnsi="仿宋" w:eastAsia="仿宋" w:cs="仿宋"/>
                <w:color w:val="000000"/>
                <w:sz w:val="21"/>
                <w:szCs w:val="21"/>
                <w:highlight w:val="none"/>
              </w:rPr>
            </w:pPr>
            <w:r>
              <w:rPr>
                <w:rFonts w:hint="eastAsia" w:ascii="仿宋" w:hAnsi="仿宋" w:eastAsia="仿宋" w:cs="仿宋"/>
                <w:kern w:val="0"/>
                <w:sz w:val="21"/>
                <w:szCs w:val="21"/>
                <w:highlight w:val="none"/>
              </w:rPr>
              <w:t>产品支持未知威胁检测能力，需提供公安部计算机信息系统安全产品质量监督检验中心、中国信息安全测评中心、中华人民共和国国家版权局、公安部信息安全产品检测中心之中任意一家检测机构出具关于“未知威胁检测”的证书或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蜜罐功能</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w:t>
            </w:r>
            <w:r>
              <w:rPr>
                <w:rFonts w:hint="eastAsia" w:ascii="仿宋" w:hAnsi="仿宋" w:eastAsia="仿宋" w:cs="仿宋"/>
                <w:color w:val="000000"/>
                <w:sz w:val="21"/>
                <w:szCs w:val="21"/>
                <w:highlight w:val="none"/>
              </w:rPr>
              <w:t>产品支持蜜罐功能进行主动诱捕，通过伪装业务诱捕内外网的攻击行为，并联合云蜜罐获取黑客指纹信息，并自动封锁高危IP。</w:t>
            </w:r>
            <w:r>
              <w:rPr>
                <w:rFonts w:hint="eastAsia" w:ascii="仿宋" w:hAnsi="仿宋" w:eastAsia="仿宋" w:cs="仿宋"/>
                <w:bCs/>
                <w:kern w:val="0"/>
                <w:sz w:val="21"/>
                <w:szCs w:val="21"/>
                <w:highlight w:val="none"/>
              </w:rPr>
              <w:t>需提供产品功能截图证明，并</w:t>
            </w:r>
            <w:r>
              <w:rPr>
                <w:rFonts w:hint="eastAsia" w:ascii="仿宋" w:hAnsi="仿宋" w:eastAsia="仿宋" w:cs="仿宋"/>
                <w:kern w:val="0"/>
                <w:sz w:val="21"/>
                <w:szCs w:val="21"/>
                <w:highlight w:val="none"/>
              </w:rPr>
              <w:t>提供公安部计算机信息系统安全产品质量监督检验中心、</w:t>
            </w:r>
            <w:r>
              <w:rPr>
                <w:rFonts w:hint="eastAsia" w:ascii="仿宋" w:hAnsi="仿宋" w:eastAsia="仿宋" w:cs="仿宋"/>
                <w:bCs/>
                <w:kern w:val="0"/>
                <w:sz w:val="21"/>
                <w:szCs w:val="21"/>
                <w:highlight w:val="none"/>
              </w:rPr>
              <w:t>中国信息安全测评中心、中华人民共和国国家版权局、公安部信息安全产品检测中心之中任意一家检测机构出具关于</w:t>
            </w:r>
            <w:r>
              <w:rPr>
                <w:rFonts w:hint="eastAsia" w:ascii="仿宋" w:hAnsi="仿宋" w:eastAsia="仿宋" w:cs="仿宋"/>
                <w:color w:val="000000"/>
                <w:sz w:val="21"/>
                <w:szCs w:val="21"/>
                <w:highlight w:val="none"/>
              </w:rPr>
              <w:t>“云蜜罐”的证书或检测报告证明功能有效性。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 w:hRule="atLeast"/>
        </w:trPr>
        <w:tc>
          <w:tcPr>
            <w:tcW w:w="1167" w:type="dxa"/>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智能联动</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 xml:space="preserve">支持与安全态势感知产品实现联动，支持以专属方式对接同品牌态势感知系统，供态势感知系统进行深度关联分析。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1167" w:type="dxa"/>
            <w:noWrap w:val="0"/>
            <w:vAlign w:val="center"/>
          </w:tcPr>
          <w:p>
            <w:pPr>
              <w:widowControl/>
              <w:spacing w:line="240" w:lineRule="auto"/>
              <w:jc w:val="center"/>
              <w:rPr>
                <w:rFonts w:hint="eastAsia" w:ascii="仿宋" w:hAnsi="仿宋" w:eastAsia="仿宋" w:cs="仿宋"/>
                <w:color w:val="000000"/>
                <w:kern w:val="0"/>
                <w:sz w:val="21"/>
                <w:szCs w:val="21"/>
                <w:highlight w:val="none"/>
              </w:rPr>
            </w:pPr>
            <w:r>
              <w:rPr>
                <w:rFonts w:hint="eastAsia" w:ascii="仿宋" w:hAnsi="仿宋" w:eastAsia="仿宋" w:cs="仿宋"/>
                <w:kern w:val="0"/>
                <w:sz w:val="21"/>
                <w:szCs w:val="21"/>
                <w:highlight w:val="none"/>
              </w:rPr>
              <w:t>双因素认证</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bookmarkStart w:id="25" w:name="_Hlk57318031"/>
            <w:bookmarkStart w:id="26" w:name="_Hlk57319226"/>
            <w:r>
              <w:rPr>
                <w:rFonts w:hint="eastAsia" w:ascii="仿宋" w:hAnsi="仿宋" w:eastAsia="仿宋" w:cs="仿宋"/>
                <w:kern w:val="0"/>
                <w:sz w:val="21"/>
                <w:szCs w:val="21"/>
                <w:highlight w:val="none"/>
              </w:rPr>
              <w:t>产品支持管理员双因素认证功能，用户通过用户名/密码和Key等不同方式登陆产品管理界面。</w:t>
            </w:r>
            <w:bookmarkEnd w:id="25"/>
            <w:bookmarkEnd w:id="26"/>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167" w:type="dxa"/>
            <w:vMerge w:val="restart"/>
            <w:noWrap w:val="0"/>
            <w:vAlign w:val="center"/>
          </w:tcPr>
          <w:p>
            <w:pPr>
              <w:widowControl/>
              <w:spacing w:line="240" w:lineRule="auto"/>
              <w:jc w:val="center"/>
              <w:rPr>
                <w:rFonts w:hint="eastAsia" w:ascii="仿宋" w:hAnsi="仿宋" w:eastAsia="仿宋" w:cs="仿宋"/>
                <w:color w:val="000000"/>
                <w:kern w:val="0"/>
                <w:sz w:val="21"/>
                <w:szCs w:val="21"/>
                <w:highlight w:val="none"/>
              </w:rPr>
            </w:pPr>
            <w:r>
              <w:rPr>
                <w:rFonts w:hint="eastAsia" w:ascii="仿宋" w:hAnsi="仿宋" w:eastAsia="仿宋" w:cs="仿宋"/>
                <w:color w:val="000000"/>
                <w:kern w:val="0"/>
                <w:sz w:val="21"/>
                <w:szCs w:val="21"/>
                <w:highlight w:val="none"/>
              </w:rPr>
              <w:t>产品资质</w:t>
            </w: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要求所投产品的生产厂商具备中国网络安全审查技术与认证中心的信息安全软件开发服务资质，提供有效证书复印件。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167" w:type="dxa"/>
            <w:vMerge w:val="continue"/>
            <w:noWrap w:val="0"/>
            <w:vAlign w:val="center"/>
          </w:tcPr>
          <w:p>
            <w:pPr>
              <w:spacing w:line="240" w:lineRule="auto"/>
              <w:jc w:val="center"/>
              <w:rPr>
                <w:rFonts w:hint="eastAsia" w:ascii="仿宋" w:hAnsi="仿宋" w:eastAsia="仿宋" w:cs="仿宋"/>
                <w:color w:val="000000"/>
                <w:kern w:val="0"/>
                <w:sz w:val="21"/>
                <w:szCs w:val="21"/>
                <w:highlight w:val="none"/>
              </w:rPr>
            </w:pP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要求所投产品连续7年入围Gartner企业级防火墙魔力象限，提供有效证明材料。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trPr>
        <w:tc>
          <w:tcPr>
            <w:tcW w:w="1167" w:type="dxa"/>
            <w:vMerge w:val="continue"/>
            <w:noWrap w:val="0"/>
            <w:vAlign w:val="center"/>
          </w:tcPr>
          <w:p>
            <w:pPr>
              <w:widowControl/>
              <w:spacing w:line="240" w:lineRule="auto"/>
              <w:jc w:val="center"/>
              <w:rPr>
                <w:rFonts w:hint="eastAsia" w:ascii="仿宋" w:hAnsi="仿宋" w:eastAsia="仿宋" w:cs="仿宋"/>
                <w:color w:val="000000"/>
                <w:kern w:val="0"/>
                <w:sz w:val="21"/>
                <w:szCs w:val="21"/>
                <w:highlight w:val="none"/>
              </w:rPr>
            </w:pP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所投产品的生产厂商具备云安全成熟度成熟度模型CS-CMMI 5认证，提供证书复印件并加盖厂商公章。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167" w:type="dxa"/>
            <w:vMerge w:val="continue"/>
            <w:noWrap w:val="0"/>
            <w:vAlign w:val="center"/>
          </w:tcPr>
          <w:p>
            <w:pPr>
              <w:widowControl/>
              <w:spacing w:line="240" w:lineRule="auto"/>
              <w:jc w:val="center"/>
              <w:rPr>
                <w:rFonts w:hint="eastAsia" w:ascii="仿宋" w:hAnsi="仿宋" w:eastAsia="仿宋" w:cs="仿宋"/>
                <w:color w:val="000000"/>
                <w:kern w:val="0"/>
                <w:sz w:val="21"/>
                <w:szCs w:val="21"/>
                <w:highlight w:val="none"/>
              </w:rPr>
            </w:pP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所投产品的生产厂商应是国家互联网应急响应中心网络安全应急服务国家级支撑单位，提供有效证书的复印件。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167" w:type="dxa"/>
            <w:vMerge w:val="continue"/>
            <w:noWrap w:val="0"/>
            <w:vAlign w:val="center"/>
          </w:tcPr>
          <w:p>
            <w:pPr>
              <w:widowControl/>
              <w:spacing w:line="240" w:lineRule="auto"/>
              <w:jc w:val="center"/>
              <w:rPr>
                <w:rFonts w:hint="eastAsia" w:ascii="仿宋" w:hAnsi="仿宋" w:eastAsia="仿宋" w:cs="仿宋"/>
                <w:color w:val="000000"/>
                <w:kern w:val="0"/>
                <w:sz w:val="21"/>
                <w:szCs w:val="21"/>
                <w:highlight w:val="none"/>
              </w:rPr>
            </w:pPr>
          </w:p>
        </w:tc>
        <w:tc>
          <w:tcPr>
            <w:tcW w:w="8059" w:type="dxa"/>
            <w:noWrap w:val="0"/>
            <w:vAlign w:val="top"/>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sz w:val="21"/>
                <w:szCs w:val="21"/>
                <w:highlight w:val="none"/>
              </w:rPr>
              <w:t>所投产品的生产厂商连续三年入围绍兴市网络安全技术支撑单位，提供证明材料。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167" w:type="dxa"/>
            <w:noWrap w:val="0"/>
            <w:vAlign w:val="center"/>
          </w:tcPr>
          <w:p>
            <w:pPr>
              <w:pStyle w:val="37"/>
              <w:widowControl/>
              <w:spacing w:before="300" w:after="300"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售后服务</w:t>
            </w:r>
          </w:p>
        </w:tc>
        <w:tc>
          <w:tcPr>
            <w:tcW w:w="8059" w:type="dxa"/>
            <w:noWrap w:val="0"/>
            <w:vAlign w:val="top"/>
          </w:tcPr>
          <w:p>
            <w:pPr>
              <w:pStyle w:val="37"/>
              <w:spacing w:before="300" w:after="300"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要求提供原厂商3年7*24小时服务，中标后三天内提供针对本项目的原厂授权函；供货时提供原厂三年7*24小时的售后服务承诺</w:t>
            </w:r>
          </w:p>
        </w:tc>
      </w:tr>
    </w:tbl>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8.安全运营前哨探针技术参数要求：</w:t>
      </w:r>
    </w:p>
    <w:tbl>
      <w:tblPr>
        <w:tblStyle w:val="43"/>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7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restar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指标项</w:t>
            </w:r>
          </w:p>
        </w:tc>
        <w:tc>
          <w:tcPr>
            <w:tcW w:w="7963" w:type="dxa"/>
            <w:vMerge w:val="restar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noWrap w:val="0"/>
            <w:vAlign w:val="center"/>
          </w:tcPr>
          <w:p>
            <w:pPr>
              <w:widowControl/>
              <w:spacing w:line="240" w:lineRule="auto"/>
              <w:jc w:val="center"/>
              <w:rPr>
                <w:rFonts w:hint="eastAsia" w:ascii="仿宋" w:hAnsi="仿宋" w:eastAsia="仿宋" w:cs="仿宋"/>
                <w:sz w:val="21"/>
                <w:szCs w:val="21"/>
                <w:highlight w:val="none"/>
              </w:rPr>
            </w:pPr>
          </w:p>
        </w:tc>
        <w:tc>
          <w:tcPr>
            <w:tcW w:w="7963" w:type="dxa"/>
            <w:vMerge w:val="continue"/>
            <w:noWrap w:val="0"/>
            <w:vAlign w:val="center"/>
          </w:tcPr>
          <w:p>
            <w:pPr>
              <w:widowControl/>
              <w:spacing w:line="240" w:lineRule="auto"/>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0" w:type="auto"/>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规格</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标准机架式设备，冗余电源；万兆光口≥2，千兆光口≥2，千兆电口≥6；内存≥16G；硬盘≥2T；提供三年规则升级授权；流量监测能力≥1Gbps。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0" w:type="auto"/>
            <w:vMerge w:val="restar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协议解析</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支持IPv4/IPv6双协议栈全流量解析；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0" w:type="auto"/>
            <w:vMerge w:val="continue"/>
            <w:noWrap w:val="0"/>
            <w:vAlign w:val="center"/>
          </w:tcPr>
          <w:p>
            <w:pPr>
              <w:widowControl/>
              <w:spacing w:line="240" w:lineRule="auto"/>
              <w:jc w:val="center"/>
              <w:rPr>
                <w:rFonts w:hint="eastAsia" w:ascii="仿宋" w:hAnsi="仿宋" w:eastAsia="仿宋" w:cs="仿宋"/>
                <w:sz w:val="21"/>
                <w:szCs w:val="21"/>
                <w:highlight w:val="none"/>
              </w:rPr>
            </w:pP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支持常见HTTP、FTP、TFTP、SMTP、TLS、SSH、IMAP、SMB、Dcerpc、DNS、IKEV2、NFS、Krb5、DHCP、SNMP、SIP、RFB、RDP等应用层协议；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0" w:type="auto"/>
            <w:vMerge w:val="continue"/>
            <w:noWrap w:val="0"/>
            <w:vAlign w:val="center"/>
          </w:tcPr>
          <w:p>
            <w:pPr>
              <w:widowControl/>
              <w:spacing w:line="240" w:lineRule="auto"/>
              <w:jc w:val="center"/>
              <w:rPr>
                <w:rFonts w:hint="eastAsia" w:ascii="仿宋" w:hAnsi="仿宋" w:eastAsia="仿宋" w:cs="仿宋"/>
                <w:sz w:val="21"/>
                <w:szCs w:val="21"/>
                <w:highlight w:val="none"/>
              </w:rPr>
            </w:pP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支持基于不完整会话流的单包攻击检测能力；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0" w:type="auto"/>
            <w:vMerge w:val="restar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威胁态势综合分析</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系统综合分析页面提供最近24小时/7天/15天内接入流量网络中发生的整体安全态势，包括对网络内风险资产进行统计分析、对攻击、受害攻击进行聚合分析输出TOP10，同时可对网络内告警事件趋势与告警风险级别绘制柱状图与并状态，并可对告警攻击TOP5进行排序便于客户直观了解脆弱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0" w:type="auto"/>
            <w:vMerge w:val="continue"/>
            <w:noWrap w:val="0"/>
            <w:vAlign w:val="center"/>
          </w:tcPr>
          <w:p>
            <w:pPr>
              <w:widowControl/>
              <w:spacing w:line="240" w:lineRule="auto"/>
              <w:jc w:val="center"/>
              <w:rPr>
                <w:rFonts w:hint="eastAsia" w:ascii="仿宋" w:hAnsi="仿宋" w:eastAsia="仿宋" w:cs="仿宋"/>
                <w:sz w:val="21"/>
                <w:szCs w:val="21"/>
                <w:highlight w:val="none"/>
              </w:rPr>
            </w:pP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系统综合分析页面支持系统接入流量告警攻击的实时展示，同时支持刷新时间选择为5/15/30秒；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0" w:type="auto"/>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威胁检测</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支持检测常见的Web类攻击，至少包含Webshell请求、XSS攻击、SQL注入等web攻击；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0" w:type="auto"/>
            <w:vMerge w:val="restar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场景分析</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系统具备脆弱口令分析场景；支持分析登录用户名、用户口令（需特定账户查看）、访问时间；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0" w:type="auto"/>
            <w:vMerge w:val="continue"/>
            <w:noWrap w:val="0"/>
            <w:vAlign w:val="center"/>
          </w:tcPr>
          <w:p>
            <w:pPr>
              <w:widowControl/>
              <w:spacing w:line="240" w:lineRule="auto"/>
              <w:jc w:val="center"/>
              <w:rPr>
                <w:rFonts w:hint="eastAsia" w:ascii="仿宋" w:hAnsi="仿宋" w:eastAsia="仿宋" w:cs="仿宋"/>
                <w:sz w:val="21"/>
                <w:szCs w:val="21"/>
                <w:highlight w:val="none"/>
              </w:rPr>
            </w:pP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系统具备攻击链分析模型，通过被攻击者视角展示主机遭受攻击状态迁移图和攻击阶段统计，分析内部资产被外部地址攻击详情，多维度分析攻击异常开始时间，使用手段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0" w:type="auto"/>
            <w:vMerge w:val="continue"/>
            <w:noWrap w:val="0"/>
            <w:vAlign w:val="center"/>
          </w:tcPr>
          <w:p>
            <w:pPr>
              <w:widowControl/>
              <w:spacing w:line="240" w:lineRule="auto"/>
              <w:jc w:val="center"/>
              <w:rPr>
                <w:rFonts w:hint="eastAsia" w:ascii="仿宋" w:hAnsi="仿宋" w:eastAsia="仿宋" w:cs="仿宋"/>
                <w:sz w:val="21"/>
                <w:szCs w:val="21"/>
                <w:highlight w:val="none"/>
              </w:rPr>
            </w:pP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系统具备专有的挖矿分析场景:基于特征库和威胁情报检测挖矿主机，对挖矿主机进行不同阶段的展示，至少包括连接矿池阶段、获取挖矿任务阶段、控制命令通信阶段、挖矿成功阶段，形成挖矿链可视跟踪。对网络中的挖矿主机活跃程度，挖矿币种有直观的图形化展示（需提供界面截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0" w:type="auto"/>
            <w:vMerge w:val="restart"/>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资产管理</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支持通过扫描实现对资产精准识别，粒度包含设备类型，操作系统类型（如Windows，linux等），MAC地址，IP地址，端口服务等资产信息；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noWrap w:val="0"/>
            <w:vAlign w:val="center"/>
          </w:tcPr>
          <w:p>
            <w:pPr>
              <w:widowControl/>
              <w:spacing w:line="240" w:lineRule="auto"/>
              <w:jc w:val="center"/>
              <w:rPr>
                <w:rFonts w:hint="eastAsia" w:ascii="仿宋" w:hAnsi="仿宋" w:eastAsia="仿宋" w:cs="仿宋"/>
                <w:sz w:val="21"/>
                <w:szCs w:val="21"/>
                <w:highlight w:val="none"/>
              </w:rPr>
            </w:pP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资产主动扫描能力，支持按单次扫描或自动周期性扫描，扫描结果包括资产IP，端口服务，操作系统，设备类型，设备厂商信息；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0" w:type="auto"/>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离线威胁分析</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具备通过web页面导入pcap包离线回放检测能力，支持批量导入或选择文件夹导入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流量取证</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基于网络全流量分析技术，对网络所有数据进行安全分析。通过对网络链路全流量采集、全数据分析，对网络异常行为有敏锐的感知能力，具备多维数据索引能力，能够对网络攻击进行定位与取证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0" w:type="auto"/>
            <w:noWrap/>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辅助工具</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支持图形化BPF规则自定义配置，按接口、会话五元组等条件进行抓包；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0" w:type="auto"/>
            <w:noWrap/>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接口外发</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支持通过syslog/kafka方式将告警日志、违规互联日志、威胁情报日志、流数据日志、协议元数据外发至安全运营监测平台；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0" w:type="auto"/>
            <w:noWrap/>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产品资质</w:t>
            </w:r>
          </w:p>
        </w:tc>
        <w:tc>
          <w:tcPr>
            <w:tcW w:w="7963" w:type="dxa"/>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具备信息安全产品自主原创证明，提供材料证明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0" w:type="auto"/>
            <w:noWrap/>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售后服务</w:t>
            </w:r>
          </w:p>
        </w:tc>
        <w:tc>
          <w:tcPr>
            <w:tcW w:w="7963" w:type="dxa"/>
            <w:noWrap w:val="0"/>
            <w:vAlign w:val="top"/>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要求提供原厂商3年7*24小时服务，中标后三天内提供针对本项目的原厂授权函；供货时提供原厂三年7*24小时的售后服务承诺</w:t>
            </w:r>
          </w:p>
        </w:tc>
      </w:tr>
    </w:tbl>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9.安全运营服务技术参数要求：</w:t>
      </w:r>
    </w:p>
    <w:tbl>
      <w:tblPr>
        <w:tblStyle w:val="43"/>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60"/>
        <w:gridCol w:w="6755"/>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0" w:type="auto"/>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序号</w:t>
            </w:r>
          </w:p>
        </w:tc>
        <w:tc>
          <w:tcPr>
            <w:tcW w:w="986" w:type="dxa"/>
            <w:gridSpan w:val="2"/>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服务项目</w:t>
            </w:r>
          </w:p>
        </w:tc>
        <w:tc>
          <w:tcPr>
            <w:tcW w:w="6755" w:type="dxa"/>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服务内容</w:t>
            </w:r>
          </w:p>
        </w:tc>
        <w:tc>
          <w:tcPr>
            <w:tcW w:w="1075" w:type="dxa"/>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000000" w:fill="FFFFFF"/>
            <w:noWrap w:val="0"/>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986" w:type="dxa"/>
            <w:gridSpan w:val="2"/>
            <w:shd w:val="clear" w:color="000000" w:fill="FFFFFF"/>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sz w:val="21"/>
                <w:szCs w:val="21"/>
                <w:highlight w:val="none"/>
              </w:rPr>
              <w:t>运维值守服务</w:t>
            </w:r>
          </w:p>
        </w:tc>
        <w:tc>
          <w:tcPr>
            <w:tcW w:w="675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sz w:val="21"/>
                <w:szCs w:val="21"/>
                <w:highlight w:val="none"/>
              </w:rPr>
              <w:t>针对绍兴市中医院信息系统面临的威胁，现场派驻安全服务工程师，为绍兴市中医院提供全面事件处理、日志分析、事件监控，深入的脆弱性检测及安全加固等工作，实时监控和处理信息系统中存在的安全问题，最大限度降低控制绍兴市中医院信息系统安全风险。</w:t>
            </w:r>
          </w:p>
        </w:tc>
        <w:tc>
          <w:tcPr>
            <w:tcW w:w="107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服务周期：一年按需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0" w:type="auto"/>
            <w:shd w:val="clear" w:color="000000" w:fill="FFFFFF"/>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w:t>
            </w:r>
          </w:p>
        </w:tc>
        <w:tc>
          <w:tcPr>
            <w:tcW w:w="986" w:type="dxa"/>
            <w:gridSpan w:val="2"/>
            <w:shd w:val="clear" w:color="000000" w:fill="FFFFFF"/>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sz w:val="21"/>
                <w:szCs w:val="21"/>
                <w:highlight w:val="none"/>
              </w:rPr>
              <w:t>渗透测试服务</w:t>
            </w:r>
          </w:p>
        </w:tc>
        <w:tc>
          <w:tcPr>
            <w:tcW w:w="675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通过模拟黑客使用的工具、分析方法对</w:t>
            </w:r>
            <w:r>
              <w:rPr>
                <w:rFonts w:hint="eastAsia" w:ascii="仿宋" w:hAnsi="仿宋" w:eastAsia="仿宋" w:cs="仿宋"/>
                <w:sz w:val="21"/>
                <w:szCs w:val="21"/>
                <w:highlight w:val="none"/>
              </w:rPr>
              <w:t>绍兴市中医院业务系统</w:t>
            </w:r>
            <w:r>
              <w:rPr>
                <w:rFonts w:hint="eastAsia" w:ascii="仿宋" w:hAnsi="仿宋" w:eastAsia="仿宋" w:cs="仿宋"/>
                <w:kern w:val="0"/>
                <w:sz w:val="21"/>
                <w:szCs w:val="21"/>
                <w:highlight w:val="none"/>
              </w:rPr>
              <w:t>进行安全测试，并结合智能工具扫描结果，由高级工程师进行深入的手工测试和分析，识别工具弱点扫描无法发现的问题。主要分析内容包括逻辑缺陷、上传绕过、输入输出校验绕过、数据篡改、功能绕过、异常错误以及其他专项内容。</w:t>
            </w:r>
          </w:p>
        </w:tc>
        <w:tc>
          <w:tcPr>
            <w:tcW w:w="107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服务周期：1年按需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000000" w:fill="FFFFFF"/>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w:t>
            </w:r>
          </w:p>
        </w:tc>
        <w:tc>
          <w:tcPr>
            <w:tcW w:w="986" w:type="dxa"/>
            <w:gridSpan w:val="2"/>
            <w:shd w:val="clear" w:color="000000" w:fill="FFFFFF"/>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sz w:val="21"/>
                <w:szCs w:val="21"/>
                <w:highlight w:val="none"/>
              </w:rPr>
              <w:t>常态化运营监测与响应服务</w:t>
            </w:r>
          </w:p>
        </w:tc>
        <w:tc>
          <w:tcPr>
            <w:tcW w:w="6755" w:type="dxa"/>
            <w:shd w:val="clear" w:color="000000" w:fill="FFFFFF"/>
            <w:noWrap w:val="0"/>
            <w:vAlign w:val="center"/>
          </w:tcPr>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1、由本地专业安全运营团队通过安全运营分析系统分析绍兴市中医院网络内部流量情况，定期向信息中心提供网络安全态势报告。信息中心管理人员可通过登录安全运营中心平台，掌握当前整体网络安全态势。</w:t>
            </w:r>
          </w:p>
          <w:p>
            <w:pPr>
              <w:widowControl/>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2、当发生重大安全事件时，安全专家立即到达现场，对事件进行实时地阻断、反击入侵行为，彻底清除入侵行为对系统造成的影响，同时修补存在的安全漏洞，恢复系统的业务运营。</w:t>
            </w:r>
          </w:p>
          <w:p>
            <w:pPr>
              <w:pStyle w:val="292"/>
              <w:spacing w:line="240" w:lineRule="auto"/>
              <w:ind w:firstLine="0"/>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3、安全运营前哨探针</w:t>
            </w:r>
            <w:r>
              <w:rPr>
                <w:rFonts w:hint="eastAsia" w:ascii="仿宋" w:hAnsi="仿宋" w:eastAsia="仿宋" w:cs="仿宋"/>
                <w:sz w:val="21"/>
                <w:szCs w:val="21"/>
                <w:highlight w:val="none"/>
              </w:rPr>
              <w:t>接入授权1个。</w:t>
            </w:r>
          </w:p>
          <w:p>
            <w:pPr>
              <w:pStyle w:val="292"/>
              <w:spacing w:line="240" w:lineRule="auto"/>
              <w:ind w:firstLine="0"/>
              <w:rPr>
                <w:rFonts w:hint="eastAsia" w:ascii="仿宋" w:hAnsi="仿宋" w:eastAsia="仿宋" w:cs="仿宋"/>
                <w:sz w:val="21"/>
                <w:szCs w:val="21"/>
                <w:highlight w:val="none"/>
              </w:rPr>
            </w:pPr>
            <w:r>
              <w:rPr>
                <w:rFonts w:hint="eastAsia" w:ascii="仿宋" w:hAnsi="仿宋" w:eastAsia="仿宋" w:cs="仿宋"/>
                <w:sz w:val="21"/>
                <w:szCs w:val="21"/>
                <w:highlight w:val="none"/>
              </w:rPr>
              <w:t>4、内网安全运营监测平台软件1套，结合安全运营分析系统，实现内网网络安全流量分析、风险感知及风险大屏展示。</w:t>
            </w:r>
          </w:p>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5、通过网站安全监测工具对绍兴市中医院门户网站进行不间断的监测，结合安全专家的专业分析，及时的发现网站存在的安全隐患和问题，第一时间通知绍兴市中医院进行处理，并提供安全建议，降低风险，减少损失。</w:t>
            </w:r>
          </w:p>
        </w:tc>
        <w:tc>
          <w:tcPr>
            <w:tcW w:w="107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服务周期：1年7*24小时监测服务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0" w:type="auto"/>
            <w:shd w:val="clear" w:color="000000" w:fill="FFFFFF"/>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w:t>
            </w:r>
          </w:p>
        </w:tc>
        <w:tc>
          <w:tcPr>
            <w:tcW w:w="986" w:type="dxa"/>
            <w:gridSpan w:val="2"/>
            <w:shd w:val="clear" w:color="000000" w:fill="FFFFFF"/>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sz w:val="21"/>
                <w:szCs w:val="21"/>
                <w:highlight w:val="none"/>
              </w:rPr>
              <w:t>重要时期安全保障服务</w:t>
            </w:r>
          </w:p>
        </w:tc>
        <w:tc>
          <w:tcPr>
            <w:tcW w:w="675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重要活动或会议举行前，按照采购人要求针对重要信息系统所处整体网络进行全面安全评估，形成专项评估报告，协助采购人对发现的问题进行整改和加固，保障重要时段网络安全。并按照采购人要求，安排专业工程师，提供7*24小时现场值守服务，服务内容包含：</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1.保障自查：针对网络设备和安全设备，进行策略的合理性和有效性检查，并对日志进行审计分析，记录保存检查和审计结果。</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漏洞扫描：由专业技术人员使用专业检测工具，基于漏洞数据库，通过自动化检测结合人工分析的手段对指定的远程或者本地计算机系统的安全脆弱性进行快速检测，发现可利用漏洞，在安全事件发生前解决信息安全问题，最大程度保障信息系统安全。</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3.安全加固指导：根据漏洞扫描与安全自查结果，收集加固方法及验证方法，协助相关运维人员进行漏洞修复。</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4.应急响应：发生安全事件时，依照应急响应流程进行应急处置。</w:t>
            </w:r>
          </w:p>
        </w:tc>
        <w:tc>
          <w:tcPr>
            <w:tcW w:w="107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服务周期：一年年按需提供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0" w:type="auto"/>
            <w:shd w:val="clear" w:color="000000" w:fill="FFFFFF"/>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5</w:t>
            </w:r>
          </w:p>
        </w:tc>
        <w:tc>
          <w:tcPr>
            <w:tcW w:w="0" w:type="auto"/>
            <w:vMerge w:val="restart"/>
            <w:shd w:val="clear" w:color="000000" w:fill="FFFFFF"/>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服务工具要求</w:t>
            </w:r>
          </w:p>
        </w:tc>
        <w:tc>
          <w:tcPr>
            <w:tcW w:w="560" w:type="dxa"/>
            <w:shd w:val="clear" w:color="000000" w:fill="FFFFFF"/>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sz w:val="21"/>
                <w:szCs w:val="21"/>
                <w:highlight w:val="none"/>
              </w:rPr>
              <w:t>漏洞扫描工具</w:t>
            </w:r>
          </w:p>
        </w:tc>
        <w:tc>
          <w:tcPr>
            <w:tcW w:w="675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支持对主流Web漏洞的识别与扫描，包括：SQL注入漏洞、命令注入漏洞、CRLF注入漏洞、LDAP注入漏洞、XSS跨站脚本漏洞、路径遍历漏洞、信息泄漏漏洞、URL跳转漏洞、文件包含漏洞、应用程序漏洞、文件上传漏洞等。</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2.支持对主流数据库的识别与扫描，包括：Oracle、Sybase、GBASE、GaussDB、神通、达梦、人大金仓、优炫等，能够扫描的数据库漏洞扫描方法不小于2700种。</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 ▲系统为漏洞扫描、Web应用扫描、基线核查于一体，且漏洞扫描方法不少于290000种，扫描Web漏洞扫描方法不小于3000种；配置核查项不小于3700个（提供截图证明）。</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4.可对云平台扫描，漏洞覆盖OpenStack 、KVM、Vmware、Xen等主流的云计算平台。</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5.可对主流数据库的识别与扫描，包括：Oracle、Sybase、SQL Server、DB2、MySQL等，能够扫描的数据库漏洞扫描方法不小于2700种。</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6.具备35种以上默认扫描策略模板，如常规安全扫描，中高危漏洞扫描，高危漏洞扫描，web服务组件扫描，网络设备扫描，云平台漏洞扫描，虚拟化扫描，主机信息收集，攻击性扫描，SQL SERVER 数据库扫描，Apple类扫描，视频监控类扫描等等，同时针对市场应急响应的漏洞提供应急响应策略模板。</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7.支持漏洞验证功能，在扫描结束后，能够对结果中的重要漏洞进行现场验证，展示漏洞利用过程和风险。</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8.为保证漏洞扫描能力，要求服务提供商提交CVE漏洞数不小于500，提供漏洞列表。</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9.考虑漏洞扫描工具成熟度，提供最近三年以来连续三年IDC或CCID市场排名前三提供相关证明。</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10.漏洞扫描工具具有中华人民共和国公安部颁发的《计算机信息系统安全专用产品销售许可证》，要求为增强型。。</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11.漏洞扫描工具具有中华人民共和国国家版权局颁发的《计算机软件著作权登记证书》。</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12.漏洞扫描工具具有中国信息安全测评中心颁发的《信息技术产品安全测评证书》，级别EAL3+。</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13.漏洞扫描工具具备中国信息安全认证中心的《网络关键设备和网络安全专用产品安全证书》，要求为增强级。</w:t>
            </w:r>
          </w:p>
        </w:tc>
        <w:tc>
          <w:tcPr>
            <w:tcW w:w="107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0" w:type="auto"/>
            <w:shd w:val="clear" w:color="000000" w:fill="FFFFFF"/>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6</w:t>
            </w:r>
          </w:p>
        </w:tc>
        <w:tc>
          <w:tcPr>
            <w:tcW w:w="0" w:type="auto"/>
            <w:vMerge w:val="continue"/>
            <w:shd w:val="clear" w:color="000000" w:fill="FFFFFF"/>
            <w:noWrap w:val="0"/>
            <w:vAlign w:val="center"/>
          </w:tcPr>
          <w:p>
            <w:pPr>
              <w:widowControl/>
              <w:spacing w:line="240" w:lineRule="auto"/>
              <w:jc w:val="center"/>
              <w:rPr>
                <w:rFonts w:hint="eastAsia" w:ascii="仿宋" w:hAnsi="仿宋" w:eastAsia="仿宋" w:cs="仿宋"/>
                <w:kern w:val="0"/>
                <w:sz w:val="21"/>
                <w:szCs w:val="21"/>
                <w:highlight w:val="none"/>
              </w:rPr>
            </w:pPr>
          </w:p>
        </w:tc>
        <w:tc>
          <w:tcPr>
            <w:tcW w:w="560" w:type="dxa"/>
            <w:shd w:val="clear" w:color="000000" w:fill="FFFFFF"/>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内网安全运营监测平台</w:t>
            </w:r>
          </w:p>
        </w:tc>
        <w:tc>
          <w:tcPr>
            <w:tcW w:w="675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平台首页分区清晰展现风险资产，整体安全态势，告警事件趋势，TOP攻击和受害IP以及告警事件信息，告警等级分布统计和实施攻击事件。可通过点击各区块中的具体信息进入告警管理模块对该告警信息的详情展示。</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 多维度告警管理能力：支持通过选择所属单位、告警名称、攻击IP、受害IP、攻击阶段、攻击结果、告警类型、威胁等级和时间范围之中的任意条件或多个条件组合来筛选聚合出需要查询的告警事件。告警事件详情至少包括基础信息、五元组信息、应用层协议信息、payload信息、请求头和响应头信息、请求体和响应体信息等数据。支持一键告警日志一键生成事件。</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3.安全态势可视化模块：支持选择中心大屏或客户大屏，并支持以地图方式展现区域态势情况。客户大屏可直观展示单个接入单位的威胁态势、漏洞分布、实时事件等。</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安全事件分析管理模块：支持事件手动添加和告警规则触发后自动生成两种模式。手动添加：分析人员可根据告警信息判断该告警信息是否是威胁事件并手动添加事件，包括事件名称、事件等级、所属单位、处置人员以及富文本事件描述。告警规则触发后自动生成：平台告警规则触发后自动生成事件。</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5.事件处置支持工作流，分析人员之间以及分析人员与客户之间可交互处置。保证事件处置过程全程可追溯。</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6.安全漏洞分析管理模块：支持漏洞的创建和导入，分析人员可对漏洞进行处置，处置状态至少包含漏洞提报、处置和复测的闭环处理流程。系统支持预设漏洞提报相关字段，包括漏洞名称、资产IP、漏洞等级、漏洞类型、当前状态、CVE、漏洞描述和修复建议，分析人员可按照预定义字段进行提报。</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7.资产管理模块应支持添加和管理网络安全设备及探针，支持对现有设备的名称、部署单位、设备IP、设备类型、创建时间信息进行编辑；支持监控管理探针启用状态。</w:t>
            </w:r>
          </w:p>
        </w:tc>
        <w:tc>
          <w:tcPr>
            <w:tcW w:w="107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0" w:type="auto"/>
            <w:shd w:val="clear" w:color="000000" w:fill="FFFFFF"/>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7</w:t>
            </w:r>
          </w:p>
        </w:tc>
        <w:tc>
          <w:tcPr>
            <w:tcW w:w="0" w:type="auto"/>
            <w:vMerge w:val="continue"/>
            <w:shd w:val="clear" w:color="000000" w:fill="FFFFFF"/>
            <w:noWrap w:val="0"/>
            <w:vAlign w:val="center"/>
          </w:tcPr>
          <w:p>
            <w:pPr>
              <w:widowControl/>
              <w:spacing w:line="240" w:lineRule="auto"/>
              <w:jc w:val="center"/>
              <w:rPr>
                <w:rFonts w:hint="eastAsia" w:ascii="仿宋" w:hAnsi="仿宋" w:eastAsia="仿宋" w:cs="仿宋"/>
                <w:kern w:val="0"/>
                <w:sz w:val="21"/>
                <w:szCs w:val="21"/>
                <w:highlight w:val="none"/>
              </w:rPr>
            </w:pPr>
          </w:p>
        </w:tc>
        <w:tc>
          <w:tcPr>
            <w:tcW w:w="560" w:type="dxa"/>
            <w:shd w:val="clear" w:color="000000" w:fill="FFFFFF"/>
            <w:noWrap w:val="0"/>
            <w:vAlign w:val="center"/>
          </w:tcPr>
          <w:p>
            <w:pPr>
              <w:widowControl/>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网站安全监测工具</w:t>
            </w:r>
          </w:p>
        </w:tc>
        <w:tc>
          <w:tcPr>
            <w:tcW w:w="6755" w:type="dxa"/>
            <w:shd w:val="clear" w:color="000000" w:fill="FFFFFF"/>
            <w:noWrap w:val="0"/>
            <w:vAlign w:val="center"/>
          </w:tcPr>
          <w:p>
            <w:pPr>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支持对各种Web应用系统的扫描，支持检测SQL注入漏洞、命令注入漏洞、CRLF注入漏洞、LDAP注入漏洞、XSS跨站脚本漏洞、路径遍历漏洞、信息泄漏漏洞、URL跳转漏洞、文件包含漏洞、应用程序漏洞、文件上传漏洞等。</w:t>
            </w:r>
          </w:p>
          <w:p>
            <w:pPr>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2.支持漏洞验证功能，在扫描结束后，能够对结果中的重要漏洞进行现场验证，展示漏洞利用过程和风险。</w:t>
            </w:r>
          </w:p>
          <w:p>
            <w:pPr>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3.支持灵活的扫描任务制定功能，可设定检测开始时间、网站COOKIE、检测周期、任务模式、User_Agent设置、发包限速设置、最大检测页面数、漏洞类型设置等。</w:t>
            </w:r>
          </w:p>
          <w:p>
            <w:pPr>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4.支持当前网页和快照的文本和图片对比，不同的文本区域应使用不同颜色标出。</w:t>
            </w:r>
          </w:p>
          <w:p>
            <w:pPr>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5.▲支持手动和爬虫两种网站变更监测任务生成方式，爬取链接数量可根据网站大小自行选择，爬虫方式支持增量爬取和重建爬取，可以设置定时爬取或单次爬取，可定义爬取子域名和外链URL；爬取页面时支持自定义cookie、BASIC认证、NTLM认证。（提供功能截图证明）</w:t>
            </w:r>
          </w:p>
        </w:tc>
        <w:tc>
          <w:tcPr>
            <w:tcW w:w="107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0" w:type="auto"/>
            <w:shd w:val="clear" w:color="000000" w:fill="FFFFFF"/>
            <w:noWrap w:val="0"/>
            <w:vAlign w:val="center"/>
          </w:tcPr>
          <w:p>
            <w:pPr>
              <w:spacing w:line="240" w:lineRule="auto"/>
              <w:jc w:val="center"/>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8</w:t>
            </w:r>
          </w:p>
        </w:tc>
        <w:tc>
          <w:tcPr>
            <w:tcW w:w="986" w:type="dxa"/>
            <w:gridSpan w:val="2"/>
            <w:shd w:val="clear" w:color="000000" w:fill="FFFFFF"/>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服务交付物</w:t>
            </w:r>
          </w:p>
        </w:tc>
        <w:tc>
          <w:tcPr>
            <w:tcW w:w="675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1.渗透测试服务：每半年提交一份《渗透测试报告》</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2.常态化运营监测与响应服务：每月提交一份《安全监测月报》、按需提交《应急响应报告》</w:t>
            </w:r>
          </w:p>
          <w:p>
            <w:pPr>
              <w:widowControl/>
              <w:spacing w:line="240" w:lineRule="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3.重要时期安全保障服务：按需提交《重保前安全评估报告》、《重保时期安全保障日报》、《重保时期安全保障总结报告》</w:t>
            </w:r>
          </w:p>
        </w:tc>
        <w:tc>
          <w:tcPr>
            <w:tcW w:w="1075" w:type="dxa"/>
            <w:shd w:val="clear" w:color="000000" w:fill="FFFFFF"/>
            <w:noWrap w:val="0"/>
            <w:vAlign w:val="center"/>
          </w:tcPr>
          <w:p>
            <w:pPr>
              <w:widowControl/>
              <w:spacing w:line="240" w:lineRule="auto"/>
              <w:rPr>
                <w:rFonts w:hint="eastAsia" w:ascii="仿宋" w:hAnsi="仿宋" w:eastAsia="仿宋" w:cs="仿宋"/>
                <w:kern w:val="0"/>
                <w:sz w:val="21"/>
                <w:szCs w:val="21"/>
                <w:highlight w:val="none"/>
              </w:rPr>
            </w:pPr>
          </w:p>
        </w:tc>
      </w:tr>
    </w:tbl>
    <w:p>
      <w:pPr>
        <w:pStyle w:val="2"/>
        <w:ind w:firstLine="0" w:firstLineChars="0"/>
        <w:rPr>
          <w:rFonts w:hint="eastAsia" w:ascii="仿宋" w:hAnsi="仿宋" w:eastAsia="仿宋" w:cs="仿宋"/>
          <w:sz w:val="21"/>
          <w:szCs w:val="21"/>
          <w:highlight w:val="none"/>
          <w:lang w:val="en-US"/>
        </w:rPr>
      </w:pPr>
      <w:r>
        <w:rPr>
          <w:rFonts w:hint="eastAsia" w:ascii="仿宋" w:hAnsi="仿宋" w:eastAsia="仿宋" w:cs="仿宋"/>
          <w:sz w:val="21"/>
          <w:szCs w:val="21"/>
          <w:highlight w:val="none"/>
          <w:lang w:val="en-US"/>
        </w:rPr>
        <w:t>10.时钟同步设备技术参数要求：</w:t>
      </w:r>
    </w:p>
    <w:tbl>
      <w:tblPr>
        <w:tblStyle w:val="44"/>
        <w:tblW w:w="92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04"/>
        <w:gridCol w:w="76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指标项</w:t>
            </w:r>
          </w:p>
        </w:tc>
        <w:tc>
          <w:tcPr>
            <w:tcW w:w="7636"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指标要求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物理外观</w:t>
            </w:r>
          </w:p>
        </w:tc>
        <w:tc>
          <w:tcPr>
            <w:tcW w:w="7636" w:type="dxa"/>
            <w:noWrap w:val="0"/>
            <w:vAlign w:val="center"/>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标准2U,19英寸机架式机箱。全模块化，带电热插拔，即插即用方式。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输入要求</w:t>
            </w:r>
          </w:p>
        </w:tc>
        <w:tc>
          <w:tcPr>
            <w:tcW w:w="7636" w:type="dxa"/>
            <w:noWrap w:val="0"/>
            <w:vAlign w:val="center"/>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配备GPS+北斗二代+IRIG-B(422)码冗余授时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输出要求</w:t>
            </w:r>
          </w:p>
        </w:tc>
        <w:tc>
          <w:tcPr>
            <w:tcW w:w="7636" w:type="dxa"/>
            <w:noWrap w:val="0"/>
            <w:vAlign w:val="center"/>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配备1个NTP/SNTP网络授时端口，12路IRIG-B（422）信号输出，4路RS232串口信号输出，1路PPS脉冲信号输出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告警接点</w:t>
            </w:r>
          </w:p>
        </w:tc>
        <w:tc>
          <w:tcPr>
            <w:tcW w:w="7636" w:type="dxa"/>
            <w:noWrap w:val="0"/>
            <w:vAlign w:val="center"/>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1路GPS北斗信号失步告警接点输出，1路B码信号失步告警接点输出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时间精度</w:t>
            </w:r>
          </w:p>
        </w:tc>
        <w:tc>
          <w:tcPr>
            <w:tcW w:w="7636" w:type="dxa"/>
            <w:noWrap w:val="0"/>
            <w:vAlign w:val="center"/>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锁定后输出1pps相对UTC的平均偏差（时间精度）小于50nS。</w:t>
            </w:r>
          </w:p>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（提供投标产品2021年1月1日之后由中国计量科学研究院出具的校准证书复印件）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守时精度</w:t>
            </w:r>
          </w:p>
        </w:tc>
        <w:tc>
          <w:tcPr>
            <w:tcW w:w="7636" w:type="dxa"/>
            <w:noWrap w:val="0"/>
            <w:vAlign w:val="center"/>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保持时平均时钟频率（即守时精度）小于0.42μS/分钟（即605μS/天）</w:t>
            </w:r>
          </w:p>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（提供投标产品2021年1月1日之后由中国计量科学研究院出具的校准证书复印件）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授时精度</w:t>
            </w:r>
          </w:p>
        </w:tc>
        <w:tc>
          <w:tcPr>
            <w:tcW w:w="7636" w:type="dxa"/>
            <w:noWrap w:val="0"/>
            <w:vAlign w:val="center"/>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NTP网络授时精度小于1ms。</w:t>
            </w:r>
          </w:p>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（提供投标产品2021年1月1日之后由中国科学院国家授时中心出具的检测报告复印件，并加盖制造商印章）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NTP端口</w:t>
            </w:r>
          </w:p>
        </w:tc>
        <w:tc>
          <w:tcPr>
            <w:tcW w:w="7636" w:type="dxa"/>
            <w:noWrap w:val="0"/>
            <w:vAlign w:val="center"/>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可配置14路NTP网络授时端口，本次配置1路NTP网络授时端口。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授时天线</w:t>
            </w:r>
          </w:p>
        </w:tc>
        <w:tc>
          <w:tcPr>
            <w:tcW w:w="7636" w:type="dxa"/>
            <w:noWrap w:val="0"/>
            <w:vAlign w:val="center"/>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提供30米的GPS、北斗双模天线1套。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04" w:type="dxa"/>
            <w:noWrap w:val="0"/>
            <w:vAlign w:val="center"/>
          </w:tcPr>
          <w:p>
            <w:pPr>
              <w:widowControl/>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售后服务</w:t>
            </w:r>
          </w:p>
        </w:tc>
        <w:tc>
          <w:tcPr>
            <w:tcW w:w="7636" w:type="dxa"/>
            <w:noWrap w:val="0"/>
            <w:vAlign w:val="top"/>
          </w:tcPr>
          <w:p>
            <w:pPr>
              <w:widowControl/>
              <w:spacing w:line="240" w:lineRule="auto"/>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要求提供原厂商3年服务，中标后三天内提供针对本项目的原厂授权函；供货时提供原厂三年的售后服务承诺</w:t>
            </w:r>
          </w:p>
        </w:tc>
      </w:tr>
    </w:tbl>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三、服务及其他要求：</w:t>
      </w:r>
    </w:p>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3.1中标人必须保证所有设备</w:t>
      </w:r>
      <w:r>
        <w:rPr>
          <w:rFonts w:hint="eastAsia" w:ascii="仿宋" w:hAnsi="仿宋" w:eastAsia="仿宋" w:cs="仿宋"/>
          <w:sz w:val="21"/>
          <w:szCs w:val="21"/>
          <w:highlight w:val="none"/>
          <w:lang w:eastAsia="zh-CN"/>
        </w:rPr>
        <w:t>和服务器配件</w:t>
      </w:r>
      <w:r>
        <w:rPr>
          <w:rFonts w:hint="eastAsia" w:ascii="仿宋" w:hAnsi="仿宋" w:eastAsia="仿宋" w:cs="仿宋"/>
          <w:sz w:val="21"/>
          <w:szCs w:val="21"/>
          <w:highlight w:val="none"/>
        </w:rPr>
        <w:t>为原装正规渠道行货,有原厂服务、如有需要则提供正规渠道等证明，所有产品均原包装到用户，当场开箱验货.同时提供该设备相关技术参数的说明.如不符招标书技术要求,招标人有权退货并且后果一概由中标人承担。</w:t>
      </w:r>
    </w:p>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3.2为保证项目顺利实施和后续维护服务，项目须由中标人实施不允许转包，中标人中标后确定一名具有信息系统项目管理师资质的项目经理，项目经理负责组织和协调项目工作组提供本项目的建设和维护工作，项目工作组成员应包括项目经理和投标书中项目团队工程师，承诺中标后项目团队人员在项目实施过程中均到采购人现场进行项目实施，提供项目组成员资质证明和本单位社保证明，否则采购人将终止合同，如发现项目为转包项目，取消其中标资格且后果一概由中标人承担。</w:t>
      </w:r>
    </w:p>
    <w:p>
      <w:pPr>
        <w:spacing w:line="420" w:lineRule="exact"/>
        <w:ind w:firstLine="420" w:firstLineChars="200"/>
        <w:rPr>
          <w:rFonts w:hint="eastAsia" w:ascii="仿宋" w:hAnsi="仿宋" w:eastAsia="仿宋" w:cs="仿宋"/>
          <w:color w:val="FF0000"/>
          <w:sz w:val="21"/>
          <w:szCs w:val="21"/>
          <w:highlight w:val="none"/>
          <w:lang w:eastAsia="zh-CN"/>
        </w:rPr>
      </w:pPr>
      <w:r>
        <w:rPr>
          <w:rFonts w:hint="eastAsia" w:ascii="仿宋" w:hAnsi="仿宋" w:eastAsia="仿宋" w:cs="仿宋"/>
          <w:sz w:val="21"/>
          <w:szCs w:val="21"/>
          <w:highlight w:val="none"/>
        </w:rPr>
        <w:t>3.3中标人在签订合同时必须向招标人提供标书要求的一体机、存储、防火墙和安全运营前哨探针、时钟同步设备项目授权书原件，供货时提供一体机、存储、防火墙和安全运营前哨探针、时钟同步设备原厂三年服务保修承诺函原件及 (复印件无效，服务承诺书要求有明确服务年限)。由原厂工程师和原厂认证工程师到本地完成招标设备和原有机房设备的安装及测试工作和网络调优、服务器数据库系统安装网络升级切换、核心网络和安全等配置调整工作,不得影响原有业务系统，要求做好原有系统相关的原有网络、原有存储和</w:t>
      </w:r>
      <w:r>
        <w:rPr>
          <w:rFonts w:hint="eastAsia" w:ascii="仿宋" w:hAnsi="仿宋" w:eastAsia="仿宋" w:cs="仿宋"/>
          <w:sz w:val="21"/>
          <w:szCs w:val="21"/>
          <w:highlight w:val="none"/>
          <w:lang w:eastAsia="zh-CN"/>
        </w:rPr>
        <w:t>双活</w:t>
      </w:r>
      <w:r>
        <w:rPr>
          <w:rFonts w:hint="eastAsia" w:ascii="仿宋" w:hAnsi="仿宋" w:eastAsia="仿宋" w:cs="仿宋"/>
          <w:sz w:val="21"/>
          <w:szCs w:val="21"/>
          <w:highlight w:val="none"/>
        </w:rPr>
        <w:t>存储网关配置及版本升级等工作，本项目涉及招标人内部业务系统及原有设备调整，中标人必须保证原有系统正常营业，如需原来中标人协助请自行协商，招标人不再承担任何费用。</w:t>
      </w:r>
    </w:p>
    <w:p>
      <w:pPr>
        <w:spacing w:line="420" w:lineRule="exact"/>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3.4到货期：中标人在合同签订之日起20天内所有设备全部到货（用户根据工程进度需要延迟的除外），开箱验收后根椐招标人要求完成安装调试，安装过程中用户不负责保管，直至系统正式上线的所有费用有中标人自行负责。</w:t>
      </w:r>
    </w:p>
    <w:p>
      <w:pPr>
        <w:spacing w:line="420" w:lineRule="exact"/>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3.5设备操作系统需与本院业务系统匹配。</w:t>
      </w:r>
    </w:p>
    <w:p>
      <w:pPr>
        <w:spacing w:line="420" w:lineRule="exact"/>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3.6此项目实施过程中所产生的一切实施费用均由中标方承担。</w:t>
      </w:r>
    </w:p>
    <w:p>
      <w:pPr>
        <w:numPr>
          <w:ilvl w:val="0"/>
          <w:numId w:val="0"/>
        </w:numPr>
        <w:ind w:leftChars="0" w:firstLine="422" w:firstLineChars="200"/>
        <w:rPr>
          <w:rFonts w:hint="eastAsia" w:ascii="仿宋" w:hAnsi="仿宋" w:eastAsia="仿宋" w:cs="仿宋"/>
          <w:b/>
          <w:bCs/>
          <w:szCs w:val="21"/>
          <w:highlight w:val="none"/>
          <w:lang w:val="en-US" w:eastAsia="zh-CN"/>
        </w:rPr>
      </w:pPr>
      <w:r>
        <w:rPr>
          <w:rFonts w:hint="eastAsia" w:ascii="仿宋" w:hAnsi="仿宋" w:eastAsia="仿宋" w:cs="仿宋"/>
          <w:b/>
          <w:bCs/>
          <w:szCs w:val="21"/>
          <w:highlight w:val="none"/>
          <w:lang w:val="en-US" w:eastAsia="zh-CN"/>
        </w:rPr>
        <w:t>四、付款方式</w:t>
      </w:r>
    </w:p>
    <w:p>
      <w:pPr>
        <w:pStyle w:val="2"/>
        <w:numPr>
          <w:ilvl w:val="0"/>
          <w:numId w:val="0"/>
        </w:numPr>
        <w:ind w:leftChars="0"/>
        <w:rPr>
          <w:rFonts w:hint="eastAsia" w:ascii="仿宋" w:hAnsi="仿宋" w:eastAsia="仿宋" w:cs="仿宋"/>
          <w:kern w:val="2"/>
          <w:sz w:val="21"/>
          <w:szCs w:val="21"/>
          <w:highlight w:val="none"/>
          <w:lang w:val="en-US" w:eastAsia="zh-CN" w:bidi="ar-SA"/>
        </w:rPr>
      </w:pPr>
      <w:r>
        <w:rPr>
          <w:rFonts w:hint="eastAsia" w:ascii="仿宋" w:hAnsi="仿宋" w:eastAsia="仿宋" w:cs="仿宋"/>
          <w:highlight w:val="none"/>
          <w:lang w:val="en-US" w:eastAsia="zh-CN"/>
        </w:rPr>
        <w:t xml:space="preserve">   </w:t>
      </w:r>
      <w:r>
        <w:rPr>
          <w:rFonts w:hint="eastAsia" w:ascii="仿宋" w:hAnsi="仿宋" w:eastAsia="仿宋" w:cs="仿宋"/>
          <w:kern w:val="2"/>
          <w:sz w:val="21"/>
          <w:szCs w:val="21"/>
          <w:highlight w:val="none"/>
          <w:lang w:val="en-US" w:eastAsia="zh-CN" w:bidi="ar-SA"/>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政府采购合同参考范本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282"/>
        <w:rPr>
          <w:rFonts w:hint="eastAsia" w:ascii="仿宋" w:hAnsi="仿宋" w:eastAsia="仿宋" w:cs="仿宋"/>
          <w:color w:val="auto"/>
          <w:szCs w:val="24"/>
          <w:highlight w:val="none"/>
        </w:rPr>
      </w:pPr>
    </w:p>
    <w:p>
      <w:pPr>
        <w:pStyle w:val="282"/>
        <w:rPr>
          <w:rFonts w:hint="eastAsia" w:ascii="仿宋" w:hAnsi="仿宋" w:eastAsia="仿宋" w:cs="仿宋"/>
          <w:color w:val="auto"/>
          <w:szCs w:val="24"/>
          <w:highlight w:val="none"/>
        </w:rPr>
      </w:pPr>
    </w:p>
    <w:p>
      <w:pPr>
        <w:pStyle w:val="282"/>
        <w:jc w:val="center"/>
        <w:rPr>
          <w:rFonts w:hint="eastAsia" w:ascii="仿宋" w:hAnsi="仿宋" w:eastAsia="仿宋" w:cs="仿宋"/>
          <w:color w:val="auto"/>
          <w:szCs w:val="24"/>
          <w:highlight w:val="none"/>
        </w:rPr>
      </w:pPr>
    </w:p>
    <w:p>
      <w:pPr>
        <w:pStyle w:val="28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282"/>
        <w:rPr>
          <w:rFonts w:hint="eastAsia" w:ascii="仿宋" w:hAnsi="仿宋" w:eastAsia="仿宋" w:cs="仿宋"/>
          <w:color w:val="auto"/>
          <w:szCs w:val="24"/>
          <w:highlight w:val="none"/>
        </w:rPr>
      </w:pPr>
    </w:p>
    <w:p>
      <w:pPr>
        <w:pStyle w:val="282"/>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281"/>
        <w:spacing w:before="120" w:line="22" w:lineRule="atLeast"/>
        <w:rPr>
          <w:rFonts w:hint="eastAsia" w:ascii="仿宋" w:hAnsi="仿宋" w:eastAsia="仿宋" w:cs="仿宋"/>
          <w:color w:val="auto"/>
          <w:szCs w:val="24"/>
          <w:highlight w:val="none"/>
        </w:rPr>
      </w:pPr>
    </w:p>
    <w:p>
      <w:pPr>
        <w:pStyle w:val="281"/>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960" w:firstLineChars="4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headerReference r:id="rId3" w:type="default"/>
          <w:footerReference r:id="rId4" w:type="default"/>
          <w:pgSz w:w="11907" w:h="16840"/>
          <w:pgMar w:top="1474" w:right="1814" w:bottom="1474" w:left="1814" w:header="851" w:footer="851" w:gutter="0"/>
          <w:pgBorders>
            <w:top w:val="none" w:sz="0" w:space="0"/>
            <w:left w:val="none" w:sz="0" w:space="0"/>
            <w:bottom w:val="none" w:sz="0" w:space="0"/>
            <w:right w:val="none" w:sz="0" w:space="0"/>
          </w:pgBorders>
          <w:cols w:space="720" w:num="1"/>
          <w:titlePg/>
          <w:docGrid w:linePitch="286" w:charSpace="0"/>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（同前页项目名称）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（中标供应商名称）</w:t>
      </w:r>
      <w:r>
        <w:rPr>
          <w:rFonts w:hint="eastAsia" w:ascii="仿宋" w:hAnsi="仿宋" w:eastAsia="仿宋" w:cs="仿宋"/>
          <w:color w:val="auto"/>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27" w:name="_Toc2232"/>
      <w:bookmarkStart w:id="28" w:name="_Toc24059"/>
      <w:bookmarkStart w:id="29" w:name="_Toc3029"/>
      <w:r>
        <w:rPr>
          <w:rFonts w:hint="eastAsia" w:ascii="仿宋" w:hAnsi="仿宋" w:eastAsia="仿宋" w:cs="仿宋"/>
          <w:b/>
          <w:color w:val="auto"/>
          <w:sz w:val="24"/>
          <w:highlight w:val="none"/>
        </w:rPr>
        <w:t>1.1 合同组成部分</w:t>
      </w:r>
      <w:bookmarkEnd w:id="27"/>
      <w:bookmarkEnd w:id="28"/>
      <w:bookmarkEnd w:id="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招标文件（含澄清或者修改文件）；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30" w:name="_Toc24300"/>
      <w:bookmarkStart w:id="31" w:name="_Toc21295"/>
      <w:bookmarkStart w:id="32" w:name="_Toc27126"/>
      <w:r>
        <w:rPr>
          <w:rFonts w:hint="eastAsia" w:ascii="仿宋" w:hAnsi="仿宋" w:eastAsia="仿宋" w:cs="仿宋"/>
          <w:b/>
          <w:color w:val="auto"/>
          <w:sz w:val="24"/>
          <w:highlight w:val="none"/>
        </w:rPr>
        <w:t>1.2 货物</w:t>
      </w:r>
      <w:bookmarkEnd w:id="30"/>
      <w:bookmarkEnd w:id="31"/>
      <w:bookmarkEnd w:id="32"/>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33" w:name="_Toc21551"/>
      <w:bookmarkStart w:id="34" w:name="_Toc23292"/>
      <w:bookmarkStart w:id="35" w:name="_Toc21631"/>
      <w:r>
        <w:rPr>
          <w:rFonts w:hint="eastAsia" w:ascii="仿宋" w:hAnsi="仿宋" w:eastAsia="仿宋" w:cs="仿宋"/>
          <w:b/>
          <w:color w:val="auto"/>
          <w:sz w:val="24"/>
          <w:highlight w:val="none"/>
        </w:rPr>
        <w:t>1.3 价款</w:t>
      </w:r>
      <w:bookmarkEnd w:id="33"/>
      <w:bookmarkEnd w:id="34"/>
      <w:bookmarkEnd w:id="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color w:val="auto"/>
                <w:sz w:val="24"/>
                <w:szCs w:val="24"/>
                <w:highlight w:val="none"/>
              </w:rPr>
            </w:pPr>
          </w:p>
        </w:tc>
      </w:tr>
    </w:tbl>
    <w:p>
      <w:pPr>
        <w:spacing w:line="440" w:lineRule="exact"/>
        <w:ind w:firstLine="482" w:firstLineChars="200"/>
        <w:outlineLvl w:val="0"/>
        <w:rPr>
          <w:rFonts w:hint="eastAsia" w:ascii="仿宋" w:hAnsi="仿宋" w:eastAsia="仿宋" w:cs="仿宋"/>
          <w:b/>
          <w:color w:val="auto"/>
          <w:sz w:val="24"/>
          <w:highlight w:val="none"/>
        </w:rPr>
      </w:pPr>
      <w:bookmarkStart w:id="36" w:name="_Toc10340"/>
      <w:bookmarkStart w:id="37" w:name="_Toc1814"/>
      <w:bookmarkStart w:id="38" w:name="_Toc22618"/>
      <w:r>
        <w:rPr>
          <w:rFonts w:hint="eastAsia" w:ascii="仿宋" w:hAnsi="仿宋" w:eastAsia="仿宋" w:cs="仿宋"/>
          <w:b/>
          <w:color w:val="auto"/>
          <w:sz w:val="24"/>
          <w:highlight w:val="none"/>
        </w:rPr>
        <w:t>1.4 付款</w:t>
      </w:r>
      <w:bookmarkEnd w:id="36"/>
      <w:bookmarkEnd w:id="37"/>
      <w:bookmarkEnd w:id="38"/>
      <w:r>
        <w:rPr>
          <w:rFonts w:hint="eastAsia" w:ascii="仿宋" w:hAnsi="仿宋" w:eastAsia="仿宋" w:cs="仿宋"/>
          <w:b/>
          <w:color w:val="auto"/>
          <w:sz w:val="24"/>
          <w:highlight w:val="none"/>
        </w:rPr>
        <w:t>方式、时间和条件</w:t>
      </w:r>
    </w:p>
    <w:p>
      <w:pPr>
        <w:pStyle w:val="283"/>
        <w:spacing w:before="0" w:beforeAutospacing="0" w:after="0" w:afterAutospacing="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1.4.4资金支付的方式、时间和条件详见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hint="eastAsia" w:ascii="仿宋" w:hAnsi="仿宋" w:eastAsia="仿宋" w:cs="仿宋"/>
          <w:b/>
          <w:color w:val="auto"/>
          <w:sz w:val="24"/>
          <w:highlight w:val="none"/>
        </w:rPr>
      </w:pPr>
      <w:bookmarkStart w:id="39" w:name="_Toc19304"/>
      <w:bookmarkStart w:id="40" w:name="_Toc32071"/>
      <w:bookmarkStart w:id="41" w:name="_Toc2846"/>
      <w:r>
        <w:rPr>
          <w:rFonts w:hint="eastAsia" w:ascii="仿宋" w:hAnsi="仿宋" w:eastAsia="仿宋" w:cs="仿宋"/>
          <w:b/>
          <w:color w:val="auto"/>
          <w:sz w:val="24"/>
          <w:highlight w:val="none"/>
        </w:rPr>
        <w:t>1.5 货物交付期限、地点和方式</w:t>
      </w:r>
      <w:bookmarkEnd w:id="39"/>
      <w:bookmarkEnd w:id="40"/>
      <w:bookmarkEnd w:id="41"/>
    </w:p>
    <w:p>
      <w:pP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1.5.1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42" w:name="_Toc19554"/>
      <w:bookmarkStart w:id="43" w:name="_Toc27250"/>
      <w:bookmarkStart w:id="44" w:name="_Toc21423"/>
      <w:r>
        <w:rPr>
          <w:rFonts w:hint="eastAsia" w:ascii="仿宋" w:hAnsi="仿宋" w:eastAsia="仿宋" w:cs="仿宋"/>
          <w:b/>
          <w:color w:val="auto"/>
          <w:sz w:val="24"/>
          <w:highlight w:val="none"/>
        </w:rPr>
        <w:t>1.6 违约责任</w:t>
      </w:r>
      <w:bookmarkEnd w:id="42"/>
      <w:bookmarkEnd w:id="43"/>
      <w:bookmarkEnd w:id="4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1.6.7违约责任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45" w:name="_Toc16021"/>
      <w:bookmarkStart w:id="46" w:name="_Toc28375"/>
      <w:bookmarkStart w:id="47" w:name="_Toc15583"/>
      <w:r>
        <w:rPr>
          <w:rFonts w:hint="eastAsia" w:ascii="仿宋" w:hAnsi="仿宋" w:eastAsia="仿宋" w:cs="仿宋"/>
          <w:b/>
          <w:color w:val="auto"/>
          <w:sz w:val="24"/>
          <w:highlight w:val="none"/>
        </w:rPr>
        <w:t>1.7 合同争议的解决</w:t>
      </w:r>
      <w:bookmarkEnd w:id="45"/>
      <w:bookmarkEnd w:id="46"/>
      <w:bookmarkEnd w:id="47"/>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合同专用条款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highlight w:val="none"/>
        </w:rPr>
      </w:pPr>
      <w:r>
        <w:rPr>
          <w:rFonts w:hint="eastAsia" w:ascii="仿宋" w:hAnsi="仿宋" w:eastAsia="仿宋" w:cs="仿宋"/>
          <w:color w:val="auto"/>
          <w:sz w:val="24"/>
          <w:highlight w:val="none"/>
        </w:rPr>
        <w:t>1.7.2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48" w:name="_Toc15322"/>
      <w:bookmarkStart w:id="49" w:name="_Toc11173"/>
      <w:bookmarkStart w:id="50" w:name="_Toc7245"/>
      <w:r>
        <w:rPr>
          <w:rFonts w:hint="eastAsia" w:ascii="仿宋" w:hAnsi="仿宋" w:eastAsia="仿宋" w:cs="仿宋"/>
          <w:b/>
          <w:color w:val="auto"/>
          <w:sz w:val="24"/>
          <w:highlight w:val="none"/>
        </w:rPr>
        <w:t>1.8 合同生效</w:t>
      </w:r>
      <w:bookmarkEnd w:id="48"/>
      <w:bookmarkEnd w:id="49"/>
      <w:bookmarkEnd w:id="50"/>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本合同自双方当事人盖章或者签字时生效。</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24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rPr>
          <w:rFonts w:hint="eastAsia" w:ascii="仿宋" w:hAnsi="仿宋" w:eastAsia="仿宋" w:cs="仿宋"/>
          <w:color w:val="auto"/>
          <w:sz w:val="24"/>
          <w:highlight w:val="none"/>
          <w:u w:val="single"/>
        </w:rPr>
      </w:pPr>
    </w:p>
    <w:p>
      <w:pPr>
        <w:pStyle w:val="282"/>
        <w:pageBreakBefore/>
        <w:spacing w:line="560" w:lineRule="exact"/>
        <w:ind w:firstLine="723"/>
        <w:jc w:val="center"/>
        <w:rPr>
          <w:rFonts w:hint="eastAsia" w:ascii="仿宋" w:hAnsi="仿宋" w:eastAsia="仿宋" w:cs="仿宋"/>
          <w:b/>
          <w:color w:val="auto"/>
          <w:sz w:val="36"/>
          <w:szCs w:val="36"/>
          <w:highlight w:val="none"/>
        </w:rPr>
      </w:pPr>
      <w:bookmarkStart w:id="51" w:name="_Toc331685783"/>
      <w:r>
        <w:rPr>
          <w:rFonts w:hint="eastAsia" w:ascii="仿宋" w:hAnsi="仿宋" w:eastAsia="仿宋" w:cs="仿宋"/>
          <w:b/>
          <w:color w:val="auto"/>
          <w:sz w:val="36"/>
          <w:szCs w:val="36"/>
          <w:highlight w:val="none"/>
        </w:rPr>
        <w:t>第二部分合同一般条款</w:t>
      </w:r>
      <w:bookmarkEnd w:id="51"/>
    </w:p>
    <w:p>
      <w:pPr>
        <w:spacing w:line="560" w:lineRule="exact"/>
        <w:ind w:firstLine="482" w:firstLineChars="200"/>
        <w:outlineLvl w:val="0"/>
        <w:rPr>
          <w:rFonts w:hint="eastAsia" w:ascii="仿宋" w:hAnsi="仿宋" w:eastAsia="仿宋" w:cs="仿宋"/>
          <w:b/>
          <w:color w:val="auto"/>
          <w:sz w:val="24"/>
          <w:highlight w:val="none"/>
        </w:rPr>
      </w:pPr>
      <w:bookmarkStart w:id="52" w:name="_Ref467379101"/>
      <w:bookmarkStart w:id="53" w:name="_Ref467378404"/>
      <w:bookmarkStart w:id="54" w:name="_Toc279701240"/>
      <w:bookmarkStart w:id="55" w:name="_Toc16917"/>
      <w:bookmarkStart w:id="56" w:name="_Ref467379195"/>
      <w:bookmarkStart w:id="57" w:name="_Ref467378499"/>
      <w:bookmarkStart w:id="58" w:name="_Toc487900349"/>
      <w:bookmarkStart w:id="59" w:name="_Ref467379214"/>
      <w:bookmarkStart w:id="60" w:name="_Toc19614"/>
      <w:bookmarkStart w:id="61" w:name="_Ref467379205"/>
      <w:bookmarkStart w:id="62" w:name="_Ref467379109"/>
      <w:bookmarkStart w:id="63" w:name="_Toc28763"/>
      <w:bookmarkStart w:id="64" w:name="_Toc259093669"/>
      <w:bookmarkStart w:id="65" w:name="_Ref467379094"/>
      <w:bookmarkStart w:id="66" w:name="_Ref467379225"/>
      <w:bookmarkStart w:id="67" w:name="_Ref467378463"/>
      <w:r>
        <w:rPr>
          <w:rFonts w:hint="eastAsia" w:ascii="仿宋" w:hAnsi="仿宋" w:eastAsia="仿宋" w:cs="仿宋"/>
          <w:b/>
          <w:color w:val="auto"/>
          <w:sz w:val="24"/>
          <w:highlight w:val="none"/>
        </w:rPr>
        <w:t>2.1 定义</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68" w:name="_Ref467378840"/>
      <w:r>
        <w:rPr>
          <w:rFonts w:hint="eastAsia" w:ascii="仿宋" w:hAnsi="仿宋" w:eastAsia="仿宋" w:cs="仿宋"/>
          <w:color w:val="auto"/>
          <w:sz w:val="24"/>
          <w:highlight w:val="none"/>
        </w:rPr>
        <w:t>2.1.4 “甲方”系指与中标供应商签署合同的采购人</w:t>
      </w:r>
      <w:bookmarkEnd w:id="68"/>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69" w:name="_Ref467379400"/>
      <w:r>
        <w:rPr>
          <w:rFonts w:hint="eastAsia" w:ascii="仿宋" w:hAnsi="仿宋" w:eastAsia="仿宋" w:cs="仿宋"/>
          <w:color w:val="auto"/>
          <w:sz w:val="24"/>
          <w:highlight w:val="none"/>
        </w:rPr>
        <w:t>2.1.5 “乙方”系指根据合同约定交付货物的中标供应商</w:t>
      </w:r>
      <w:bookmarkEnd w:id="69"/>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70" w:name="_Ref467379436"/>
      <w:r>
        <w:rPr>
          <w:rFonts w:hint="eastAsia" w:ascii="仿宋" w:hAnsi="仿宋" w:eastAsia="仿宋" w:cs="仿宋"/>
          <w:color w:val="auto"/>
          <w:sz w:val="24"/>
          <w:highlight w:val="none"/>
        </w:rPr>
        <w:t>2.1.6 “现场”系指合同约定货物将要运至或者安装的地点。</w:t>
      </w:r>
      <w:bookmarkEnd w:id="70"/>
    </w:p>
    <w:p>
      <w:pPr>
        <w:spacing w:line="560" w:lineRule="exact"/>
        <w:ind w:firstLine="482" w:firstLineChars="200"/>
        <w:outlineLvl w:val="0"/>
        <w:rPr>
          <w:rFonts w:hint="eastAsia" w:ascii="仿宋" w:hAnsi="仿宋" w:eastAsia="仿宋" w:cs="仿宋"/>
          <w:b/>
          <w:color w:val="auto"/>
          <w:sz w:val="24"/>
          <w:highlight w:val="none"/>
        </w:rPr>
      </w:pPr>
      <w:bookmarkStart w:id="71" w:name="_Toc13336"/>
      <w:bookmarkStart w:id="72" w:name="_Toc279701241"/>
      <w:bookmarkStart w:id="73" w:name="_Toc32504"/>
      <w:bookmarkStart w:id="74" w:name="_Toc259093670"/>
      <w:bookmarkStart w:id="75" w:name="_Toc487900350"/>
      <w:bookmarkStart w:id="76" w:name="_Toc27635"/>
      <w:r>
        <w:rPr>
          <w:rFonts w:hint="eastAsia" w:ascii="仿宋" w:hAnsi="仿宋" w:eastAsia="仿宋" w:cs="仿宋"/>
          <w:b/>
          <w:color w:val="auto"/>
          <w:sz w:val="24"/>
          <w:highlight w:val="none"/>
        </w:rPr>
        <w:t>2.2 技术规范</w:t>
      </w:r>
      <w:bookmarkEnd w:id="71"/>
      <w:bookmarkEnd w:id="72"/>
      <w:bookmarkEnd w:id="73"/>
      <w:bookmarkEnd w:id="74"/>
      <w:bookmarkEnd w:id="75"/>
      <w:bookmarkEnd w:id="7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77" w:name="_Toc27853"/>
      <w:bookmarkStart w:id="78" w:name="_Toc279701242"/>
      <w:bookmarkStart w:id="79" w:name="_Toc31634"/>
      <w:bookmarkStart w:id="80" w:name="_Toc487900351"/>
      <w:bookmarkStart w:id="81" w:name="_Toc259093671"/>
      <w:bookmarkStart w:id="82" w:name="_Toc9829"/>
      <w:r>
        <w:rPr>
          <w:rFonts w:hint="eastAsia" w:ascii="仿宋" w:hAnsi="仿宋" w:eastAsia="仿宋" w:cs="仿宋"/>
          <w:b/>
          <w:color w:val="auto"/>
          <w:sz w:val="24"/>
          <w:highlight w:val="none"/>
        </w:rPr>
        <w:t>2.3 知识产权</w:t>
      </w:r>
      <w:bookmarkEnd w:id="77"/>
      <w:bookmarkEnd w:id="78"/>
      <w:bookmarkEnd w:id="79"/>
      <w:bookmarkEnd w:id="80"/>
      <w:bookmarkEnd w:id="81"/>
      <w:bookmarkEnd w:id="8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83" w:name="_Toc29149"/>
      <w:bookmarkStart w:id="84" w:name="_Toc4194"/>
      <w:bookmarkStart w:id="85" w:name="_Toc11932"/>
      <w:r>
        <w:rPr>
          <w:rFonts w:hint="eastAsia" w:ascii="仿宋" w:hAnsi="仿宋" w:eastAsia="仿宋" w:cs="仿宋"/>
          <w:b/>
          <w:color w:val="auto"/>
          <w:sz w:val="24"/>
          <w:highlight w:val="none"/>
        </w:rPr>
        <w:t>2.4 包装和装运</w:t>
      </w:r>
      <w:bookmarkEnd w:id="83"/>
      <w:bookmarkEnd w:id="84"/>
      <w:bookmarkEnd w:id="8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86" w:name="_Toc279701245"/>
      <w:bookmarkStart w:id="87" w:name="_Ref467379536"/>
      <w:bookmarkStart w:id="88" w:name="_Toc487900354"/>
      <w:bookmarkStart w:id="89" w:name="_Toc259093674"/>
      <w:bookmarkStart w:id="90" w:name="_Ref467379542"/>
      <w:bookmarkStart w:id="91" w:name="_Ref467378541"/>
      <w:bookmarkStart w:id="92" w:name="_Ref467378591"/>
      <w:bookmarkStart w:id="93" w:name="_Ref467379527"/>
      <w:bookmarkStart w:id="94" w:name="_Toc19074"/>
      <w:bookmarkStart w:id="95" w:name="_Toc30272"/>
      <w:bookmarkStart w:id="96" w:name="_Toc26182"/>
      <w:r>
        <w:rPr>
          <w:rFonts w:hint="eastAsia" w:ascii="仿宋" w:hAnsi="仿宋" w:eastAsia="仿宋" w:cs="仿宋"/>
          <w:b/>
          <w:color w:val="auto"/>
          <w:sz w:val="24"/>
          <w:highlight w:val="none"/>
        </w:rPr>
        <w:t>2.</w:t>
      </w:r>
      <w:bookmarkEnd w:id="86"/>
      <w:bookmarkEnd w:id="87"/>
      <w:bookmarkEnd w:id="88"/>
      <w:bookmarkEnd w:id="89"/>
      <w:bookmarkEnd w:id="90"/>
      <w:bookmarkEnd w:id="91"/>
      <w:bookmarkEnd w:id="92"/>
      <w:bookmarkEnd w:id="93"/>
      <w:r>
        <w:rPr>
          <w:rFonts w:hint="eastAsia" w:ascii="仿宋" w:hAnsi="仿宋" w:eastAsia="仿宋" w:cs="仿宋"/>
          <w:b/>
          <w:color w:val="auto"/>
          <w:sz w:val="24"/>
          <w:highlight w:val="none"/>
        </w:rPr>
        <w:t>5 履约检查和问题反馈</w:t>
      </w:r>
      <w:bookmarkEnd w:id="94"/>
      <w:bookmarkEnd w:id="95"/>
      <w:bookmarkEnd w:id="96"/>
    </w:p>
    <w:p>
      <w:pPr>
        <w:spacing w:line="560" w:lineRule="exact"/>
        <w:ind w:firstLine="480" w:firstLineChars="200"/>
        <w:rPr>
          <w:rFonts w:hint="eastAsia" w:ascii="仿宋" w:hAnsi="仿宋" w:eastAsia="仿宋" w:cs="仿宋"/>
          <w:color w:val="auto"/>
          <w:sz w:val="24"/>
          <w:highlight w:val="none"/>
        </w:rPr>
      </w:pPr>
      <w:bookmarkStart w:id="97" w:name="_Ref467379657"/>
      <w:r>
        <w:rPr>
          <w:rFonts w:hint="eastAsia" w:ascii="仿宋" w:hAnsi="仿宋" w:eastAsia="仿宋" w:cs="仿宋"/>
          <w:color w:val="auto"/>
          <w:sz w:val="24"/>
          <w:highlight w:val="none"/>
        </w:rPr>
        <w:t>2.5.1</w:t>
      </w:r>
      <w:bookmarkEnd w:id="97"/>
      <w:bookmarkStart w:id="98" w:name="_Toc186431854"/>
      <w:bookmarkStart w:id="99" w:name="_Toc279701247"/>
      <w:bookmarkStart w:id="100" w:name="_Toc487900357"/>
      <w:bookmarkStart w:id="101" w:name="_Ref467379793"/>
      <w:bookmarkStart w:id="102" w:name="_Toc259093676"/>
      <w:bookmarkStart w:id="103" w:name="_Ref46737980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98"/>
      <w:bookmarkStart w:id="104" w:name="_Toc186431855"/>
      <w:r>
        <w:rPr>
          <w:rFonts w:hint="eastAsia" w:ascii="仿宋" w:hAnsi="仿宋" w:eastAsia="仿宋" w:cs="仿宋"/>
          <w:color w:val="auto"/>
          <w:sz w:val="24"/>
          <w:highlight w:val="none"/>
        </w:rPr>
        <w:t>。</w:t>
      </w:r>
    </w:p>
    <w:bookmarkEnd w:id="99"/>
    <w:bookmarkEnd w:id="100"/>
    <w:bookmarkEnd w:id="101"/>
    <w:bookmarkEnd w:id="102"/>
    <w:bookmarkEnd w:id="103"/>
    <w:bookmarkEnd w:id="104"/>
    <w:p>
      <w:pPr>
        <w:spacing w:line="560" w:lineRule="exact"/>
        <w:ind w:firstLine="482" w:firstLineChars="200"/>
        <w:outlineLvl w:val="0"/>
        <w:rPr>
          <w:rFonts w:hint="eastAsia" w:ascii="仿宋" w:hAnsi="仿宋" w:eastAsia="仿宋" w:cs="仿宋"/>
          <w:b/>
          <w:color w:val="auto"/>
          <w:sz w:val="24"/>
          <w:highlight w:val="none"/>
        </w:rPr>
      </w:pPr>
      <w:bookmarkStart w:id="105" w:name="_Toc487900358"/>
      <w:bookmarkStart w:id="106" w:name="_Toc259093677"/>
      <w:bookmarkStart w:id="107" w:name="_Ref467379852"/>
      <w:bookmarkStart w:id="108" w:name="_Toc279701248"/>
      <w:bookmarkStart w:id="109" w:name="_Ref467379863"/>
      <w:bookmarkStart w:id="110" w:name="_Ref467379923"/>
      <w:bookmarkStart w:id="111" w:name="_Toc16110"/>
      <w:bookmarkStart w:id="112" w:name="_Toc774"/>
      <w:bookmarkStart w:id="113" w:name="_Toc3225"/>
      <w:r>
        <w:rPr>
          <w:rFonts w:hint="eastAsia" w:ascii="仿宋" w:hAnsi="仿宋" w:eastAsia="仿宋" w:cs="仿宋"/>
          <w:b/>
          <w:color w:val="auto"/>
          <w:sz w:val="24"/>
          <w:highlight w:val="none"/>
        </w:rPr>
        <w:t>2.6 技术资料</w:t>
      </w:r>
      <w:bookmarkEnd w:id="105"/>
      <w:bookmarkEnd w:id="106"/>
      <w:bookmarkEnd w:id="107"/>
      <w:bookmarkEnd w:id="108"/>
      <w:bookmarkEnd w:id="109"/>
      <w:bookmarkEnd w:id="110"/>
      <w:r>
        <w:rPr>
          <w:rFonts w:hint="eastAsia" w:ascii="仿宋" w:hAnsi="仿宋" w:eastAsia="仿宋" w:cs="仿宋"/>
          <w:b/>
          <w:color w:val="auto"/>
          <w:sz w:val="24"/>
          <w:highlight w:val="none"/>
        </w:rPr>
        <w:t>和保密义务</w:t>
      </w:r>
      <w:bookmarkEnd w:id="111"/>
      <w:bookmarkEnd w:id="112"/>
      <w:bookmarkEnd w:id="11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14" w:name="_Toc7860"/>
      <w:r>
        <w:rPr>
          <w:rFonts w:hint="eastAsia" w:ascii="仿宋" w:hAnsi="仿宋" w:eastAsia="仿宋" w:cs="仿宋"/>
          <w:b/>
          <w:color w:val="auto"/>
          <w:sz w:val="24"/>
          <w:highlight w:val="none"/>
        </w:rPr>
        <w:t>2.7 质量保证</w:t>
      </w:r>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15" w:name="_Toc17244"/>
      <w:bookmarkStart w:id="116" w:name="_Toc487900362"/>
      <w:bookmarkStart w:id="117" w:name="_Toc279701252"/>
      <w:bookmarkStart w:id="118" w:name="_Toc259093681"/>
      <w:r>
        <w:rPr>
          <w:rFonts w:hint="eastAsia" w:ascii="仿宋" w:hAnsi="仿宋" w:eastAsia="仿宋" w:cs="仿宋"/>
          <w:b/>
          <w:color w:val="auto"/>
          <w:sz w:val="24"/>
          <w:highlight w:val="none"/>
        </w:rPr>
        <w:t>2.8 货物的风险负担</w:t>
      </w:r>
      <w:bookmarkEnd w:id="115"/>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19" w:name="_Toc14055"/>
      <w:r>
        <w:rPr>
          <w:rFonts w:hint="eastAsia" w:ascii="仿宋" w:hAnsi="仿宋" w:eastAsia="仿宋" w:cs="仿宋"/>
          <w:b/>
          <w:color w:val="auto"/>
          <w:sz w:val="24"/>
          <w:highlight w:val="none"/>
        </w:rPr>
        <w:t>2.9 延迟交货</w:t>
      </w:r>
      <w:bookmarkEnd w:id="116"/>
      <w:bookmarkEnd w:id="117"/>
      <w:bookmarkEnd w:id="118"/>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20" w:name="_Toc7502"/>
      <w:bookmarkStart w:id="121" w:name="_Ref467378121"/>
      <w:bookmarkStart w:id="122" w:name="_Toc259093683"/>
      <w:bookmarkStart w:id="123" w:name="_Toc279701254"/>
      <w:bookmarkStart w:id="124" w:name="_Toc487900364"/>
      <w:r>
        <w:rPr>
          <w:rFonts w:hint="eastAsia" w:ascii="仿宋" w:hAnsi="仿宋" w:eastAsia="仿宋" w:cs="仿宋"/>
          <w:b/>
          <w:color w:val="auto"/>
          <w:sz w:val="24"/>
          <w:highlight w:val="none"/>
        </w:rPr>
        <w:t>2.10 合同变更</w:t>
      </w:r>
      <w:bookmarkEnd w:id="12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5" w:name="_Toc279701259"/>
      <w:bookmarkStart w:id="126" w:name="_Toc259093688"/>
      <w:bookmarkStart w:id="127" w:name="_Toc487900369"/>
    </w:p>
    <w:p>
      <w:pPr>
        <w:spacing w:line="560" w:lineRule="exact"/>
        <w:ind w:firstLine="482" w:firstLineChars="200"/>
        <w:outlineLvl w:val="0"/>
        <w:rPr>
          <w:rFonts w:hint="eastAsia" w:ascii="仿宋" w:hAnsi="仿宋" w:eastAsia="仿宋" w:cs="仿宋"/>
          <w:b/>
          <w:color w:val="auto"/>
          <w:sz w:val="24"/>
          <w:highlight w:val="none"/>
        </w:rPr>
      </w:pPr>
      <w:bookmarkStart w:id="128" w:name="_Toc15237"/>
      <w:bookmarkStart w:id="129" w:name="_Toc10366"/>
      <w:bookmarkStart w:id="130" w:name="_Toc22955"/>
      <w:r>
        <w:rPr>
          <w:rFonts w:hint="eastAsia" w:ascii="仿宋" w:hAnsi="仿宋" w:eastAsia="仿宋" w:cs="仿宋"/>
          <w:b/>
          <w:color w:val="auto"/>
          <w:sz w:val="24"/>
          <w:highlight w:val="none"/>
        </w:rPr>
        <w:t>2.11 合同转让</w:t>
      </w:r>
      <w:bookmarkEnd w:id="125"/>
      <w:bookmarkEnd w:id="126"/>
      <w:bookmarkEnd w:id="127"/>
      <w:r>
        <w:rPr>
          <w:rFonts w:hint="eastAsia" w:ascii="仿宋" w:hAnsi="仿宋" w:eastAsia="仿宋" w:cs="仿宋"/>
          <w:b/>
          <w:color w:val="auto"/>
          <w:sz w:val="24"/>
          <w:highlight w:val="none"/>
        </w:rPr>
        <w:t>和分包</w:t>
      </w:r>
      <w:bookmarkEnd w:id="128"/>
      <w:bookmarkEnd w:id="129"/>
      <w:bookmarkEnd w:id="130"/>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31" w:name="_Toc14066"/>
      <w:bookmarkStart w:id="132" w:name="_Toc16508"/>
      <w:bookmarkStart w:id="133" w:name="_Toc13566"/>
      <w:r>
        <w:rPr>
          <w:rFonts w:hint="eastAsia" w:ascii="仿宋" w:hAnsi="仿宋" w:eastAsia="仿宋" w:cs="仿宋"/>
          <w:b/>
          <w:color w:val="auto"/>
          <w:sz w:val="24"/>
          <w:highlight w:val="none"/>
        </w:rPr>
        <w:t>2.12 不可抗力</w:t>
      </w:r>
      <w:bookmarkEnd w:id="131"/>
      <w:bookmarkEnd w:id="132"/>
      <w:bookmarkEnd w:id="13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34" w:name="_Toc259093684"/>
      <w:bookmarkStart w:id="135" w:name="_Toc487900365"/>
      <w:bookmarkStart w:id="136" w:name="_Toc30676"/>
      <w:bookmarkStart w:id="137" w:name="_Toc689"/>
      <w:bookmarkStart w:id="138" w:name="_Toc279701255"/>
      <w:bookmarkStart w:id="139" w:name="_Toc6969"/>
      <w:r>
        <w:rPr>
          <w:rFonts w:hint="eastAsia" w:ascii="仿宋" w:hAnsi="仿宋" w:eastAsia="仿宋" w:cs="仿宋"/>
          <w:b/>
          <w:color w:val="auto"/>
          <w:sz w:val="24"/>
          <w:highlight w:val="none"/>
        </w:rPr>
        <w:t>2.13 税费</w:t>
      </w:r>
      <w:bookmarkEnd w:id="134"/>
      <w:bookmarkEnd w:id="135"/>
      <w:bookmarkEnd w:id="136"/>
      <w:bookmarkEnd w:id="137"/>
      <w:bookmarkEnd w:id="138"/>
      <w:bookmarkEnd w:id="13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40" w:name="_Toc487900368"/>
      <w:bookmarkStart w:id="141" w:name="_Toc8298"/>
      <w:bookmarkStart w:id="142" w:name="_Toc259093687"/>
      <w:bookmarkStart w:id="143" w:name="_Toc7102"/>
      <w:bookmarkStart w:id="144" w:name="_Toc279701258"/>
      <w:bookmarkStart w:id="145" w:name="_Toc16959"/>
      <w:r>
        <w:rPr>
          <w:rFonts w:hint="eastAsia" w:ascii="仿宋" w:hAnsi="仿宋" w:eastAsia="仿宋" w:cs="仿宋"/>
          <w:b/>
          <w:color w:val="auto"/>
          <w:sz w:val="24"/>
          <w:highlight w:val="none"/>
        </w:rPr>
        <w:t>2.14乙方破产</w:t>
      </w:r>
      <w:bookmarkEnd w:id="140"/>
      <w:bookmarkEnd w:id="141"/>
      <w:bookmarkEnd w:id="142"/>
      <w:bookmarkEnd w:id="143"/>
      <w:bookmarkEnd w:id="144"/>
      <w:bookmarkEnd w:id="14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46" w:name="_Toc15387"/>
      <w:bookmarkStart w:id="147" w:name="_Toc6134"/>
      <w:bookmarkStart w:id="148" w:name="_Toc29333"/>
      <w:r>
        <w:rPr>
          <w:rFonts w:hint="eastAsia" w:ascii="仿宋" w:hAnsi="仿宋" w:eastAsia="仿宋" w:cs="仿宋"/>
          <w:b/>
          <w:color w:val="auto"/>
          <w:sz w:val="24"/>
          <w:highlight w:val="none"/>
        </w:rPr>
        <w:t>2.15 合同中止、终止</w:t>
      </w:r>
      <w:bookmarkEnd w:id="146"/>
      <w:bookmarkEnd w:id="147"/>
      <w:bookmarkEnd w:id="14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49" w:name="_Toc14563"/>
      <w:bookmarkStart w:id="150" w:name="_Toc6596"/>
      <w:bookmarkStart w:id="151" w:name="_Toc1125"/>
      <w:r>
        <w:rPr>
          <w:rFonts w:hint="eastAsia" w:ascii="仿宋" w:hAnsi="仿宋" w:eastAsia="仿宋" w:cs="仿宋"/>
          <w:b/>
          <w:color w:val="auto"/>
          <w:sz w:val="24"/>
          <w:highlight w:val="none"/>
        </w:rPr>
        <w:t>2.16检验和验收</w:t>
      </w:r>
      <w:bookmarkEnd w:id="149"/>
      <w:bookmarkEnd w:id="150"/>
      <w:bookmarkEnd w:id="151"/>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1"/>
    <w:bookmarkEnd w:id="122"/>
    <w:bookmarkEnd w:id="123"/>
    <w:bookmarkEnd w:id="124"/>
    <w:p>
      <w:pPr>
        <w:spacing w:line="560" w:lineRule="exact"/>
        <w:ind w:firstLine="482" w:firstLineChars="200"/>
        <w:outlineLvl w:val="0"/>
        <w:rPr>
          <w:rFonts w:hint="eastAsia" w:ascii="仿宋" w:hAnsi="仿宋" w:eastAsia="仿宋" w:cs="仿宋"/>
          <w:b/>
          <w:color w:val="auto"/>
          <w:sz w:val="24"/>
          <w:highlight w:val="none"/>
        </w:rPr>
      </w:pPr>
      <w:bookmarkStart w:id="152" w:name="_Toc279701261"/>
      <w:bookmarkStart w:id="153" w:name="_Toc259093690"/>
      <w:bookmarkStart w:id="154" w:name="_Toc487900371"/>
      <w:bookmarkStart w:id="155" w:name="_Toc19604"/>
      <w:bookmarkStart w:id="156" w:name="_Toc25182"/>
      <w:bookmarkStart w:id="157" w:name="_Toc11284"/>
      <w:r>
        <w:rPr>
          <w:rFonts w:hint="eastAsia" w:ascii="仿宋" w:hAnsi="仿宋" w:eastAsia="仿宋" w:cs="仿宋"/>
          <w:b/>
          <w:color w:val="auto"/>
          <w:sz w:val="24"/>
          <w:highlight w:val="none"/>
        </w:rPr>
        <w:t>2.17 通知</w:t>
      </w:r>
      <w:bookmarkEnd w:id="152"/>
      <w:bookmarkEnd w:id="153"/>
      <w:bookmarkEnd w:id="154"/>
      <w:r>
        <w:rPr>
          <w:rFonts w:hint="eastAsia" w:ascii="仿宋" w:hAnsi="仿宋" w:eastAsia="仿宋" w:cs="仿宋"/>
          <w:b/>
          <w:color w:val="auto"/>
          <w:sz w:val="24"/>
          <w:highlight w:val="none"/>
        </w:rPr>
        <w:t>和送达</w:t>
      </w:r>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bookmarkStart w:id="158" w:name="_Toc3135"/>
      <w:bookmarkStart w:id="159" w:name="_Toc6698"/>
      <w:bookmarkStart w:id="160" w:name="_Toc279701262"/>
      <w:bookmarkStart w:id="161" w:name="_Toc487900372"/>
      <w:bookmarkStart w:id="162" w:name="_Toc259093691"/>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8"/>
      <w:bookmarkEnd w:id="159"/>
    </w:p>
    <w:p>
      <w:pPr>
        <w:spacing w:line="560" w:lineRule="exact"/>
        <w:ind w:firstLine="480" w:firstLineChars="200"/>
        <w:rPr>
          <w:rFonts w:hint="eastAsia" w:ascii="仿宋" w:hAnsi="仿宋" w:eastAsia="仿宋" w:cs="仿宋"/>
          <w:color w:val="auto"/>
          <w:sz w:val="24"/>
          <w:highlight w:val="none"/>
        </w:rPr>
      </w:pPr>
      <w:bookmarkStart w:id="163" w:name="_Toc23294"/>
      <w:bookmarkStart w:id="164"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3"/>
      <w:bookmarkEnd w:id="164"/>
    </w:p>
    <w:p>
      <w:pPr>
        <w:spacing w:line="560" w:lineRule="exact"/>
        <w:ind w:firstLine="482" w:firstLineChars="200"/>
        <w:outlineLvl w:val="0"/>
        <w:rPr>
          <w:rFonts w:hint="eastAsia" w:ascii="仿宋" w:hAnsi="仿宋" w:eastAsia="仿宋" w:cs="仿宋"/>
          <w:b/>
          <w:color w:val="auto"/>
          <w:sz w:val="24"/>
          <w:highlight w:val="none"/>
        </w:rPr>
      </w:pPr>
      <w:bookmarkStart w:id="165" w:name="_Toc4355"/>
      <w:bookmarkStart w:id="166" w:name="_Toc30599"/>
      <w:bookmarkStart w:id="167" w:name="_Toc18540"/>
      <w:r>
        <w:rPr>
          <w:rFonts w:hint="eastAsia" w:ascii="仿宋" w:hAnsi="仿宋" w:eastAsia="仿宋" w:cs="仿宋"/>
          <w:b/>
          <w:color w:val="auto"/>
          <w:sz w:val="24"/>
          <w:highlight w:val="none"/>
        </w:rPr>
        <w:t>2.18 计量单位</w:t>
      </w:r>
      <w:bookmarkEnd w:id="160"/>
      <w:bookmarkEnd w:id="161"/>
      <w:bookmarkEnd w:id="162"/>
      <w:bookmarkEnd w:id="165"/>
      <w:bookmarkEnd w:id="166"/>
      <w:bookmarkEnd w:id="16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68" w:name="_Toc18567"/>
      <w:bookmarkStart w:id="169" w:name="_Toc487900373"/>
      <w:bookmarkStart w:id="170" w:name="_Toc259093692"/>
      <w:bookmarkStart w:id="171" w:name="_Toc10330"/>
      <w:bookmarkStart w:id="172" w:name="_Toc12773"/>
      <w:bookmarkStart w:id="173" w:name="_Toc279701263"/>
      <w:r>
        <w:rPr>
          <w:rFonts w:hint="eastAsia" w:ascii="仿宋" w:hAnsi="仿宋" w:eastAsia="仿宋" w:cs="仿宋"/>
          <w:b/>
          <w:color w:val="auto"/>
          <w:sz w:val="24"/>
          <w:highlight w:val="none"/>
        </w:rPr>
        <w:t>2.19 合同使用的文字和适用的法律</w:t>
      </w:r>
      <w:bookmarkEnd w:id="168"/>
      <w:bookmarkEnd w:id="169"/>
      <w:bookmarkEnd w:id="170"/>
      <w:bookmarkEnd w:id="171"/>
      <w:bookmarkEnd w:id="172"/>
      <w:bookmarkEnd w:id="17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74" w:name="_Toc12004"/>
      <w:bookmarkStart w:id="175" w:name="_Toc259093693"/>
      <w:bookmarkStart w:id="176" w:name="_Toc3148"/>
      <w:bookmarkStart w:id="177" w:name="_Toc16673"/>
      <w:bookmarkStart w:id="178" w:name="_Toc279701264"/>
      <w:bookmarkStart w:id="179" w:name="_Toc487900374"/>
      <w:r>
        <w:rPr>
          <w:rFonts w:hint="eastAsia" w:ascii="仿宋" w:hAnsi="仿宋" w:eastAsia="仿宋" w:cs="仿宋"/>
          <w:b/>
          <w:color w:val="auto"/>
          <w:sz w:val="24"/>
          <w:highlight w:val="none"/>
        </w:rPr>
        <w:t>2.20 履约保证金</w:t>
      </w:r>
      <w:bookmarkEnd w:id="174"/>
      <w:bookmarkEnd w:id="175"/>
      <w:bookmarkEnd w:id="176"/>
      <w:bookmarkEnd w:id="177"/>
      <w:bookmarkEnd w:id="178"/>
    </w:p>
    <w:p>
      <w:pPr>
        <w:pStyle w:val="283"/>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79"/>
    <w:p>
      <w:pPr>
        <w:spacing w:line="560" w:lineRule="exact"/>
        <w:ind w:firstLine="482" w:firstLineChars="200"/>
        <w:outlineLvl w:val="0"/>
        <w:rPr>
          <w:rFonts w:hint="eastAsia" w:ascii="仿宋" w:hAnsi="仿宋" w:eastAsia="仿宋" w:cs="仿宋"/>
          <w:b/>
          <w:color w:val="auto"/>
          <w:sz w:val="24"/>
          <w:highlight w:val="none"/>
        </w:rPr>
      </w:pPr>
      <w:bookmarkStart w:id="180" w:name="_Toc6885"/>
      <w:bookmarkStart w:id="181" w:name="_Toc19890"/>
      <w:bookmarkStart w:id="182" w:name="_Toc14001"/>
      <w:r>
        <w:rPr>
          <w:rFonts w:hint="eastAsia" w:ascii="仿宋" w:hAnsi="仿宋" w:eastAsia="仿宋" w:cs="仿宋"/>
          <w:b/>
          <w:color w:val="auto"/>
          <w:sz w:val="24"/>
          <w:highlight w:val="none"/>
        </w:rPr>
        <w:t>2.22合同份数</w:t>
      </w:r>
      <w:bookmarkEnd w:id="180"/>
      <w:bookmarkEnd w:id="181"/>
      <w:bookmarkEnd w:id="18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pStyle w:val="282"/>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83" w:name="_Toc331685784"/>
      <w:bookmarkEnd w:id="183"/>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3"/>
        <w:spacing w:line="800" w:lineRule="exact"/>
        <w:ind w:firstLine="723"/>
        <w:jc w:val="center"/>
        <w:rPr>
          <w:rFonts w:hint="eastAsia" w:ascii="仿宋" w:hAnsi="仿宋" w:eastAsia="仿宋" w:cs="仿宋"/>
          <w:b/>
          <w:color w:val="auto"/>
          <w:sz w:val="36"/>
          <w:szCs w:val="36"/>
          <w:highlight w:val="none"/>
        </w:rPr>
      </w:pPr>
    </w:p>
    <w:p>
      <w:pPr>
        <w:pStyle w:val="23"/>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w:t>
      </w:r>
      <w:r>
        <w:rPr>
          <w:rFonts w:hint="eastAsia" w:ascii="仿宋" w:hAnsi="仿宋" w:eastAsia="仿宋" w:cs="仿宋"/>
          <w:b/>
          <w:bCs/>
          <w:iCs/>
          <w:color w:val="auto"/>
          <w:sz w:val="24"/>
          <w:highlight w:val="none"/>
        </w:rPr>
        <w:t>0分）</w:t>
      </w:r>
    </w:p>
    <w:tbl>
      <w:tblPr>
        <w:tblStyle w:val="43"/>
        <w:tblW w:w="53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019"/>
        <w:gridCol w:w="7511"/>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41"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b/>
                <w:color w:val="000000"/>
                <w:sz w:val="21"/>
                <w:szCs w:val="21"/>
                <w:highlight w:val="none"/>
                <w:lang w:eastAsia="zh-CN"/>
              </w:rPr>
            </w:pPr>
            <w:r>
              <w:rPr>
                <w:rFonts w:hint="eastAsia" w:ascii="仿宋" w:hAnsi="仿宋" w:eastAsia="仿宋" w:cs="仿宋"/>
                <w:b/>
                <w:color w:val="000000"/>
                <w:sz w:val="21"/>
                <w:szCs w:val="21"/>
                <w:highlight w:val="none"/>
                <w:lang w:eastAsia="zh-CN"/>
              </w:rPr>
              <w:t>序号</w:t>
            </w:r>
          </w:p>
        </w:tc>
        <w:tc>
          <w:tcPr>
            <w:tcW w:w="510"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评审内容</w:t>
            </w: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评分标准</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341"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w:t>
            </w:r>
          </w:p>
        </w:tc>
        <w:tc>
          <w:tcPr>
            <w:tcW w:w="510"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总体技术方案</w:t>
            </w: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产品技术指标要求，完全满足采购文件技术指标要求的得30分。技术指标中打“★”号的指标必须满足，否则作无效投标处理。技术指标中打“▲”号的指标每有一项负偏离的扣4分，其他一般指标负偏离的每有一项扣2分，扣完为止。</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41"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w:t>
            </w:r>
          </w:p>
        </w:tc>
        <w:tc>
          <w:tcPr>
            <w:tcW w:w="510"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产品成熟度</w:t>
            </w: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根据投标人的设备技术先进性、市场占有率，与原有机房设备的兼容性、成熟性等方面由专家横向比较打分。优：4.1-7分；良：</w:t>
            </w:r>
            <w:r>
              <w:rPr>
                <w:rFonts w:hint="eastAsia" w:ascii="仿宋" w:hAnsi="仿宋" w:eastAsia="仿宋" w:cs="仿宋"/>
                <w:sz w:val="21"/>
                <w:szCs w:val="21"/>
                <w:highlight w:val="none"/>
                <w:lang w:val="en-US" w:eastAsia="zh-CN"/>
              </w:rPr>
              <w:t>2.1-</w:t>
            </w:r>
            <w:r>
              <w:rPr>
                <w:rFonts w:hint="eastAsia" w:ascii="仿宋" w:hAnsi="仿宋" w:eastAsia="仿宋" w:cs="仿宋"/>
                <w:sz w:val="21"/>
                <w:szCs w:val="21"/>
                <w:highlight w:val="none"/>
              </w:rPr>
              <w:t>4分；一般：0-</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分</w:t>
            </w:r>
            <w:r>
              <w:rPr>
                <w:rFonts w:hint="eastAsia" w:ascii="仿宋" w:hAnsi="仿宋" w:eastAsia="仿宋" w:cs="仿宋"/>
                <w:sz w:val="21"/>
                <w:szCs w:val="21"/>
                <w:highlight w:val="none"/>
                <w:lang w:eastAsia="zh-CN"/>
              </w:rPr>
              <w:t>。</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341" w:type="pct"/>
            <w:vMerge w:val="restart"/>
            <w:tcBorders>
              <w:top w:val="single" w:color="auto" w:sz="4" w:space="0"/>
              <w:left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w:t>
            </w:r>
          </w:p>
        </w:tc>
        <w:tc>
          <w:tcPr>
            <w:tcW w:w="510" w:type="pct"/>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资质与工程师</w:t>
            </w:r>
          </w:p>
        </w:tc>
        <w:tc>
          <w:tcPr>
            <w:tcW w:w="3764" w:type="pct"/>
            <w:tcBorders>
              <w:top w:val="single" w:color="auto" w:sz="4" w:space="0"/>
              <w:left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投标人具有ISO20000信息技术服务管理认证的得 2 分；</w:t>
            </w:r>
          </w:p>
          <w:p>
            <w:pPr>
              <w:spacing w:line="240" w:lineRule="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投标人具有 ISO2700</w:t>
            </w:r>
            <w:r>
              <w:rPr>
                <w:rFonts w:hint="eastAsia" w:ascii="仿宋" w:hAnsi="仿宋" w:eastAsia="仿宋" w:cs="仿宋"/>
                <w:sz w:val="21"/>
                <w:szCs w:val="21"/>
                <w:highlight w:val="none"/>
                <w:lang w:val="en-US" w:eastAsia="zh-CN"/>
              </w:rPr>
              <w:t>1</w:t>
            </w:r>
            <w:r>
              <w:rPr>
                <w:rFonts w:hint="eastAsia" w:ascii="仿宋" w:hAnsi="仿宋" w:eastAsia="仿宋" w:cs="仿宋"/>
                <w:sz w:val="21"/>
                <w:szCs w:val="21"/>
                <w:highlight w:val="none"/>
              </w:rPr>
              <w:t>信息安全管理体系认证证书的得 2 分</w:t>
            </w:r>
            <w:r>
              <w:rPr>
                <w:rFonts w:hint="eastAsia" w:ascii="仿宋" w:hAnsi="仿宋" w:eastAsia="仿宋" w:cs="仿宋"/>
                <w:sz w:val="21"/>
                <w:szCs w:val="21"/>
                <w:highlight w:val="none"/>
                <w:lang w:eastAsia="zh-CN"/>
              </w:rPr>
              <w:t>；</w:t>
            </w:r>
          </w:p>
          <w:p>
            <w:pPr>
              <w:spacing w:line="240" w:lineRule="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投标人具有ISO9001质量管理体系认证证书的得 2 分</w:t>
            </w:r>
            <w:r>
              <w:rPr>
                <w:rFonts w:hint="eastAsia" w:ascii="仿宋" w:hAnsi="仿宋" w:eastAsia="仿宋" w:cs="仿宋"/>
                <w:sz w:val="21"/>
                <w:szCs w:val="21"/>
                <w:highlight w:val="none"/>
                <w:lang w:eastAsia="zh-CN"/>
              </w:rPr>
              <w:t>；</w:t>
            </w:r>
          </w:p>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lang w:eastAsia="zh-CN"/>
              </w:rPr>
              <w:t>注：上述需</w:t>
            </w:r>
            <w:r>
              <w:rPr>
                <w:rFonts w:hint="eastAsia" w:ascii="仿宋" w:hAnsi="仿宋" w:eastAsia="仿宋" w:cs="仿宋"/>
                <w:sz w:val="21"/>
                <w:szCs w:val="21"/>
                <w:highlight w:val="none"/>
              </w:rPr>
              <w:t>提供认证证书扫描件</w:t>
            </w:r>
            <w:r>
              <w:rPr>
                <w:rFonts w:hint="eastAsia" w:ascii="仿宋" w:hAnsi="仿宋" w:eastAsia="仿宋" w:cs="仿宋"/>
                <w:sz w:val="21"/>
                <w:szCs w:val="21"/>
                <w:highlight w:val="none"/>
                <w:lang w:eastAsia="zh-CN"/>
              </w:rPr>
              <w:t>加盖投标人公章，未提供不得分。</w:t>
            </w:r>
          </w:p>
        </w:tc>
        <w:tc>
          <w:tcPr>
            <w:tcW w:w="382" w:type="pct"/>
            <w:tcBorders>
              <w:top w:val="single" w:color="auto" w:sz="4" w:space="0"/>
              <w:left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41" w:type="pct"/>
            <w:vMerge w:val="continue"/>
            <w:tcBorders>
              <w:left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sz w:val="21"/>
                <w:szCs w:val="21"/>
                <w:highlight w:val="none"/>
              </w:rPr>
            </w:pPr>
          </w:p>
        </w:tc>
        <w:tc>
          <w:tcPr>
            <w:tcW w:w="51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hint="eastAsia" w:ascii="仿宋" w:hAnsi="仿宋" w:eastAsia="仿宋" w:cs="仿宋"/>
                <w:sz w:val="21"/>
                <w:szCs w:val="21"/>
                <w:highlight w:val="none"/>
              </w:rPr>
            </w:pP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拟投入本项目团队人员具有中国网络安全审查技术与认证中心颁发的信息安全保障人员认证证书（CISAW）的，每人得1分，最高得2分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需提供相关工程师证书复和最近三个月社保缴纳证明扫描件并加盖投标人公章，</w:t>
            </w:r>
            <w:r>
              <w:rPr>
                <w:rFonts w:hint="eastAsia" w:ascii="仿宋" w:hAnsi="仿宋" w:eastAsia="仿宋" w:cs="仿宋"/>
                <w:sz w:val="21"/>
                <w:szCs w:val="21"/>
                <w:highlight w:val="none"/>
                <w:lang w:eastAsia="zh-CN"/>
              </w:rPr>
              <w:t>未提供不得分。</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41" w:type="pct"/>
            <w:vMerge w:val="continue"/>
            <w:tcBorders>
              <w:left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sz w:val="21"/>
                <w:szCs w:val="21"/>
                <w:highlight w:val="none"/>
              </w:rPr>
            </w:pPr>
          </w:p>
        </w:tc>
        <w:tc>
          <w:tcPr>
            <w:tcW w:w="51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hint="eastAsia" w:ascii="仿宋" w:hAnsi="仿宋" w:eastAsia="仿宋" w:cs="仿宋"/>
                <w:sz w:val="21"/>
                <w:szCs w:val="21"/>
                <w:highlight w:val="none"/>
              </w:rPr>
            </w:pP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拟投入本项目团队人员具有ORACLE OCP或OCM认证工程师的，每人得1分，最高得2分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需提供相关工程师证书复和最近三个月社保缴纳证明扫描件并加盖投标人公章</w:t>
            </w:r>
            <w:r>
              <w:rPr>
                <w:rFonts w:hint="eastAsia" w:ascii="仿宋" w:hAnsi="仿宋" w:eastAsia="仿宋" w:cs="仿宋"/>
                <w:sz w:val="21"/>
                <w:szCs w:val="21"/>
                <w:highlight w:val="none"/>
                <w:lang w:eastAsia="zh-CN"/>
              </w:rPr>
              <w:t>，未提供不得分</w:t>
            </w:r>
            <w:r>
              <w:rPr>
                <w:rFonts w:hint="eastAsia" w:ascii="仿宋" w:hAnsi="仿宋" w:eastAsia="仿宋" w:cs="仿宋"/>
                <w:sz w:val="21"/>
                <w:szCs w:val="21"/>
                <w:highlight w:val="none"/>
              </w:rPr>
              <w:t>。</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41" w:type="pct"/>
            <w:vMerge w:val="continue"/>
            <w:tcBorders>
              <w:left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sz w:val="21"/>
                <w:szCs w:val="21"/>
                <w:highlight w:val="none"/>
              </w:rPr>
            </w:pPr>
          </w:p>
        </w:tc>
        <w:tc>
          <w:tcPr>
            <w:tcW w:w="51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hint="eastAsia" w:ascii="仿宋" w:hAnsi="仿宋" w:eastAsia="仿宋" w:cs="仿宋"/>
                <w:sz w:val="21"/>
                <w:szCs w:val="21"/>
                <w:highlight w:val="none"/>
              </w:rPr>
            </w:pP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投标人具有所投品牌一体机设备认证工程师；每有一名原厂认证工程师得1分，最高2分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需提供相关工程师证书复和最近三个月社保缴纳证明扫描件并加盖投标人公章，</w:t>
            </w:r>
            <w:r>
              <w:rPr>
                <w:rFonts w:hint="eastAsia" w:ascii="仿宋" w:hAnsi="仿宋" w:eastAsia="仿宋" w:cs="仿宋"/>
                <w:sz w:val="21"/>
                <w:szCs w:val="21"/>
                <w:highlight w:val="none"/>
                <w:lang w:eastAsia="zh-CN"/>
              </w:rPr>
              <w:t>未提供不得分。</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41" w:type="pct"/>
            <w:vMerge w:val="continue"/>
            <w:tcBorders>
              <w:left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sz w:val="21"/>
                <w:szCs w:val="21"/>
                <w:highlight w:val="none"/>
              </w:rPr>
            </w:pPr>
          </w:p>
        </w:tc>
        <w:tc>
          <w:tcPr>
            <w:tcW w:w="51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hint="eastAsia" w:ascii="仿宋" w:hAnsi="仿宋" w:eastAsia="仿宋" w:cs="仿宋"/>
                <w:sz w:val="21"/>
                <w:szCs w:val="21"/>
                <w:highlight w:val="none"/>
              </w:rPr>
            </w:pP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投标人具有所投品牌存储设备认证工程师；每有一名原厂认证工程师得1分，最高2分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需提供相关工程师证书复和最近三个月社保缴纳证明扫描件并加盖投标人公章，</w:t>
            </w:r>
            <w:r>
              <w:rPr>
                <w:rFonts w:hint="eastAsia" w:ascii="仿宋" w:hAnsi="仿宋" w:eastAsia="仿宋" w:cs="仿宋"/>
                <w:sz w:val="21"/>
                <w:szCs w:val="21"/>
                <w:highlight w:val="none"/>
                <w:lang w:eastAsia="zh-CN"/>
              </w:rPr>
              <w:t>未提供不得分。</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41" w:type="pct"/>
            <w:vMerge w:val="continue"/>
            <w:tcBorders>
              <w:left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sz w:val="21"/>
                <w:szCs w:val="21"/>
                <w:highlight w:val="none"/>
              </w:rPr>
            </w:pPr>
          </w:p>
        </w:tc>
        <w:tc>
          <w:tcPr>
            <w:tcW w:w="51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hint="eastAsia" w:ascii="仿宋" w:hAnsi="仿宋" w:eastAsia="仿宋" w:cs="仿宋"/>
                <w:sz w:val="21"/>
                <w:szCs w:val="21"/>
                <w:highlight w:val="none"/>
              </w:rPr>
            </w:pP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投标人具有所投品牌防火墙设备认证工程师；每有一名原厂认证工程师得1分，最高2分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需提供相关工程师证书复和最近三个月社保缴纳证明扫描件并加盖投标人公章，</w:t>
            </w:r>
            <w:r>
              <w:rPr>
                <w:rFonts w:hint="eastAsia" w:ascii="仿宋" w:hAnsi="仿宋" w:eastAsia="仿宋" w:cs="仿宋"/>
                <w:sz w:val="21"/>
                <w:szCs w:val="21"/>
                <w:highlight w:val="none"/>
                <w:lang w:eastAsia="zh-CN"/>
              </w:rPr>
              <w:t>未提供不得分。</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41" w:type="pct"/>
            <w:vMerge w:val="continue"/>
            <w:tcBorders>
              <w:left w:val="single" w:color="auto" w:sz="4" w:space="0"/>
              <w:bottom w:val="single" w:color="auto" w:sz="4" w:space="0"/>
              <w:right w:val="single" w:color="auto" w:sz="4" w:space="0"/>
            </w:tcBorders>
            <w:noWrap/>
            <w:vAlign w:val="center"/>
          </w:tcPr>
          <w:p>
            <w:pPr>
              <w:spacing w:line="240" w:lineRule="auto"/>
              <w:ind w:firstLine="420" w:firstLineChars="200"/>
              <w:jc w:val="center"/>
              <w:rPr>
                <w:rFonts w:hint="eastAsia" w:ascii="仿宋" w:hAnsi="仿宋" w:eastAsia="仿宋" w:cs="仿宋"/>
                <w:sz w:val="21"/>
                <w:szCs w:val="21"/>
                <w:highlight w:val="none"/>
              </w:rPr>
            </w:pPr>
          </w:p>
        </w:tc>
        <w:tc>
          <w:tcPr>
            <w:tcW w:w="51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420" w:firstLineChars="200"/>
              <w:rPr>
                <w:rFonts w:hint="eastAsia" w:ascii="仿宋" w:hAnsi="仿宋" w:eastAsia="仿宋" w:cs="仿宋"/>
                <w:sz w:val="21"/>
                <w:szCs w:val="21"/>
                <w:highlight w:val="none"/>
              </w:rPr>
            </w:pP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投标人具有工信部ITSS IT服务人员，每1名认证工程师得1分，最高得2分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需提供相关工程师证书复和最近三个月社保缴纳证明扫描件并加盖投标人公章，</w:t>
            </w:r>
            <w:r>
              <w:rPr>
                <w:rFonts w:hint="eastAsia" w:ascii="仿宋" w:hAnsi="仿宋" w:eastAsia="仿宋" w:cs="仿宋"/>
                <w:sz w:val="21"/>
                <w:szCs w:val="21"/>
                <w:highlight w:val="none"/>
                <w:lang w:eastAsia="zh-CN"/>
              </w:rPr>
              <w:t>未提供不得分。</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341"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w:t>
            </w:r>
          </w:p>
        </w:tc>
        <w:tc>
          <w:tcPr>
            <w:tcW w:w="510"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迁移方案</w:t>
            </w: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人针对本项目不停机PACS数据库迁移和切换，在不影响采购人正常业务前提下，提供的数据迁移方案进行打分，优于招标文件要求的得3.1-5分，符合招标文件要求的得2.1-3.0分，部分符合招标文件要求的得0.1-2.0分，不符合不得分。</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341"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w:t>
            </w:r>
          </w:p>
        </w:tc>
        <w:tc>
          <w:tcPr>
            <w:tcW w:w="510"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案例</w:t>
            </w: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以2019年</w:t>
            </w:r>
            <w:r>
              <w:rPr>
                <w:rFonts w:hint="eastAsia" w:ascii="仿宋" w:hAnsi="仿宋" w:eastAsia="仿宋" w:cs="仿宋"/>
                <w:sz w:val="21"/>
                <w:szCs w:val="21"/>
                <w:highlight w:val="none"/>
                <w:lang w:val="en-US" w:eastAsia="zh-CN"/>
              </w:rPr>
              <w:t>7月1日</w:t>
            </w:r>
            <w:r>
              <w:rPr>
                <w:rFonts w:hint="eastAsia" w:ascii="仿宋" w:hAnsi="仿宋" w:eastAsia="仿宋" w:cs="仿宋"/>
                <w:sz w:val="21"/>
                <w:szCs w:val="21"/>
                <w:highlight w:val="none"/>
              </w:rPr>
              <w:t>至今类似政府采购项目机房设备成功案例,每</w:t>
            </w:r>
            <w:r>
              <w:rPr>
                <w:rFonts w:hint="eastAsia" w:ascii="仿宋" w:hAnsi="仿宋" w:eastAsia="仿宋" w:cs="仿宋"/>
                <w:sz w:val="21"/>
                <w:szCs w:val="21"/>
                <w:highlight w:val="none"/>
                <w:lang w:eastAsia="zh-CN"/>
              </w:rPr>
              <w:t>提供一份合同</w:t>
            </w:r>
            <w:r>
              <w:rPr>
                <w:rFonts w:hint="eastAsia" w:ascii="仿宋" w:hAnsi="仿宋" w:eastAsia="仿宋" w:cs="仿宋"/>
                <w:sz w:val="21"/>
                <w:szCs w:val="21"/>
                <w:highlight w:val="none"/>
              </w:rPr>
              <w:t>得1分,最高</w:t>
            </w:r>
            <w:r>
              <w:rPr>
                <w:rFonts w:hint="eastAsia" w:ascii="仿宋" w:hAnsi="仿宋" w:eastAsia="仿宋" w:cs="仿宋"/>
                <w:sz w:val="21"/>
                <w:szCs w:val="21"/>
                <w:highlight w:val="none"/>
                <w:lang w:eastAsia="zh-CN"/>
              </w:rPr>
              <w:t>得</w:t>
            </w:r>
            <w:r>
              <w:rPr>
                <w:rFonts w:hint="eastAsia" w:ascii="仿宋" w:hAnsi="仿宋" w:eastAsia="仿宋" w:cs="仿宋"/>
                <w:sz w:val="21"/>
                <w:szCs w:val="21"/>
                <w:highlight w:val="none"/>
              </w:rPr>
              <w:t>3分,</w:t>
            </w:r>
            <w:r>
              <w:rPr>
                <w:rFonts w:hint="eastAsia" w:ascii="仿宋" w:hAnsi="仿宋" w:eastAsia="仿宋" w:cs="仿宋"/>
                <w:sz w:val="21"/>
                <w:szCs w:val="21"/>
                <w:highlight w:val="none"/>
                <w:lang w:eastAsia="zh-CN"/>
              </w:rPr>
              <w:t>需提供合同复印件加盖投标人，未提供不得分，</w:t>
            </w:r>
            <w:r>
              <w:rPr>
                <w:rFonts w:hint="eastAsia" w:ascii="仿宋" w:hAnsi="仿宋" w:eastAsia="仿宋" w:cs="仿宋"/>
                <w:sz w:val="21"/>
                <w:szCs w:val="21"/>
                <w:highlight w:val="none"/>
              </w:rPr>
              <w:t>非工程转包合同。</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41"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p>
        </w:tc>
        <w:tc>
          <w:tcPr>
            <w:tcW w:w="510"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售后服务情况</w:t>
            </w:r>
          </w:p>
        </w:tc>
        <w:tc>
          <w:tcPr>
            <w:tcW w:w="3764" w:type="pct"/>
            <w:tcBorders>
              <w:top w:val="single" w:color="auto" w:sz="4" w:space="0"/>
              <w:left w:val="single" w:color="auto" w:sz="4" w:space="0"/>
              <w:bottom w:val="single" w:color="auto" w:sz="4" w:space="0"/>
              <w:right w:val="single" w:color="auto" w:sz="4" w:space="0"/>
            </w:tcBorders>
            <w:noWrap/>
            <w:vAlign w:val="center"/>
          </w:tcPr>
          <w:p>
            <w:pPr>
              <w:spacing w:line="240" w:lineRule="auto"/>
              <w:rPr>
                <w:rFonts w:hint="eastAsia" w:ascii="仿宋" w:hAnsi="仿宋" w:eastAsia="仿宋" w:cs="仿宋"/>
                <w:sz w:val="21"/>
                <w:szCs w:val="21"/>
                <w:highlight w:val="none"/>
              </w:rPr>
            </w:pPr>
            <w:r>
              <w:rPr>
                <w:rFonts w:hint="eastAsia" w:ascii="仿宋" w:hAnsi="仿宋" w:eastAsia="仿宋" w:cs="仿宋"/>
                <w:sz w:val="21"/>
                <w:szCs w:val="21"/>
                <w:highlight w:val="none"/>
              </w:rPr>
              <w:t>根据投标公司能否有技术和能力提供本地化售后服务及本地化团队、人员资质证书、社保证明、人员参与项目建设经历等方面由专家横向比较进行打分，优于招标文件要求的得4.1-7分，基本符合招标文件要求的得2.1-4分，部分符合招标文件要求的得</w:t>
            </w:r>
            <w:r>
              <w:rPr>
                <w:rFonts w:hint="eastAsia" w:ascii="仿宋" w:hAnsi="仿宋" w:eastAsia="仿宋" w:cs="仿宋"/>
                <w:sz w:val="21"/>
                <w:szCs w:val="21"/>
                <w:highlight w:val="none"/>
                <w:lang w:val="en-US" w:eastAsia="zh-CN"/>
              </w:rPr>
              <w:t>0.1</w:t>
            </w:r>
            <w:r>
              <w:rPr>
                <w:rFonts w:hint="eastAsia" w:ascii="仿宋" w:hAnsi="仿宋" w:eastAsia="仿宋" w:cs="仿宋"/>
                <w:sz w:val="21"/>
                <w:szCs w:val="21"/>
                <w:highlight w:val="none"/>
              </w:rPr>
              <w:t>-2分</w:t>
            </w:r>
            <w:r>
              <w:rPr>
                <w:rFonts w:hint="eastAsia" w:ascii="仿宋" w:hAnsi="仿宋" w:eastAsia="仿宋" w:cs="仿宋"/>
                <w:sz w:val="21"/>
                <w:szCs w:val="21"/>
                <w:highlight w:val="none"/>
                <w:lang w:eastAsia="zh-CN"/>
              </w:rPr>
              <w:t>，未提供不得分</w:t>
            </w:r>
            <w:r>
              <w:rPr>
                <w:rFonts w:hint="eastAsia" w:ascii="仿宋" w:hAnsi="仿宋" w:eastAsia="仿宋" w:cs="仿宋"/>
                <w:sz w:val="21"/>
                <w:szCs w:val="21"/>
                <w:highlight w:val="none"/>
              </w:rPr>
              <w:t>。</w:t>
            </w:r>
          </w:p>
        </w:tc>
        <w:tc>
          <w:tcPr>
            <w:tcW w:w="382" w:type="pct"/>
            <w:tcBorders>
              <w:top w:val="single" w:color="auto" w:sz="4" w:space="0"/>
              <w:left w:val="single" w:color="auto" w:sz="4" w:space="0"/>
              <w:bottom w:val="single" w:color="auto" w:sz="4" w:space="0"/>
              <w:right w:val="single" w:color="auto" w:sz="4" w:space="0"/>
            </w:tcBorders>
            <w:noWrap/>
            <w:vAlign w:val="center"/>
          </w:tcPr>
          <w:p>
            <w:pPr>
              <w:spacing w:line="24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p>
    <w:p>
      <w:pPr>
        <w:snapToGrid w:val="0"/>
        <w:rPr>
          <w:rFonts w:hint="eastAsia" w:ascii="仿宋" w:hAnsi="仿宋" w:eastAsia="仿宋" w:cs="仿宋"/>
          <w:b/>
          <w:color w:val="auto"/>
          <w:sz w:val="24"/>
          <w:highlight w:val="none"/>
          <w:u w:val="single"/>
        </w:rPr>
      </w:pPr>
    </w:p>
    <w:bookmarkEnd w:id="8"/>
    <w:bookmarkEnd w:id="9"/>
    <w:bookmarkEnd w:id="10"/>
    <w:bookmarkEnd w:id="11"/>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jc w:val="center"/>
        <w:rPr>
          <w:rFonts w:hint="eastAsia" w:ascii="仿宋" w:hAnsi="仿宋" w:eastAsia="仿宋" w:cs="仿宋"/>
          <w:b/>
          <w:color w:val="auto"/>
          <w:sz w:val="36"/>
          <w:szCs w:val="20"/>
          <w:highlight w:val="none"/>
        </w:rPr>
      </w:pPr>
    </w:p>
    <w:p>
      <w:pPr>
        <w:snapToGrid w:val="0"/>
        <w:spacing w:line="360" w:lineRule="auto"/>
        <w:jc w:val="center"/>
        <w:rPr>
          <w:rFonts w:hint="eastAsia" w:ascii="仿宋" w:hAnsi="仿宋" w:eastAsia="仿宋" w:cs="仿宋"/>
          <w:b/>
          <w:color w:val="auto"/>
          <w:sz w:val="36"/>
          <w:szCs w:val="20"/>
          <w:highlight w:val="none"/>
        </w:rPr>
      </w:pPr>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pStyle w:val="19"/>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69"/>
        <w:spacing w:afterLines="0" w:line="440" w:lineRule="exact"/>
        <w:ind w:firstLine="0" w:firstLineChars="0"/>
        <w:rPr>
          <w:rFonts w:hint="eastAsia" w:ascii="仿宋" w:hAnsi="仿宋" w:eastAsia="仿宋" w:cs="仿宋"/>
          <w:color w:val="auto"/>
          <w:szCs w:val="24"/>
          <w:highlight w:val="none"/>
        </w:rPr>
      </w:pPr>
    </w:p>
    <w:p>
      <w:pPr>
        <w:pStyle w:val="69"/>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69"/>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69"/>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 xml:space="preserve">投标人(电子签章)：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型号和规格</w:t>
            </w:r>
            <w:r>
              <w:rPr>
                <w:rFonts w:hint="eastAsia" w:ascii="仿宋" w:hAnsi="仿宋" w:eastAsia="仿宋" w:cs="仿宋"/>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color w:val="auto"/>
                <w:spacing w:val="20"/>
                <w:sz w:val="18"/>
                <w:szCs w:val="18"/>
                <w:highlight w:val="none"/>
              </w:rPr>
            </w:pPr>
            <w:r>
              <w:rPr>
                <w:rFonts w:hint="eastAsia" w:ascii="仿宋" w:hAnsi="仿宋" w:eastAsia="仿宋" w:cs="仿宋"/>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r>
        <w:rPr>
          <w:rFonts w:hint="eastAsia" w:ascii="仿宋" w:hAnsi="仿宋" w:eastAsia="仿宋" w:cs="仿宋"/>
          <w:b/>
          <w:color w:val="auto"/>
          <w:kern w:val="0"/>
          <w:sz w:val="24"/>
          <w:highlight w:val="none"/>
        </w:rPr>
        <w:t>在“规格型号（或具体服务）”一栏中，货物类项目填写规格型号，服务类项目填写具体服务。</w:t>
      </w:r>
      <w:r>
        <w:rPr>
          <w:rFonts w:hint="eastAsia" w:ascii="仿宋" w:hAnsi="仿宋" w:eastAsia="仿宋" w:cs="仿宋"/>
          <w:b/>
          <w:color w:val="auto"/>
          <w:sz w:val="24"/>
          <w:highlight w:val="none"/>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sz w:val="24"/>
          <w:highlight w:val="none"/>
        </w:rPr>
        <w:t>6</w:t>
      </w:r>
      <w:r>
        <w:rPr>
          <w:rFonts w:hint="eastAsia" w:ascii="仿宋" w:hAnsi="仿宋" w:eastAsia="仿宋" w:cs="仿宋"/>
          <w:b/>
          <w:color w:val="auto"/>
          <w:kern w:val="0"/>
          <w:sz w:val="24"/>
          <w:highlight w:val="none"/>
          <w:lang w:val="zh-CN"/>
        </w:rPr>
        <w:t>.特别提示：采购机构将对</w:t>
      </w:r>
      <w:r>
        <w:rPr>
          <w:rFonts w:hint="eastAsia" w:ascii="仿宋" w:hAnsi="仿宋" w:eastAsia="仿宋" w:cs="仿宋"/>
          <w:b/>
          <w:color w:val="auto"/>
          <w:kern w:val="0"/>
          <w:sz w:val="24"/>
          <w:highlight w:val="none"/>
        </w:rPr>
        <w:t>项目名称和项目编号，中标供应商名称、地址和中标金额，主要中标标的的名称、规格型号、数量、单价、服务要求等</w:t>
      </w:r>
      <w:r>
        <w:rPr>
          <w:rFonts w:hint="eastAsia" w:ascii="仿宋" w:hAnsi="仿宋" w:eastAsia="仿宋" w:cs="仿宋"/>
          <w:b/>
          <w:color w:val="auto"/>
          <w:kern w:val="0"/>
          <w:sz w:val="24"/>
          <w:highlight w:val="none"/>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3"/>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3"/>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新机房数据中心建设项目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新机房数据中心建设项目</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绍兴市中医院新机房数据中心建设项目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TYJZ2022125</w:t>
      </w:r>
      <w:r>
        <w:rPr>
          <w:rFonts w:hint="eastAsia" w:ascii="仿宋" w:hAnsi="仿宋" w:eastAsia="仿宋" w:cs="仿宋"/>
          <w:color w:val="auto"/>
          <w:sz w:val="24"/>
          <w:highlight w:val="none"/>
        </w:rPr>
        <w:t>）招标文件中关于申请人资格要求的下列条件：</w:t>
      </w:r>
    </w:p>
    <w:p>
      <w:pPr>
        <w:pStyle w:val="69"/>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p>
    <w:p>
      <w:pPr>
        <w:pStyle w:val="23"/>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4"/>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(电子签章)：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headerReference r:id="rId6" w:type="first"/>
          <w:footerReference r:id="rId8" w:type="first"/>
          <w:headerReference r:id="rId5" w:type="default"/>
          <w:footerReference r:id="rId7"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1028"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仿宋"/>
          <w:color w:val="auto"/>
          <w:sz w:val="24"/>
          <w:highlight w:val="none"/>
        </w:rPr>
        <w:t>投标单位法定名称章（印模）投标单位“XX专用章”（印模）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，从业人员人，营业收入为万元，资产总额为万元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8" o:title=""/>
            <o:lock v:ext="edit" aspectratio="t"/>
            <w10:wrap type="none"/>
            <w10:anchorlock/>
          </v:shape>
          <o:OLEObject Type="Embed" ProgID="Package" ShapeID="_x0000_i1027" DrawAspect="Content" ObjectID="_1468075727" r:id="rId17">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联系人：联系电话：</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地址：邮编：</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质疑项目的编号：包号：</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p>
    <w:p>
      <w:pPr>
        <w:adjustRightInd w:val="0"/>
        <w:snapToGrid w:val="0"/>
        <w:spacing w:line="360" w:lineRule="auto"/>
        <w:rPr>
          <w:rFonts w:hint="eastAsia" w:ascii="仿宋" w:hAnsi="仿宋" w:eastAsia="仿宋" w:cs="仿宋"/>
          <w:color w:val="auto"/>
          <w:sz w:val="32"/>
          <w:szCs w:val="32"/>
          <w:highlight w:val="none"/>
          <w:u w:val="dotted"/>
        </w:rPr>
      </w:pP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3.企业划分指标以现行统计制度为准。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（1）从业人员，是指期末从业人员数，没有期末从业人员数的，采用全年平均人员数代替。</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br w:type="textWrapping"/>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中国证券监督管理委员会中国保险监督管理委员会</w:t>
      </w:r>
      <w:r>
        <w:rPr>
          <w:rFonts w:hint="eastAsia" w:ascii="仿宋" w:hAnsi="仿宋" w:eastAsia="仿宋" w:cs="仿宋"/>
          <w:b/>
          <w:bCs/>
          <w:color w:val="auto"/>
          <w:kern w:val="0"/>
          <w:sz w:val="36"/>
          <w:szCs w:val="36"/>
          <w:highlight w:val="none"/>
        </w:rPr>
        <w:br w:type="textWrapping"/>
      </w: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二、适用范围。本规定适用于从事《国民经济行业分类》(GB/T4754-2011)中J门类（金融业）活动的企业。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十、本规定由人民银行会同银监会，证监会、保监会和统计局负责解释。</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p>
      <w:pPr>
        <w:rPr>
          <w:color w:val="auto"/>
          <w:highlight w:val="none"/>
        </w:rPr>
      </w:pPr>
    </w:p>
    <w:sectPr>
      <w:headerReference r:id="rId9" w:type="default"/>
      <w:footerReference r:id="rId10" w:type="default"/>
      <w:footerReference r:id="rId11"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altName w:val="微软雅黑"/>
    <w:panose1 w:val="02010600030101010101"/>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186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109</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ascii="仿宋_GB2312" w:eastAsia="宋体"/>
        <w:b/>
        <w:i/>
        <w:u w:val="single"/>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B150DA5"/>
    <w:multiLevelType w:val="multilevel"/>
    <w:tmpl w:val="2B150DA5"/>
    <w:lvl w:ilvl="0" w:tentative="0">
      <w:start w:val="1"/>
      <w:numFmt w:val="decimal"/>
      <w:lvlText w:val="%1"/>
      <w:lvlJc w:val="left"/>
      <w:pPr>
        <w:ind w:left="495" w:hanging="495"/>
      </w:pPr>
      <w:rPr>
        <w:rFonts w:hint="default"/>
      </w:rPr>
    </w:lvl>
    <w:lvl w:ilvl="1" w:tentative="0">
      <w:start w:val="1"/>
      <w:numFmt w:val="decimal"/>
      <w:pStyle w:val="288"/>
      <w:lvlText w:val="%1.%2"/>
      <w:lvlJc w:val="left"/>
      <w:pPr>
        <w:ind w:left="720" w:hanging="720"/>
      </w:pPr>
      <w:rPr>
        <w:rFonts w:hint="default"/>
      </w:rPr>
    </w:lvl>
    <w:lvl w:ilvl="2" w:tentative="0">
      <w:start w:val="1"/>
      <w:numFmt w:val="decimal"/>
      <w:pStyle w:val="289"/>
      <w:lvlText w:val="%1.%2.%3"/>
      <w:lvlJc w:val="left"/>
      <w:pPr>
        <w:ind w:left="1080" w:hanging="1080"/>
      </w:pPr>
      <w:rPr>
        <w:rFonts w:hint="default"/>
        <w:color w:val="auto"/>
      </w:rPr>
    </w:lvl>
    <w:lvl w:ilvl="3" w:tentative="0">
      <w:start w:val="1"/>
      <w:numFmt w:val="decimal"/>
      <w:lvlText w:val="%1.%2.%3.%4"/>
      <w:lvlJc w:val="left"/>
      <w:pPr>
        <w:ind w:left="1080" w:hanging="1080"/>
      </w:pPr>
      <w:rPr>
        <w:rFonts w:hint="default"/>
      </w:rPr>
    </w:lvl>
    <w:lvl w:ilvl="4" w:tentative="0">
      <w:start w:val="1"/>
      <w:numFmt w:val="decimal"/>
      <w:lvlText w:val="（%5）"/>
      <w:lvlJc w:val="left"/>
      <w:pPr>
        <w:ind w:left="1440" w:hanging="1440"/>
      </w:pPr>
      <w:rPr>
        <w:rFonts w:hint="eastAsia"/>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FBE"/>
    <w:rsid w:val="000E1C88"/>
    <w:rsid w:val="000E3723"/>
    <w:rsid w:val="000E4A4F"/>
    <w:rsid w:val="000E5C9B"/>
    <w:rsid w:val="000E6F8C"/>
    <w:rsid w:val="000E72A0"/>
    <w:rsid w:val="000F0D59"/>
    <w:rsid w:val="000F51A7"/>
    <w:rsid w:val="000F5EF4"/>
    <w:rsid w:val="000F7FA8"/>
    <w:rsid w:val="001023D9"/>
    <w:rsid w:val="00103B47"/>
    <w:rsid w:val="0010408F"/>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071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1F02"/>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5E87"/>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13F9"/>
    <w:rsid w:val="0034305B"/>
    <w:rsid w:val="00347CAD"/>
    <w:rsid w:val="00350E72"/>
    <w:rsid w:val="00351EEF"/>
    <w:rsid w:val="0035254A"/>
    <w:rsid w:val="003565A0"/>
    <w:rsid w:val="00356C86"/>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293"/>
    <w:rsid w:val="0041460B"/>
    <w:rsid w:val="00414F64"/>
    <w:rsid w:val="00417C8A"/>
    <w:rsid w:val="0042136D"/>
    <w:rsid w:val="00424C70"/>
    <w:rsid w:val="0042557D"/>
    <w:rsid w:val="00426003"/>
    <w:rsid w:val="00426CA3"/>
    <w:rsid w:val="00427B10"/>
    <w:rsid w:val="004350B7"/>
    <w:rsid w:val="004357E0"/>
    <w:rsid w:val="00436ECF"/>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3A0"/>
    <w:rsid w:val="006A1906"/>
    <w:rsid w:val="006A37DE"/>
    <w:rsid w:val="006A3D9E"/>
    <w:rsid w:val="006A4F05"/>
    <w:rsid w:val="006A69A8"/>
    <w:rsid w:val="006B183A"/>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4F7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2C1"/>
    <w:rsid w:val="007774FA"/>
    <w:rsid w:val="00777C1A"/>
    <w:rsid w:val="00777DF4"/>
    <w:rsid w:val="00777F21"/>
    <w:rsid w:val="00780272"/>
    <w:rsid w:val="007804F7"/>
    <w:rsid w:val="007809BE"/>
    <w:rsid w:val="007814B9"/>
    <w:rsid w:val="0078178E"/>
    <w:rsid w:val="007822C3"/>
    <w:rsid w:val="00783B90"/>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3E95"/>
    <w:rsid w:val="007D4361"/>
    <w:rsid w:val="007D506A"/>
    <w:rsid w:val="007D7005"/>
    <w:rsid w:val="007E101E"/>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4788"/>
    <w:rsid w:val="00840AB3"/>
    <w:rsid w:val="008424CD"/>
    <w:rsid w:val="00842C80"/>
    <w:rsid w:val="00844F41"/>
    <w:rsid w:val="008457C1"/>
    <w:rsid w:val="0084613D"/>
    <w:rsid w:val="00850E6B"/>
    <w:rsid w:val="008510A4"/>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31E7"/>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779"/>
    <w:rsid w:val="009B1146"/>
    <w:rsid w:val="009B206E"/>
    <w:rsid w:val="009B24E0"/>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2931"/>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07FCE"/>
    <w:rsid w:val="00B11F7D"/>
    <w:rsid w:val="00B1230F"/>
    <w:rsid w:val="00B127DA"/>
    <w:rsid w:val="00B12ECD"/>
    <w:rsid w:val="00B14C0B"/>
    <w:rsid w:val="00B2146D"/>
    <w:rsid w:val="00B22BA0"/>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19B9"/>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3B15"/>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2A8C"/>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107"/>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D17E8"/>
    <w:rsid w:val="00DD29D3"/>
    <w:rsid w:val="00DD4B24"/>
    <w:rsid w:val="00DD50B7"/>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45A"/>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5BA2"/>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6D95"/>
    <w:rsid w:val="00FC7905"/>
    <w:rsid w:val="00FD0273"/>
    <w:rsid w:val="00FE5E89"/>
    <w:rsid w:val="00FE7260"/>
    <w:rsid w:val="00FF0866"/>
    <w:rsid w:val="00FF0CA9"/>
    <w:rsid w:val="00FF724C"/>
    <w:rsid w:val="00FF7BD2"/>
    <w:rsid w:val="016D2B6D"/>
    <w:rsid w:val="03DE3CAC"/>
    <w:rsid w:val="0A8F3F52"/>
    <w:rsid w:val="0B9F6417"/>
    <w:rsid w:val="0CD5317F"/>
    <w:rsid w:val="0E614412"/>
    <w:rsid w:val="137B7824"/>
    <w:rsid w:val="15F20E41"/>
    <w:rsid w:val="170A508C"/>
    <w:rsid w:val="175B7696"/>
    <w:rsid w:val="18A61448"/>
    <w:rsid w:val="19C86B39"/>
    <w:rsid w:val="1DD05360"/>
    <w:rsid w:val="1E2E78B2"/>
    <w:rsid w:val="1F356A1F"/>
    <w:rsid w:val="1F7312F5"/>
    <w:rsid w:val="20124FB2"/>
    <w:rsid w:val="20767BCB"/>
    <w:rsid w:val="22E57BAB"/>
    <w:rsid w:val="24D315F6"/>
    <w:rsid w:val="27037402"/>
    <w:rsid w:val="27343A60"/>
    <w:rsid w:val="2ACA45ED"/>
    <w:rsid w:val="2AF27EBA"/>
    <w:rsid w:val="2F860BD0"/>
    <w:rsid w:val="30391B88"/>
    <w:rsid w:val="320B2452"/>
    <w:rsid w:val="35602270"/>
    <w:rsid w:val="356D0868"/>
    <w:rsid w:val="377A25F9"/>
    <w:rsid w:val="38E14A1F"/>
    <w:rsid w:val="3AE50EA1"/>
    <w:rsid w:val="3C5E24C2"/>
    <w:rsid w:val="3D932E36"/>
    <w:rsid w:val="3E6A321B"/>
    <w:rsid w:val="3FAE05A9"/>
    <w:rsid w:val="42281DEB"/>
    <w:rsid w:val="42E87780"/>
    <w:rsid w:val="44AD0C81"/>
    <w:rsid w:val="4662784A"/>
    <w:rsid w:val="4D3B2BA3"/>
    <w:rsid w:val="52195BA8"/>
    <w:rsid w:val="521C7446"/>
    <w:rsid w:val="5257614B"/>
    <w:rsid w:val="526116E3"/>
    <w:rsid w:val="54A43723"/>
    <w:rsid w:val="54D44008"/>
    <w:rsid w:val="54F4732F"/>
    <w:rsid w:val="566118CC"/>
    <w:rsid w:val="56C34335"/>
    <w:rsid w:val="57193F55"/>
    <w:rsid w:val="576D24F2"/>
    <w:rsid w:val="58A81A34"/>
    <w:rsid w:val="58AD6AC9"/>
    <w:rsid w:val="59350DEE"/>
    <w:rsid w:val="5ABC3B17"/>
    <w:rsid w:val="5CA52205"/>
    <w:rsid w:val="5E341674"/>
    <w:rsid w:val="5FA56AEA"/>
    <w:rsid w:val="60196D73"/>
    <w:rsid w:val="60F06F9B"/>
    <w:rsid w:val="64700580"/>
    <w:rsid w:val="66B00535"/>
    <w:rsid w:val="6D32771C"/>
    <w:rsid w:val="6E396833"/>
    <w:rsid w:val="6ED924EF"/>
    <w:rsid w:val="6F166144"/>
    <w:rsid w:val="6F3D6910"/>
    <w:rsid w:val="71D21478"/>
    <w:rsid w:val="72E87C49"/>
    <w:rsid w:val="75F93477"/>
    <w:rsid w:val="7A2D5D11"/>
    <w:rsid w:val="7A5B5283"/>
    <w:rsid w:val="7B7D169B"/>
    <w:rsid w:val="7B8D6299"/>
    <w:rsid w:val="7DB61C4E"/>
    <w:rsid w:val="7DFBB8BB"/>
    <w:rsid w:val="7FE24F7C"/>
    <w:rsid w:val="AEBA6020"/>
    <w:rsid w:val="BF6FB3D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99"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6">
    <w:name w:val="Normal Indent"/>
    <w:basedOn w:val="1"/>
    <w:link w:val="53"/>
    <w:qFormat/>
    <w:uiPriority w:val="0"/>
    <w:pPr>
      <w:ind w:firstLine="420" w:firstLineChars="200"/>
    </w:pPr>
  </w:style>
  <w:style w:type="paragraph" w:styleId="13">
    <w:name w:val="List Number 2"/>
    <w:basedOn w:val="1"/>
    <w:qFormat/>
    <w:uiPriority w:val="99"/>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0"/>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1"/>
    <w:semiHidden/>
    <w:qFormat/>
    <w:uiPriority w:val="0"/>
    <w:pPr>
      <w:widowControl/>
      <w:spacing w:afterLines="50"/>
    </w:pPr>
    <w:rPr>
      <w:b/>
      <w:bCs/>
      <w:kern w:val="0"/>
      <w:sz w:val="24"/>
      <w:szCs w:val="20"/>
    </w:rPr>
  </w:style>
  <w:style w:type="paragraph" w:styleId="41">
    <w:name w:val="Body Text First Indent"/>
    <w:basedOn w:val="18"/>
    <w:link w:val="202"/>
    <w:qFormat/>
    <w:uiPriority w:val="0"/>
    <w:pPr>
      <w:spacing w:after="120" w:line="240" w:lineRule="auto"/>
      <w:ind w:firstLine="420" w:firstLineChars="100"/>
    </w:pPr>
    <w:rPr>
      <w:rFonts w:eastAsia="宋体"/>
      <w:sz w:val="21"/>
    </w:rPr>
  </w:style>
  <w:style w:type="paragraph" w:styleId="42">
    <w:name w:val="Body Text First Indent 2"/>
    <w:basedOn w:val="19"/>
    <w:link w:val="203"/>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1 Char"/>
    <w:link w:val="3"/>
    <w:qFormat/>
    <w:uiPriority w:val="0"/>
    <w:rPr>
      <w:rFonts w:eastAsia="仿宋_GB2312"/>
      <w:b/>
      <w:kern w:val="44"/>
      <w:sz w:val="44"/>
    </w:rPr>
  </w:style>
  <w:style w:type="character" w:customStyle="1" w:styleId="53">
    <w:name w:val="正文缩进 Char"/>
    <w:link w:val="6"/>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rPr>
  </w:style>
  <w:style w:type="character" w:customStyle="1" w:styleId="56">
    <w:name w:val="标题 3 Char"/>
    <w:link w:val="5"/>
    <w:qFormat/>
    <w:uiPriority w:val="0"/>
    <w:rPr>
      <w:rFonts w:eastAsia="仿宋_GB2312"/>
      <w:b/>
      <w:kern w:val="2"/>
      <w:sz w:val="32"/>
    </w:rPr>
  </w:style>
  <w:style w:type="character" w:customStyle="1" w:styleId="57">
    <w:name w:val="标题 4 Char1"/>
    <w:link w:val="7"/>
    <w:qFormat/>
    <w:uiPriority w:val="0"/>
    <w:rPr>
      <w:rFonts w:ascii="Arial" w:hAnsi="Arial" w:eastAsia="黑体"/>
      <w:b/>
      <w:kern w:val="2"/>
      <w:sz w:val="28"/>
    </w:rPr>
  </w:style>
  <w:style w:type="character" w:customStyle="1" w:styleId="58">
    <w:name w:val="标题 5 Char1"/>
    <w:link w:val="8"/>
    <w:qFormat/>
    <w:uiPriority w:val="0"/>
    <w:rPr>
      <w:sz w:val="24"/>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6"/>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5"/>
    <w:link w:val="26"/>
    <w:semiHidden/>
    <w:qFormat/>
    <w:uiPriority w:val="0"/>
    <w:rPr>
      <w:kern w:val="2"/>
      <w:sz w:val="18"/>
      <w:szCs w:val="18"/>
    </w:rPr>
  </w:style>
  <w:style w:type="character" w:customStyle="1" w:styleId="199">
    <w:name w:val="正文文本缩进 3 Char"/>
    <w:basedOn w:val="45"/>
    <w:link w:val="32"/>
    <w:qFormat/>
    <w:uiPriority w:val="0"/>
    <w:rPr>
      <w:kern w:val="2"/>
      <w:sz w:val="16"/>
      <w:szCs w:val="16"/>
    </w:rPr>
  </w:style>
  <w:style w:type="character" w:customStyle="1" w:styleId="200">
    <w:name w:val="HTML 预设格式 Char"/>
    <w:basedOn w:val="45"/>
    <w:link w:val="36"/>
    <w:qFormat/>
    <w:uiPriority w:val="0"/>
    <w:rPr>
      <w:rFonts w:ascii="黑体" w:hAnsi="Courier New" w:eastAsia="黑体" w:cs="Courier New"/>
    </w:rPr>
  </w:style>
  <w:style w:type="character" w:customStyle="1" w:styleId="201">
    <w:name w:val="批注主题 Char"/>
    <w:basedOn w:val="168"/>
    <w:link w:val="40"/>
    <w:semiHidden/>
    <w:qFormat/>
    <w:uiPriority w:val="0"/>
    <w:rPr>
      <w:rFonts w:eastAsia="宋体"/>
      <w:b/>
      <w:bCs/>
      <w:kern w:val="2"/>
      <w:sz w:val="24"/>
      <w:szCs w:val="24"/>
      <w:lang w:val="en-US" w:eastAsia="zh-CN" w:bidi="ar-SA"/>
    </w:rPr>
  </w:style>
  <w:style w:type="character" w:customStyle="1" w:styleId="202">
    <w:name w:val="正文首行缩进 Char"/>
    <w:basedOn w:val="163"/>
    <w:link w:val="41"/>
    <w:qFormat/>
    <w:uiPriority w:val="0"/>
    <w:rPr>
      <w:rFonts w:eastAsia="仿宋_GB2312"/>
      <w:kern w:val="2"/>
      <w:sz w:val="21"/>
      <w:szCs w:val="24"/>
      <w:lang w:val="en-US" w:eastAsia="zh-CN" w:bidi="ar-SA"/>
    </w:rPr>
  </w:style>
  <w:style w:type="character" w:customStyle="1" w:styleId="203">
    <w:name w:val="正文首行缩进 2 Char"/>
    <w:basedOn w:val="65"/>
    <w:link w:val="42"/>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2"/>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5"/>
    <w:qFormat/>
    <w:uiPriority w:val="0"/>
    <w:rPr>
      <w:rFonts w:hint="eastAsia" w:ascii="宋体" w:hAnsi="宋体" w:eastAsia="宋体" w:cs="宋体"/>
      <w:color w:val="000000"/>
      <w:sz w:val="22"/>
      <w:szCs w:val="22"/>
      <w:u w:val="none"/>
    </w:rPr>
  </w:style>
  <w:style w:type="character" w:customStyle="1" w:styleId="266">
    <w:name w:val="font11"/>
    <w:basedOn w:val="45"/>
    <w:qFormat/>
    <w:uiPriority w:val="0"/>
    <w:rPr>
      <w:rFonts w:hint="eastAsia" w:ascii="宋体" w:hAnsi="宋体" w:eastAsia="宋体" w:cs="宋体"/>
      <w:color w:val="FF0000"/>
      <w:sz w:val="22"/>
      <w:szCs w:val="22"/>
      <w:u w:val="none"/>
    </w:rPr>
  </w:style>
  <w:style w:type="character" w:customStyle="1" w:styleId="267">
    <w:name w:val="font41"/>
    <w:basedOn w:val="45"/>
    <w:qFormat/>
    <w:uiPriority w:val="0"/>
    <w:rPr>
      <w:rFonts w:hint="default" w:ascii="等线" w:hAnsi="等线" w:eastAsia="等线" w:cs="等线"/>
      <w:color w:val="FF0000"/>
      <w:sz w:val="22"/>
      <w:szCs w:val="22"/>
      <w:u w:val="none"/>
    </w:rPr>
  </w:style>
  <w:style w:type="character" w:customStyle="1" w:styleId="268">
    <w:name w:val="font21"/>
    <w:basedOn w:val="45"/>
    <w:qFormat/>
    <w:uiPriority w:val="0"/>
    <w:rPr>
      <w:rFonts w:hint="default" w:ascii="等线" w:hAnsi="等线" w:eastAsia="等线" w:cs="等线"/>
      <w:color w:val="000000"/>
      <w:sz w:val="22"/>
      <w:szCs w:val="22"/>
      <w:u w:val="none"/>
    </w:rPr>
  </w:style>
  <w:style w:type="character" w:customStyle="1" w:styleId="269">
    <w:name w:val="font51"/>
    <w:basedOn w:val="45"/>
    <w:qFormat/>
    <w:uiPriority w:val="0"/>
    <w:rPr>
      <w:rFonts w:hint="default" w:ascii="等线" w:hAnsi="等线" w:eastAsia="等线" w:cs="等线"/>
      <w:color w:val="FF0000"/>
      <w:sz w:val="22"/>
      <w:szCs w:val="22"/>
      <w:u w:val="none"/>
    </w:rPr>
  </w:style>
  <w:style w:type="character" w:customStyle="1" w:styleId="270">
    <w:name w:val="font61"/>
    <w:basedOn w:val="45"/>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5"/>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5"/>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5"/>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table" w:customStyle="1" w:styleId="286">
    <w:name w:val="网格型1"/>
    <w:basedOn w:val="43"/>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87">
    <w:name w:val="列表段落1"/>
    <w:basedOn w:val="1"/>
    <w:next w:val="18"/>
    <w:qFormat/>
    <w:uiPriority w:val="99"/>
    <w:pPr>
      <w:adjustRightInd w:val="0"/>
      <w:ind w:left="720"/>
      <w:contextualSpacing/>
    </w:pPr>
  </w:style>
  <w:style w:type="paragraph" w:customStyle="1" w:styleId="288">
    <w:name w:val="GP标题2"/>
    <w:basedOn w:val="1"/>
    <w:next w:val="1"/>
    <w:qFormat/>
    <w:uiPriority w:val="0"/>
    <w:pPr>
      <w:numPr>
        <w:ilvl w:val="1"/>
        <w:numId w:val="5"/>
      </w:numPr>
      <w:adjustRightInd w:val="0"/>
      <w:spacing w:beforeLines="50" w:afterLines="50" w:line="360" w:lineRule="auto"/>
      <w:jc w:val="left"/>
      <w:outlineLvl w:val="1"/>
    </w:pPr>
    <w:rPr>
      <w:rFonts w:ascii="仿宋" w:hAnsi="仿宋" w:eastAsia="仿宋"/>
      <w:b/>
      <w:sz w:val="32"/>
      <w:szCs w:val="21"/>
    </w:rPr>
  </w:style>
  <w:style w:type="paragraph" w:customStyle="1" w:styleId="289">
    <w:name w:val="GP标题3"/>
    <w:basedOn w:val="1"/>
    <w:next w:val="1"/>
    <w:qFormat/>
    <w:uiPriority w:val="0"/>
    <w:pPr>
      <w:numPr>
        <w:ilvl w:val="2"/>
        <w:numId w:val="5"/>
      </w:numPr>
      <w:adjustRightInd w:val="0"/>
      <w:spacing w:line="360" w:lineRule="auto"/>
      <w:outlineLvl w:val="2"/>
    </w:pPr>
    <w:rPr>
      <w:rFonts w:ascii="仿宋" w:hAnsi="仿宋" w:eastAsia="仿宋"/>
      <w:b/>
      <w:sz w:val="30"/>
      <w:szCs w:val="30"/>
    </w:rPr>
  </w:style>
  <w:style w:type="paragraph" w:customStyle="1" w:styleId="290">
    <w:name w:val="*正文"/>
    <w:basedOn w:val="1"/>
    <w:qFormat/>
    <w:uiPriority w:val="0"/>
    <w:pPr>
      <w:widowControl/>
      <w:adjustRightInd w:val="0"/>
      <w:ind w:firstLine="200" w:firstLineChars="200"/>
    </w:pPr>
    <w:rPr>
      <w:rFonts w:ascii="仿宋_GB2312"/>
      <w:sz w:val="24"/>
      <w:szCs w:val="28"/>
    </w:rPr>
  </w:style>
  <w:style w:type="paragraph" w:customStyle="1" w:styleId="291">
    <w:name w:val="正文_0"/>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正文段落"/>
    <w:basedOn w:val="1"/>
    <w:qFormat/>
    <w:uiPriority w:val="0"/>
    <w:pPr>
      <w:spacing w:line="300" w:lineRule="auto"/>
      <w:ind w:firstLine="510"/>
    </w:pPr>
    <w:rPr>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91</Pages>
  <Words>54050</Words>
  <Characters>58054</Characters>
  <Lines>527</Lines>
  <Paragraphs>148</Paragraphs>
  <TotalTime>19</TotalTime>
  <ScaleCrop>false</ScaleCrop>
  <LinksUpToDate>false</LinksUpToDate>
  <CharactersWithSpaces>62988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2022-06-30T09:21:00Z</dcterms:created>
  <dc:creator>USER</dc:creator>
  <cp:lastModifiedBy>無珂鲰玳k&amp;o_O</cp:lastModifiedBy>
  <cp:lastPrinted>2022-02-14T19:21:00Z</cp:lastPrinted>
  <dcterms:modified xsi:type="dcterms:W3CDTF">2022-12-23T06:06:25Z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A4762E87D915408B8EE08733F8F35BAC</vt:lpwstr>
  </property>
</Properties>
</file>