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firstLineChars="0"/>
        <w:jc w:val="center"/>
        <w:rPr>
          <w:rFonts w:hint="eastAsia" w:ascii="仿宋" w:hAnsi="仿宋" w:eastAsia="仿宋" w:cs="仿宋"/>
          <w:b/>
          <w:color w:val="auto"/>
          <w:sz w:val="52"/>
          <w:szCs w:val="52"/>
          <w:highlight w:val="none"/>
        </w:rPr>
      </w:pPr>
      <w:bookmarkStart w:id="12" w:name="_GoBack"/>
      <w:bookmarkEnd w:id="12"/>
    </w:p>
    <w:p>
      <w:pPr>
        <w:pStyle w:val="2"/>
        <w:ind w:firstLine="0" w:firstLineChars="0"/>
        <w:jc w:val="center"/>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绍兴市中医院</w:t>
      </w:r>
    </w:p>
    <w:p>
      <w:pPr>
        <w:pStyle w:val="2"/>
        <w:ind w:firstLine="0" w:firstLineChars="0"/>
        <w:jc w:val="center"/>
        <w:rPr>
          <w:rFonts w:hint="eastAsia" w:ascii="仿宋" w:hAnsi="仿宋" w:eastAsia="仿宋" w:cs="仿宋"/>
          <w:color w:val="auto"/>
          <w:highlight w:val="none"/>
          <w:lang w:val="en-US" w:eastAsia="zh-CN"/>
        </w:rPr>
      </w:pPr>
      <w:r>
        <w:rPr>
          <w:rFonts w:hint="eastAsia" w:ascii="仿宋" w:hAnsi="仿宋" w:eastAsia="仿宋" w:cs="仿宋"/>
          <w:b/>
          <w:color w:val="auto"/>
          <w:sz w:val="52"/>
          <w:szCs w:val="52"/>
          <w:highlight w:val="none"/>
          <w:lang w:eastAsia="zh-CN"/>
        </w:rPr>
        <w:t>中医临床思维培训系统项目</w:t>
      </w:r>
    </w:p>
    <w:p>
      <w:pPr>
        <w:pStyle w:val="2"/>
        <w:rPr>
          <w:rFonts w:hint="eastAsia" w:ascii="仿宋" w:hAnsi="仿宋" w:eastAsia="仿宋" w:cs="仿宋"/>
          <w:color w:val="auto"/>
          <w:highlight w:val="none"/>
          <w:lang w:val="en-US"/>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TYJZ2022</w:t>
      </w:r>
    </w:p>
    <w:tbl>
      <w:tblPr>
        <w:tblStyle w:val="40"/>
        <w:tblW w:w="0" w:type="auto"/>
        <w:jc w:val="center"/>
        <w:tblLayout w:type="autofit"/>
        <w:tblCellMar>
          <w:top w:w="0" w:type="dxa"/>
          <w:left w:w="108" w:type="dxa"/>
          <w:bottom w:w="0" w:type="dxa"/>
          <w:right w:w="108" w:type="dxa"/>
        </w:tblCellMar>
      </w:tblPr>
      <w:tblGrid>
        <w:gridCol w:w="2356"/>
        <w:gridCol w:w="5445"/>
      </w:tblGrid>
      <w:tr>
        <w:trPr>
          <w:trHeight w:val="50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招标代理单</w:t>
            </w:r>
            <w:r>
              <w:rPr>
                <w:rFonts w:hint="eastAsia" w:ascii="仿宋" w:hAnsi="仿宋" w:eastAsia="仿宋" w:cs="仿宋"/>
                <w:color w:val="auto"/>
                <w:w w:val="93"/>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监督单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w:t>
            </w:r>
            <w:r>
              <w:rPr>
                <w:rFonts w:hint="eastAsia" w:ascii="仿宋" w:hAnsi="仿宋" w:eastAsia="仿宋" w:cs="仿宋"/>
                <w:color w:val="auto"/>
                <w:sz w:val="28"/>
                <w:szCs w:val="28"/>
                <w:highlight w:val="none"/>
              </w:rPr>
              <w:t>月</w:t>
            </w:r>
          </w:p>
        </w:tc>
      </w:tr>
    </w:tbl>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pStyle w:val="18"/>
        <w:rPr>
          <w:rFonts w:hint="eastAsia" w:ascii="仿宋" w:hAnsi="仿宋" w:eastAsia="仿宋" w:cs="仿宋"/>
          <w:b/>
          <w:color w:val="auto"/>
          <w:sz w:val="44"/>
          <w:szCs w:val="44"/>
          <w:highlight w:val="none"/>
        </w:rPr>
      </w:pPr>
    </w:p>
    <w:p>
      <w:pPr>
        <w:pStyle w:val="18"/>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第四部分授予合同</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snapToGrid w:val="0"/>
        <w:spacing w:line="600" w:lineRule="exact"/>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第一部分 招标公告</w:t>
      </w:r>
    </w:p>
    <w:tbl>
      <w:tblPr>
        <w:tblStyle w:val="4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项目概况：    </w:t>
            </w:r>
          </w:p>
          <w:p>
            <w:pPr>
              <w:jc w:val="left"/>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绍兴市中医院</w:t>
            </w:r>
            <w:r>
              <w:rPr>
                <w:rFonts w:hint="eastAsia" w:ascii="仿宋" w:hAnsi="仿宋" w:eastAsia="仿宋" w:cs="仿宋"/>
                <w:color w:val="auto"/>
                <w:kern w:val="0"/>
                <w:sz w:val="24"/>
                <w:highlight w:val="none"/>
                <w:lang w:eastAsia="zh-CN"/>
              </w:rPr>
              <w:t>中医临床思维培训系统项目</w:t>
            </w:r>
            <w:r>
              <w:rPr>
                <w:rFonts w:hint="eastAsia" w:ascii="仿宋" w:hAnsi="仿宋" w:eastAsia="仿宋" w:cs="仿宋"/>
                <w:color w:val="auto"/>
                <w:kern w:val="0"/>
                <w:sz w:val="24"/>
                <w:highlight w:val="none"/>
              </w:rPr>
              <w:t>的潜在投标人应向招标代理机构报名获取招标文件，并于202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09:00（北京时间）前递交投标文件。</w:t>
            </w:r>
          </w:p>
        </w:tc>
      </w:tr>
    </w:tbl>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一、项目基本情况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项目编号：</w:t>
      </w:r>
      <w:r>
        <w:rPr>
          <w:rFonts w:hint="eastAsia" w:ascii="仿宋" w:hAnsi="仿宋" w:eastAsia="仿宋" w:cs="仿宋"/>
          <w:color w:val="auto"/>
          <w:kern w:val="0"/>
          <w:sz w:val="24"/>
          <w:highlight w:val="none"/>
          <w:lang w:eastAsia="zh-CN"/>
        </w:rPr>
        <w:t>TYJZ2022</w:t>
      </w:r>
      <w:r>
        <w:rPr>
          <w:rFonts w:hint="eastAsia" w:ascii="仿宋" w:hAnsi="仿宋" w:eastAsia="仿宋" w:cs="仿宋"/>
          <w:color w:val="auto"/>
          <w:kern w:val="0"/>
          <w:sz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项目名称：绍兴市中医院</w:t>
      </w:r>
      <w:r>
        <w:rPr>
          <w:rFonts w:hint="eastAsia" w:ascii="仿宋" w:hAnsi="仿宋" w:eastAsia="仿宋" w:cs="仿宋"/>
          <w:color w:val="auto"/>
          <w:kern w:val="0"/>
          <w:sz w:val="24"/>
          <w:highlight w:val="none"/>
          <w:lang w:eastAsia="zh-CN"/>
        </w:rPr>
        <w:t>中医临床思维培训系统项目</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w:t>
      </w:r>
      <w:r>
        <w:rPr>
          <w:rFonts w:hint="eastAsia" w:ascii="仿宋" w:hAnsi="仿宋" w:eastAsia="仿宋" w:cs="仿宋"/>
          <w:color w:val="auto"/>
          <w:kern w:val="0"/>
          <w:sz w:val="24"/>
          <w:highlight w:val="none"/>
          <w:lang w:val="en-US" w:eastAsia="zh-CN"/>
        </w:rPr>
        <w:t>300000</w:t>
      </w:r>
      <w:r>
        <w:rPr>
          <w:rFonts w:hint="eastAsia" w:ascii="仿宋" w:hAnsi="仿宋" w:eastAsia="仿宋" w:cs="仿宋"/>
          <w:color w:val="auto"/>
          <w:kern w:val="0"/>
          <w:sz w:val="24"/>
          <w:highlight w:val="none"/>
        </w:rPr>
        <w:t xml:space="preserve">   </w:t>
      </w:r>
    </w:p>
    <w:p>
      <w:pPr>
        <w:widowControl/>
        <w:snapToGrid w:val="0"/>
        <w:spacing w:line="440" w:lineRule="exact"/>
        <w:ind w:left="2399" w:leftChars="228" w:hanging="1920" w:hangingChars="8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最高限价（元）：</w:t>
      </w:r>
      <w:r>
        <w:rPr>
          <w:rFonts w:hint="eastAsia" w:ascii="仿宋" w:hAnsi="仿宋" w:eastAsia="仿宋" w:cs="仿宋"/>
          <w:color w:val="auto"/>
          <w:kern w:val="0"/>
          <w:sz w:val="24"/>
          <w:highlight w:val="none"/>
          <w:lang w:eastAsia="zh-CN"/>
        </w:rPr>
        <w:t>300000</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采购需求：详见招标文件</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eastAsia="zh-CN"/>
        </w:rPr>
        <w:t>一</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标项名称:</w:t>
      </w:r>
      <w:r>
        <w:rPr>
          <w:rFonts w:hint="eastAsia" w:ascii="仿宋" w:hAnsi="仿宋" w:eastAsia="仿宋" w:cs="仿宋"/>
          <w:color w:val="auto"/>
          <w:kern w:val="0"/>
          <w:sz w:val="24"/>
          <w:highlight w:val="none"/>
          <w:lang w:eastAsia="zh-CN"/>
        </w:rPr>
        <w:t>中医临床思维培训系统项目</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数量:1</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eastAsia="zh-CN"/>
        </w:rPr>
        <w:t>300000</w:t>
      </w:r>
      <w:r>
        <w:rPr>
          <w:rFonts w:hint="eastAsia" w:ascii="仿宋" w:hAnsi="仿宋" w:eastAsia="仿宋" w:cs="仿宋"/>
          <w:color w:val="auto"/>
          <w:szCs w:val="24"/>
          <w:highlight w:val="none"/>
        </w:rPr>
        <w:t> </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备注：无</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w:t>
      </w:r>
      <w:r>
        <w:rPr>
          <w:rFonts w:hint="eastAsia" w:ascii="仿宋" w:hAnsi="仿宋" w:eastAsia="仿宋" w:cs="仿宋"/>
          <w:color w:val="auto"/>
          <w:kern w:val="0"/>
          <w:sz w:val="24"/>
          <w:highlight w:val="none"/>
          <w:lang w:eastAsia="zh-CN"/>
        </w:rPr>
        <w:t>是</w:t>
      </w:r>
      <w:r>
        <w:rPr>
          <w:rFonts w:hint="eastAsia" w:ascii="仿宋" w:hAnsi="仿宋" w:eastAsia="仿宋" w:cs="仿宋"/>
          <w:color w:val="auto"/>
          <w:kern w:val="0"/>
          <w:sz w:val="24"/>
          <w:highlight w:val="none"/>
        </w:rPr>
        <w:t>）接受联合体投标。</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二、申请人的资格要求：</w:t>
      </w:r>
    </w:p>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pacing w:line="360" w:lineRule="auto"/>
        <w:ind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highlight w:val="none"/>
        </w:rPr>
        <w:t>2.本项目的特定资格要求：</w:t>
      </w:r>
      <w:r>
        <w:rPr>
          <w:rFonts w:hint="eastAsia" w:ascii="仿宋" w:hAnsi="仿宋" w:eastAsia="仿宋" w:cs="仿宋"/>
          <w:color w:val="auto"/>
          <w:kern w:val="0"/>
          <w:sz w:val="24"/>
          <w:highlight w:val="none"/>
          <w:lang w:eastAsia="zh-CN"/>
        </w:rPr>
        <w:t>无。</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三、获取招标文件 </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招标公告发布：</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浙江政府采购网</w:t>
      </w:r>
      <w:r>
        <w:rPr>
          <w:rFonts w:hint="eastAsia" w:ascii="仿宋" w:hAnsi="仿宋" w:eastAsia="仿宋" w:cs="仿宋"/>
          <w:color w:val="auto"/>
          <w:szCs w:val="24"/>
          <w:highlight w:val="none"/>
        </w:rPr>
        <w:t xml:space="preserve">  https://zfcg.czt.zj.gov.cn/</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绍兴市中医院 http://www.sxzyy.cn</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年月日上午8:30 — 11:30；下午14:00 — 16:30 (双休日及法定节假日除外）</w:t>
      </w:r>
    </w:p>
    <w:p>
      <w:pPr>
        <w:spacing w:line="288" w:lineRule="auto"/>
        <w:ind w:firstLine="480" w:firstLineChars="200"/>
        <w:rPr>
          <w:rFonts w:hint="eastAsia" w:ascii="仿宋" w:hAnsi="仿宋" w:eastAsia="仿宋" w:cs="仿宋"/>
          <w:bCs/>
          <w:color w:val="auto"/>
          <w:kern w:val="0"/>
          <w:sz w:val="24"/>
          <w:szCs w:val="20"/>
          <w:highlight w:val="none"/>
        </w:rPr>
      </w:pPr>
      <w:r>
        <w:rPr>
          <w:rFonts w:hint="eastAsia" w:ascii="仿宋" w:hAnsi="仿宋" w:eastAsia="仿宋" w:cs="仿宋"/>
          <w:color w:val="auto"/>
          <w:kern w:val="0"/>
          <w:sz w:val="24"/>
          <w:highlight w:val="none"/>
        </w:rPr>
        <w:t>方式：</w:t>
      </w:r>
      <w:r>
        <w:rPr>
          <w:rFonts w:hint="eastAsia" w:ascii="仿宋" w:hAnsi="仿宋" w:eastAsia="仿宋" w:cs="仿宋"/>
          <w:color w:val="auto"/>
          <w:kern w:val="0"/>
          <w:sz w:val="24"/>
          <w:highlight w:val="none"/>
          <w:lang w:eastAsia="zh-CN"/>
        </w:rPr>
        <w:t>网上报名，</w:t>
      </w:r>
      <w:r>
        <w:rPr>
          <w:rFonts w:hint="eastAsia" w:ascii="仿宋" w:hAnsi="仿宋" w:eastAsia="仿宋" w:cs="仿宋"/>
          <w:bCs/>
          <w:color w:val="auto"/>
          <w:kern w:val="0"/>
          <w:sz w:val="24"/>
          <w:szCs w:val="20"/>
          <w:highlight w:val="none"/>
        </w:rPr>
        <w:t>以扫描件邮件形式发至2429136371@qq.com邮箱内。（上述报名资料仅作为报名登记使用，报名时不对投标人资格是否符合作出评判）</w:t>
      </w:r>
    </w:p>
    <w:p>
      <w:pPr>
        <w:pStyle w:val="2"/>
        <w:rPr>
          <w:rFonts w:hint="eastAsia" w:ascii="仿宋" w:hAnsi="仿宋" w:eastAsia="仿宋" w:cs="仿宋"/>
          <w:color w:val="auto"/>
          <w:highlight w:val="none"/>
          <w:lang w:val="en-US"/>
        </w:rPr>
      </w:pPr>
      <w:r>
        <w:rPr>
          <w:rFonts w:hint="eastAsia" w:ascii="仿宋" w:hAnsi="仿宋" w:eastAsia="仿宋" w:cs="仿宋"/>
          <w:bCs/>
          <w:color w:val="auto"/>
          <w:kern w:val="0"/>
          <w:szCs w:val="20"/>
          <w:highlight w:val="none"/>
          <w:lang w:val="en-US"/>
        </w:rPr>
        <w:t>报名资料：营业执照副本复印件、授权委托书或单位介绍信、授权委托人身份证复印件（备注：联系方式、邮箱）等（加盖公章）。</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售价（元）：200元/份（售后不退</w:t>
      </w:r>
      <w:r>
        <w:rPr>
          <w:rFonts w:hint="eastAsia" w:ascii="仿宋" w:hAnsi="仿宋" w:eastAsia="仿宋" w:cs="仿宋"/>
          <w:color w:val="auto"/>
          <w:kern w:val="0"/>
          <w:sz w:val="24"/>
          <w:highlight w:val="none"/>
          <w:lang w:eastAsia="zh-CN"/>
        </w:rPr>
        <w:t>，支付宝账号：</w:t>
      </w:r>
      <w:r>
        <w:rPr>
          <w:rFonts w:hint="eastAsia" w:ascii="仿宋" w:hAnsi="仿宋" w:eastAsia="仿宋" w:cs="仿宋"/>
          <w:color w:val="auto"/>
          <w:kern w:val="0"/>
          <w:sz w:val="24"/>
          <w:highlight w:val="none"/>
          <w:lang w:val="en-US" w:eastAsia="zh-CN"/>
        </w:rPr>
        <w:t>13656752180</w:t>
      </w:r>
      <w:r>
        <w:rPr>
          <w:rFonts w:hint="eastAsia" w:ascii="仿宋" w:hAnsi="仿宋" w:eastAsia="仿宋" w:cs="仿宋"/>
          <w:color w:val="auto"/>
          <w:kern w:val="0"/>
          <w:sz w:val="24"/>
          <w:highlight w:val="none"/>
        </w:rPr>
        <w:t>）</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四、提交投标文件截止时间、开标时间和地点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提交投标文件截止时间：202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投标地点（网址）：绍兴市越城区朝皇路58号正大综合楼601泰宇咨询会议室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开标地点（网址）：绍兴市越城区朝皇路58号正大综合楼601泰宇咨询会议室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五、公告期限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六、其他补充事宜</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2.采购代理机构将拒绝接受未获取招标文件供应商的投标文件。</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3.招标文件的提供期限截止之日之后有潜在供应商提出获取招标文件的，采购代理机构将允许其获取。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七、对本次采购提出询问、质疑、投诉，请按以下方式联系</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绍兴市越城区人民中路651号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项目联系人（询问）：王宁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沈科长</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2.采购代理机构信息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质疑联系人：胡</w:t>
      </w:r>
      <w:r>
        <w:rPr>
          <w:rFonts w:hint="eastAsia" w:ascii="仿宋" w:hAnsi="仿宋" w:eastAsia="仿宋" w:cs="仿宋"/>
          <w:color w:val="auto"/>
          <w:kern w:val="0"/>
          <w:sz w:val="24"/>
          <w:highlight w:val="none"/>
          <w:lang w:eastAsia="zh-CN"/>
        </w:rPr>
        <w:t>泽宇</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质疑联系方式：0575-85080066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3.同级政府采购监督管理部门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名称：绍兴市财政局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地址：绍兴市越城区凤林西路151号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传真：0575-85209806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联系人 ：宋晓林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监督投诉电话：0575-85209806       </w:t>
      </w:r>
    </w:p>
    <w:p>
      <w:pPr>
        <w:pStyle w:val="2"/>
        <w:rPr>
          <w:rFonts w:hint="eastAsia" w:ascii="仿宋" w:hAnsi="仿宋" w:eastAsia="仿宋" w:cs="仿宋"/>
          <w:color w:val="auto"/>
          <w:highlight w:val="none"/>
        </w:rPr>
      </w:pPr>
    </w:p>
    <w:p>
      <w:pPr>
        <w:pageBreakBefore/>
        <w:spacing w:line="440" w:lineRule="exact"/>
        <w:ind w:firstLine="2530" w:firstLineChars="7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第二部分投标须知</w:t>
      </w:r>
    </w:p>
    <w:p>
      <w:pPr>
        <w:ind w:left="238"/>
        <w:jc w:val="center"/>
        <w:rPr>
          <w:rFonts w:hint="eastAsia" w:ascii="仿宋" w:hAnsi="仿宋" w:eastAsia="仿宋" w:cs="仿宋"/>
          <w:b/>
          <w:color w:val="auto"/>
          <w:sz w:val="30"/>
          <w:szCs w:val="36"/>
          <w:highlight w:val="none"/>
        </w:rPr>
      </w:pPr>
      <w:r>
        <w:rPr>
          <w:rFonts w:hint="eastAsia" w:ascii="仿宋" w:hAnsi="仿宋" w:eastAsia="仿宋" w:cs="仿宋"/>
          <w:b/>
          <w:color w:val="auto"/>
          <w:sz w:val="30"/>
          <w:szCs w:val="36"/>
          <w:highlight w:val="none"/>
        </w:rPr>
        <w:t>前附表</w:t>
      </w:r>
    </w:p>
    <w:tbl>
      <w:tblPr>
        <w:tblStyle w:val="40"/>
        <w:tblW w:w="9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22"/>
        <w:gridCol w:w="7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561"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561" w:type="dxa"/>
            <w:gridSpan w:val="2"/>
            <w:vAlign w:val="center"/>
          </w:tcPr>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投标人应当提交的资格、资信证明文件</w:t>
            </w:r>
            <w:r>
              <w:rPr>
                <w:rFonts w:hint="eastAsia" w:ascii="仿宋" w:hAnsi="仿宋" w:eastAsia="仿宋" w:cs="仿宋"/>
                <w:color w:val="auto"/>
                <w:sz w:val="24"/>
                <w:highlight w:val="none"/>
              </w:rPr>
              <w:t>：</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（1）相关证明文件：</w:t>
            </w:r>
            <w:r>
              <w:rPr>
                <w:rFonts w:hint="eastAsia" w:ascii="仿宋" w:hAnsi="仿宋" w:eastAsia="仿宋" w:cs="仿宋"/>
                <w:color w:val="auto"/>
                <w:sz w:val="24"/>
                <w:highlight w:val="none"/>
              </w:rPr>
              <w:t>营业执照(或事业法人登记证或其他工商等登记证明材料)复印件、</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（3）特许资格、资信证明文件（如果有）：</w:t>
            </w:r>
          </w:p>
          <w:p>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561" w:type="dxa"/>
            <w:gridSpan w:val="2"/>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561" w:type="dxa"/>
            <w:gridSpan w:val="2"/>
            <w:vAlign w:val="center"/>
          </w:tcPr>
          <w:p>
            <w:pPr>
              <w:autoSpaceDE w:val="0"/>
              <w:autoSpaceDN w:val="0"/>
              <w:spacing w:line="42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分包或转包：</w:t>
            </w:r>
            <w:r>
              <w:rPr>
                <w:rFonts w:hint="eastAsia" w:ascii="仿宋" w:hAnsi="仿宋" w:eastAsia="仿宋" w:cs="仿宋"/>
                <w:color w:val="auto"/>
                <w:sz w:val="24"/>
                <w:highlight w:val="none"/>
              </w:rPr>
              <w:t>（1）采购人不同意分包。</w:t>
            </w:r>
          </w:p>
          <w:p>
            <w:pPr>
              <w:spacing w:line="420" w:lineRule="exact"/>
              <w:ind w:firstLine="1288" w:firstLineChars="537"/>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561" w:type="dxa"/>
            <w:gridSpan w:val="2"/>
            <w:vAlign w:val="center"/>
          </w:tcPr>
          <w:p>
            <w:pPr>
              <w:autoSpaceDE w:val="0"/>
              <w:autoSpaceDN w:val="0"/>
              <w:spacing w:line="42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561" w:type="dxa"/>
            <w:gridSpan w:val="2"/>
            <w:vAlign w:val="center"/>
          </w:tcPr>
          <w:p>
            <w:pPr>
              <w:autoSpaceDE w:val="0"/>
              <w:autoSpaceDN w:val="0"/>
              <w:adjustRightIn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561" w:type="dxa"/>
            <w:gridSpan w:val="2"/>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现场演示(讲解)：</w:t>
            </w:r>
            <w:r>
              <w:rPr>
                <w:rFonts w:hint="eastAsia" w:ascii="仿宋" w:hAnsi="仿宋" w:eastAsia="仿宋" w:cs="仿宋"/>
                <w:color w:val="auto"/>
                <w:sz w:val="24"/>
                <w:highlight w:val="none"/>
              </w:rPr>
              <w:t>无</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22" w:type="dxa"/>
          </w:tcPr>
          <w:p>
            <w:pPr>
              <w:snapToGrid w:val="0"/>
              <w:spacing w:line="42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869"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22" w:type="dxa"/>
            <w:vMerge w:val="restart"/>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投标截止时间前</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22" w:type="dxa"/>
            <w:vMerge w:val="continue"/>
            <w:vAlign w:val="center"/>
          </w:tcPr>
          <w:p>
            <w:pPr>
              <w:snapToGrid w:val="0"/>
              <w:spacing w:line="420" w:lineRule="exact"/>
              <w:rPr>
                <w:rFonts w:hint="eastAsia" w:ascii="仿宋" w:hAnsi="仿宋" w:eastAsia="仿宋" w:cs="仿宋"/>
                <w:b/>
                <w:color w:val="auto"/>
                <w:sz w:val="24"/>
                <w:highlight w:val="none"/>
              </w:rPr>
            </w:pPr>
          </w:p>
        </w:tc>
        <w:tc>
          <w:tcPr>
            <w:tcW w:w="7739"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61" w:type="dxa"/>
            <w:gridSpan w:val="2"/>
            <w:vAlign w:val="center"/>
          </w:tcPr>
          <w:p>
            <w:pPr>
              <w:snapToGrid w:val="0"/>
              <w:spacing w:line="2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61"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w:t>
            </w:r>
            <w:r>
              <w:rPr>
                <w:rFonts w:hint="eastAsia" w:ascii="仿宋" w:hAnsi="仿宋" w:eastAsia="仿宋" w:cs="仿宋"/>
                <w:color w:val="auto"/>
                <w:sz w:val="24"/>
                <w:highlight w:val="none"/>
                <w:lang w:eastAsia="zh-CN"/>
              </w:rPr>
              <w:t>浙江省政府采购网</w:t>
            </w:r>
            <w:r>
              <w:rPr>
                <w:rFonts w:hint="eastAsia" w:ascii="仿宋" w:hAnsi="仿宋" w:eastAsia="仿宋" w:cs="仿宋"/>
                <w:color w:val="auto"/>
                <w:sz w:val="24"/>
                <w:highlight w:val="none"/>
              </w:rPr>
              <w:t>、绍兴市中医院官网查看下载。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61" w:type="dxa"/>
            <w:gridSpan w:val="2"/>
            <w:vAlign w:val="center"/>
          </w:tcPr>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61"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561"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numPr>
                <w:ilvl w:val="255"/>
                <w:numId w:val="0"/>
              </w:numPr>
              <w:snapToGrid w:val="0"/>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30" w:type="dxa"/>
            <w:gridSpan w:val="3"/>
            <w:vAlign w:val="center"/>
          </w:tcPr>
          <w:p>
            <w:pP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注：中标人放弃中标资格或因质疑、投诉被取消中标资格或不能履行合同的，本项目重新开展政府采购活动。</w:t>
            </w:r>
          </w:p>
        </w:tc>
      </w:tr>
    </w:tbl>
    <w:p>
      <w:pPr>
        <w:pageBreakBefore/>
        <w:ind w:left="238"/>
        <w:jc w:val="center"/>
        <w:rPr>
          <w:rFonts w:hint="eastAsia" w:ascii="仿宋" w:hAnsi="仿宋" w:eastAsia="仿宋" w:cs="仿宋"/>
          <w:color w:val="auto"/>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中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 “服务”系指招标文件规定投标人须承担的安装、调试、技术协助、校准、培训、技术指导以及其他类似的义务。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 “项目”系指投标人按招标文件规定向采购人提供的产品和服务。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 “授权代表”系指法定代表人的被授权委托人。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4.2招标文件的澄清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投标文件的语言及计量单位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“报价文件资料”应包含以下内容（正本用原件）：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2.1.1投标响应函（格式见第六部分附件）；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 “商务技术（资信）文件资料”应包括以下内容：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2.2.1法定代表人授权委托书(个体工商户不需要提供，格式见第六部分附件)；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2.2.4 企业法人营业执照副本复印件（加盖单位公章）；</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2.2.5相关资质证明或文件复印件（加盖单位公章）；（均需加盖公章）：</w:t>
      </w:r>
      <w:r>
        <w:rPr>
          <w:rFonts w:hint="eastAsia" w:ascii="仿宋" w:hAnsi="仿宋" w:eastAsia="仿宋" w:cs="仿宋"/>
          <w:color w:val="auto"/>
          <w:kern w:val="0"/>
          <w:sz w:val="24"/>
          <w:highlight w:val="none"/>
        </w:rPr>
        <w:t>证明其符合《中华人民共和国政府采购法》规定的供应商基本条件和采购项目对供应商的特定要求</w:t>
      </w:r>
      <w:r>
        <w:rPr>
          <w:rFonts w:hint="eastAsia" w:ascii="仿宋" w:hAnsi="仿宋" w:eastAsia="仿宋" w:cs="仿宋"/>
          <w:color w:val="auto"/>
          <w:sz w:val="24"/>
          <w:highlight w:val="none"/>
        </w:rPr>
        <w:t>（如果项目要求）</w:t>
      </w:r>
      <w:r>
        <w:rPr>
          <w:rFonts w:hint="eastAsia" w:ascii="仿宋" w:hAnsi="仿宋" w:eastAsia="仿宋" w:cs="仿宋"/>
          <w:color w:val="auto"/>
          <w:kern w:val="0"/>
          <w:sz w:val="24"/>
          <w:highlight w:val="none"/>
        </w:rPr>
        <w:t>的有关资格证明文件。</w:t>
      </w:r>
    </w:p>
    <w:p>
      <w:pPr>
        <w:pStyle w:val="22"/>
        <w:spacing w:line="440" w:lineRule="exact"/>
        <w:ind w:firstLine="480" w:firstLineChars="200"/>
        <w:rPr>
          <w:rFonts w:hint="eastAsia" w:ascii="仿宋" w:hAnsi="仿宋" w:eastAsia="仿宋" w:cs="仿宋"/>
          <w:color w:val="auto"/>
          <w:sz w:val="24"/>
          <w:highlight w:val="none"/>
        </w:rPr>
      </w:pPr>
      <w:bookmarkStart w:id="0" w:name="_Hlt68072998"/>
      <w:bookmarkEnd w:id="0"/>
      <w:bookmarkStart w:id="1" w:name="_Hlt68403820"/>
      <w:bookmarkEnd w:id="1"/>
      <w:bookmarkStart w:id="2" w:name="_Hlt68073093"/>
      <w:bookmarkEnd w:id="2"/>
      <w:r>
        <w:rPr>
          <w:rFonts w:hint="eastAsia" w:ascii="仿宋" w:hAnsi="仿宋" w:eastAsia="仿宋" w:cs="仿宋"/>
          <w:color w:val="auto"/>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等财务报表资料文件(新成立的公司，必须提供情况说明)；</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（3）具有履行合同所必需的设备和专业技术能力的承诺函；</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（4）参加本次政府采购活动前三年内，在经营活动中没有重大违法记录的声明（</w:t>
      </w:r>
      <w:r>
        <w:rPr>
          <w:rFonts w:hint="eastAsia" w:ascii="仿宋" w:hAnsi="仿宋" w:eastAsia="仿宋" w:cs="仿宋"/>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sz w:val="24"/>
          <w:highlight w:val="none"/>
        </w:rPr>
        <w:t>)符合特定资格条件（如果项目要求）的有关证明材料（复印件）；</w:t>
      </w:r>
    </w:p>
    <w:p>
      <w:pPr>
        <w:pStyle w:val="22"/>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w:t>
      </w:r>
      <w:r>
        <w:rPr>
          <w:rFonts w:hint="eastAsia" w:ascii="仿宋" w:hAnsi="仿宋" w:eastAsia="仿宋" w:cs="仿宋"/>
          <w:color w:val="auto"/>
          <w:kern w:val="0"/>
          <w:sz w:val="24"/>
          <w:highlight w:val="none"/>
        </w:rPr>
        <w:t>10</w:t>
      </w:r>
      <w:r>
        <w:rPr>
          <w:rFonts w:hint="eastAsia" w:ascii="仿宋" w:hAnsi="仿宋" w:eastAsia="仿宋" w:cs="仿宋"/>
          <w:color w:val="auto"/>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Pr>
          <w:rFonts w:hint="eastAsia" w:ascii="仿宋" w:hAnsi="仿宋" w:eastAsia="仿宋" w:cs="仿宋"/>
          <w:color w:val="auto"/>
          <w:kern w:val="0"/>
          <w:sz w:val="24"/>
          <w:highlight w:val="none"/>
        </w:rPr>
        <w:t>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kern w:val="0"/>
          <w:sz w:val="24"/>
          <w:highlight w:val="none"/>
        </w:rPr>
        <w:t>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5</w:t>
      </w:r>
      <w:r>
        <w:rPr>
          <w:rFonts w:hint="eastAsia" w:ascii="仿宋" w:hAnsi="仿宋" w:eastAsia="仿宋" w:cs="仿宋"/>
          <w:color w:val="auto"/>
          <w:kern w:val="0"/>
          <w:sz w:val="24"/>
          <w:highlight w:val="none"/>
          <w:lang w:val="zh-CN"/>
        </w:rPr>
        <w:t>验收方案；（如有）</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非本地投标人售后服务机构证明材料。非本地投标人</w:t>
      </w:r>
      <w:r>
        <w:rPr>
          <w:rFonts w:hint="eastAsia" w:ascii="仿宋" w:hAnsi="仿宋" w:eastAsia="仿宋" w:cs="仿宋"/>
          <w:color w:val="auto"/>
          <w:sz w:val="24"/>
          <w:highlight w:val="none"/>
          <w:lang w:val="zh-CN"/>
        </w:rPr>
        <w:t>在绍兴的分公司</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需提供本地工商注册</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zh-CN"/>
        </w:rPr>
        <w:t>资料）或办事处</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需提供本地国内经济合作办注册资料</w:t>
      </w:r>
      <w:r>
        <w:rPr>
          <w:rFonts w:hint="eastAsia" w:ascii="仿宋" w:hAnsi="仿宋" w:eastAsia="仿宋" w:cs="仿宋"/>
          <w:color w:val="auto"/>
          <w:kern w:val="0"/>
          <w:sz w:val="24"/>
          <w:highlight w:val="none"/>
        </w:rPr>
        <w:t>）或符合本项目服务能力并签订合作协议的第三方机构或者在中标（成交）公示后在本地设立售后服务机构作</w:t>
      </w:r>
      <w:r>
        <w:rPr>
          <w:rFonts w:hint="eastAsia" w:ascii="仿宋" w:hAnsi="仿宋" w:eastAsia="仿宋" w:cs="仿宋"/>
          <w:color w:val="auto"/>
          <w:sz w:val="24"/>
          <w:highlight w:val="none"/>
          <w:lang w:val="zh-CN"/>
        </w:rPr>
        <w:t>为常驻服务和技术支持机构；</w:t>
      </w:r>
      <w:r>
        <w:rPr>
          <w:rFonts w:hint="eastAsia" w:ascii="仿宋" w:hAnsi="仿宋" w:eastAsia="仿宋" w:cs="仿宋"/>
          <w:color w:val="auto"/>
          <w:kern w:val="0"/>
          <w:sz w:val="24"/>
          <w:highlight w:val="none"/>
          <w:lang w:val="zh-CN"/>
        </w:rPr>
        <w:t>（如有）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未尽事宜请各投标单位按评分细则和相对应标项相关要求制作(重要)</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0" w:right="-78" w:rightChars="-37"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注：复印件应加盖投标人公章</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2"/>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w:t>
      </w:r>
      <w:r>
        <w:rPr>
          <w:rFonts w:hint="eastAsia" w:ascii="仿宋" w:hAnsi="仿宋" w:eastAsia="仿宋" w:cs="仿宋"/>
          <w:b/>
          <w:i/>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8"/>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投标人应于投标截止以前将该书面材料以现场送达（即交即走）的方式递交。</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2"/>
        <w:spacing w:line="800" w:lineRule="exact"/>
        <w:ind w:firstLine="726"/>
        <w:jc w:val="center"/>
        <w:rPr>
          <w:rFonts w:hint="eastAsia" w:ascii="仿宋" w:hAnsi="仿宋" w:eastAsia="仿宋" w:cs="仿宋"/>
          <w:b/>
          <w:color w:val="auto"/>
          <w:sz w:val="36"/>
          <w:szCs w:val="36"/>
          <w:highlight w:val="none"/>
        </w:rPr>
      </w:pPr>
      <w:bookmarkStart w:id="3" w:name="_Toc81372953"/>
      <w:bookmarkStart w:id="4" w:name="_Toc84325929"/>
      <w:bookmarkStart w:id="5" w:name="_Toc81372776"/>
      <w:r>
        <w:rPr>
          <w:rFonts w:hint="eastAsia" w:ascii="仿宋" w:hAnsi="仿宋" w:eastAsia="仿宋" w:cs="仿宋"/>
          <w:b/>
          <w:color w:val="auto"/>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bookmarkEnd w:id="3"/>
    <w:bookmarkEnd w:id="4"/>
    <w:bookmarkEnd w:id="5"/>
    <w:p>
      <w:pPr>
        <w:pStyle w:val="148"/>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2.1供应商认为采购文件、采购过程和成交结果使自己的权益受到损害的，可以在知道或者应知其权益受到损害之日起七个工作日内，以书面形式向采购机构提出质疑，否则，采购机构不予受理：</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3.供应商提交的质疑书需一式三份，质疑书至少应包括下列主要内容：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第三部分招标项目范围及要求</w:t>
      </w:r>
    </w:p>
    <w:p>
      <w:pPr>
        <w:adjustRightInd w:val="0"/>
        <w:snapToGrid w:val="0"/>
        <w:spacing w:line="360" w:lineRule="auto"/>
        <w:ind w:firstLine="482" w:firstLineChars="200"/>
        <w:rPr>
          <w:rFonts w:hint="eastAsia" w:ascii="仿宋" w:hAnsi="仿宋" w:eastAsia="仿宋" w:cs="仿宋"/>
          <w:b/>
          <w:color w:val="auto"/>
          <w:sz w:val="24"/>
          <w:highlight w:val="none"/>
        </w:rPr>
      </w:pPr>
      <w:bookmarkStart w:id="6" w:name="_Toc81372964"/>
      <w:bookmarkStart w:id="7" w:name="_Toc81372787"/>
      <w:bookmarkStart w:id="8" w:name="_Toc80157775"/>
      <w:bookmarkStart w:id="9" w:name="_Toc84325981"/>
      <w:r>
        <w:rPr>
          <w:rFonts w:hint="eastAsia" w:ascii="仿宋" w:hAnsi="仿宋" w:eastAsia="仿宋" w:cs="仿宋"/>
          <w:b/>
          <w:color w:val="auto"/>
          <w:sz w:val="24"/>
          <w:highlight w:val="none"/>
        </w:rPr>
        <w:t xml:space="preserve"> 中医临床思维培训系统项目，本项目上限价：</w:t>
      </w:r>
      <w:r>
        <w:rPr>
          <w:rFonts w:hint="eastAsia" w:ascii="仿宋" w:hAnsi="仿宋" w:eastAsia="仿宋" w:cs="仿宋"/>
          <w:b/>
          <w:color w:val="auto"/>
          <w:sz w:val="24"/>
          <w:highlight w:val="none"/>
          <w:lang w:val="en-US" w:eastAsia="zh-CN"/>
        </w:rPr>
        <w:t>30</w:t>
      </w:r>
      <w:r>
        <w:rPr>
          <w:rFonts w:hint="eastAsia" w:ascii="仿宋" w:hAnsi="仿宋" w:eastAsia="仿宋" w:cs="仿宋"/>
          <w:b/>
          <w:color w:val="auto"/>
          <w:sz w:val="24"/>
          <w:highlight w:val="none"/>
        </w:rPr>
        <w:t>万元，合同期限：自合同签订之日起</w:t>
      </w:r>
      <w:r>
        <w:rPr>
          <w:rFonts w:hint="eastAsia" w:ascii="仿宋" w:hAnsi="仿宋" w:eastAsia="仿宋" w:cs="仿宋"/>
          <w:b/>
          <w:color w:val="auto"/>
          <w:sz w:val="24"/>
          <w:highlight w:val="none"/>
          <w:lang w:eastAsia="zh-CN"/>
        </w:rPr>
        <w:t>五</w:t>
      </w:r>
      <w:r>
        <w:rPr>
          <w:rFonts w:hint="eastAsia" w:ascii="仿宋" w:hAnsi="仿宋" w:eastAsia="仿宋" w:cs="仿宋"/>
          <w:b/>
          <w:color w:val="auto"/>
          <w:sz w:val="24"/>
          <w:highlight w:val="none"/>
        </w:rPr>
        <w:t>年。</w:t>
      </w:r>
    </w:p>
    <w:p>
      <w:pPr>
        <w:adjustRightInd w:val="0"/>
        <w:snapToGrid w:val="0"/>
        <w:spacing w:line="360" w:lineRule="auto"/>
        <w:ind w:firstLine="422" w:firstLineChars="200"/>
        <w:rPr>
          <w:rFonts w:hint="eastAsia" w:ascii="仿宋" w:hAnsi="仿宋" w:eastAsia="仿宋" w:cs="仿宋"/>
          <w:b/>
          <w:bCs/>
          <w:szCs w:val="21"/>
        </w:rPr>
      </w:pPr>
      <w:r>
        <w:rPr>
          <w:rFonts w:hint="eastAsia" w:ascii="仿宋" w:hAnsi="仿宋" w:eastAsia="仿宋" w:cs="仿宋"/>
          <w:b/>
          <w:bCs/>
          <w:szCs w:val="21"/>
        </w:rPr>
        <w:t>一、整体设计要求：</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1、系统架构：B/S、C/S、移动端的开发模式。必须包含教师WEB端管理系统、学生PC端临床思维训练系统；学生WEB端、手机端App在线理论学习与考试系统。</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▲2、要求必须为3D建模、可视化交互设计：诊疗场景、虚拟病人等必须采用3D建模，可360°查看诊室场景。虚拟病人能模拟病人体态、表情、声音等特征。（提供视频演示）</w:t>
      </w:r>
    </w:p>
    <w:p>
      <w:pPr>
        <w:spacing w:line="360" w:lineRule="auto"/>
        <w:rPr>
          <w:rFonts w:hint="eastAsia" w:ascii="仿宋" w:hAnsi="仿宋" w:eastAsia="仿宋" w:cs="仿宋"/>
          <w:szCs w:val="21"/>
        </w:rPr>
      </w:pPr>
      <w:r>
        <w:rPr>
          <w:rFonts w:hint="eastAsia" w:ascii="仿宋" w:hAnsi="仿宋" w:eastAsia="仿宋" w:cs="仿宋"/>
          <w:szCs w:val="21"/>
        </w:rPr>
        <w:t>3、病例要求：基于真实病人数据，通过对虚拟病人进行中医四诊收集患者信息，确定诊断思维、确立治则治法、采取与之契合的治疗措施（包括方剂、针刺手法等）等操作，进行中医临床诊疗思维训练。系统包含≥ 70 个包含完整辩证的病例，且病名+证型不重复。</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4、要求必须具备病例编辑系统，机构用户可以自行通过系统编辑病例使用。</w:t>
      </w:r>
    </w:p>
    <w:p>
      <w:pPr>
        <w:adjustRightInd w:val="0"/>
        <w:snapToGrid w:val="0"/>
        <w:spacing w:line="360" w:lineRule="auto"/>
        <w:ind w:firstLine="422" w:firstLineChars="200"/>
        <w:rPr>
          <w:rFonts w:hint="eastAsia" w:ascii="仿宋" w:hAnsi="仿宋" w:eastAsia="仿宋" w:cs="仿宋"/>
          <w:szCs w:val="21"/>
        </w:rPr>
      </w:pPr>
      <w:r>
        <w:rPr>
          <w:rFonts w:hint="eastAsia" w:ascii="仿宋" w:hAnsi="仿宋" w:eastAsia="仿宋" w:cs="仿宋"/>
          <w:b/>
          <w:bCs/>
          <w:szCs w:val="21"/>
        </w:rPr>
        <w:t>二、功能要求</w:t>
      </w:r>
      <w:r>
        <w:rPr>
          <w:rFonts w:hint="eastAsia" w:ascii="仿宋" w:hAnsi="仿宋" w:eastAsia="仿宋" w:cs="仿宋"/>
          <w:szCs w:val="21"/>
        </w:rPr>
        <w:t>：</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lang w:eastAsia="zh-CN"/>
        </w:rPr>
        <w:t>学生</w:t>
      </w:r>
      <w:r>
        <w:rPr>
          <w:rFonts w:hint="eastAsia" w:ascii="仿宋" w:hAnsi="仿宋" w:eastAsia="仿宋" w:cs="仿宋"/>
          <w:szCs w:val="21"/>
        </w:rPr>
        <w:t>端功能</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w:t>
      </w:r>
      <w:r>
        <w:rPr>
          <w:rFonts w:hint="eastAsia" w:ascii="仿宋" w:hAnsi="仿宋" w:eastAsia="仿宋" w:cs="仿宋"/>
          <w:szCs w:val="21"/>
          <w:lang w:eastAsia="zh-CN"/>
        </w:rPr>
        <w:t>学生</w:t>
      </w:r>
      <w:r>
        <w:rPr>
          <w:rFonts w:hint="eastAsia" w:ascii="仿宋" w:hAnsi="仿宋" w:eastAsia="仿宋" w:cs="仿宋"/>
          <w:szCs w:val="21"/>
        </w:rPr>
        <w:t>不少于2种登录模式：可根据个人账号和密码进行登录，也可通过手机App扫码登录。</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1.2系统支持训练和考试两种模式，进行中医临床思维训练与考试。</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1.3系统支持模拟临床诊疗操作，</w:t>
      </w:r>
      <w:r>
        <w:rPr>
          <w:rFonts w:hint="eastAsia" w:ascii="仿宋" w:hAnsi="仿宋" w:eastAsia="仿宋" w:cs="仿宋"/>
          <w:szCs w:val="21"/>
          <w:lang w:eastAsia="zh-CN"/>
        </w:rPr>
        <w:t>学生</w:t>
      </w:r>
      <w:r>
        <w:rPr>
          <w:rFonts w:hint="eastAsia" w:ascii="仿宋" w:hAnsi="仿宋" w:eastAsia="仿宋" w:cs="仿宋"/>
          <w:szCs w:val="21"/>
        </w:rPr>
        <w:t>对3D虚拟病人可进行问诊、体格检查、辅助检查、评估和处理计划等操作。</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1.4问诊内容包括主诉、现病史、既往史、个人史、月经史、婚育史、家族史等问诊问题。</w:t>
      </w:r>
    </w:p>
    <w:p>
      <w:pPr>
        <w:adjustRightInd w:val="0"/>
        <w:snapToGrid w:val="0"/>
        <w:spacing w:line="360" w:lineRule="auto"/>
        <w:rPr>
          <w:rFonts w:hint="eastAsia" w:ascii="仿宋" w:hAnsi="仿宋" w:eastAsia="仿宋" w:cs="仿宋"/>
          <w:color w:val="FF0000"/>
          <w:szCs w:val="21"/>
        </w:rPr>
      </w:pPr>
      <w:r>
        <w:rPr>
          <w:rFonts w:hint="eastAsia" w:ascii="仿宋" w:hAnsi="仿宋" w:eastAsia="仿宋" w:cs="仿宋"/>
          <w:szCs w:val="21"/>
        </w:rPr>
        <w:t>★1.5AI智能语音、语义识别：可直接对虚拟病人进行语音问诊（非选择题型交互），虚拟病人可进行语音回答，并和虚拟病人嘴型一致，使患者问诊环节更逼真。（提供语音问诊、语义识别后虚拟病人自动语音回答视频演示）</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1.6提供真实病人的照片，包含：望神、望面色、望形体、望姿态、望头面、望颈项、望头发、望目、望耳、望鼻、望口唇、望咽喉、望胸胁、望腹部、望四肢、望皮肤等；</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1.7通过3D虚拟病人发声、语言、呼吸、咳嗽等选项，进行闻诊操作。虚拟病人可表现正常、暗哑、失音、鼻鼾、呻吟等发声；虚拟病人可表现正常、谵语、郑声、独语、错语、狂言、语蹇等语言；虚拟病人可表现正常、哮、喘、气短等呼吸；虚拟病人可表现正常、干咳、顿咳、痰咳、百日咳、咳声清扬、咳声重浊等咳嗽；其他表现如呕吐、呃逆、喷嚏等症状。</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1.8切诊功能：分别以脉诊和按诊两个方式呈现。</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1.9脉诊提供结构化的图文描述场景辅助用户诊断；</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1.10按诊：可对3D虚拟人体进行按诊操作，具备交互式语音，以进行诊断。</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1.11系统包含≥25种单脉以及由此衍生出来的复合脉；</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1.12采用中诊内科学的核心：八纲辨证包括表、里、寒、热、虚、实、阴、阳。脏腑辨证包括心与小肠、肝与胆、脾与胃、肺与大肠、肾与膀胱、脏腑兼证；</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1.13八纲与脏腑需要与望、闻、问、切四诊结果设置关联，完成中医诊断过程；</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1.14符合临床要求，在熟练掌握八纲、脏腑的基础上快速对病名、证型进行辩证，辩证过程中病名、证型需与望、闻、问、切四诊结果设置关联，以此考量</w:t>
      </w:r>
      <w:r>
        <w:rPr>
          <w:rFonts w:hint="eastAsia" w:ascii="仿宋" w:hAnsi="仿宋" w:eastAsia="仿宋" w:cs="仿宋"/>
          <w:szCs w:val="21"/>
          <w:lang w:eastAsia="zh-CN"/>
        </w:rPr>
        <w:t>学生</w:t>
      </w:r>
      <w:r>
        <w:rPr>
          <w:rFonts w:hint="eastAsia" w:ascii="仿宋" w:hAnsi="仿宋" w:eastAsia="仿宋" w:cs="仿宋"/>
          <w:szCs w:val="21"/>
        </w:rPr>
        <w:t>的中医辩证思维过程；</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1.15系统包含≥ 300种证型；</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1.16治疗功能：</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1.16.1治则治法：系统包含≥300条治则治法；</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1.16.2遣方用药；系统包含≥300种方剂，中药方剂包含方药组成、药物功效、主治、药物的煎法等；</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1.16.3针刺手法：通过3D虚拟病人，进行配穴及针刺手法选择。</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1.16.3.1系统必须包含成年男性、成年女性经络腧穴解剖虚拟人体各一套，根据案例病情展示不同性别3D虚拟人体进行针刺选穴操作。（提供实物照片，展示男性经络腧穴解剖虚拟人体以及女性经络腧穴解剖虚拟人体）</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1.16.3.2提供人体全身左、右24条经脉以及任督二脉，穴位与经络以点线方式结合，阴经阳经分别以不同颜色进行展示。提供人体体表穴位点的球状展示，包括全身超过600个穴位。</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1.16.3.3旋转功能：具备前、后、左、右、顶、底六个视角一键切换，人体可围绕X轴、Y轴、Z轴自由旋转。</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1.16.3.4平移功能：人体可以上下、左右平移。</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1.16.3.5缩放功能：人体可任意比例放大、缩小。</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1.16.3.6一键复位功能，恢复初始正面视角。</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1.16.3.7可点击选择3D虚拟人体（包括男性、女性）经脉、穴位进行主穴、配穴选择操作，可显示/隐藏穴位注解信息。（提供实物照片及软件截图，展示男性、女性经脉、穴位进行主穴、配穴选择操作，穴位信息显示和隐藏状态。）</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1.17系统支持记录</w:t>
      </w:r>
      <w:r>
        <w:rPr>
          <w:rFonts w:hint="eastAsia" w:ascii="仿宋" w:hAnsi="仿宋" w:eastAsia="仿宋" w:cs="仿宋"/>
          <w:szCs w:val="21"/>
          <w:lang w:eastAsia="zh-CN"/>
        </w:rPr>
        <w:t>学生</w:t>
      </w:r>
      <w:r>
        <w:rPr>
          <w:rFonts w:hint="eastAsia" w:ascii="仿宋" w:hAnsi="仿宋" w:eastAsia="仿宋" w:cs="仿宋"/>
          <w:szCs w:val="21"/>
        </w:rPr>
        <w:t>的所有诊疗操作，生成诊疗日志。用于</w:t>
      </w:r>
      <w:r>
        <w:rPr>
          <w:rFonts w:hint="eastAsia" w:ascii="仿宋" w:hAnsi="仿宋" w:eastAsia="仿宋" w:cs="仿宋"/>
          <w:szCs w:val="21"/>
          <w:lang w:eastAsia="zh-CN"/>
        </w:rPr>
        <w:t>学生</w:t>
      </w:r>
      <w:r>
        <w:rPr>
          <w:rFonts w:hint="eastAsia" w:ascii="仿宋" w:hAnsi="仿宋" w:eastAsia="仿宋" w:cs="仿宋"/>
          <w:szCs w:val="21"/>
        </w:rPr>
        <w:t>/导师了解</w:t>
      </w:r>
      <w:r>
        <w:rPr>
          <w:rFonts w:hint="eastAsia" w:ascii="仿宋" w:hAnsi="仿宋" w:eastAsia="仿宋" w:cs="仿宋"/>
          <w:szCs w:val="21"/>
          <w:lang w:eastAsia="zh-CN"/>
        </w:rPr>
        <w:t>学生</w:t>
      </w:r>
      <w:r>
        <w:rPr>
          <w:rFonts w:hint="eastAsia" w:ascii="仿宋" w:hAnsi="仿宋" w:eastAsia="仿宋" w:cs="仿宋"/>
          <w:szCs w:val="21"/>
        </w:rPr>
        <w:t>知识的掌握程度。</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1.18系统支持</w:t>
      </w:r>
      <w:r>
        <w:rPr>
          <w:rFonts w:hint="eastAsia" w:ascii="仿宋" w:hAnsi="仿宋" w:eastAsia="仿宋" w:cs="仿宋"/>
          <w:szCs w:val="21"/>
          <w:lang w:eastAsia="zh-CN"/>
        </w:rPr>
        <w:t>学生</w:t>
      </w:r>
      <w:r>
        <w:rPr>
          <w:rFonts w:hint="eastAsia" w:ascii="仿宋" w:hAnsi="仿宋" w:eastAsia="仿宋" w:cs="仿宋"/>
          <w:szCs w:val="21"/>
        </w:rPr>
        <w:t>临床诊疗能力分析，</w:t>
      </w:r>
      <w:r>
        <w:rPr>
          <w:rFonts w:hint="eastAsia" w:ascii="仿宋" w:hAnsi="仿宋" w:eastAsia="仿宋" w:cs="仿宋"/>
          <w:szCs w:val="21"/>
          <w:lang w:eastAsia="zh-CN"/>
        </w:rPr>
        <w:t>学生</w:t>
      </w:r>
      <w:r>
        <w:rPr>
          <w:rFonts w:hint="eastAsia" w:ascii="仿宋" w:hAnsi="仿宋" w:eastAsia="仿宋" w:cs="仿宋"/>
          <w:szCs w:val="21"/>
        </w:rPr>
        <w:t>训练结束后，可以查看自己在此次诊疗过程中的表现及各部分的得分，并查看自己错误的地方以及正确的处置方法和原因分析。</w:t>
      </w:r>
    </w:p>
    <w:p>
      <w:pPr>
        <w:adjustRightInd w:val="0"/>
        <w:snapToGrid w:val="0"/>
        <w:spacing w:line="360" w:lineRule="auto"/>
        <w:rPr>
          <w:rFonts w:hint="eastAsia" w:ascii="仿宋" w:hAnsi="仿宋" w:eastAsia="仿宋" w:cs="仿宋"/>
          <w:b/>
          <w:bCs/>
          <w:szCs w:val="21"/>
        </w:rPr>
      </w:pPr>
      <w:r>
        <w:rPr>
          <w:rFonts w:hint="eastAsia" w:ascii="仿宋" w:hAnsi="仿宋" w:eastAsia="仿宋" w:cs="仿宋"/>
          <w:b/>
          <w:bCs/>
          <w:szCs w:val="21"/>
        </w:rPr>
        <w:t>2、考试功能</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2.1考试模式：具备“限时考试”和“不限时考试”2种模式，可设置在指定时间周期内，任意指定考试时长进行考试。</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2.2支持考试时，语音问诊模式，开启、关闭。</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2.3支持设置考试后成绩公布方式，如交卷后立即显示或管理员手动发布。</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2.4可自定义设置考试及格线、优秀线。</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2.5可自定义设置考试发布对象，指定考生可在线进行考试。考试通知可自动发送</w:t>
      </w:r>
      <w:r>
        <w:rPr>
          <w:rFonts w:hint="eastAsia" w:ascii="仿宋" w:hAnsi="仿宋" w:eastAsia="仿宋" w:cs="仿宋"/>
          <w:szCs w:val="21"/>
          <w:lang w:eastAsia="zh-CN"/>
        </w:rPr>
        <w:t>学生</w:t>
      </w:r>
      <w:r>
        <w:rPr>
          <w:rFonts w:hint="eastAsia" w:ascii="仿宋" w:hAnsi="仿宋" w:eastAsia="仿宋" w:cs="仿宋"/>
          <w:szCs w:val="21"/>
        </w:rPr>
        <w:t>APP。</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2.6可设置多个案例作为考试题目，可为其中每个案例设置得分权重值。</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2.7考试成绩统计</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2.7.1支持统计考试总人数、有效成绩、及格率、平均分、平均用时等。</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2.7.2支持统计考生成绩列表，进行排行、搜索、筛选、批量导出。</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2.7.3支持统计结果的可视化展示：可显示每位考生的得分、排名、考试病例；支持图形显示用时、得分，望闻问切各部分得分及权重、诊断得分及权重、治疗得分及权重。可交互显示各项的“必要”、“次要”、“无意义”得分。</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2.7.4支持详细显示考生所有诊疗日志，并对每个诊疗项目进行对照批注。</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2.8考试成绩分析</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2.8.1能够从望闻问切问诊能力、诊断能力、治疗能力等多个维度进行分析；可分析每个子项的错误率，并进行排行。</w:t>
      </w:r>
    </w:p>
    <w:p>
      <w:pPr>
        <w:adjustRightInd w:val="0"/>
        <w:snapToGrid w:val="0"/>
        <w:spacing w:line="360" w:lineRule="auto"/>
        <w:rPr>
          <w:rFonts w:hint="eastAsia" w:ascii="仿宋" w:hAnsi="仿宋" w:eastAsia="仿宋" w:cs="仿宋"/>
          <w:b/>
          <w:bCs/>
          <w:szCs w:val="21"/>
        </w:rPr>
      </w:pPr>
      <w:r>
        <w:rPr>
          <w:rFonts w:hint="eastAsia" w:ascii="仿宋" w:hAnsi="仿宋" w:eastAsia="仿宋" w:cs="仿宋"/>
          <w:b/>
          <w:bCs/>
          <w:szCs w:val="21"/>
        </w:rPr>
        <w:t>3、病例编辑功能</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3.1系统支持病例编辑功能，可自定义添加病例。</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3.2支持选择符合案例基本信息的虚拟3D病人形象用于案例病例编辑，系统必须自带≥10个虚拟3D病人形象，涵盖青年（男性、女性）、中年（男性、女性）、老年（男性、女性）、儿童及婴儿。（提供案例编辑3D病人选择界面截图≥10个虚拟3D病人形象，</w:t>
      </w:r>
      <w:r>
        <w:rPr>
          <w:rFonts w:hint="eastAsia" w:ascii="仿宋" w:hAnsi="仿宋" w:eastAsia="仿宋" w:cs="仿宋"/>
          <w:szCs w:val="21"/>
          <w:lang w:eastAsia="zh-CN"/>
        </w:rPr>
        <w:t>学生</w:t>
      </w:r>
      <w:r>
        <w:rPr>
          <w:rFonts w:hint="eastAsia" w:ascii="仿宋" w:hAnsi="仿宋" w:eastAsia="仿宋" w:cs="仿宋"/>
          <w:szCs w:val="21"/>
        </w:rPr>
        <w:t>端3D病人形象界面截图≥10个虚拟3D病人形象）</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3.3可自定义添加问诊分类、问诊问题、病人回答，进行必要性设置；可同时进行多类别、多问题设置。</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3.4可自定义添加闻诊分类，进行必要性设置；可自定义上传图片、音频、视频作为检查结果用于</w:t>
      </w:r>
      <w:r>
        <w:rPr>
          <w:rFonts w:hint="eastAsia" w:ascii="仿宋" w:hAnsi="仿宋" w:eastAsia="仿宋" w:cs="仿宋"/>
          <w:szCs w:val="21"/>
          <w:lang w:eastAsia="zh-CN"/>
        </w:rPr>
        <w:t>学生</w:t>
      </w:r>
      <w:r>
        <w:rPr>
          <w:rFonts w:hint="eastAsia" w:ascii="仿宋" w:hAnsi="仿宋" w:eastAsia="仿宋" w:cs="仿宋"/>
          <w:szCs w:val="21"/>
        </w:rPr>
        <w:t>进行诊断。</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3.5可自定义添加望诊分类，进行必要性设置；可自定义上传图片、音频、视频作为检查结果用于</w:t>
      </w:r>
      <w:r>
        <w:rPr>
          <w:rFonts w:hint="eastAsia" w:ascii="仿宋" w:hAnsi="仿宋" w:eastAsia="仿宋" w:cs="仿宋"/>
          <w:szCs w:val="21"/>
          <w:lang w:eastAsia="zh-CN"/>
        </w:rPr>
        <w:t>学生</w:t>
      </w:r>
      <w:r>
        <w:rPr>
          <w:rFonts w:hint="eastAsia" w:ascii="仿宋" w:hAnsi="仿宋" w:eastAsia="仿宋" w:cs="仿宋"/>
          <w:szCs w:val="21"/>
        </w:rPr>
        <w:t>进行诊断。</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3.6可自定义添加切诊分类，进行必要性设置；可自定义上传图片、音频、视频作为检查结果用于</w:t>
      </w:r>
      <w:r>
        <w:rPr>
          <w:rFonts w:hint="eastAsia" w:ascii="仿宋" w:hAnsi="仿宋" w:eastAsia="仿宋" w:cs="仿宋"/>
          <w:szCs w:val="21"/>
          <w:lang w:eastAsia="zh-CN"/>
        </w:rPr>
        <w:t>学生</w:t>
      </w:r>
      <w:r>
        <w:rPr>
          <w:rFonts w:hint="eastAsia" w:ascii="仿宋" w:hAnsi="仿宋" w:eastAsia="仿宋" w:cs="仿宋"/>
          <w:szCs w:val="21"/>
        </w:rPr>
        <w:t>进行诊断。</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3.7可自定义添加诊断，可根据望闻问切进行诊断依据设置。</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3.8可自定义添加治疗项目，包括治则治法、遣方用药和针刺手法等子项，进行必要性设置。</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3.9可自定义考核评分设置：可设置望闻问切、诊断、治疗得分权重；可单独为“必要”、“次要”、“无意义”项进行加减分设置；可按数量设置每项加分/减分值，可分段（不少于4段，4个区间）设置加分/减分值。</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▲3.10可单独为每个病例，设置问诊类别显示/隐藏功能，用于在</w:t>
      </w:r>
      <w:r>
        <w:rPr>
          <w:rFonts w:hint="eastAsia" w:ascii="仿宋" w:hAnsi="仿宋" w:eastAsia="仿宋" w:cs="仿宋"/>
          <w:szCs w:val="21"/>
          <w:lang w:eastAsia="zh-CN"/>
        </w:rPr>
        <w:t>学生</w:t>
      </w:r>
      <w:r>
        <w:rPr>
          <w:rFonts w:hint="eastAsia" w:ascii="仿宋" w:hAnsi="仿宋" w:eastAsia="仿宋" w:cs="仿宋"/>
          <w:szCs w:val="21"/>
        </w:rPr>
        <w:t>端是否显示该问诊项及子项。</w:t>
      </w:r>
      <w:r>
        <w:rPr>
          <w:rFonts w:hint="eastAsia" w:ascii="仿宋" w:hAnsi="仿宋" w:eastAsia="仿宋" w:cs="仿宋"/>
          <w:bCs/>
          <w:szCs w:val="21"/>
        </w:rPr>
        <w:t>（提供页面截图，展示问诊类别</w:t>
      </w:r>
      <w:r>
        <w:rPr>
          <w:rFonts w:hint="eastAsia" w:ascii="仿宋" w:hAnsi="仿宋" w:eastAsia="仿宋" w:cs="仿宋"/>
          <w:szCs w:val="21"/>
        </w:rPr>
        <w:t>显示/隐藏功能设置，展示根据要求设置后</w:t>
      </w:r>
      <w:r>
        <w:rPr>
          <w:rFonts w:hint="eastAsia" w:ascii="仿宋" w:hAnsi="仿宋" w:eastAsia="仿宋" w:cs="仿宋"/>
          <w:szCs w:val="21"/>
          <w:lang w:eastAsia="zh-CN"/>
        </w:rPr>
        <w:t>学生</w:t>
      </w:r>
      <w:r>
        <w:rPr>
          <w:rFonts w:hint="eastAsia" w:ascii="仿宋" w:hAnsi="仿宋" w:eastAsia="仿宋" w:cs="仿宋"/>
          <w:szCs w:val="21"/>
        </w:rPr>
        <w:t>端对应的显示页面</w:t>
      </w:r>
      <w:r>
        <w:rPr>
          <w:rFonts w:hint="eastAsia" w:ascii="仿宋" w:hAnsi="仿宋" w:eastAsia="仿宋" w:cs="仿宋"/>
          <w:bCs/>
          <w:szCs w:val="21"/>
        </w:rPr>
        <w:t>）</w:t>
      </w:r>
    </w:p>
    <w:p>
      <w:pPr>
        <w:adjustRightInd w:val="0"/>
        <w:snapToGrid w:val="0"/>
        <w:spacing w:line="360" w:lineRule="auto"/>
        <w:rPr>
          <w:rFonts w:hint="eastAsia" w:ascii="仿宋" w:hAnsi="仿宋" w:eastAsia="仿宋" w:cs="仿宋"/>
          <w:b/>
          <w:bCs/>
          <w:szCs w:val="21"/>
        </w:rPr>
      </w:pPr>
      <w:r>
        <w:rPr>
          <w:rFonts w:hint="eastAsia" w:ascii="仿宋" w:hAnsi="仿宋" w:eastAsia="仿宋" w:cs="仿宋"/>
          <w:b/>
          <w:bCs/>
          <w:szCs w:val="21"/>
        </w:rPr>
        <w:t>4、资源管理</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4.1云端资源管理功能</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4.1.1支持上传视频、音频、PDF课件资源。</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4.1.2课件资源可按照时长（视频/音频）、页数（PDF课件）、文件大小、引用次数、上传时间等字段进行排序。</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4.1.3支持对课件进行查找、预览、重命名等操作。</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4.2云端课程管理功能</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4.2.1可根据需要自定义栏目、分类进行自主学习课程的展示，可为课程配置个性化封面。</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4.2.2支持按课节数、状态、播放次数、评价次数、创建时间等字段进行排序。</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4.2.3支持课程上架、下架管理。可查看用户对课程的评价信息，可查看用户的学习记录，学习记录支持按最近学习时间、本次时长和总时长进行排序。</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4.2.4支持按栏目，课程创建时间或输入关键词查找课程。</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4.2.5同一课程下可分建多节课程，关联不同课件资源，</w:t>
      </w:r>
      <w:r>
        <w:rPr>
          <w:rFonts w:hint="eastAsia" w:ascii="仿宋" w:hAnsi="仿宋" w:eastAsia="仿宋" w:cs="仿宋"/>
          <w:bCs/>
          <w:szCs w:val="21"/>
          <w:lang w:eastAsia="zh-CN"/>
        </w:rPr>
        <w:t>学生</w:t>
      </w:r>
      <w:r>
        <w:rPr>
          <w:rFonts w:hint="eastAsia" w:ascii="仿宋" w:hAnsi="仿宋" w:eastAsia="仿宋" w:cs="仿宋"/>
          <w:bCs/>
          <w:szCs w:val="21"/>
        </w:rPr>
        <w:t>端以系列课的形式查看、学习课程更加方便。</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4.3</w:t>
      </w:r>
      <w:r>
        <w:rPr>
          <w:rFonts w:hint="eastAsia" w:ascii="仿宋" w:hAnsi="仿宋" w:eastAsia="仿宋" w:cs="仿宋"/>
          <w:bCs/>
          <w:szCs w:val="21"/>
          <w:lang w:eastAsia="zh-CN"/>
        </w:rPr>
        <w:t>学生</w:t>
      </w:r>
      <w:r>
        <w:rPr>
          <w:rFonts w:hint="eastAsia" w:ascii="仿宋" w:hAnsi="仿宋" w:eastAsia="仿宋" w:cs="仿宋"/>
          <w:bCs/>
          <w:szCs w:val="21"/>
        </w:rPr>
        <w:t>端App功能</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4.3.1按机构定义的栏目和分类进行自主学习课程的查看和学习。</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4.3.2支持加入课程学习，已加入学习的课程可在我的自主学习模块查看和学习。</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4.3.3支持课程的评价、下载，已下载的离线音视频课件可在离线课程模块反复学习。</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4.3.4支持总学习时间、本周学习时间的统计，支持本校排名统计。</w:t>
      </w:r>
    </w:p>
    <w:p>
      <w:pPr>
        <w:pStyle w:val="73"/>
        <w:numPr>
          <w:ilvl w:val="0"/>
          <w:numId w:val="8"/>
        </w:numPr>
        <w:adjustRightInd w:val="0"/>
        <w:snapToGrid w:val="0"/>
        <w:spacing w:line="360" w:lineRule="auto"/>
        <w:ind w:firstLineChars="0"/>
        <w:rPr>
          <w:rFonts w:hint="eastAsia" w:ascii="仿宋" w:hAnsi="仿宋" w:eastAsia="仿宋" w:cs="仿宋"/>
          <w:b/>
          <w:bCs/>
          <w:szCs w:val="21"/>
        </w:rPr>
      </w:pPr>
      <w:r>
        <w:rPr>
          <w:rFonts w:hint="eastAsia" w:ascii="仿宋" w:hAnsi="仿宋" w:eastAsia="仿宋" w:cs="仿宋"/>
          <w:b/>
          <w:bCs/>
          <w:szCs w:val="21"/>
        </w:rPr>
        <w:t>训练统计与分析</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5.1支持统计所有</w:t>
      </w:r>
      <w:r>
        <w:rPr>
          <w:rFonts w:hint="eastAsia" w:ascii="仿宋" w:hAnsi="仿宋" w:eastAsia="仿宋" w:cs="仿宋"/>
          <w:szCs w:val="21"/>
          <w:lang w:eastAsia="zh-CN"/>
        </w:rPr>
        <w:t>学生</w:t>
      </w:r>
      <w:r>
        <w:rPr>
          <w:rFonts w:hint="eastAsia" w:ascii="仿宋" w:hAnsi="仿宋" w:eastAsia="仿宋" w:cs="仿宋"/>
          <w:szCs w:val="21"/>
        </w:rPr>
        <w:t>训练次数、训练病例数、训练总时长、平均分；并支持按上述项目进行排行。</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5.2支持按时间段、部门筛选查看。</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5.3支持查看指定</w:t>
      </w:r>
      <w:r>
        <w:rPr>
          <w:rFonts w:hint="eastAsia" w:ascii="仿宋" w:hAnsi="仿宋" w:eastAsia="仿宋" w:cs="仿宋"/>
          <w:szCs w:val="21"/>
          <w:lang w:eastAsia="zh-CN"/>
        </w:rPr>
        <w:t>学生</w:t>
      </w:r>
      <w:r>
        <w:rPr>
          <w:rFonts w:hint="eastAsia" w:ascii="仿宋" w:hAnsi="仿宋" w:eastAsia="仿宋" w:cs="仿宋"/>
          <w:szCs w:val="21"/>
        </w:rPr>
        <w:t>的训练情况，包括完成病例列表、平均分、训练次数。</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5.4支持查看指定</w:t>
      </w:r>
      <w:r>
        <w:rPr>
          <w:rFonts w:hint="eastAsia" w:ascii="仿宋" w:hAnsi="仿宋" w:eastAsia="仿宋" w:cs="仿宋"/>
          <w:szCs w:val="21"/>
          <w:lang w:eastAsia="zh-CN"/>
        </w:rPr>
        <w:t>学生</w:t>
      </w:r>
      <w:r>
        <w:rPr>
          <w:rFonts w:hint="eastAsia" w:ascii="仿宋" w:hAnsi="仿宋" w:eastAsia="仿宋" w:cs="仿宋"/>
          <w:szCs w:val="21"/>
        </w:rPr>
        <w:t>、指定病例的训练情况，包括得分、训练时间以及用时。</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5.5支持统计结果的可视化展示：可显示每位考生的得分、排名、考试病例；支持图形显示用时、得分，望闻问切各部分得分及权重、诊断得分及权重、治疗得分及权重。可交互显示各项的“必要”、“次要”、“无意义”得分。</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5.6支持详细显示考生所有诊疗日志，并对每个诊疗项目进行对照批注。</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5.7支持统计系统所有病例训练次数、人数、平均成绩；并支持按上述项目进行排行。</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5.8支持按时间段、部门筛选查看。</w:t>
      </w:r>
    </w:p>
    <w:p>
      <w:pPr>
        <w:adjustRightInd w:val="0"/>
        <w:snapToGrid w:val="0"/>
        <w:spacing w:line="360" w:lineRule="auto"/>
        <w:rPr>
          <w:rFonts w:hint="eastAsia" w:ascii="仿宋" w:hAnsi="仿宋" w:eastAsia="仿宋" w:cs="仿宋"/>
          <w:szCs w:val="21"/>
        </w:rPr>
      </w:pPr>
      <w:r>
        <w:rPr>
          <w:rFonts w:hint="eastAsia" w:ascii="仿宋" w:hAnsi="仿宋" w:eastAsia="仿宋" w:cs="仿宋"/>
          <w:szCs w:val="21"/>
        </w:rPr>
        <w:t>5.9能够从望闻问切问诊能力、诊断能力、治疗能力等多个维度进行分析；可分析每个子项的错误率，并进行排行。</w:t>
      </w:r>
    </w:p>
    <w:p>
      <w:pPr>
        <w:adjustRightInd w:val="0"/>
        <w:snapToGrid w:val="0"/>
        <w:spacing w:line="360" w:lineRule="auto"/>
        <w:rPr>
          <w:rFonts w:hint="eastAsia" w:ascii="仿宋" w:hAnsi="仿宋" w:eastAsia="仿宋" w:cs="仿宋"/>
          <w:b/>
          <w:bCs/>
          <w:szCs w:val="21"/>
        </w:rPr>
      </w:pPr>
      <w:r>
        <w:rPr>
          <w:rFonts w:hint="eastAsia" w:ascii="仿宋" w:hAnsi="仿宋" w:eastAsia="仿宋" w:cs="仿宋"/>
          <w:b/>
          <w:bCs/>
          <w:szCs w:val="21"/>
        </w:rPr>
        <w:t>6、消息管理</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6.1管理员可以创建通知公告，进行发布。</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6.2发送对象包括</w:t>
      </w:r>
      <w:r>
        <w:rPr>
          <w:rFonts w:hint="eastAsia" w:ascii="仿宋" w:hAnsi="仿宋" w:eastAsia="仿宋" w:cs="仿宋"/>
          <w:bCs/>
          <w:szCs w:val="21"/>
          <w:lang w:eastAsia="zh-CN"/>
        </w:rPr>
        <w:t>学生</w:t>
      </w:r>
      <w:r>
        <w:rPr>
          <w:rFonts w:hint="eastAsia" w:ascii="仿宋" w:hAnsi="仿宋" w:eastAsia="仿宋" w:cs="仿宋"/>
          <w:bCs/>
          <w:szCs w:val="21"/>
        </w:rPr>
        <w:t>、教师等，并支持按群组/所有人发送考试信息，相关人员可在移动端APP上收到相关考试通知。</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6.3可设置即时发送和定时发送2种模式。</w:t>
      </w:r>
    </w:p>
    <w:p>
      <w:pPr>
        <w:adjustRightInd w:val="0"/>
        <w:snapToGrid w:val="0"/>
        <w:spacing w:line="360" w:lineRule="auto"/>
        <w:rPr>
          <w:rFonts w:hint="eastAsia" w:ascii="仿宋" w:hAnsi="仿宋" w:eastAsia="仿宋" w:cs="仿宋"/>
          <w:b/>
          <w:bCs/>
          <w:szCs w:val="21"/>
        </w:rPr>
      </w:pPr>
      <w:r>
        <w:rPr>
          <w:rFonts w:hint="eastAsia" w:ascii="仿宋" w:hAnsi="仿宋" w:eastAsia="仿宋" w:cs="仿宋"/>
          <w:b/>
          <w:bCs/>
          <w:szCs w:val="21"/>
        </w:rPr>
        <w:t>7、人员管理</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7.1可自由添加任意层级的组织机构，并提供组织机构查找、编辑以及删除功能。</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7.2支持新增/编辑/删除，支持批量导出、导入用户数据。</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7.3设置用户的角色。</w:t>
      </w:r>
    </w:p>
    <w:p>
      <w:pPr>
        <w:adjustRightInd w:val="0"/>
        <w:snapToGrid w:val="0"/>
        <w:spacing w:line="360" w:lineRule="auto"/>
        <w:rPr>
          <w:rFonts w:hint="eastAsia" w:ascii="仿宋" w:hAnsi="仿宋" w:eastAsia="仿宋" w:cs="仿宋"/>
          <w:b/>
          <w:bCs/>
          <w:szCs w:val="21"/>
        </w:rPr>
      </w:pPr>
      <w:bookmarkStart w:id="10" w:name="_Hlk61006942"/>
      <w:r>
        <w:rPr>
          <w:rFonts w:hint="eastAsia" w:ascii="仿宋" w:hAnsi="仿宋" w:eastAsia="仿宋" w:cs="仿宋"/>
          <w:b/>
          <w:bCs/>
          <w:szCs w:val="21"/>
        </w:rPr>
        <w:t>8、用户管理</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8.1本系统的用户管理功能由集成的通用用户管理系统实现。</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8.2可自由添加任意层级的组织机构，并提供组织机构查找、编辑以及删除功能。</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8.3可查看组织机构下的用户信息。</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8.4可设置用户所属以及所管组织机构，用户可以属于/分管多个组织机构。</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8.5可以新增、导入用户。</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8.6可以编辑、查询、删除已存在的用户信息，支持关键字模糊查询以及多条件的组合查询。</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8.7批量设置组织机构，批量导出、导入用户数据，批量修改用户角色及所属\所分管组织机构，批量删除用户。</w:t>
      </w:r>
    </w:p>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8.8设置用户的角色。系统分基本角色和高级角色。基本角色包含：管理员、教师和</w:t>
      </w:r>
      <w:r>
        <w:rPr>
          <w:rFonts w:hint="eastAsia" w:ascii="仿宋" w:hAnsi="仿宋" w:eastAsia="仿宋" w:cs="仿宋"/>
          <w:bCs/>
          <w:szCs w:val="21"/>
          <w:lang w:eastAsia="zh-CN"/>
        </w:rPr>
        <w:t>学生</w:t>
      </w:r>
      <w:r>
        <w:rPr>
          <w:rFonts w:hint="eastAsia" w:ascii="仿宋" w:hAnsi="仿宋" w:eastAsia="仿宋" w:cs="仿宋"/>
          <w:bCs/>
          <w:szCs w:val="21"/>
        </w:rPr>
        <w:t>。基于基本角色的基础上编辑添加SP、实验员等多种角色，不同角色，可自定义进行权限分配。</w:t>
      </w:r>
    </w:p>
    <w:bookmarkEnd w:id="10"/>
    <w:p>
      <w:pPr>
        <w:adjustRightInd w:val="0"/>
        <w:snapToGrid w:val="0"/>
        <w:spacing w:line="360" w:lineRule="auto"/>
        <w:rPr>
          <w:rFonts w:hint="eastAsia" w:ascii="仿宋" w:hAnsi="仿宋" w:eastAsia="仿宋" w:cs="仿宋"/>
          <w:bCs/>
          <w:szCs w:val="21"/>
        </w:rPr>
      </w:pPr>
      <w:r>
        <w:rPr>
          <w:rFonts w:hint="eastAsia" w:ascii="仿宋" w:hAnsi="仿宋" w:eastAsia="仿宋" w:cs="仿宋"/>
          <w:bCs/>
          <w:szCs w:val="21"/>
        </w:rPr>
        <w:t>8.9 高级角色可根据关联子系统的需要，设置用户的查看范围，包括所有范围、仅本人数据、所在部门数据（不含子部门）、所在部门子部门数据、所在部门及子部门数据、同级部门数据（不包含子部门）、同级部门及所有子部门数据、所在部门顶级部门下所有数据。（提供页面截图，展示数据范围设置选项，选项至少包括所有数据、仅本人数据、所在部门数据（不含子部门）、所在部门子部门数据、所在部门及子部门数据、同级部门数据（不包含子部门）、同级部门及所有子部门数据、所在部门顶级部门下所有数据。）</w:t>
      </w:r>
    </w:p>
    <w:p>
      <w:pPr>
        <w:pStyle w:val="2"/>
        <w:numPr>
          <w:ilvl w:val="0"/>
          <w:numId w:val="9"/>
        </w:numPr>
        <w:ind w:firstLineChars="0"/>
        <w:rPr>
          <w:rFonts w:hint="eastAsia" w:ascii="仿宋" w:hAnsi="仿宋" w:eastAsia="仿宋" w:cs="仿宋"/>
          <w:b/>
          <w:sz w:val="21"/>
          <w:szCs w:val="21"/>
          <w:lang w:val="en-US"/>
        </w:rPr>
      </w:pPr>
      <w:r>
        <w:rPr>
          <w:rFonts w:hint="eastAsia" w:ascii="仿宋" w:hAnsi="仿宋" w:eastAsia="仿宋" w:cs="仿宋"/>
          <w:b/>
          <w:sz w:val="21"/>
          <w:szCs w:val="21"/>
          <w:lang w:val="en-US"/>
        </w:rPr>
        <w:t>售后服务</w:t>
      </w:r>
    </w:p>
    <w:p>
      <w:pPr>
        <w:pStyle w:val="2"/>
        <w:ind w:firstLine="0" w:firstLineChars="0"/>
        <w:rPr>
          <w:rFonts w:hint="eastAsia" w:ascii="仿宋" w:hAnsi="仿宋" w:eastAsia="仿宋" w:cs="仿宋"/>
          <w:sz w:val="21"/>
          <w:szCs w:val="21"/>
        </w:rPr>
      </w:pPr>
      <w:r>
        <w:rPr>
          <w:rFonts w:hint="eastAsia" w:ascii="仿宋" w:hAnsi="仿宋" w:eastAsia="仿宋" w:cs="仿宋"/>
          <w:bCs/>
          <w:sz w:val="21"/>
          <w:szCs w:val="21"/>
          <w:lang w:val="en-US"/>
        </w:rPr>
        <w:t xml:space="preserve">   </w:t>
      </w:r>
      <w:r>
        <w:rPr>
          <w:rFonts w:hint="eastAsia" w:ascii="仿宋" w:hAnsi="仿宋" w:eastAsia="仿宋" w:cs="仿宋"/>
          <w:sz w:val="21"/>
          <w:szCs w:val="21"/>
        </w:rPr>
        <w:t>所提供的技术服务至少为7×24小时支持维护服务，包括邮件、电话、远程维护、现场服务等方式。必须保证1小时之内响应。</w:t>
      </w:r>
    </w:p>
    <w:p>
      <w:pPr>
        <w:pStyle w:val="2"/>
        <w:numPr>
          <w:ilvl w:val="0"/>
          <w:numId w:val="9"/>
        </w:numPr>
        <w:ind w:firstLineChars="0"/>
        <w:rPr>
          <w:rFonts w:hint="eastAsia" w:ascii="仿宋" w:hAnsi="仿宋" w:eastAsia="仿宋" w:cs="仿宋"/>
          <w:b/>
          <w:bCs/>
          <w:color w:val="000000"/>
          <w:sz w:val="21"/>
          <w:szCs w:val="21"/>
        </w:rPr>
      </w:pPr>
      <w:r>
        <w:rPr>
          <w:rFonts w:hint="eastAsia" w:ascii="仿宋" w:hAnsi="仿宋" w:eastAsia="仿宋" w:cs="仿宋"/>
          <w:b/>
          <w:bCs/>
          <w:color w:val="000000"/>
          <w:sz w:val="21"/>
          <w:szCs w:val="21"/>
        </w:rPr>
        <w:t>付款方式</w:t>
      </w:r>
    </w:p>
    <w:p>
      <w:pPr>
        <w:pStyle w:val="2"/>
        <w:ind w:firstLine="420"/>
        <w:rPr>
          <w:rFonts w:hint="eastAsia" w:ascii="仿宋" w:hAnsi="仿宋" w:eastAsia="仿宋" w:cs="仿宋"/>
          <w:sz w:val="21"/>
          <w:szCs w:val="21"/>
          <w:lang w:val="en-US" w:bidi="ar"/>
        </w:rPr>
      </w:pPr>
      <w:r>
        <w:rPr>
          <w:rFonts w:hint="eastAsia" w:ascii="仿宋" w:hAnsi="仿宋" w:eastAsia="仿宋" w:cs="仿宋"/>
          <w:sz w:val="21"/>
          <w:szCs w:val="21"/>
          <w:lang w:val="en-US" w:bidi="ar"/>
        </w:rPr>
        <w:t>抗疫期间，按《浙江省财政厅关于坚决打赢疫情防控阻击战进一步做好政府采购资金支持企业发展工作的通知》（浙财采监〔2020〕3号）和《浙江省财政厅关于进一步发挥政府采购政策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2"/>
        <w:numPr>
          <w:ilvl w:val="0"/>
          <w:numId w:val="9"/>
        </w:numPr>
        <w:ind w:firstLineChars="0"/>
        <w:rPr>
          <w:rFonts w:hint="eastAsia" w:ascii="仿宋" w:hAnsi="仿宋" w:eastAsia="仿宋" w:cs="仿宋"/>
          <w:b/>
          <w:bCs/>
          <w:sz w:val="21"/>
          <w:szCs w:val="21"/>
          <w:highlight w:val="none"/>
          <w:lang w:val="en-US" w:bidi="ar"/>
        </w:rPr>
      </w:pPr>
      <w:r>
        <w:rPr>
          <w:rFonts w:hint="eastAsia" w:ascii="仿宋" w:hAnsi="仿宋" w:eastAsia="仿宋" w:cs="仿宋"/>
          <w:b/>
          <w:bCs/>
          <w:sz w:val="21"/>
          <w:szCs w:val="21"/>
          <w:highlight w:val="none"/>
          <w:lang w:val="en-US" w:bidi="ar"/>
        </w:rPr>
        <w:t>其他</w:t>
      </w:r>
    </w:p>
    <w:p>
      <w:pPr>
        <w:pStyle w:val="168"/>
        <w:spacing w:line="360" w:lineRule="auto"/>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en-US" w:bidi="ar"/>
        </w:rPr>
        <w:t xml:space="preserve"> </w:t>
      </w:r>
      <w:r>
        <w:rPr>
          <w:rFonts w:hint="eastAsia" w:ascii="仿宋" w:hAnsi="仿宋" w:eastAsia="仿宋" w:cs="仿宋"/>
          <w:sz w:val="21"/>
          <w:szCs w:val="21"/>
          <w:highlight w:val="none"/>
          <w:lang w:val="en-US" w:eastAsia="zh-CN" w:bidi="ar"/>
        </w:rPr>
        <w:t>1、支持达到互联互通四级甲等及五级乙等信息建设要求，须每年提供相关操作文档包括开发文档及数据采集相关材料。</w:t>
      </w:r>
    </w:p>
    <w:p>
      <w:pPr>
        <w:pStyle w:val="168"/>
        <w:tabs>
          <w:tab w:val="left" w:pos="1660"/>
        </w:tabs>
        <w:spacing w:line="360" w:lineRule="auto"/>
        <w:jc w:val="lef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2、维保期内未涉及产品框架改造，中标方应按医院业务需求修改，不收取任何费用。</w:t>
      </w:r>
    </w:p>
    <w:p>
      <w:pPr>
        <w:pStyle w:val="168"/>
        <w:tabs>
          <w:tab w:val="left" w:pos="1660"/>
        </w:tabs>
        <w:spacing w:line="360" w:lineRule="auto"/>
        <w:jc w:val="lef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3、该系统免费开放接口供其它系统使用及认证。</w:t>
      </w:r>
    </w:p>
    <w:p>
      <w:pPr>
        <w:pStyle w:val="168"/>
        <w:tabs>
          <w:tab w:val="left" w:pos="1660"/>
        </w:tabs>
        <w:spacing w:line="360" w:lineRule="auto"/>
        <w:jc w:val="lef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4、符合应用系统三级等保要求，如有必要配合整改，三级等保测评费用不包含在内。</w:t>
      </w:r>
    </w:p>
    <w:p>
      <w:pPr>
        <w:pStyle w:val="168"/>
        <w:tabs>
          <w:tab w:val="left" w:pos="1660"/>
        </w:tabs>
        <w:spacing w:after="60" w:line="360" w:lineRule="auto"/>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5、此项目实施过程中所产生的一切实施费用均由中标方承担。</w:t>
      </w:r>
    </w:p>
    <w:p>
      <w:pPr>
        <w:pStyle w:val="168"/>
        <w:tabs>
          <w:tab w:val="left" w:pos="1666"/>
        </w:tabs>
        <w:spacing w:after="60" w:line="360" w:lineRule="auto"/>
        <w:jc w:val="lef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6、针对与集成平台对接应承诺不收取任何费用。</w:t>
      </w:r>
    </w:p>
    <w:p>
      <w:pPr>
        <w:pStyle w:val="168"/>
        <w:tabs>
          <w:tab w:val="left" w:pos="1666"/>
        </w:tabs>
        <w:spacing w:after="60" w:line="360" w:lineRule="auto"/>
        <w:jc w:val="left"/>
        <w:rPr>
          <w:rFonts w:hint="eastAsia" w:ascii="仿宋" w:hAnsi="仿宋" w:eastAsia="仿宋" w:cs="仿宋"/>
          <w:sz w:val="21"/>
          <w:szCs w:val="21"/>
          <w:highlight w:val="none"/>
          <w:lang w:val="en-US" w:eastAsia="zh-CN" w:bidi="ar"/>
        </w:rPr>
      </w:pPr>
      <w:r>
        <w:rPr>
          <w:rFonts w:hint="eastAsia" w:ascii="仿宋" w:hAnsi="仿宋" w:eastAsia="仿宋" w:cs="仿宋"/>
          <w:sz w:val="21"/>
          <w:szCs w:val="21"/>
          <w:highlight w:val="none"/>
          <w:lang w:val="en-US" w:eastAsia="zh-CN" w:bidi="ar"/>
        </w:rPr>
        <w:t>7、中标方提供免费接口供其它系统使用及认证并承担与本软件相关的</w:t>
      </w:r>
      <w:r>
        <w:rPr>
          <w:rFonts w:hint="eastAsia" w:ascii="仿宋" w:hAnsi="仿宋" w:eastAsia="仿宋" w:cs="仿宋"/>
          <w:sz w:val="21"/>
          <w:szCs w:val="21"/>
          <w:highlight w:val="none"/>
          <w:lang w:val="en-US" w:eastAsia="en-US" w:bidi="ar"/>
        </w:rPr>
        <w:t>His</w:t>
      </w:r>
      <w:r>
        <w:rPr>
          <w:rFonts w:hint="eastAsia" w:ascii="仿宋" w:hAnsi="仿宋" w:eastAsia="仿宋" w:cs="仿宋"/>
          <w:sz w:val="21"/>
          <w:szCs w:val="21"/>
          <w:highlight w:val="none"/>
          <w:lang w:val="en-US" w:eastAsia="zh-CN" w:bidi="ar"/>
        </w:rPr>
        <w:t>等相关医院信息系统接口费用。</w:t>
      </w:r>
    </w:p>
    <w:p>
      <w:pPr>
        <w:adjustRightInd w:val="0"/>
        <w:snapToGrid w:val="0"/>
        <w:spacing w:line="360" w:lineRule="auto"/>
        <w:ind w:firstLine="210" w:firstLineChars="100"/>
        <w:rPr>
          <w:rFonts w:hint="eastAsia" w:ascii="仿宋" w:hAnsi="仿宋" w:eastAsia="仿宋" w:cs="仿宋"/>
          <w:bCs/>
          <w:szCs w:val="21"/>
          <w:highlight w:val="none"/>
        </w:rPr>
      </w:pPr>
      <w:r>
        <w:rPr>
          <w:rFonts w:hint="eastAsia" w:ascii="仿宋" w:hAnsi="仿宋" w:eastAsia="仿宋" w:cs="仿宋"/>
          <w:bCs/>
          <w:szCs w:val="21"/>
          <w:highlight w:val="none"/>
        </w:rPr>
        <w:t>8</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rPr>
        <w:t>免费维护</w:t>
      </w:r>
      <w:r>
        <w:rPr>
          <w:rFonts w:hint="eastAsia" w:ascii="仿宋" w:hAnsi="仿宋" w:eastAsia="仿宋" w:cs="仿宋"/>
          <w:bCs/>
          <w:szCs w:val="21"/>
          <w:highlight w:val="none"/>
          <w:lang w:val="en-US" w:eastAsia="zh-CN"/>
        </w:rPr>
        <w:t>2年</w:t>
      </w:r>
      <w:r>
        <w:rPr>
          <w:rFonts w:hint="eastAsia" w:ascii="仿宋" w:hAnsi="仿宋" w:eastAsia="仿宋" w:cs="仿宋"/>
          <w:bCs/>
          <w:szCs w:val="21"/>
          <w:highlight w:val="none"/>
        </w:rPr>
        <w:t>。</w:t>
      </w:r>
    </w:p>
    <w:p>
      <w:pPr>
        <w:adjustRightInd w:val="0"/>
        <w:snapToGrid w:val="0"/>
        <w:spacing w:line="360" w:lineRule="auto"/>
        <w:ind w:firstLine="210" w:firstLineChars="100"/>
        <w:rPr>
          <w:rFonts w:hint="eastAsia" w:ascii="仿宋" w:hAnsi="仿宋" w:eastAsia="仿宋" w:cs="仿宋"/>
          <w:bCs/>
          <w:szCs w:val="21"/>
          <w:highlight w:val="none"/>
        </w:rPr>
      </w:pPr>
      <w:r>
        <w:rPr>
          <w:rFonts w:hint="eastAsia" w:ascii="仿宋" w:hAnsi="仿宋" w:eastAsia="仿宋" w:cs="仿宋"/>
          <w:bCs/>
          <w:szCs w:val="21"/>
          <w:highlight w:val="none"/>
        </w:rPr>
        <w:t>9</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rPr>
        <w:t>协助用户开发案例库。</w:t>
      </w:r>
    </w:p>
    <w:p>
      <w:pPr>
        <w:spacing w:line="288" w:lineRule="auto"/>
        <w:jc w:val="left"/>
        <w:rPr>
          <w:rFonts w:hint="eastAsia" w:ascii="仿宋" w:hAnsi="仿宋" w:eastAsia="仿宋" w:cs="仿宋"/>
          <w:b/>
          <w:color w:val="auto"/>
          <w:sz w:val="24"/>
          <w:highlight w:val="none"/>
        </w:rPr>
      </w:pP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第四部分合同主要条款</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1.合同</w:t>
      </w:r>
      <w:bookmarkStart w:id="11" w:name="OLE_LINK1"/>
      <w:r>
        <w:rPr>
          <w:rFonts w:hint="eastAsia" w:ascii="仿宋" w:hAnsi="仿宋" w:eastAsia="仿宋" w:cs="仿宋"/>
          <w:b/>
          <w:color w:val="auto"/>
          <w:sz w:val="24"/>
          <w:highlight w:val="none"/>
        </w:rPr>
        <w:t>范围</w:t>
      </w:r>
      <w:bookmarkEnd w:id="11"/>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本合同条款适用与本次采购活动。项目实施范围详见附件——招标文件和投标文件及补充文件、采购设计图、承诺书等。</w:t>
      </w:r>
    </w:p>
    <w:p>
      <w:pPr>
        <w:pStyle w:val="55"/>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2.合同的签订</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2.1.1交货地点：用户指定地点。</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szCs w:val="24"/>
          <w:highlight w:val="none"/>
        </w:rPr>
        <w:t>2.1.2</w:t>
      </w:r>
      <w:r>
        <w:rPr>
          <w:rFonts w:hint="eastAsia" w:ascii="仿宋" w:hAnsi="仿宋" w:eastAsia="仿宋" w:cs="仿宋"/>
          <w:color w:val="auto"/>
          <w:highlight w:val="none"/>
        </w:rPr>
        <w:t>到货期：按标项内具体要求执行。</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3.付款方式：</w:t>
      </w:r>
      <w:r>
        <w:rPr>
          <w:rFonts w:hint="eastAsia" w:ascii="仿宋" w:hAnsi="仿宋" w:eastAsia="仿宋" w:cs="仿宋"/>
          <w:color w:val="auto"/>
          <w:highlight w:val="none"/>
        </w:rPr>
        <w:t>按标项内具体要求执行。</w:t>
      </w:r>
    </w:p>
    <w:p>
      <w:pPr>
        <w:tabs>
          <w:tab w:val="left" w:pos="7950"/>
        </w:tabs>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4.合同修改</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 质量标准和验收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5.1中标人提供的产品及服务必须是经合法途径取得的。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5.3验收由使用单位按规定组织相关人员或专家进行。</w:t>
      </w:r>
    </w:p>
    <w:p>
      <w:pPr>
        <w:spacing w:line="440" w:lineRule="exact"/>
        <w:ind w:hanging="2"/>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6.违约责任</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7．违约赔偿</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7.2 </w:t>
      </w:r>
      <w:r>
        <w:rPr>
          <w:rFonts w:hint="eastAsia" w:ascii="仿宋" w:hAnsi="仿宋" w:eastAsia="仿宋" w:cs="仿宋"/>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8.不可抗力</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9.解决合同纠纷的方式</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9.3在仲裁和诉讼期间，除正在进行裁定的部分外，本合同其他部分应继续执行。</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9.4合同应在双方签字盖章后开始生效。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2"/>
        <w:spacing w:line="800" w:lineRule="exact"/>
        <w:ind w:firstLine="723"/>
        <w:jc w:val="center"/>
        <w:rPr>
          <w:rFonts w:hint="eastAsia" w:ascii="仿宋" w:hAnsi="仿宋" w:eastAsia="仿宋" w:cs="仿宋"/>
          <w:b/>
          <w:color w:val="auto"/>
          <w:sz w:val="36"/>
          <w:szCs w:val="36"/>
          <w:highlight w:val="none"/>
        </w:rPr>
      </w:pPr>
    </w:p>
    <w:p>
      <w:pPr>
        <w:pStyle w:val="22"/>
        <w:spacing w:line="800" w:lineRule="exact"/>
        <w:ind w:firstLine="723"/>
        <w:jc w:val="center"/>
        <w:rPr>
          <w:rFonts w:hint="eastAsia" w:ascii="仿宋" w:hAnsi="仿宋" w:eastAsia="仿宋" w:cs="仿宋"/>
          <w:b/>
          <w:color w:val="auto"/>
          <w:sz w:val="36"/>
          <w:szCs w:val="36"/>
          <w:highlight w:val="none"/>
        </w:rPr>
      </w:pPr>
    </w:p>
    <w:p>
      <w:pPr>
        <w:pStyle w:val="22"/>
        <w:spacing w:line="800" w:lineRule="exact"/>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pPr>
        <w:rPr>
          <w:rFonts w:hint="eastAsia" w:ascii="仿宋" w:hAnsi="仿宋" w:eastAsia="仿宋" w:cs="仿宋"/>
          <w:b/>
          <w:bCs/>
          <w:color w:val="auto"/>
          <w:kern w:val="0"/>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color w:val="auto"/>
          <w:kern w:val="0"/>
          <w:sz w:val="24"/>
          <w:highlight w:val="none"/>
        </w:rPr>
        <w:t>：70分</w:t>
      </w:r>
    </w:p>
    <w:tbl>
      <w:tblPr>
        <w:tblStyle w:val="40"/>
        <w:tblW w:w="8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7454"/>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1" w:type="dxa"/>
            <w:noWrap w:val="0"/>
            <w:vAlign w:val="center"/>
          </w:tcPr>
          <w:p>
            <w:pPr>
              <w:jc w:val="center"/>
              <w:rPr>
                <w:rFonts w:hint="eastAsia" w:ascii="仿宋" w:hAnsi="仿宋" w:eastAsia="仿宋" w:cs="仿宋"/>
                <w:szCs w:val="21"/>
              </w:rPr>
            </w:pPr>
            <w:r>
              <w:rPr>
                <w:rFonts w:hint="eastAsia" w:ascii="仿宋" w:hAnsi="仿宋" w:eastAsia="仿宋" w:cs="仿宋"/>
                <w:szCs w:val="21"/>
              </w:rPr>
              <w:t>序号</w:t>
            </w:r>
          </w:p>
        </w:tc>
        <w:tc>
          <w:tcPr>
            <w:tcW w:w="7454" w:type="dxa"/>
            <w:noWrap w:val="0"/>
            <w:vAlign w:val="center"/>
          </w:tcPr>
          <w:p>
            <w:pPr>
              <w:jc w:val="center"/>
              <w:rPr>
                <w:rFonts w:hint="eastAsia" w:ascii="仿宋" w:hAnsi="仿宋" w:eastAsia="仿宋" w:cs="仿宋"/>
                <w:szCs w:val="21"/>
              </w:rPr>
            </w:pPr>
            <w:r>
              <w:rPr>
                <w:rFonts w:hint="eastAsia" w:ascii="仿宋" w:hAnsi="仿宋" w:eastAsia="仿宋" w:cs="仿宋"/>
                <w:szCs w:val="21"/>
              </w:rPr>
              <w:t>评分标准</w:t>
            </w:r>
          </w:p>
        </w:tc>
        <w:tc>
          <w:tcPr>
            <w:tcW w:w="540" w:type="dxa"/>
            <w:noWrap w:val="0"/>
            <w:vAlign w:val="center"/>
          </w:tcPr>
          <w:p>
            <w:pPr>
              <w:ind w:left="-103" w:leftChars="-49" w:right="-113" w:rightChars="-54"/>
              <w:jc w:val="center"/>
              <w:rPr>
                <w:rFonts w:hint="eastAsia" w:ascii="仿宋" w:hAnsi="仿宋" w:eastAsia="仿宋" w:cs="仿宋"/>
                <w:szCs w:val="21"/>
              </w:rPr>
            </w:pPr>
            <w:r>
              <w:rPr>
                <w:rFonts w:hint="eastAsia" w:ascii="仿宋" w:hAnsi="仿宋" w:eastAsia="仿宋" w:cs="仿宋"/>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1" w:type="dxa"/>
            <w:noWrap w:val="0"/>
            <w:vAlign w:val="center"/>
          </w:tcPr>
          <w:p>
            <w:pPr>
              <w:jc w:val="center"/>
              <w:rPr>
                <w:rFonts w:hint="eastAsia" w:ascii="仿宋" w:hAnsi="仿宋" w:eastAsia="仿宋" w:cs="仿宋"/>
                <w:szCs w:val="21"/>
              </w:rPr>
            </w:pPr>
            <w:r>
              <w:rPr>
                <w:rFonts w:hint="eastAsia" w:ascii="仿宋" w:hAnsi="仿宋" w:eastAsia="仿宋" w:cs="仿宋"/>
                <w:szCs w:val="21"/>
              </w:rPr>
              <w:t>1</w:t>
            </w:r>
          </w:p>
        </w:tc>
        <w:tc>
          <w:tcPr>
            <w:tcW w:w="7454" w:type="dxa"/>
            <w:noWrap w:val="0"/>
            <w:vAlign w:val="center"/>
          </w:tcPr>
          <w:p>
            <w:pPr>
              <w:rPr>
                <w:rFonts w:hint="eastAsia" w:ascii="仿宋" w:hAnsi="仿宋" w:eastAsia="仿宋" w:cs="仿宋"/>
                <w:szCs w:val="21"/>
              </w:rPr>
            </w:pPr>
            <w:r>
              <w:rPr>
                <w:rFonts w:hint="eastAsia" w:ascii="仿宋" w:hAnsi="仿宋" w:eastAsia="仿宋" w:cs="仿宋"/>
                <w:szCs w:val="21"/>
              </w:rPr>
              <w:t>完全满足招标文件要求的38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noWrap w:val="0"/>
            <w:vAlign w:val="center"/>
          </w:tcPr>
          <w:p>
            <w:pPr>
              <w:ind w:left="-107" w:leftChars="-51" w:right="-113" w:rightChars="-54"/>
              <w:jc w:val="center"/>
              <w:rPr>
                <w:rFonts w:hint="eastAsia" w:ascii="仿宋" w:hAnsi="仿宋" w:eastAsia="仿宋" w:cs="仿宋"/>
                <w:szCs w:val="21"/>
              </w:rPr>
            </w:pPr>
            <w:r>
              <w:rPr>
                <w:rFonts w:hint="eastAsia" w:ascii="仿宋" w:hAnsi="仿宋" w:eastAsia="仿宋" w:cs="仿宋"/>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1" w:type="dxa"/>
            <w:noWrap w:val="0"/>
            <w:vAlign w:val="center"/>
          </w:tcPr>
          <w:p>
            <w:pPr>
              <w:ind w:firstLine="0" w:firstLineChars="0"/>
              <w:jc w:val="center"/>
              <w:rPr>
                <w:rFonts w:hint="eastAsia" w:ascii="仿宋" w:hAnsi="仿宋" w:eastAsia="仿宋" w:cs="仿宋"/>
                <w:szCs w:val="21"/>
              </w:rPr>
            </w:pPr>
            <w:r>
              <w:rPr>
                <w:rFonts w:hint="eastAsia" w:ascii="仿宋" w:hAnsi="仿宋" w:eastAsia="仿宋" w:cs="仿宋"/>
                <w:szCs w:val="21"/>
              </w:rPr>
              <w:t>2</w:t>
            </w:r>
          </w:p>
        </w:tc>
        <w:tc>
          <w:tcPr>
            <w:tcW w:w="7454" w:type="dxa"/>
            <w:noWrap w:val="0"/>
            <w:vAlign w:val="center"/>
          </w:tcPr>
          <w:p>
            <w:pPr>
              <w:spacing w:line="320" w:lineRule="exact"/>
              <w:rPr>
                <w:rFonts w:hint="eastAsia" w:ascii="仿宋" w:hAnsi="仿宋" w:eastAsia="仿宋" w:cs="仿宋"/>
                <w:szCs w:val="21"/>
              </w:rPr>
            </w:pPr>
            <w:r>
              <w:rPr>
                <w:rFonts w:hint="eastAsia" w:ascii="仿宋" w:hAnsi="仿宋" w:eastAsia="仿宋" w:cs="仿宋"/>
                <w:szCs w:val="21"/>
              </w:rPr>
              <w:t>项目方案设计：投标人根据项目需求目标提出具有针对性的项目总体设计方案的进行评审，优得3.1-4.0分，良得1.1-3.0分，一般得0.1-1.0分。</w:t>
            </w:r>
          </w:p>
        </w:tc>
        <w:tc>
          <w:tcPr>
            <w:tcW w:w="540" w:type="dxa"/>
            <w:noWrap w:val="0"/>
            <w:vAlign w:val="center"/>
          </w:tcPr>
          <w:p>
            <w:pPr>
              <w:ind w:left="-107" w:leftChars="-51" w:right="-113" w:rightChars="-54"/>
              <w:jc w:val="center"/>
              <w:rPr>
                <w:rFonts w:hint="eastAsia" w:ascii="仿宋" w:hAnsi="仿宋" w:eastAsia="仿宋" w:cs="仿宋"/>
                <w:szCs w:val="21"/>
              </w:rPr>
            </w:pPr>
            <w:r>
              <w:rPr>
                <w:rFonts w:hint="eastAsia" w:ascii="仿宋" w:hAnsi="仿宋" w:eastAsia="仿宋" w:cs="仿宋"/>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1" w:type="dxa"/>
            <w:noWrap w:val="0"/>
            <w:vAlign w:val="center"/>
          </w:tcPr>
          <w:p>
            <w:pPr>
              <w:jc w:val="center"/>
              <w:rPr>
                <w:rFonts w:hint="eastAsia" w:ascii="仿宋" w:hAnsi="仿宋" w:eastAsia="仿宋" w:cs="仿宋"/>
                <w:szCs w:val="21"/>
              </w:rPr>
            </w:pPr>
            <w:r>
              <w:rPr>
                <w:rFonts w:hint="eastAsia" w:ascii="仿宋" w:hAnsi="仿宋" w:eastAsia="仿宋" w:cs="仿宋"/>
                <w:szCs w:val="21"/>
              </w:rPr>
              <w:t>3</w:t>
            </w:r>
          </w:p>
        </w:tc>
        <w:tc>
          <w:tcPr>
            <w:tcW w:w="7454" w:type="dxa"/>
            <w:noWrap w:val="0"/>
            <w:vAlign w:val="center"/>
          </w:tcPr>
          <w:p>
            <w:pPr>
              <w:rPr>
                <w:rFonts w:hint="eastAsia" w:ascii="仿宋" w:hAnsi="仿宋" w:eastAsia="仿宋" w:cs="仿宋"/>
                <w:szCs w:val="21"/>
              </w:rPr>
            </w:pPr>
            <w:r>
              <w:rPr>
                <w:rFonts w:hint="eastAsia" w:ascii="仿宋" w:hAnsi="仿宋" w:eastAsia="仿宋" w:cs="仿宋"/>
                <w:szCs w:val="21"/>
              </w:rPr>
              <w:t>对公司技术力量情况、供货安装进度的安排合理性、现场安全措施的可行性等方面打分。优于项目需求的得</w:t>
            </w:r>
            <w:r>
              <w:rPr>
                <w:rFonts w:hint="eastAsia" w:ascii="仿宋" w:hAnsi="仿宋" w:eastAsia="仿宋" w:cs="仿宋"/>
                <w:szCs w:val="21"/>
                <w:lang w:val="en-US" w:eastAsia="zh-CN"/>
              </w:rPr>
              <w:t>4.1-</w:t>
            </w:r>
            <w:r>
              <w:rPr>
                <w:rFonts w:hint="eastAsia" w:ascii="仿宋" w:hAnsi="仿宋" w:eastAsia="仿宋" w:cs="仿宋"/>
                <w:szCs w:val="21"/>
              </w:rPr>
              <w:t>5</w:t>
            </w:r>
            <w:r>
              <w:rPr>
                <w:rFonts w:hint="eastAsia" w:ascii="仿宋" w:hAnsi="仿宋" w:eastAsia="仿宋" w:cs="仿宋"/>
                <w:szCs w:val="21"/>
                <w:lang w:val="en-US" w:eastAsia="zh-CN"/>
              </w:rPr>
              <w:t>.0</w:t>
            </w:r>
            <w:r>
              <w:rPr>
                <w:rFonts w:hint="eastAsia" w:ascii="仿宋" w:hAnsi="仿宋" w:eastAsia="仿宋" w:cs="仿宋"/>
                <w:szCs w:val="21"/>
              </w:rPr>
              <w:t>分，基本符合项目需求的得3.0-4.0分，部分符合项目需求的得1.0-2.0分,不符合项目需求的得0分。</w:t>
            </w:r>
          </w:p>
        </w:tc>
        <w:tc>
          <w:tcPr>
            <w:tcW w:w="540" w:type="dxa"/>
            <w:noWrap w:val="0"/>
            <w:vAlign w:val="center"/>
          </w:tcPr>
          <w:p>
            <w:pPr>
              <w:ind w:left="-107" w:leftChars="-51" w:right="-113" w:rightChars="-54"/>
              <w:jc w:val="center"/>
              <w:rPr>
                <w:rFonts w:hint="eastAsia" w:ascii="仿宋" w:hAnsi="仿宋" w:eastAsia="仿宋" w:cs="仿宋"/>
                <w:szCs w:val="21"/>
              </w:rPr>
            </w:pPr>
            <w:r>
              <w:rPr>
                <w:rFonts w:hint="eastAsia" w:ascii="仿宋" w:hAnsi="仿宋" w:eastAsia="仿宋" w:cs="仿宋"/>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71" w:type="dxa"/>
            <w:noWrap w:val="0"/>
            <w:vAlign w:val="center"/>
          </w:tcPr>
          <w:p>
            <w:pPr>
              <w:jc w:val="center"/>
              <w:rPr>
                <w:rFonts w:hint="eastAsia" w:ascii="仿宋" w:hAnsi="仿宋" w:eastAsia="仿宋" w:cs="仿宋"/>
                <w:szCs w:val="21"/>
              </w:rPr>
            </w:pPr>
            <w:r>
              <w:rPr>
                <w:rFonts w:hint="eastAsia" w:ascii="仿宋" w:hAnsi="仿宋" w:eastAsia="仿宋" w:cs="仿宋"/>
                <w:szCs w:val="21"/>
              </w:rPr>
              <w:t>4</w:t>
            </w:r>
          </w:p>
        </w:tc>
        <w:tc>
          <w:tcPr>
            <w:tcW w:w="7454" w:type="dxa"/>
            <w:noWrap w:val="0"/>
            <w:vAlign w:val="center"/>
          </w:tcPr>
          <w:p>
            <w:pPr>
              <w:rPr>
                <w:rFonts w:hint="eastAsia" w:ascii="仿宋" w:hAnsi="仿宋" w:eastAsia="仿宋" w:cs="仿宋"/>
                <w:szCs w:val="21"/>
              </w:rPr>
            </w:pPr>
            <w:r>
              <w:rPr>
                <w:rFonts w:hint="eastAsia" w:ascii="仿宋" w:hAnsi="仿宋" w:eastAsia="仿宋" w:cs="仿宋"/>
                <w:szCs w:val="21"/>
              </w:rPr>
              <w:t xml:space="preserve">根据投标人所提供2019年1月至今的同类产品案例合同，经评标小组认定为符合要求，每有一份得1分，最高得3分，需提供合同复印件加盖投标人公章，未提供不得分。 </w:t>
            </w:r>
          </w:p>
        </w:tc>
        <w:tc>
          <w:tcPr>
            <w:tcW w:w="540" w:type="dxa"/>
            <w:noWrap w:val="0"/>
            <w:vAlign w:val="center"/>
          </w:tcPr>
          <w:p>
            <w:pPr>
              <w:ind w:left="-107" w:leftChars="-51" w:right="-113" w:rightChars="-54"/>
              <w:jc w:val="center"/>
              <w:rPr>
                <w:rFonts w:hint="eastAsia" w:ascii="仿宋" w:hAnsi="仿宋" w:eastAsia="仿宋" w:cs="仿宋"/>
                <w:szCs w:val="21"/>
              </w:rPr>
            </w:pPr>
            <w:r>
              <w:rPr>
                <w:rFonts w:hint="eastAsia" w:ascii="仿宋" w:hAnsi="仿宋" w:eastAsia="仿宋" w:cs="仿宋"/>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1" w:type="dxa"/>
            <w:noWrap w:val="0"/>
            <w:vAlign w:val="center"/>
          </w:tcPr>
          <w:p>
            <w:pPr>
              <w:jc w:val="center"/>
              <w:rPr>
                <w:rFonts w:hint="eastAsia" w:ascii="仿宋" w:hAnsi="仿宋" w:eastAsia="仿宋" w:cs="仿宋"/>
                <w:szCs w:val="21"/>
              </w:rPr>
            </w:pPr>
            <w:r>
              <w:rPr>
                <w:rFonts w:hint="eastAsia" w:ascii="仿宋" w:hAnsi="仿宋" w:eastAsia="仿宋" w:cs="仿宋"/>
                <w:szCs w:val="21"/>
              </w:rPr>
              <w:t>5</w:t>
            </w:r>
          </w:p>
        </w:tc>
        <w:tc>
          <w:tcPr>
            <w:tcW w:w="7454" w:type="dxa"/>
            <w:noWrap w:val="0"/>
            <w:vAlign w:val="center"/>
          </w:tcPr>
          <w:p>
            <w:pPr>
              <w:rPr>
                <w:rFonts w:hint="eastAsia" w:ascii="仿宋" w:hAnsi="仿宋" w:eastAsia="仿宋" w:cs="仿宋"/>
                <w:szCs w:val="21"/>
              </w:rPr>
            </w:pPr>
            <w:r>
              <w:rPr>
                <w:rFonts w:hint="eastAsia" w:ascii="仿宋" w:hAnsi="仿宋" w:eastAsia="仿宋" w:cs="仿宋"/>
                <w:szCs w:val="21"/>
              </w:rPr>
              <w:t>根据项目培训方案进行综合评审（要求培训方案完整、详细，满足业务要求），优得3.1-4.0分；良得1.1-3.0分；一般得0.1-1.0分；未提供不得分。</w:t>
            </w:r>
          </w:p>
        </w:tc>
        <w:tc>
          <w:tcPr>
            <w:tcW w:w="540" w:type="dxa"/>
            <w:noWrap w:val="0"/>
            <w:vAlign w:val="center"/>
          </w:tcPr>
          <w:p>
            <w:pPr>
              <w:ind w:left="-107" w:leftChars="-51" w:right="-113" w:rightChars="-54"/>
              <w:jc w:val="center"/>
              <w:rPr>
                <w:rFonts w:hint="eastAsia" w:ascii="仿宋" w:hAnsi="仿宋" w:eastAsia="仿宋" w:cs="仿宋"/>
                <w:szCs w:val="21"/>
              </w:rPr>
            </w:pPr>
            <w:r>
              <w:rPr>
                <w:rFonts w:hint="eastAsia" w:ascii="仿宋" w:hAnsi="仿宋" w:eastAsia="仿宋" w:cs="仿宋"/>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71" w:type="dxa"/>
            <w:noWrap w:val="0"/>
            <w:vAlign w:val="center"/>
          </w:tcPr>
          <w:p>
            <w:pPr>
              <w:jc w:val="center"/>
              <w:rPr>
                <w:rFonts w:hint="eastAsia" w:ascii="仿宋" w:hAnsi="仿宋" w:eastAsia="仿宋" w:cs="仿宋"/>
                <w:szCs w:val="21"/>
              </w:rPr>
            </w:pPr>
            <w:r>
              <w:rPr>
                <w:rFonts w:hint="eastAsia" w:ascii="仿宋" w:hAnsi="仿宋" w:eastAsia="仿宋" w:cs="仿宋"/>
                <w:szCs w:val="21"/>
              </w:rPr>
              <w:t>6</w:t>
            </w:r>
          </w:p>
        </w:tc>
        <w:tc>
          <w:tcPr>
            <w:tcW w:w="7454" w:type="dxa"/>
            <w:noWrap w:val="0"/>
            <w:vAlign w:val="center"/>
          </w:tcPr>
          <w:p>
            <w:pPr>
              <w:rPr>
                <w:rFonts w:hint="eastAsia" w:ascii="仿宋" w:hAnsi="仿宋" w:eastAsia="仿宋" w:cs="仿宋"/>
                <w:szCs w:val="21"/>
              </w:rPr>
            </w:pPr>
            <w:r>
              <w:rPr>
                <w:rFonts w:hint="eastAsia" w:ascii="仿宋" w:hAnsi="仿宋" w:eastAsia="仿宋" w:cs="仿宋"/>
                <w:szCs w:val="21"/>
              </w:rPr>
              <w:t>投标人提供对本项目的售后服务方案，投标人针对本项目制定的售后服务管理体系方案内容完整合理，切实可行，根据服务人员数量、资质和分工、服务机制、响应时间、故障解决等内容的合理性和可行性进行综合打分，优得3.1-5.0分，良得1.1-3.0分，一般得0-1.0分。</w:t>
            </w:r>
          </w:p>
        </w:tc>
        <w:tc>
          <w:tcPr>
            <w:tcW w:w="540" w:type="dxa"/>
            <w:noWrap w:val="0"/>
            <w:vAlign w:val="center"/>
          </w:tcPr>
          <w:p>
            <w:pPr>
              <w:ind w:left="-107" w:leftChars="-51" w:right="-113" w:rightChars="-54"/>
              <w:jc w:val="center"/>
              <w:rPr>
                <w:rFonts w:hint="eastAsia" w:ascii="仿宋" w:hAnsi="仿宋" w:eastAsia="仿宋" w:cs="仿宋"/>
                <w:szCs w:val="21"/>
              </w:rPr>
            </w:pPr>
            <w:r>
              <w:rPr>
                <w:rFonts w:hint="eastAsia" w:ascii="仿宋" w:hAnsi="仿宋" w:eastAsia="仿宋" w:cs="仿宋"/>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1" w:type="dxa"/>
            <w:noWrap w:val="0"/>
            <w:vAlign w:val="center"/>
          </w:tcPr>
          <w:p>
            <w:pPr>
              <w:jc w:val="center"/>
              <w:rPr>
                <w:rFonts w:hint="eastAsia" w:ascii="仿宋" w:hAnsi="仿宋" w:eastAsia="仿宋" w:cs="仿宋"/>
                <w:szCs w:val="21"/>
              </w:rPr>
            </w:pPr>
            <w:r>
              <w:rPr>
                <w:rFonts w:hint="eastAsia" w:ascii="仿宋" w:hAnsi="仿宋" w:eastAsia="仿宋" w:cs="仿宋"/>
                <w:szCs w:val="21"/>
              </w:rPr>
              <w:t>7</w:t>
            </w:r>
          </w:p>
        </w:tc>
        <w:tc>
          <w:tcPr>
            <w:tcW w:w="7454" w:type="dxa"/>
            <w:noWrap w:val="0"/>
            <w:vAlign w:val="center"/>
          </w:tcPr>
          <w:p>
            <w:pPr>
              <w:rPr>
                <w:rFonts w:hint="eastAsia" w:ascii="仿宋" w:hAnsi="仿宋" w:eastAsia="仿宋" w:cs="仿宋"/>
                <w:szCs w:val="21"/>
              </w:rPr>
            </w:pPr>
            <w:r>
              <w:rPr>
                <w:rFonts w:hint="eastAsia" w:ascii="仿宋" w:hAnsi="仿宋" w:eastAsia="仿宋" w:cs="仿宋"/>
                <w:szCs w:val="21"/>
              </w:rPr>
              <w:t>投标人具备环境管理体系认证证书和质量管理体系认证证书的，每提供一份得1分，最高得2分。</w:t>
            </w:r>
          </w:p>
          <w:p>
            <w:pPr>
              <w:rPr>
                <w:rFonts w:hint="eastAsia" w:ascii="仿宋" w:hAnsi="仿宋" w:eastAsia="仿宋" w:cs="仿宋"/>
                <w:szCs w:val="21"/>
              </w:rPr>
            </w:pPr>
            <w:r>
              <w:rPr>
                <w:rFonts w:hint="eastAsia" w:ascii="仿宋" w:hAnsi="仿宋" w:eastAsia="仿宋" w:cs="仿宋"/>
                <w:szCs w:val="21"/>
              </w:rPr>
              <w:t>投标人提供中医临床思维培训系统软件著作权证书的，得1分。</w:t>
            </w:r>
          </w:p>
        </w:tc>
        <w:tc>
          <w:tcPr>
            <w:tcW w:w="540" w:type="dxa"/>
            <w:noWrap w:val="0"/>
            <w:vAlign w:val="center"/>
          </w:tcPr>
          <w:p>
            <w:pPr>
              <w:ind w:left="-107" w:leftChars="-51" w:right="-113" w:rightChars="-54"/>
              <w:jc w:val="center"/>
              <w:rPr>
                <w:rFonts w:hint="eastAsia" w:ascii="仿宋" w:hAnsi="仿宋" w:eastAsia="仿宋" w:cs="仿宋"/>
                <w:szCs w:val="21"/>
              </w:rPr>
            </w:pPr>
            <w:r>
              <w:rPr>
                <w:rFonts w:hint="eastAsia" w:ascii="仿宋" w:hAnsi="仿宋" w:eastAsia="仿宋" w:cs="仿宋"/>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1" w:type="dxa"/>
            <w:noWrap w:val="0"/>
            <w:vAlign w:val="center"/>
          </w:tcPr>
          <w:p>
            <w:pPr>
              <w:jc w:val="center"/>
              <w:rPr>
                <w:rFonts w:hint="eastAsia" w:ascii="仿宋" w:hAnsi="仿宋" w:eastAsia="仿宋" w:cs="仿宋"/>
                <w:szCs w:val="21"/>
              </w:rPr>
            </w:pPr>
            <w:r>
              <w:rPr>
                <w:rFonts w:hint="eastAsia" w:ascii="仿宋" w:hAnsi="仿宋" w:eastAsia="仿宋" w:cs="仿宋"/>
                <w:szCs w:val="21"/>
              </w:rPr>
              <w:t>8</w:t>
            </w:r>
          </w:p>
        </w:tc>
        <w:tc>
          <w:tcPr>
            <w:tcW w:w="7454" w:type="dxa"/>
            <w:noWrap w:val="0"/>
            <w:vAlign w:val="center"/>
          </w:tcPr>
          <w:p>
            <w:pPr>
              <w:rPr>
                <w:rFonts w:hint="eastAsia" w:ascii="仿宋" w:hAnsi="仿宋" w:eastAsia="仿宋" w:cs="仿宋"/>
                <w:szCs w:val="21"/>
              </w:rPr>
            </w:pPr>
            <w:r>
              <w:rPr>
                <w:rFonts w:hint="eastAsia" w:ascii="仿宋" w:hAnsi="仿宋" w:eastAsia="仿宋" w:cs="仿宋"/>
                <w:szCs w:val="21"/>
              </w:rPr>
              <w:t>在满足招标文件免费维保年限要求的基础上，延长免费维保期：1年加1分，3年加2分，5年加3分，终身免费维保加5分，最高得5分。</w:t>
            </w:r>
          </w:p>
        </w:tc>
        <w:tc>
          <w:tcPr>
            <w:tcW w:w="540" w:type="dxa"/>
            <w:noWrap w:val="0"/>
            <w:vAlign w:val="center"/>
          </w:tcPr>
          <w:p>
            <w:pPr>
              <w:ind w:left="-107" w:leftChars="-51" w:right="-113" w:rightChars="-54"/>
              <w:jc w:val="center"/>
              <w:rPr>
                <w:rFonts w:hint="eastAsia" w:ascii="仿宋" w:hAnsi="仿宋" w:eastAsia="仿宋" w:cs="仿宋"/>
                <w:szCs w:val="21"/>
              </w:rPr>
            </w:pPr>
            <w:r>
              <w:rPr>
                <w:rFonts w:hint="eastAsia" w:ascii="仿宋" w:hAnsi="仿宋" w:eastAsia="仿宋" w:cs="仿宋"/>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1" w:type="dxa"/>
            <w:noWrap w:val="0"/>
            <w:vAlign w:val="center"/>
          </w:tcPr>
          <w:p>
            <w:pPr>
              <w:jc w:val="center"/>
              <w:rPr>
                <w:rFonts w:hint="eastAsia" w:ascii="仿宋" w:hAnsi="仿宋" w:eastAsia="仿宋" w:cs="仿宋"/>
                <w:szCs w:val="21"/>
              </w:rPr>
            </w:pPr>
            <w:r>
              <w:rPr>
                <w:rFonts w:hint="eastAsia" w:ascii="仿宋" w:hAnsi="仿宋" w:eastAsia="仿宋" w:cs="仿宋"/>
                <w:szCs w:val="21"/>
              </w:rPr>
              <w:t>9</w:t>
            </w:r>
          </w:p>
        </w:tc>
        <w:tc>
          <w:tcPr>
            <w:tcW w:w="7454" w:type="dxa"/>
            <w:noWrap w:val="0"/>
            <w:vAlign w:val="center"/>
          </w:tcPr>
          <w:p>
            <w:pPr>
              <w:rPr>
                <w:rFonts w:hint="eastAsia" w:ascii="仿宋" w:hAnsi="仿宋" w:eastAsia="仿宋" w:cs="仿宋"/>
                <w:szCs w:val="21"/>
              </w:rPr>
            </w:pPr>
            <w:r>
              <w:rPr>
                <w:rFonts w:hint="eastAsia" w:ascii="仿宋" w:hAnsi="仿宋" w:eastAsia="仿宋" w:cs="仿宋"/>
                <w:szCs w:val="21"/>
              </w:rPr>
              <w:t>投标人根据自身的能力，提供各种服务承诺（有利于医院发展，有利于科室管理及学术建设提供增值服务承诺。），优得2.1-3.0分，良得1.1-2.0分，一般得0.1-1.0分。</w:t>
            </w:r>
          </w:p>
        </w:tc>
        <w:tc>
          <w:tcPr>
            <w:tcW w:w="540" w:type="dxa"/>
            <w:noWrap w:val="0"/>
            <w:vAlign w:val="center"/>
          </w:tcPr>
          <w:p>
            <w:pPr>
              <w:ind w:left="-107" w:leftChars="-51" w:right="-113" w:rightChars="-54"/>
              <w:jc w:val="center"/>
              <w:rPr>
                <w:rFonts w:hint="eastAsia" w:ascii="仿宋" w:hAnsi="仿宋" w:eastAsia="仿宋" w:cs="仿宋"/>
                <w:szCs w:val="21"/>
              </w:rPr>
            </w:pPr>
            <w:r>
              <w:rPr>
                <w:rFonts w:hint="eastAsia" w:ascii="仿宋" w:hAnsi="仿宋" w:eastAsia="仿宋" w:cs="仿宋"/>
                <w:szCs w:val="21"/>
              </w:rPr>
              <w:t>3</w:t>
            </w:r>
          </w:p>
        </w:tc>
      </w:tr>
    </w:tbl>
    <w:p>
      <w:pPr>
        <w:spacing w:line="440" w:lineRule="exact"/>
        <w:jc w:val="left"/>
        <w:rPr>
          <w:rFonts w:hint="eastAsia" w:ascii="仿宋" w:hAnsi="仿宋" w:eastAsia="仿宋" w:cs="仿宋"/>
          <w:b/>
          <w:bCs/>
          <w:iCs/>
          <w:color w:val="FF0000"/>
          <w:sz w:val="24"/>
          <w:highlight w:val="none"/>
        </w:rPr>
      </w:pPr>
      <w:r>
        <w:rPr>
          <w:rFonts w:hint="eastAsia" w:ascii="仿宋" w:hAnsi="仿宋" w:eastAsia="仿宋" w:cs="仿宋"/>
          <w:b/>
          <w:bCs/>
          <w:iCs/>
          <w:color w:val="FF0000"/>
          <w:sz w:val="24"/>
          <w:highlight w:val="none"/>
        </w:rPr>
        <w:t>注：1、投标文件中提供</w:t>
      </w:r>
      <w:r>
        <w:rPr>
          <w:rFonts w:hint="eastAsia" w:ascii="仿宋" w:hAnsi="仿宋" w:eastAsia="仿宋" w:cs="仿宋"/>
          <w:b/>
          <w:bCs/>
          <w:iCs/>
          <w:color w:val="FF0000"/>
          <w:sz w:val="24"/>
          <w:highlight w:val="none"/>
          <w:lang w:eastAsia="zh-CN"/>
        </w:rPr>
        <w:t>的</w:t>
      </w:r>
      <w:r>
        <w:rPr>
          <w:rFonts w:hint="eastAsia" w:ascii="仿宋" w:hAnsi="仿宋" w:eastAsia="仿宋" w:cs="仿宋"/>
          <w:b/>
          <w:bCs/>
          <w:iCs/>
          <w:color w:val="FF0000"/>
          <w:sz w:val="24"/>
          <w:highlight w:val="none"/>
        </w:rPr>
        <w:t>相关</w:t>
      </w:r>
      <w:r>
        <w:rPr>
          <w:rFonts w:hint="eastAsia" w:ascii="仿宋" w:hAnsi="仿宋" w:eastAsia="仿宋" w:cs="仿宋"/>
          <w:b/>
          <w:bCs/>
          <w:iCs/>
          <w:color w:val="FF0000"/>
          <w:sz w:val="24"/>
          <w:highlight w:val="none"/>
          <w:lang w:eastAsia="zh-CN"/>
        </w:rPr>
        <w:t>证书或证明资料</w:t>
      </w:r>
      <w:r>
        <w:rPr>
          <w:rFonts w:hint="eastAsia" w:ascii="仿宋" w:hAnsi="仿宋" w:eastAsia="仿宋" w:cs="仿宋"/>
          <w:b/>
          <w:bCs/>
          <w:iCs/>
          <w:color w:val="FF0000"/>
          <w:sz w:val="24"/>
          <w:highlight w:val="none"/>
        </w:rPr>
        <w:t>复印件，而中标后无法提供相应原件的：（1）采购人有权拒绝与中标方签订合同，并追究其缔约过失责任；（2）违法违规的报监管部门查处；构成犯罪的依法追究刑事责任。</w:t>
      </w:r>
    </w:p>
    <w:p>
      <w:pPr>
        <w:spacing w:line="440" w:lineRule="exact"/>
        <w:ind w:firstLine="480"/>
        <w:jc w:val="left"/>
        <w:rPr>
          <w:rFonts w:hint="eastAsia" w:ascii="仿宋" w:hAnsi="仿宋" w:eastAsia="仿宋" w:cs="仿宋"/>
          <w:b/>
          <w:color w:val="FF0000"/>
          <w:sz w:val="24"/>
          <w:highlight w:val="none"/>
          <w:bdr w:val="single" w:color="auto" w:sz="4" w:space="0"/>
        </w:rPr>
      </w:pPr>
      <w:r>
        <w:rPr>
          <w:rFonts w:hint="eastAsia" w:ascii="仿宋" w:hAnsi="仿宋" w:eastAsia="仿宋" w:cs="仿宋"/>
          <w:b/>
          <w:bCs/>
          <w:iCs/>
          <w:color w:val="FF0000"/>
          <w:sz w:val="24"/>
          <w:highlight w:val="none"/>
        </w:rPr>
        <w:t>2、</w:t>
      </w:r>
      <w:r>
        <w:rPr>
          <w:rFonts w:hint="eastAsia" w:ascii="仿宋" w:hAnsi="仿宋" w:eastAsia="仿宋" w:cs="仿宋"/>
          <w:b/>
          <w:color w:val="FF0000"/>
          <w:sz w:val="24"/>
          <w:highlight w:val="none"/>
        </w:rPr>
        <w:t>所有的证书及相关资料必须在有效期内，不在有效期内的不得分。</w:t>
      </w:r>
    </w:p>
    <w:p>
      <w:pPr>
        <w:spacing w:line="440" w:lineRule="exact"/>
        <w:rPr>
          <w:rFonts w:hint="eastAsia" w:ascii="仿宋" w:hAnsi="仿宋" w:eastAsia="仿宋" w:cs="仿宋"/>
          <w:color w:val="auto"/>
          <w:szCs w:val="21"/>
          <w:highlight w:val="none"/>
        </w:rPr>
      </w:pPr>
      <w:r>
        <w:rPr>
          <w:rFonts w:hint="eastAsia" w:ascii="仿宋" w:hAnsi="仿宋" w:eastAsia="仿宋" w:cs="仿宋"/>
          <w:b/>
          <w:bCs/>
          <w:iCs/>
          <w:color w:val="auto"/>
          <w:sz w:val="24"/>
          <w:highlight w:val="none"/>
        </w:rPr>
        <w:t>2.2价格分：30分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r>
        <w:rPr>
          <w:rFonts w:hint="eastAsia" w:ascii="仿宋" w:hAnsi="仿宋" w:eastAsia="仿宋" w:cs="仿宋"/>
          <w:color w:val="auto"/>
          <w:sz w:val="24"/>
          <w:highlight w:val="none"/>
        </w:rPr>
        <w:t>保留小数2位</w:t>
      </w:r>
      <w:r>
        <w:rPr>
          <w:rFonts w:hint="eastAsia" w:ascii="仿宋" w:hAnsi="仿宋" w:eastAsia="仿宋" w:cs="仿宋"/>
          <w:bCs/>
          <w:iCs/>
          <w:color w:val="auto"/>
          <w:sz w:val="24"/>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snapToGrid w:val="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即：投标报价得分=(评标基准价／投标报价)×30</w:t>
      </w:r>
    </w:p>
    <w:p>
      <w:pPr>
        <w:widowControl/>
        <w:snapToGrid w:val="0"/>
        <w:spacing w:line="480" w:lineRule="exact"/>
        <w:rPr>
          <w:rFonts w:hint="eastAsia" w:ascii="仿宋" w:hAnsi="仿宋" w:eastAsia="仿宋" w:cs="仿宋"/>
          <w:bCs/>
          <w:iCs/>
          <w:color w:val="auto"/>
          <w:sz w:val="24"/>
          <w:highlight w:val="none"/>
          <w:u w:val="single"/>
        </w:rPr>
      </w:pPr>
    </w:p>
    <w:bookmarkEnd w:id="6"/>
    <w:bookmarkEnd w:id="7"/>
    <w:bookmarkEnd w:id="8"/>
    <w:bookmarkEnd w:id="9"/>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投标人按照以下格式编制投标文件，并将报价文件、商务技术（资信）文件分别装订成册。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sz w:val="24"/>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56"/>
        <w:spacing w:afterLines="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绍兴市中医院、泰宇建筑工程技术咨询有限公司</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）的要求，正式授权下述签字人</w:t>
      </w:r>
      <w:r>
        <w:rPr>
          <w:rFonts w:hint="eastAsia" w:ascii="仿宋" w:hAnsi="仿宋" w:eastAsia="仿宋" w:cs="仿宋"/>
          <w:b/>
          <w:color w:val="auto"/>
          <w:szCs w:val="24"/>
          <w:highlight w:val="none"/>
          <w:u w:val="single"/>
        </w:rPr>
        <w:t>（填写姓名、单位、职务）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填写单位、地址</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供应商有前款第a)至e)项情形之一的，中标、成交无效。</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电话：传真：</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pPr>
        <w:pStyle w:val="56"/>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pPr>
        <w:pStyle w:val="56"/>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投标人(盖章)：　　　　　　　　　　　　　　　　　　　　日期：</w:t>
      </w:r>
    </w:p>
    <w:p>
      <w:pPr>
        <w:rPr>
          <w:rFonts w:hint="eastAsia" w:ascii="仿宋" w:hAnsi="仿宋" w:eastAsia="仿宋" w:cs="仿宋"/>
          <w:color w:val="auto"/>
          <w:highlight w:val="none"/>
        </w:rPr>
      </w:pPr>
    </w:p>
    <w:p>
      <w:pPr>
        <w:rPr>
          <w:rFonts w:hint="eastAsia" w:ascii="仿宋" w:hAnsi="仿宋" w:eastAsia="仿宋" w:cs="仿宋"/>
          <w:color w:val="auto"/>
          <w:highlight w:val="none"/>
        </w:rPr>
        <w:sectPr>
          <w:footerReference r:id="rId5" w:type="first"/>
          <w:headerReference r:id="rId3" w:type="default"/>
          <w:footerReference r:id="rId4" w:type="default"/>
          <w:type w:val="continuous"/>
          <w:pgSz w:w="11906" w:h="16838"/>
          <w:pgMar w:top="1440" w:right="1406" w:bottom="1246" w:left="1758" w:header="1021" w:footer="902" w:gutter="0"/>
          <w:cols w:space="425" w:num="1"/>
          <w:titlePg/>
          <w:docGrid w:type="lines" w:linePitch="312" w:charSpace="0"/>
        </w:sect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20" w:firstLineChars="200"/>
        <w:rPr>
          <w:rFonts w:hint="eastAsia" w:ascii="仿宋" w:hAnsi="仿宋" w:eastAsia="仿宋" w:cs="仿宋"/>
          <w:color w:val="auto"/>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（5）营业执照(或事业法人登记证或其他登记证明材料)复印件</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eastAsia="zh-CN"/>
        </w:rPr>
        <w:t>2021年度资产负债表</w:t>
      </w:r>
      <w:r>
        <w:rPr>
          <w:rFonts w:hint="eastAsia" w:ascii="仿宋" w:hAnsi="仿宋" w:eastAsia="仿宋" w:cs="仿宋"/>
          <w:color w:val="auto"/>
          <w:sz w:val="24"/>
          <w:highlight w:val="none"/>
        </w:rPr>
        <w:t>等财务报表资料文件(新成立的公司，提供情况说明)</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（7）具有履</w:t>
      </w:r>
      <w:r>
        <w:rPr>
          <w:rFonts w:hint="eastAsia" w:ascii="仿宋" w:hAnsi="仿宋" w:eastAsia="仿宋" w:cs="仿宋"/>
          <w:color w:val="auto"/>
          <w:kern w:val="0"/>
          <w:sz w:val="24"/>
          <w:highlight w:val="none"/>
        </w:rPr>
        <w:t>行合同所必需的设备和专业技术能力的承诺函……………………（页码）</w:t>
      </w:r>
    </w:p>
    <w:p>
      <w:pPr>
        <w:pStyle w:val="154"/>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（8）重大违法记录的声明</w:t>
      </w:r>
      <w:r>
        <w:rPr>
          <w:rFonts w:hint="eastAsia" w:ascii="仿宋" w:hAnsi="仿宋" w:eastAsia="仿宋" w:cs="仿宋"/>
          <w:color w:val="auto"/>
          <w:kern w:val="0"/>
          <w:highlight w:val="none"/>
        </w:rPr>
        <w:t>…</w:t>
      </w:r>
      <w:r>
        <w:rPr>
          <w:rFonts w:hint="eastAsia" w:ascii="仿宋" w:hAnsi="仿宋" w:eastAsia="仿宋" w:cs="仿宋"/>
          <w:color w:val="auto"/>
          <w:highlight w:val="none"/>
        </w:rPr>
        <w:t>……………………………………………………</w:t>
      </w:r>
      <w:r>
        <w:rPr>
          <w:rFonts w:hint="eastAsia" w:ascii="仿宋" w:hAnsi="仿宋" w:eastAsia="仿宋" w:cs="仿宋"/>
          <w:color w:val="auto"/>
          <w:kern w:val="0"/>
          <w:highlight w:val="none"/>
        </w:rPr>
        <w:t>（页码）</w:t>
      </w:r>
      <w:r>
        <w:rPr>
          <w:rFonts w:hint="eastAsia" w:ascii="仿宋" w:hAnsi="仿宋" w:eastAsia="仿宋" w:cs="仿宋"/>
          <w:color w:val="auto"/>
          <w:highlight w:val="none"/>
        </w:rPr>
        <w:t>（9）符合特定资格条件（如果项目要求）的有关证明材料（复印件）………（页码）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w:t>
      </w:r>
      <w:r>
        <w:rPr>
          <w:rFonts w:hint="eastAsia" w:ascii="仿宋" w:hAnsi="仿宋" w:eastAsia="仿宋" w:cs="仿宋"/>
          <w:snapToGrid w:val="0"/>
          <w:color w:val="auto"/>
          <w:highlight w:val="none"/>
        </w:rPr>
        <w:t>非本地投标人售后服务机构证明材料</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（11）所有与符合性审查有关的资信文件（复印件）………………………（页码）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（13）廉政承诺书…………………………………………………………………（页码）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消耗品、维修零配件购买价格清单…………………………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（22）培训计划………………………………………………………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（23）</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（24）</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1、法定代表人授权委托书（格式）</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授权代表姓名：性别：年龄：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单位：部门：职务：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办公地址：联系电话：传真：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日期：年月日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投标人：（盖章）</w:t>
      </w:r>
    </w:p>
    <w:p>
      <w:pPr>
        <w:spacing w:line="440" w:lineRule="exact"/>
        <w:ind w:right="480"/>
        <w:rPr>
          <w:rFonts w:hint="eastAsia" w:ascii="仿宋" w:hAnsi="仿宋" w:eastAsia="仿宋" w:cs="仿宋"/>
          <w:color w:val="auto"/>
          <w:sz w:val="24"/>
          <w:highlight w:val="none"/>
        </w:rPr>
      </w:pPr>
    </w:p>
    <w:p>
      <w:pPr>
        <w:wordWrap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pPr>
        <w:spacing w:line="360" w:lineRule="auto"/>
        <w:jc w:val="center"/>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5</w:t>
      </w:r>
      <w:r>
        <w:rPr>
          <w:rFonts w:hint="eastAsia" w:ascii="仿宋" w:hAnsi="仿宋" w:eastAsia="仿宋" w:cs="仿宋"/>
          <w:b/>
          <w:color w:val="auto"/>
          <w:kern w:val="0"/>
          <w:sz w:val="30"/>
          <w:szCs w:val="30"/>
          <w:highlight w:val="none"/>
          <w:lang w:val="zh-CN"/>
        </w:rPr>
        <w:t>、</w:t>
      </w:r>
      <w:r>
        <w:rPr>
          <w:rFonts w:hint="eastAsia" w:ascii="仿宋" w:hAnsi="仿宋" w:eastAsia="仿宋" w:cs="仿宋"/>
          <w:b/>
          <w:color w:val="auto"/>
          <w:sz w:val="30"/>
          <w:szCs w:val="30"/>
          <w:highlight w:val="none"/>
        </w:rPr>
        <w:t>营业执照（或事业法人登记证或其他登记证明材料）（复印件）</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6、财务报表资料文件（</w:t>
      </w:r>
      <w:r>
        <w:rPr>
          <w:rFonts w:hint="eastAsia" w:ascii="仿宋" w:hAnsi="仿宋" w:eastAsia="仿宋" w:cs="仿宋"/>
          <w:b/>
          <w:color w:val="auto"/>
          <w:sz w:val="30"/>
          <w:szCs w:val="30"/>
          <w:highlight w:val="none"/>
          <w:lang w:eastAsia="zh-CN"/>
        </w:rPr>
        <w:t>2021年度资产负债表</w:t>
      </w:r>
      <w:r>
        <w:rPr>
          <w:rFonts w:hint="eastAsia" w:ascii="仿宋" w:hAnsi="仿宋" w:eastAsia="仿宋" w:cs="仿宋"/>
          <w:b/>
          <w:color w:val="auto"/>
          <w:sz w:val="30"/>
          <w:szCs w:val="30"/>
          <w:highlight w:val="none"/>
        </w:rPr>
        <w:t>等财务报表资料文件(新成立的公司，提供情况说明，格式自拟)）</w:t>
      </w:r>
    </w:p>
    <w:p>
      <w:pPr>
        <w:spacing w:line="360" w:lineRule="auto"/>
        <w:rPr>
          <w:rFonts w:hint="eastAsia" w:ascii="仿宋" w:hAnsi="仿宋" w:eastAsia="仿宋" w:cs="仿宋"/>
          <w:b/>
          <w:color w:val="auto"/>
          <w:sz w:val="30"/>
          <w:szCs w:val="30"/>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7、具有履行合同所必需的设备和专业技术能力的承诺函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我方郑重承诺，我方具有履行绍兴市中医院</w:t>
      </w:r>
      <w:r>
        <w:rPr>
          <w:rFonts w:hint="eastAsia" w:ascii="仿宋" w:hAnsi="仿宋" w:eastAsia="仿宋" w:cs="仿宋"/>
          <w:color w:val="auto"/>
          <w:sz w:val="24"/>
          <w:highlight w:val="none"/>
          <w:lang w:eastAsia="zh-CN"/>
        </w:rPr>
        <w:t>中医临床思维培训系统项目</w:t>
      </w:r>
      <w:r>
        <w:rPr>
          <w:rFonts w:hint="eastAsia" w:ascii="仿宋" w:hAnsi="仿宋" w:eastAsia="仿宋" w:cs="仿宋"/>
          <w:color w:val="auto"/>
          <w:sz w:val="24"/>
          <w:highlight w:val="none"/>
        </w:rPr>
        <w:t>（招标编号:）合同所必需的设备和专业技术能力。如中标，我方将保证合同顺利履行。</w:t>
      </w: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ind w:firstLine="5040" w:firstLineChars="2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kern w:val="0"/>
          <w:sz w:val="32"/>
          <w:szCs w:val="32"/>
          <w:highlight w:val="none"/>
        </w:rPr>
      </w:pPr>
    </w:p>
    <w:p>
      <w:pPr>
        <w:spacing w:line="360" w:lineRule="auto"/>
        <w:jc w:val="center"/>
        <w:rPr>
          <w:rFonts w:hint="eastAsia" w:ascii="仿宋" w:hAnsi="仿宋" w:eastAsia="仿宋" w:cs="仿宋"/>
          <w:b/>
          <w:color w:val="auto"/>
          <w:kern w:val="0"/>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8、重大违法记录的声明</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声明参加本次政府采购活动前三年内，在</w:t>
      </w:r>
      <w:r>
        <w:rPr>
          <w:rFonts w:hint="eastAsia" w:ascii="仿宋" w:hAnsi="仿宋" w:eastAsia="仿宋" w:cs="仿宋"/>
          <w:color w:val="auto"/>
          <w:kern w:val="0"/>
          <w:sz w:val="24"/>
          <w:highlight w:val="none"/>
        </w:rPr>
        <w:t>经营活动中</w:t>
      </w:r>
      <w:r>
        <w:rPr>
          <w:rFonts w:hint="eastAsia" w:ascii="仿宋" w:hAnsi="仿宋" w:eastAsia="仿宋" w:cs="仿宋"/>
          <w:color w:val="auto"/>
          <w:sz w:val="24"/>
          <w:highlight w:val="none"/>
        </w:rPr>
        <w:t>没有重大违法记录；也</w:t>
      </w:r>
      <w:r>
        <w:rPr>
          <w:rFonts w:hint="eastAsia" w:ascii="仿宋" w:hAnsi="仿宋" w:eastAsia="仿宋" w:cs="仿宋"/>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9、特定资格条件要求的资质文件（复印件）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10、非本地投标人售后服务机构证明材料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（由非本地投标人根据采购需求及招标文件要求编制）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11、所有与符合性审查有关的资信文件（复印件）</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color w:val="auto"/>
          <w:sz w:val="24"/>
          <w:highlight w:val="none"/>
        </w:rPr>
        <w:t>（1. 提供依法缴纳税收和社会保障资金的良好记录证明，税收和社保证明打印时间不得早于投标截止时间前1个月；2.</w:t>
      </w:r>
      <w:r>
        <w:rPr>
          <w:rFonts w:hint="eastAsia" w:ascii="仿宋" w:hAnsi="仿宋" w:eastAsia="仿宋" w:cs="仿宋"/>
          <w:color w:val="auto"/>
          <w:sz w:val="24"/>
          <w:highlight w:val="none"/>
        </w:rPr>
        <w:t>其他资料由投标人根据采购需求及招标文件要求编制。</w:t>
      </w:r>
      <w:r>
        <w:rPr>
          <w:rFonts w:hint="eastAsia" w:ascii="仿宋" w:hAnsi="仿宋" w:eastAsia="仿宋" w:cs="仿宋"/>
          <w:b/>
          <w:color w:val="auto"/>
          <w:sz w:val="24"/>
          <w:highlight w:val="none"/>
        </w:rPr>
        <w:t>）</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12、</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autoSpaceDE w:val="0"/>
        <w:autoSpaceDN w:val="0"/>
        <w:spacing w:line="360" w:lineRule="auto"/>
        <w:ind w:firstLine="4560" w:firstLineChars="19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13、廉政承诺书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绍兴市中医院</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五、不为项目有关人员个人装修住房、婚丧嫁娶、配偶子女工作安排等提供好处；</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六、严格遵守政府采购法、合同法等法律，诚实守信，合法经营，坚决抵制各种违法违纪行为。</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righ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5037" w:firstLineChars="2099"/>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ind w:left="5040"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年月日</w:t>
      </w:r>
    </w:p>
    <w:p>
      <w:pPr>
        <w:spacing w:line="360" w:lineRule="auto"/>
        <w:jc w:val="right"/>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如果本项目涉及硬件设备采购，须在商务技术（资信）文件中提供此配置清单，提供主要投标产品的技术参数证明材料（如官网截图、产品彩页、原厂技术说明等）。</w:t>
      </w:r>
    </w:p>
    <w:p>
      <w:pPr>
        <w:spacing w:line="360" w:lineRule="auto"/>
        <w:jc w:val="left"/>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8pt;width:442.8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8pt;width:442.8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kern w:val="0"/>
          <w:sz w:val="24"/>
          <w:highlight w:val="none"/>
          <w:lang w:val="zh-CN"/>
        </w:rPr>
      </w:pPr>
      <w:r>
        <w:rPr>
          <w:rFonts w:hint="eastAsia" w:ascii="仿宋" w:hAnsi="仿宋" w:eastAsia="仿宋" w:cs="仿宋"/>
          <w:color w:val="auto"/>
          <w:kern w:val="0"/>
          <w:sz w:val="24"/>
          <w:highlight w:val="none"/>
        </w:rPr>
        <w:t>日期：年月日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15、技术偏离说明表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jc w:val="right"/>
        <w:rPr>
          <w:rFonts w:hint="eastAsia" w:ascii="仿宋" w:hAnsi="仿宋" w:eastAsia="仿宋" w:cs="仿宋"/>
          <w:color w:val="auto"/>
          <w:kern w:val="0"/>
          <w:sz w:val="24"/>
          <w:highlight w:val="none"/>
          <w:lang w:val="zh-CN"/>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法定代表人或其授权代表（签字或盖章）：</w:t>
      </w:r>
    </w:p>
    <w:p>
      <w:pPr>
        <w:spacing w:line="360" w:lineRule="auto"/>
        <w:jc w:val="righ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日期：年月日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16、组织实施方案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17、售后服务方案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日期：年月日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0"/>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注：投标人可按上述的格式自行编制，须随表提交相应的证书复印件并注明所在投标商务技术（资信）文件页码。</w:t>
      </w:r>
    </w:p>
    <w:p>
      <w:pPr>
        <w:spacing w:line="360" w:lineRule="auto"/>
        <w:jc w:val="righ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附表C:本项目的项目经理和小组人员提供近3个月交纳社保记录情况表</w:t>
      </w:r>
      <w:r>
        <w:rPr>
          <w:rFonts w:hint="eastAsia" w:ascii="仿宋" w:hAnsi="仿宋" w:eastAsia="仿宋" w:cs="仿宋"/>
          <w:color w:val="auto"/>
          <w:sz w:val="24"/>
          <w:highlight w:val="none"/>
        </w:rPr>
        <w:t>（以社保局缴纳凭证作附件）</w:t>
      </w: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autoSpaceDE w:val="0"/>
        <w:autoSpaceDN w:val="0"/>
        <w:spacing w:line="360" w:lineRule="auto"/>
        <w:ind w:firstLine="4440" w:firstLineChars="185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20、</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440" w:lineRule="exact"/>
        <w:rPr>
          <w:rFonts w:hint="eastAsia" w:ascii="仿宋" w:hAnsi="仿宋" w:eastAsia="仿宋" w:cs="仿宋"/>
          <w:b/>
          <w:color w:val="auto"/>
          <w:spacing w:val="20"/>
          <w:sz w:val="24"/>
          <w:highlight w:val="none"/>
        </w:rPr>
      </w:pPr>
      <w:r>
        <w:rPr>
          <w:rFonts w:hint="eastAsia" w:ascii="仿宋" w:hAnsi="仿宋" w:eastAsia="仿宋" w:cs="仿宋"/>
          <w:b/>
          <w:color w:val="auto"/>
          <w:sz w:val="32"/>
          <w:szCs w:val="32"/>
          <w:highlight w:val="none"/>
        </w:rPr>
        <w:t>21、</w:t>
      </w:r>
      <w:r>
        <w:rPr>
          <w:rFonts w:hint="eastAsia" w:ascii="仿宋" w:hAnsi="仿宋" w:eastAsia="仿宋" w:cs="仿宋"/>
          <w:b/>
          <w:color w:val="auto"/>
          <w:spacing w:val="20"/>
          <w:sz w:val="32"/>
          <w:szCs w:val="32"/>
          <w:highlight w:val="none"/>
        </w:rPr>
        <w:t>消耗品、维修零配件购买价格清单</w:t>
      </w:r>
      <w:r>
        <w:rPr>
          <w:rFonts w:hint="eastAsia" w:ascii="仿宋" w:hAnsi="仿宋" w:eastAsia="仿宋" w:cs="仿宋"/>
          <w:b/>
          <w:color w:val="auto"/>
          <w:spacing w:val="20"/>
          <w:sz w:val="24"/>
          <w:highlight w:val="none"/>
        </w:rPr>
        <w:t>(如有</w:t>
      </w:r>
      <w:r>
        <w:rPr>
          <w:rFonts w:hint="eastAsia" w:ascii="仿宋" w:hAnsi="仿宋" w:eastAsia="仿宋" w:cs="仿宋"/>
          <w:b/>
          <w:color w:val="auto"/>
          <w:sz w:val="24"/>
          <w:highlight w:val="none"/>
        </w:rPr>
        <w:t>，放入“技术资料部分”</w:t>
      </w:r>
      <w:r>
        <w:rPr>
          <w:rFonts w:hint="eastAsia" w:ascii="仿宋" w:hAnsi="仿宋" w:eastAsia="仿宋" w:cs="仿宋"/>
          <w:b/>
          <w:color w:val="auto"/>
          <w:spacing w:val="20"/>
          <w:sz w:val="24"/>
          <w:highlight w:val="none"/>
        </w:rPr>
        <w:t>)</w:t>
      </w:r>
    </w:p>
    <w:tbl>
      <w:tblPr>
        <w:tblStyle w:val="40"/>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hint="eastAsia" w:ascii="仿宋" w:hAnsi="仿宋" w:eastAsia="仿宋" w:cs="仿宋"/>
                <w:color w:val="auto"/>
                <w:highlight w:val="none"/>
              </w:rPr>
            </w:pPr>
          </w:p>
        </w:tc>
      </w:tr>
    </w:tbl>
    <w:p>
      <w:pPr>
        <w:adjustRightInd w:val="0"/>
        <w:snapToGrid w:val="0"/>
        <w:ind w:right="172" w:rightChars="82"/>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注：消耗品和零配件必须是常用的主要部件类品目，此报价的优惠度将作为综合评标的重要依据之一。</w:t>
      </w:r>
    </w:p>
    <w:p>
      <w:pPr>
        <w:adjustRightInd w:val="0"/>
        <w:snapToGrid w:val="0"/>
        <w:ind w:right="172" w:rightChars="82" w:firstLine="606" w:firstLineChars="202"/>
        <w:rPr>
          <w:rFonts w:hint="eastAsia" w:ascii="仿宋" w:hAnsi="仿宋" w:eastAsia="仿宋" w:cs="仿宋"/>
          <w:color w:val="auto"/>
          <w:sz w:val="30"/>
          <w:highlight w:val="none"/>
        </w:rPr>
      </w:pPr>
    </w:p>
    <w:p>
      <w:pPr>
        <w:adjustRightInd w:val="0"/>
        <w:snapToGrid w:val="0"/>
        <w:ind w:right="172" w:rightChars="82" w:firstLine="606" w:firstLineChars="202"/>
        <w:rPr>
          <w:rFonts w:hint="eastAsia" w:ascii="仿宋" w:hAnsi="仿宋" w:eastAsia="仿宋" w:cs="仿宋"/>
          <w:color w:val="auto"/>
          <w:sz w:val="30"/>
          <w:highlight w:val="none"/>
        </w:rPr>
      </w:pPr>
    </w:p>
    <w:p>
      <w:pPr>
        <w:spacing w:line="440" w:lineRule="exact"/>
        <w:ind w:left="-210" w:leftChars="-100" w:firstLine="120" w:firstLineChars="5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440" w:lineRule="exact"/>
        <w:jc w:val="left"/>
        <w:rPr>
          <w:rFonts w:hint="eastAsia" w:ascii="仿宋" w:hAnsi="仿宋" w:eastAsia="仿宋" w:cs="仿宋"/>
          <w:color w:val="auto"/>
          <w:sz w:val="24"/>
          <w:highlight w:val="none"/>
        </w:rPr>
      </w:pPr>
    </w:p>
    <w:p>
      <w:pPr>
        <w:spacing w:line="440" w:lineRule="exact"/>
        <w:ind w:left="-210" w:leftChars="-100"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rPr>
        <w:tab/>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日期：年月日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22、</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ind w:firstLine="4800" w:firstLineChars="20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autoSpaceDE w:val="0"/>
        <w:autoSpaceDN w:val="0"/>
        <w:spacing w:line="360" w:lineRule="auto"/>
        <w:ind w:firstLine="12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23、验收方案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autoSpaceDE w:val="0"/>
        <w:autoSpaceDN w:val="0"/>
        <w:spacing w:line="360" w:lineRule="auto"/>
        <w:ind w:firstLine="4800" w:firstLineChars="2000"/>
        <w:jc w:val="righ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投标人名称（盖章）：</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w:t>
      </w:r>
      <w:r>
        <w:rPr>
          <w:rFonts w:hint="eastAsia" w:ascii="仿宋" w:hAnsi="仿宋" w:eastAsia="仿宋" w:cs="仿宋"/>
          <w:color w:val="auto"/>
          <w:kern w:val="0"/>
          <w:sz w:val="24"/>
          <w:highlight w:val="none"/>
          <w:lang w:val="zh-CN"/>
        </w:rPr>
        <w:t>盖章</w:t>
      </w:r>
      <w:r>
        <w:rPr>
          <w:rFonts w:hint="eastAsia" w:ascii="仿宋" w:hAnsi="仿宋" w:eastAsia="仿宋" w:cs="仿宋"/>
          <w:color w:val="auto"/>
          <w:kern w:val="0"/>
          <w:sz w:val="24"/>
          <w:highlight w:val="none"/>
        </w:rPr>
        <w:t>）：</w:t>
      </w:r>
    </w:p>
    <w:p>
      <w:pPr>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日期：年月日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24、认为需要的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right"/>
        <w:rPr>
          <w:rFonts w:hint="eastAsia" w:ascii="仿宋" w:hAnsi="仿宋" w:eastAsia="仿宋" w:cs="仿宋"/>
          <w:color w:val="auto"/>
          <w:sz w:val="24"/>
          <w:highlight w:val="none"/>
        </w:rPr>
      </w:pPr>
    </w:p>
    <w:p>
      <w:pPr>
        <w:autoSpaceDE w:val="0"/>
        <w:autoSpaceDN w:val="0"/>
        <w:spacing w:line="360" w:lineRule="auto"/>
        <w:ind w:firstLine="5040" w:firstLineChars="2100"/>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pPr>
        <w:autoSpaceDE w:val="0"/>
        <w:autoSpaceDN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法定代表人或其授权代表（</w:t>
      </w:r>
      <w:r>
        <w:rPr>
          <w:rFonts w:hint="eastAsia" w:ascii="仿宋" w:hAnsi="仿宋" w:eastAsia="仿宋" w:cs="仿宋"/>
          <w:color w:val="auto"/>
          <w:kern w:val="0"/>
          <w:sz w:val="24"/>
          <w:highlight w:val="none"/>
        </w:rPr>
        <w:t>签字或</w:t>
      </w:r>
      <w:r>
        <w:rPr>
          <w:rFonts w:hint="eastAsia" w:ascii="仿宋" w:hAnsi="仿宋" w:eastAsia="仿宋" w:cs="仿宋"/>
          <w:color w:val="auto"/>
          <w:kern w:val="0"/>
          <w:sz w:val="24"/>
          <w:highlight w:val="none"/>
          <w:lang w:val="zh-CN"/>
        </w:rPr>
        <w:t>盖章）：</w:t>
      </w:r>
    </w:p>
    <w:p>
      <w:pPr>
        <w:spacing w:line="360" w:lineRule="auto"/>
        <w:jc w:val="right"/>
        <w:rPr>
          <w:rFonts w:hint="eastAsia" w:ascii="仿宋" w:hAnsi="仿宋" w:eastAsia="仿宋" w:cs="仿宋"/>
          <w:color w:val="auto"/>
          <w:kern w:val="0"/>
          <w:sz w:val="24"/>
          <w:highlight w:val="none"/>
          <w:lang w:val="zh-CN"/>
        </w:rPr>
        <w:sectPr>
          <w:pgSz w:w="11906" w:h="16838"/>
          <w:pgMar w:top="1440" w:right="1406" w:bottom="1246" w:left="1758" w:header="1021" w:footer="902" w:gutter="0"/>
          <w:cols w:space="425" w:num="1"/>
          <w:titlePg/>
          <w:docGrid w:type="lines" w:linePitch="312" w:charSpace="0"/>
        </w:sectPr>
      </w:pPr>
      <w:r>
        <w:rPr>
          <w:rFonts w:hint="eastAsia" w:ascii="仿宋" w:hAnsi="仿宋" w:eastAsia="仿宋" w:cs="仿宋"/>
          <w:color w:val="auto"/>
          <w:kern w:val="0"/>
          <w:sz w:val="24"/>
          <w:highlight w:val="none"/>
          <w:lang w:val="zh-CN"/>
        </w:rPr>
        <w:t>日期：年月日</w:t>
      </w:r>
    </w:p>
    <w:p>
      <w:pPr>
        <w:rPr>
          <w:rFonts w:hint="eastAsia" w:ascii="仿宋" w:hAnsi="仿宋" w:eastAsia="仿宋" w:cs="仿宋"/>
          <w:color w:val="auto"/>
          <w:kern w:val="0"/>
          <w:sz w:val="24"/>
          <w:highlight w:val="none"/>
          <w:lang w:val="zh-CN"/>
        </w:rPr>
      </w:pPr>
    </w:p>
    <w:sectPr>
      <w:type w:val="continuous"/>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pict>
        <v:shape id="文本框 1026" o:spid="_x0000_s1027" o:spt="202" type="#_x0000_t202"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PQ5m+rVAQAAqAMAAA4AAABkcnMvZTJvRG9jLnhtbK1TzY7TMBC+I/EO&#10;lu80SekWFDVdgapFSAiQFh7AdezGkv/kcZv0BeANOHHhznP1OXbspF1297IHLs54Zvz5+z5PVteD&#10;0eQgAihnG1rNSkqE5a5VdtfQ799uXr2lBCKzLdPOioYeBdDr9csXq97XYu46p1sRCIJYqHvf0C5G&#10;XxcF8E4YBjPnhcWidMGwiNuwK9rAekQ3upiX5bLoXWh9cFwAYHYzFumEGJ4D6KRUXGwc3xth44ga&#10;hGYRJUGnPNB1Ziul4PGLlCAi0Q1FpTGveAnG27QW6xWrd4H5TvGJAnsOhUeaDFMWL71AbVhkZB/U&#10;EyijeHDgZJxxZ4pRSHYEVVTlI29uO+ZF1oJWg7+YDv8Pln8+fA1EtTgJlFhm8MFPv36efv89/flB&#10;qnK+TA71HmpsvPXYGof3bkjdUx4wmYQPMpj0RUkE6+jv8eKvGCLhmJwv3iyvsMKxVL2uFourhFLc&#10;H/YB4gfhDElBQwM+X3aVHT5BHFvPLeku626U1phntbYPEog5ZkSegel00jHyTVEctsMkYuvaI2rr&#10;cQ4aanHsKdEfLdqcRuYchHOwPQd7H9SuQ6JVZgn+3T4ipcw03TDCosK0wQfMWqdhSxPy7z533f9g&#10;6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sUjg0AAAAAMBAAAPAAAAAAAAAAEAIAAAACIAAABk&#10;cnMvZG93bnJldi54bWxQSwECFAAUAAAACACHTuJA9Dmb6tUBAACoAwAADgAAAAAAAAABACAAAAAf&#10;AQAAZHJzL2Uyb0RvYy54bWxQSwUGAAAAAAYABgBZAQAAZgUAAAAA&#10;">
          <v:path/>
          <v:fill on="f" focussize="0,0"/>
          <v:stroke on="f" joinstyle="miter"/>
          <v:imagedata o:title=""/>
          <o:lock v:ext="edit"/>
          <v:textbox inset="0mm,0mm,0mm,0mm" style="mso-fit-shape-to-text:t;">
            <w:txbxContent>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27</w:t>
                </w:r>
                <w:r>
                  <w:rPr>
                    <w:kern w:val="0"/>
                    <w:szCs w:val="21"/>
                  </w:rPr>
                  <w:fldChar w:fldCharType="end"/>
                </w:r>
                <w:r>
                  <w:rPr>
                    <w:kern w:val="0"/>
                    <w:szCs w:val="21"/>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4983"/>
        <w:tab w:val="clear" w:pos="4153"/>
      </w:tabs>
    </w:pPr>
    <w:r>
      <w:pict>
        <v:shape id="文本框 1025" o:spid="_x0000_s1026" o:spt="202" type="#_x0000_t202" style="position:absolute;left:0pt;margin-left:216.3pt;margin-top:-0.75pt;height:10.35pt;width:9.05pt;mso-position-horizontal-relative:margin;mso-wrap-style:none;z-index:251660288;mso-width-relative:page;mso-height-relative:page;" filled="f" stroked="f" coordsize="21600,21600" o:gfxdata="UEsDBAoAAAAAAIdO4kAAAAAAAAAAAAAAAAAEAAAAZHJzL1BLAwQUAAAACACHTuJA9fn2Y9YAAAAJ&#10;AQAADwAAAGRycy9kb3ducmV2LnhtbE2Py07DMBBF90j8gzVI7Fo7oS9CnC4qsWFHqZDYufE0jvAj&#10;st00+XuGFSxH9+jeM/V+cpaNGFMfvIRiKYChb4PufSfh9PG62AFLWXmtbPAoYcYE++b+rlaVDjf/&#10;juMxd4xKfKqUBJPzUHGeWoNOpWUY0FN2CdGpTGfsuI7qRuXO8lKIDXeq97Rg1IAHg+338eokbKfP&#10;gEPCA35dxjaaft7Zt1nKx4dCvADLOOU/GH71SR0acjqHq9eJWQmrp3JDqIRFsQZGwGottsDORD6X&#10;wJua//+g+QFQSwMEFAAAAAgAh07iQLU8GMbWAQAAqAMAAA4AAABkcnMvZTJvRG9jLnhtbK1TzY7T&#10;MBC+I/EOlu80SbeLIGq6AlWLkBAgLTyA69iNJf/J4zbpC8AbcOLCnefqc+zYSbqwXPbAxRmPx998&#10;3+fJ+mYwmhxFAOVsQ6tFSYmw3LXK7hv69cvti1eUQGS2ZdpZ0dCTAHqzef5s3ftaLF3ndCsCQRAL&#10;de8b2sXo66IA3gnDYOG8sHgoXTAs4jbsizawHtGNLpZl+bLoXWh9cFwAYHY7HtIJMTwF0EmpuNg6&#10;fjDCxhE1CM0iSoJOeaCbzFZKweMnKUFEohuKSmNesQnGu7QWmzWr94H5TvGJAnsKhUeaDFMWm16g&#10;tiwycgjqHyijeHDgZFxwZ4pRSHYEVVTlI2/uOuZF1oJWg7+YDv8Pln88fg5EtQ1dUmKZwQc///h+&#10;/vn7/OsbqcrldXKo91Bj4Z3H0ji8dQPOzZwHTCbhgwwmfVESwXP093TxVwyR8HSpWr2+uqaE41F1&#10;Va1WGb14uOwDxHfCGZKChgZ8vuwqO36AiESwdC5Jvay7VVrnJ9T2rwQWjhmRZ2C6nXSMfFMUh90w&#10;idu59oTaepyDhloce0r0e4s2p5GZgzAHuzk4+KD2HRKtMkvwbw4RKWWmqcMIi7TTBh8wC5iGLU3I&#10;n/tc9fCDbe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fn2Y9YAAAAJAQAADwAAAAAAAAABACAA&#10;AAAiAAAAZHJzL2Rvd25yZXYueG1sUEsBAhQAFAAAAAgAh07iQLU8GMbWAQAAqAMAAA4AAAAAAAAA&#10;AQAgAAAAJQEAAGRycy9lMm9Eb2MueG1sUEsFBgAAAAAGAAYAWQEAAG0FAAAAAA==&#10;">
          <v:path/>
          <v:fill on="f" focussize="0,0"/>
          <v:stroke on="f" joinstyle="miter"/>
          <v:imagedata o:title=""/>
          <o:lock v:ext="edit"/>
          <v:textbox inset="0mm,0mm,0mm,0mm" style="mso-fit-shape-to-text:t;">
            <w:txbxContent>
              <w:p>
                <w:pPr>
                  <w:pStyle w:val="26"/>
                </w:pPr>
                <w:r>
                  <w:fldChar w:fldCharType="begin"/>
                </w:r>
                <w:r>
                  <w:instrText xml:space="preserve"> PAGE  \* MERGEFORMAT </w:instrText>
                </w:r>
                <w:r>
                  <w:fldChar w:fldCharType="separate"/>
                </w:r>
                <w:r>
                  <w:t>40</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890F78"/>
    <w:multiLevelType w:val="singleLevel"/>
    <w:tmpl w:val="E8890F78"/>
    <w:lvl w:ilvl="0" w:tentative="0">
      <w:start w:val="3"/>
      <w:numFmt w:val="chineseCounting"/>
      <w:suff w:val="nothing"/>
      <w:lvlText w:val="%1、"/>
      <w:lvlJc w:val="left"/>
      <w:pPr>
        <w:ind w:left="-60"/>
      </w:pPr>
      <w:rPr>
        <w:rFonts w:hint="eastAsia"/>
      </w:r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F2E05EF"/>
    <w:multiLevelType w:val="multilevel"/>
    <w:tmpl w:val="0F2E05EF"/>
    <w:lvl w:ilvl="0" w:tentative="0">
      <w:start w:val="5"/>
      <w:numFmt w:val="decimal"/>
      <w:lvlText w:val="%1、"/>
      <w:lvlJc w:val="left"/>
      <w:pPr>
        <w:ind w:left="380" w:hanging="3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8">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8"/>
  </w:num>
  <w:num w:numId="6">
    <w:abstractNumId w:val="4"/>
  </w:num>
  <w:num w:numId="7">
    <w:abstractNumId w:val="9"/>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yNDI4Y2IxMzIyNGZhMzZhOGE3ZmI1MGMzMjliZWEifQ=="/>
  </w:docVars>
  <w:rsids>
    <w:rsidRoot w:val="00172A27"/>
    <w:rsid w:val="00000288"/>
    <w:rsid w:val="00014C26"/>
    <w:rsid w:val="000213BD"/>
    <w:rsid w:val="0002203D"/>
    <w:rsid w:val="0002468D"/>
    <w:rsid w:val="00027D17"/>
    <w:rsid w:val="00030956"/>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5709D"/>
    <w:rsid w:val="00061571"/>
    <w:rsid w:val="00061B36"/>
    <w:rsid w:val="00065248"/>
    <w:rsid w:val="00065EFB"/>
    <w:rsid w:val="00067179"/>
    <w:rsid w:val="00074373"/>
    <w:rsid w:val="00077669"/>
    <w:rsid w:val="00083E93"/>
    <w:rsid w:val="00087C4A"/>
    <w:rsid w:val="000933A2"/>
    <w:rsid w:val="00094E92"/>
    <w:rsid w:val="00095559"/>
    <w:rsid w:val="00097868"/>
    <w:rsid w:val="000A1105"/>
    <w:rsid w:val="000A2858"/>
    <w:rsid w:val="000A4F03"/>
    <w:rsid w:val="000A5AC0"/>
    <w:rsid w:val="000A6E1E"/>
    <w:rsid w:val="000B625B"/>
    <w:rsid w:val="000C1A63"/>
    <w:rsid w:val="000C1F3C"/>
    <w:rsid w:val="000C21A5"/>
    <w:rsid w:val="000C3344"/>
    <w:rsid w:val="000C3EE7"/>
    <w:rsid w:val="000C4DBA"/>
    <w:rsid w:val="000C74D4"/>
    <w:rsid w:val="000D0DAB"/>
    <w:rsid w:val="000D0E6C"/>
    <w:rsid w:val="000D110F"/>
    <w:rsid w:val="000D158D"/>
    <w:rsid w:val="000D24E4"/>
    <w:rsid w:val="000D44B1"/>
    <w:rsid w:val="000D4D0E"/>
    <w:rsid w:val="000D4FB6"/>
    <w:rsid w:val="000D64D4"/>
    <w:rsid w:val="000E4A4F"/>
    <w:rsid w:val="000E5A4E"/>
    <w:rsid w:val="00104663"/>
    <w:rsid w:val="001109F8"/>
    <w:rsid w:val="00111C9B"/>
    <w:rsid w:val="00111CC8"/>
    <w:rsid w:val="00112B08"/>
    <w:rsid w:val="0011449B"/>
    <w:rsid w:val="00114B03"/>
    <w:rsid w:val="00114C81"/>
    <w:rsid w:val="00115E6F"/>
    <w:rsid w:val="00116EDA"/>
    <w:rsid w:val="0012018C"/>
    <w:rsid w:val="001218E0"/>
    <w:rsid w:val="00122906"/>
    <w:rsid w:val="0012458E"/>
    <w:rsid w:val="00130D54"/>
    <w:rsid w:val="001345B3"/>
    <w:rsid w:val="0013565E"/>
    <w:rsid w:val="00137525"/>
    <w:rsid w:val="001400AB"/>
    <w:rsid w:val="00142AA1"/>
    <w:rsid w:val="00150D5E"/>
    <w:rsid w:val="00157269"/>
    <w:rsid w:val="00161E6C"/>
    <w:rsid w:val="00162D85"/>
    <w:rsid w:val="00165068"/>
    <w:rsid w:val="00165C06"/>
    <w:rsid w:val="00166E3E"/>
    <w:rsid w:val="00172A27"/>
    <w:rsid w:val="00173659"/>
    <w:rsid w:val="001737BE"/>
    <w:rsid w:val="00174AB3"/>
    <w:rsid w:val="001751A8"/>
    <w:rsid w:val="00182BCE"/>
    <w:rsid w:val="001841D9"/>
    <w:rsid w:val="00184C15"/>
    <w:rsid w:val="001869CB"/>
    <w:rsid w:val="00187E3F"/>
    <w:rsid w:val="0019064E"/>
    <w:rsid w:val="00190DB7"/>
    <w:rsid w:val="00191263"/>
    <w:rsid w:val="001915D6"/>
    <w:rsid w:val="00191EE1"/>
    <w:rsid w:val="00192A2F"/>
    <w:rsid w:val="00193494"/>
    <w:rsid w:val="001A0C24"/>
    <w:rsid w:val="001A15C0"/>
    <w:rsid w:val="001A40E8"/>
    <w:rsid w:val="001A5CA3"/>
    <w:rsid w:val="001A622E"/>
    <w:rsid w:val="001A6712"/>
    <w:rsid w:val="001B2770"/>
    <w:rsid w:val="001B485F"/>
    <w:rsid w:val="001B4A44"/>
    <w:rsid w:val="001B4D88"/>
    <w:rsid w:val="001B70E5"/>
    <w:rsid w:val="001C07C7"/>
    <w:rsid w:val="001C1E8B"/>
    <w:rsid w:val="001C3739"/>
    <w:rsid w:val="001C5267"/>
    <w:rsid w:val="001C6042"/>
    <w:rsid w:val="001D108D"/>
    <w:rsid w:val="001D24BB"/>
    <w:rsid w:val="001D509C"/>
    <w:rsid w:val="001D6ED7"/>
    <w:rsid w:val="001D7C85"/>
    <w:rsid w:val="001E0576"/>
    <w:rsid w:val="001E0DE9"/>
    <w:rsid w:val="001E3B20"/>
    <w:rsid w:val="001E4A9F"/>
    <w:rsid w:val="001F2767"/>
    <w:rsid w:val="001F3859"/>
    <w:rsid w:val="001F429B"/>
    <w:rsid w:val="001F43C6"/>
    <w:rsid w:val="001F4C63"/>
    <w:rsid w:val="001F7E31"/>
    <w:rsid w:val="0020010E"/>
    <w:rsid w:val="002020B2"/>
    <w:rsid w:val="0020567D"/>
    <w:rsid w:val="002056F9"/>
    <w:rsid w:val="002062F2"/>
    <w:rsid w:val="002070ED"/>
    <w:rsid w:val="00210CAC"/>
    <w:rsid w:val="00211374"/>
    <w:rsid w:val="00231CB7"/>
    <w:rsid w:val="00231D98"/>
    <w:rsid w:val="00233356"/>
    <w:rsid w:val="0023638E"/>
    <w:rsid w:val="00236750"/>
    <w:rsid w:val="00241007"/>
    <w:rsid w:val="00242F55"/>
    <w:rsid w:val="00247AB8"/>
    <w:rsid w:val="00250440"/>
    <w:rsid w:val="00250675"/>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B66"/>
    <w:rsid w:val="002C2C53"/>
    <w:rsid w:val="002C6158"/>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6A17"/>
    <w:rsid w:val="00307917"/>
    <w:rsid w:val="003103BE"/>
    <w:rsid w:val="00310479"/>
    <w:rsid w:val="003110EF"/>
    <w:rsid w:val="0031459C"/>
    <w:rsid w:val="00315E77"/>
    <w:rsid w:val="00316329"/>
    <w:rsid w:val="003263C0"/>
    <w:rsid w:val="0032789C"/>
    <w:rsid w:val="00327BE3"/>
    <w:rsid w:val="00330D20"/>
    <w:rsid w:val="00334AE8"/>
    <w:rsid w:val="00335134"/>
    <w:rsid w:val="00346756"/>
    <w:rsid w:val="00352CD7"/>
    <w:rsid w:val="0036433A"/>
    <w:rsid w:val="00365E4D"/>
    <w:rsid w:val="003676AE"/>
    <w:rsid w:val="00367EAB"/>
    <w:rsid w:val="00371214"/>
    <w:rsid w:val="00372A03"/>
    <w:rsid w:val="0037368A"/>
    <w:rsid w:val="00373B00"/>
    <w:rsid w:val="00375107"/>
    <w:rsid w:val="0037517D"/>
    <w:rsid w:val="00375265"/>
    <w:rsid w:val="00376A59"/>
    <w:rsid w:val="00381405"/>
    <w:rsid w:val="00383216"/>
    <w:rsid w:val="00384E3C"/>
    <w:rsid w:val="0039130B"/>
    <w:rsid w:val="00393589"/>
    <w:rsid w:val="00393A4C"/>
    <w:rsid w:val="003A2040"/>
    <w:rsid w:val="003A25EB"/>
    <w:rsid w:val="003A6E44"/>
    <w:rsid w:val="003A74F5"/>
    <w:rsid w:val="003B0045"/>
    <w:rsid w:val="003B2B02"/>
    <w:rsid w:val="003B2E46"/>
    <w:rsid w:val="003B6B82"/>
    <w:rsid w:val="003C0638"/>
    <w:rsid w:val="003C2D53"/>
    <w:rsid w:val="003C3A74"/>
    <w:rsid w:val="003C4BA8"/>
    <w:rsid w:val="003C637D"/>
    <w:rsid w:val="003C7D51"/>
    <w:rsid w:val="003D1A22"/>
    <w:rsid w:val="003D7052"/>
    <w:rsid w:val="003D7693"/>
    <w:rsid w:val="003E074D"/>
    <w:rsid w:val="003E4007"/>
    <w:rsid w:val="003E6C02"/>
    <w:rsid w:val="003F15E3"/>
    <w:rsid w:val="003F4084"/>
    <w:rsid w:val="003F4F31"/>
    <w:rsid w:val="003F5EF9"/>
    <w:rsid w:val="003F61F8"/>
    <w:rsid w:val="003F77E0"/>
    <w:rsid w:val="003F7BB2"/>
    <w:rsid w:val="00400057"/>
    <w:rsid w:val="004014F5"/>
    <w:rsid w:val="00405C1A"/>
    <w:rsid w:val="00407D88"/>
    <w:rsid w:val="004109FD"/>
    <w:rsid w:val="00411460"/>
    <w:rsid w:val="004126B4"/>
    <w:rsid w:val="004138A3"/>
    <w:rsid w:val="0041394C"/>
    <w:rsid w:val="0041468F"/>
    <w:rsid w:val="004169D9"/>
    <w:rsid w:val="00417C8A"/>
    <w:rsid w:val="00420156"/>
    <w:rsid w:val="00422031"/>
    <w:rsid w:val="00423A07"/>
    <w:rsid w:val="00426003"/>
    <w:rsid w:val="00426E6F"/>
    <w:rsid w:val="004307B2"/>
    <w:rsid w:val="00431F99"/>
    <w:rsid w:val="00432686"/>
    <w:rsid w:val="004350B7"/>
    <w:rsid w:val="00442935"/>
    <w:rsid w:val="0044422F"/>
    <w:rsid w:val="00445C1C"/>
    <w:rsid w:val="004531C3"/>
    <w:rsid w:val="00454A5B"/>
    <w:rsid w:val="00454E74"/>
    <w:rsid w:val="00457241"/>
    <w:rsid w:val="00460753"/>
    <w:rsid w:val="00460D42"/>
    <w:rsid w:val="00461637"/>
    <w:rsid w:val="004627E0"/>
    <w:rsid w:val="00464359"/>
    <w:rsid w:val="00465438"/>
    <w:rsid w:val="00471407"/>
    <w:rsid w:val="00471778"/>
    <w:rsid w:val="00476C0B"/>
    <w:rsid w:val="00477EFE"/>
    <w:rsid w:val="004823E8"/>
    <w:rsid w:val="00485E04"/>
    <w:rsid w:val="00487128"/>
    <w:rsid w:val="00487707"/>
    <w:rsid w:val="00493946"/>
    <w:rsid w:val="00494596"/>
    <w:rsid w:val="00495B26"/>
    <w:rsid w:val="004964DA"/>
    <w:rsid w:val="00497699"/>
    <w:rsid w:val="00497B43"/>
    <w:rsid w:val="00497DB2"/>
    <w:rsid w:val="004A0174"/>
    <w:rsid w:val="004A19C4"/>
    <w:rsid w:val="004A1C81"/>
    <w:rsid w:val="004A236E"/>
    <w:rsid w:val="004A7A78"/>
    <w:rsid w:val="004B5136"/>
    <w:rsid w:val="004C0238"/>
    <w:rsid w:val="004C1A9C"/>
    <w:rsid w:val="004C2F11"/>
    <w:rsid w:val="004D0EA8"/>
    <w:rsid w:val="004D2D24"/>
    <w:rsid w:val="004D314A"/>
    <w:rsid w:val="004D42D8"/>
    <w:rsid w:val="004D4938"/>
    <w:rsid w:val="004D5BFF"/>
    <w:rsid w:val="004D6FCA"/>
    <w:rsid w:val="004E04D2"/>
    <w:rsid w:val="004E1AB8"/>
    <w:rsid w:val="004E22FC"/>
    <w:rsid w:val="004E2A2F"/>
    <w:rsid w:val="004E489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3917"/>
    <w:rsid w:val="00536FBF"/>
    <w:rsid w:val="0054018C"/>
    <w:rsid w:val="0054254A"/>
    <w:rsid w:val="00544130"/>
    <w:rsid w:val="0055182F"/>
    <w:rsid w:val="005522C5"/>
    <w:rsid w:val="00555780"/>
    <w:rsid w:val="0056065C"/>
    <w:rsid w:val="0057066B"/>
    <w:rsid w:val="0057223E"/>
    <w:rsid w:val="00572BAD"/>
    <w:rsid w:val="00573BCB"/>
    <w:rsid w:val="00576529"/>
    <w:rsid w:val="00577014"/>
    <w:rsid w:val="00584301"/>
    <w:rsid w:val="00585E68"/>
    <w:rsid w:val="00586C3A"/>
    <w:rsid w:val="00587796"/>
    <w:rsid w:val="005879E7"/>
    <w:rsid w:val="00590E09"/>
    <w:rsid w:val="00591584"/>
    <w:rsid w:val="00594CDD"/>
    <w:rsid w:val="005967FC"/>
    <w:rsid w:val="005A0348"/>
    <w:rsid w:val="005A32FB"/>
    <w:rsid w:val="005A38C6"/>
    <w:rsid w:val="005A3E6E"/>
    <w:rsid w:val="005A7A4A"/>
    <w:rsid w:val="005B280F"/>
    <w:rsid w:val="005B5915"/>
    <w:rsid w:val="005C0B8A"/>
    <w:rsid w:val="005C16E4"/>
    <w:rsid w:val="005C1CD8"/>
    <w:rsid w:val="005C3154"/>
    <w:rsid w:val="005C3A22"/>
    <w:rsid w:val="005C3D96"/>
    <w:rsid w:val="005C54A7"/>
    <w:rsid w:val="005C6F10"/>
    <w:rsid w:val="005D2C66"/>
    <w:rsid w:val="005D2F62"/>
    <w:rsid w:val="005D6253"/>
    <w:rsid w:val="005D7D2C"/>
    <w:rsid w:val="005E282B"/>
    <w:rsid w:val="005E68E7"/>
    <w:rsid w:val="005F26CD"/>
    <w:rsid w:val="005F2EC2"/>
    <w:rsid w:val="005F37E8"/>
    <w:rsid w:val="005F5691"/>
    <w:rsid w:val="00600E63"/>
    <w:rsid w:val="006050C1"/>
    <w:rsid w:val="00605DB2"/>
    <w:rsid w:val="0060696F"/>
    <w:rsid w:val="006120C0"/>
    <w:rsid w:val="006154F0"/>
    <w:rsid w:val="00615A32"/>
    <w:rsid w:val="00625BC2"/>
    <w:rsid w:val="0063038E"/>
    <w:rsid w:val="006329C9"/>
    <w:rsid w:val="006351A3"/>
    <w:rsid w:val="006366FE"/>
    <w:rsid w:val="00647236"/>
    <w:rsid w:val="00651C90"/>
    <w:rsid w:val="00655480"/>
    <w:rsid w:val="00655744"/>
    <w:rsid w:val="00656E00"/>
    <w:rsid w:val="00660A99"/>
    <w:rsid w:val="00667E4E"/>
    <w:rsid w:val="0067526F"/>
    <w:rsid w:val="00675C4B"/>
    <w:rsid w:val="006839B6"/>
    <w:rsid w:val="006854BE"/>
    <w:rsid w:val="00694B34"/>
    <w:rsid w:val="006964A9"/>
    <w:rsid w:val="00697E44"/>
    <w:rsid w:val="006A1906"/>
    <w:rsid w:val="006A69A8"/>
    <w:rsid w:val="006A6E74"/>
    <w:rsid w:val="006B183A"/>
    <w:rsid w:val="006B1AA2"/>
    <w:rsid w:val="006B4058"/>
    <w:rsid w:val="006B456B"/>
    <w:rsid w:val="006B4C67"/>
    <w:rsid w:val="006B502C"/>
    <w:rsid w:val="006B5BB8"/>
    <w:rsid w:val="006B6203"/>
    <w:rsid w:val="006B6B67"/>
    <w:rsid w:val="006C02F5"/>
    <w:rsid w:val="006C5FEF"/>
    <w:rsid w:val="006D34D0"/>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35"/>
    <w:rsid w:val="00722CB9"/>
    <w:rsid w:val="00727E2C"/>
    <w:rsid w:val="00727FEB"/>
    <w:rsid w:val="007367B3"/>
    <w:rsid w:val="007402C2"/>
    <w:rsid w:val="00743859"/>
    <w:rsid w:val="00743C5C"/>
    <w:rsid w:val="0074525D"/>
    <w:rsid w:val="00746B00"/>
    <w:rsid w:val="007474FA"/>
    <w:rsid w:val="0075094E"/>
    <w:rsid w:val="00757BAC"/>
    <w:rsid w:val="007626A0"/>
    <w:rsid w:val="00762B5C"/>
    <w:rsid w:val="00763A08"/>
    <w:rsid w:val="0076668A"/>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592B"/>
    <w:rsid w:val="007E765C"/>
    <w:rsid w:val="007F0976"/>
    <w:rsid w:val="007F4A8F"/>
    <w:rsid w:val="007F52CF"/>
    <w:rsid w:val="008007F7"/>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755E6"/>
    <w:rsid w:val="0088347A"/>
    <w:rsid w:val="00885D8E"/>
    <w:rsid w:val="00886234"/>
    <w:rsid w:val="008863A7"/>
    <w:rsid w:val="008863D4"/>
    <w:rsid w:val="00886634"/>
    <w:rsid w:val="00887B85"/>
    <w:rsid w:val="00890DCD"/>
    <w:rsid w:val="00896FB1"/>
    <w:rsid w:val="00897356"/>
    <w:rsid w:val="00897AF3"/>
    <w:rsid w:val="008A357F"/>
    <w:rsid w:val="008A4822"/>
    <w:rsid w:val="008A5161"/>
    <w:rsid w:val="008B079F"/>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1E11"/>
    <w:rsid w:val="008E316D"/>
    <w:rsid w:val="008E4628"/>
    <w:rsid w:val="008E5F0C"/>
    <w:rsid w:val="008E612F"/>
    <w:rsid w:val="008F03D5"/>
    <w:rsid w:val="008F07DF"/>
    <w:rsid w:val="008F08A0"/>
    <w:rsid w:val="008F1219"/>
    <w:rsid w:val="008F366B"/>
    <w:rsid w:val="008F3E4C"/>
    <w:rsid w:val="008F7903"/>
    <w:rsid w:val="008F7DDE"/>
    <w:rsid w:val="0090287D"/>
    <w:rsid w:val="00907974"/>
    <w:rsid w:val="00910AD3"/>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4C57"/>
    <w:rsid w:val="00976C85"/>
    <w:rsid w:val="009829FC"/>
    <w:rsid w:val="00987666"/>
    <w:rsid w:val="009921C2"/>
    <w:rsid w:val="009924D5"/>
    <w:rsid w:val="00995623"/>
    <w:rsid w:val="00995FD6"/>
    <w:rsid w:val="009A266F"/>
    <w:rsid w:val="009A2D5B"/>
    <w:rsid w:val="009A5E9D"/>
    <w:rsid w:val="009B1C17"/>
    <w:rsid w:val="009B206E"/>
    <w:rsid w:val="009B3D13"/>
    <w:rsid w:val="009B44CF"/>
    <w:rsid w:val="009B55F5"/>
    <w:rsid w:val="009C3597"/>
    <w:rsid w:val="009C3B05"/>
    <w:rsid w:val="009C725B"/>
    <w:rsid w:val="009C7646"/>
    <w:rsid w:val="009C76D3"/>
    <w:rsid w:val="009D1860"/>
    <w:rsid w:val="009D384E"/>
    <w:rsid w:val="009D3E5A"/>
    <w:rsid w:val="009D4270"/>
    <w:rsid w:val="009D4691"/>
    <w:rsid w:val="009D5067"/>
    <w:rsid w:val="009D5C27"/>
    <w:rsid w:val="009D7183"/>
    <w:rsid w:val="009D744F"/>
    <w:rsid w:val="009E2C1B"/>
    <w:rsid w:val="009E35EE"/>
    <w:rsid w:val="009E3626"/>
    <w:rsid w:val="009E3F0D"/>
    <w:rsid w:val="009E55E0"/>
    <w:rsid w:val="009E6D86"/>
    <w:rsid w:val="009E7112"/>
    <w:rsid w:val="009F2035"/>
    <w:rsid w:val="009F5CDD"/>
    <w:rsid w:val="009F6F5D"/>
    <w:rsid w:val="00A0299D"/>
    <w:rsid w:val="00A039DC"/>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63A39"/>
    <w:rsid w:val="00A714BB"/>
    <w:rsid w:val="00A7154B"/>
    <w:rsid w:val="00A733D2"/>
    <w:rsid w:val="00A81059"/>
    <w:rsid w:val="00A87265"/>
    <w:rsid w:val="00A9044C"/>
    <w:rsid w:val="00A90951"/>
    <w:rsid w:val="00A9106B"/>
    <w:rsid w:val="00A915BC"/>
    <w:rsid w:val="00A91F9A"/>
    <w:rsid w:val="00A926FB"/>
    <w:rsid w:val="00A93AC6"/>
    <w:rsid w:val="00A93E9E"/>
    <w:rsid w:val="00A95DBC"/>
    <w:rsid w:val="00A96926"/>
    <w:rsid w:val="00A97D3D"/>
    <w:rsid w:val="00AA17DC"/>
    <w:rsid w:val="00AA3B9C"/>
    <w:rsid w:val="00AA493F"/>
    <w:rsid w:val="00AB2650"/>
    <w:rsid w:val="00AB29D3"/>
    <w:rsid w:val="00AB370A"/>
    <w:rsid w:val="00AB39F3"/>
    <w:rsid w:val="00AC2B19"/>
    <w:rsid w:val="00AC346A"/>
    <w:rsid w:val="00AC4A89"/>
    <w:rsid w:val="00AD032A"/>
    <w:rsid w:val="00AD212B"/>
    <w:rsid w:val="00AD5414"/>
    <w:rsid w:val="00AD5F30"/>
    <w:rsid w:val="00AE2286"/>
    <w:rsid w:val="00AE2ED6"/>
    <w:rsid w:val="00AE7E12"/>
    <w:rsid w:val="00AF039F"/>
    <w:rsid w:val="00AF0A13"/>
    <w:rsid w:val="00AF4A99"/>
    <w:rsid w:val="00AF65F7"/>
    <w:rsid w:val="00B00F7A"/>
    <w:rsid w:val="00B012D5"/>
    <w:rsid w:val="00B01A6C"/>
    <w:rsid w:val="00B0332B"/>
    <w:rsid w:val="00B127DA"/>
    <w:rsid w:val="00B12ECD"/>
    <w:rsid w:val="00B138A5"/>
    <w:rsid w:val="00B14C0B"/>
    <w:rsid w:val="00B15124"/>
    <w:rsid w:val="00B2146D"/>
    <w:rsid w:val="00B22071"/>
    <w:rsid w:val="00B31EF4"/>
    <w:rsid w:val="00B3313A"/>
    <w:rsid w:val="00B34302"/>
    <w:rsid w:val="00B35C4D"/>
    <w:rsid w:val="00B36043"/>
    <w:rsid w:val="00B367CF"/>
    <w:rsid w:val="00B37781"/>
    <w:rsid w:val="00B37BCC"/>
    <w:rsid w:val="00B41EA2"/>
    <w:rsid w:val="00B475BB"/>
    <w:rsid w:val="00B51EFD"/>
    <w:rsid w:val="00B54A1C"/>
    <w:rsid w:val="00B55791"/>
    <w:rsid w:val="00B56FBC"/>
    <w:rsid w:val="00B61CB2"/>
    <w:rsid w:val="00B63318"/>
    <w:rsid w:val="00B66525"/>
    <w:rsid w:val="00B702D9"/>
    <w:rsid w:val="00B729E1"/>
    <w:rsid w:val="00B808B4"/>
    <w:rsid w:val="00B80D7D"/>
    <w:rsid w:val="00B812CD"/>
    <w:rsid w:val="00B8314C"/>
    <w:rsid w:val="00B850D2"/>
    <w:rsid w:val="00B869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15C0"/>
    <w:rsid w:val="00BF28ED"/>
    <w:rsid w:val="00BF63C6"/>
    <w:rsid w:val="00C0150B"/>
    <w:rsid w:val="00C01E03"/>
    <w:rsid w:val="00C025A9"/>
    <w:rsid w:val="00C02D7A"/>
    <w:rsid w:val="00C036EC"/>
    <w:rsid w:val="00C0598F"/>
    <w:rsid w:val="00C05D6B"/>
    <w:rsid w:val="00C13CEC"/>
    <w:rsid w:val="00C13CF5"/>
    <w:rsid w:val="00C1781A"/>
    <w:rsid w:val="00C20683"/>
    <w:rsid w:val="00C20DC8"/>
    <w:rsid w:val="00C24B6E"/>
    <w:rsid w:val="00C256B4"/>
    <w:rsid w:val="00C304D6"/>
    <w:rsid w:val="00C31EB2"/>
    <w:rsid w:val="00C329C3"/>
    <w:rsid w:val="00C40CD1"/>
    <w:rsid w:val="00C52C7F"/>
    <w:rsid w:val="00C607B3"/>
    <w:rsid w:val="00C62563"/>
    <w:rsid w:val="00C628DA"/>
    <w:rsid w:val="00C6395F"/>
    <w:rsid w:val="00C667E7"/>
    <w:rsid w:val="00C66EE6"/>
    <w:rsid w:val="00C670AB"/>
    <w:rsid w:val="00C721C3"/>
    <w:rsid w:val="00C73213"/>
    <w:rsid w:val="00C7421C"/>
    <w:rsid w:val="00C74BFB"/>
    <w:rsid w:val="00C75DA4"/>
    <w:rsid w:val="00C765AF"/>
    <w:rsid w:val="00C81992"/>
    <w:rsid w:val="00C83068"/>
    <w:rsid w:val="00C833B7"/>
    <w:rsid w:val="00C83429"/>
    <w:rsid w:val="00C84785"/>
    <w:rsid w:val="00C8637A"/>
    <w:rsid w:val="00C87311"/>
    <w:rsid w:val="00C87F1E"/>
    <w:rsid w:val="00C90AF0"/>
    <w:rsid w:val="00C93022"/>
    <w:rsid w:val="00C96B1D"/>
    <w:rsid w:val="00CA1881"/>
    <w:rsid w:val="00CA27AA"/>
    <w:rsid w:val="00CA374D"/>
    <w:rsid w:val="00CA45AE"/>
    <w:rsid w:val="00CA6080"/>
    <w:rsid w:val="00CA627A"/>
    <w:rsid w:val="00CA6806"/>
    <w:rsid w:val="00CA70BF"/>
    <w:rsid w:val="00CA7348"/>
    <w:rsid w:val="00CB1316"/>
    <w:rsid w:val="00CB16E8"/>
    <w:rsid w:val="00CB7229"/>
    <w:rsid w:val="00CC0BE0"/>
    <w:rsid w:val="00CC1D36"/>
    <w:rsid w:val="00CD1CAB"/>
    <w:rsid w:val="00CD3E5C"/>
    <w:rsid w:val="00CD62C7"/>
    <w:rsid w:val="00CD6DE5"/>
    <w:rsid w:val="00CE10A2"/>
    <w:rsid w:val="00CE3AD7"/>
    <w:rsid w:val="00CE50F5"/>
    <w:rsid w:val="00CE5EE3"/>
    <w:rsid w:val="00CF33C3"/>
    <w:rsid w:val="00CF3431"/>
    <w:rsid w:val="00CF37D2"/>
    <w:rsid w:val="00CF7251"/>
    <w:rsid w:val="00CF7F2A"/>
    <w:rsid w:val="00CF7F8F"/>
    <w:rsid w:val="00D01299"/>
    <w:rsid w:val="00D01F9D"/>
    <w:rsid w:val="00D026F7"/>
    <w:rsid w:val="00D056B2"/>
    <w:rsid w:val="00D05917"/>
    <w:rsid w:val="00D05BBB"/>
    <w:rsid w:val="00D07AA9"/>
    <w:rsid w:val="00D10648"/>
    <w:rsid w:val="00D1373D"/>
    <w:rsid w:val="00D200E4"/>
    <w:rsid w:val="00D2049A"/>
    <w:rsid w:val="00D212FB"/>
    <w:rsid w:val="00D23BFA"/>
    <w:rsid w:val="00D24803"/>
    <w:rsid w:val="00D353FF"/>
    <w:rsid w:val="00D369AC"/>
    <w:rsid w:val="00D36FF4"/>
    <w:rsid w:val="00D40795"/>
    <w:rsid w:val="00D41C06"/>
    <w:rsid w:val="00D460AD"/>
    <w:rsid w:val="00D47043"/>
    <w:rsid w:val="00D51479"/>
    <w:rsid w:val="00D54C72"/>
    <w:rsid w:val="00D56345"/>
    <w:rsid w:val="00D56B35"/>
    <w:rsid w:val="00D56E7A"/>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5F2F"/>
    <w:rsid w:val="00DA68FB"/>
    <w:rsid w:val="00DA7361"/>
    <w:rsid w:val="00DA737C"/>
    <w:rsid w:val="00DA7BFE"/>
    <w:rsid w:val="00DB3061"/>
    <w:rsid w:val="00DB5A96"/>
    <w:rsid w:val="00DB663C"/>
    <w:rsid w:val="00DB6F25"/>
    <w:rsid w:val="00DC10A7"/>
    <w:rsid w:val="00DC12B0"/>
    <w:rsid w:val="00DC4AA0"/>
    <w:rsid w:val="00DC6568"/>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0390"/>
    <w:rsid w:val="00E35D90"/>
    <w:rsid w:val="00E3742A"/>
    <w:rsid w:val="00E41FB0"/>
    <w:rsid w:val="00E42DE4"/>
    <w:rsid w:val="00E45909"/>
    <w:rsid w:val="00E46623"/>
    <w:rsid w:val="00E47210"/>
    <w:rsid w:val="00E47EEF"/>
    <w:rsid w:val="00E51C1B"/>
    <w:rsid w:val="00E533C4"/>
    <w:rsid w:val="00E53964"/>
    <w:rsid w:val="00E56E06"/>
    <w:rsid w:val="00E56FC4"/>
    <w:rsid w:val="00E57296"/>
    <w:rsid w:val="00E575C3"/>
    <w:rsid w:val="00E622B2"/>
    <w:rsid w:val="00E65055"/>
    <w:rsid w:val="00E65A9B"/>
    <w:rsid w:val="00E66918"/>
    <w:rsid w:val="00E72A91"/>
    <w:rsid w:val="00E75340"/>
    <w:rsid w:val="00E81C57"/>
    <w:rsid w:val="00E85789"/>
    <w:rsid w:val="00E91B94"/>
    <w:rsid w:val="00E93356"/>
    <w:rsid w:val="00E938AF"/>
    <w:rsid w:val="00E9512A"/>
    <w:rsid w:val="00E96A92"/>
    <w:rsid w:val="00EA3654"/>
    <w:rsid w:val="00EA37AB"/>
    <w:rsid w:val="00EA42EA"/>
    <w:rsid w:val="00EA4736"/>
    <w:rsid w:val="00EA4812"/>
    <w:rsid w:val="00EA62B8"/>
    <w:rsid w:val="00EA6B0D"/>
    <w:rsid w:val="00EB0AE3"/>
    <w:rsid w:val="00EB4A72"/>
    <w:rsid w:val="00EB72A5"/>
    <w:rsid w:val="00EB7E69"/>
    <w:rsid w:val="00EC075C"/>
    <w:rsid w:val="00EC155E"/>
    <w:rsid w:val="00EC209C"/>
    <w:rsid w:val="00EC2864"/>
    <w:rsid w:val="00EC3182"/>
    <w:rsid w:val="00EC57BD"/>
    <w:rsid w:val="00EC7697"/>
    <w:rsid w:val="00EC77D6"/>
    <w:rsid w:val="00ED1F25"/>
    <w:rsid w:val="00ED29D1"/>
    <w:rsid w:val="00ED3096"/>
    <w:rsid w:val="00ED3A96"/>
    <w:rsid w:val="00EE2519"/>
    <w:rsid w:val="00EE54FE"/>
    <w:rsid w:val="00EE5E15"/>
    <w:rsid w:val="00EF0648"/>
    <w:rsid w:val="00EF0988"/>
    <w:rsid w:val="00EF394B"/>
    <w:rsid w:val="00EF40B3"/>
    <w:rsid w:val="00F01C96"/>
    <w:rsid w:val="00F051F8"/>
    <w:rsid w:val="00F0661F"/>
    <w:rsid w:val="00F07A83"/>
    <w:rsid w:val="00F07BDA"/>
    <w:rsid w:val="00F12CBB"/>
    <w:rsid w:val="00F1355C"/>
    <w:rsid w:val="00F15F80"/>
    <w:rsid w:val="00F222DA"/>
    <w:rsid w:val="00F2566F"/>
    <w:rsid w:val="00F26477"/>
    <w:rsid w:val="00F27259"/>
    <w:rsid w:val="00F33527"/>
    <w:rsid w:val="00F33DF7"/>
    <w:rsid w:val="00F35DF7"/>
    <w:rsid w:val="00F360DB"/>
    <w:rsid w:val="00F37C1A"/>
    <w:rsid w:val="00F405B5"/>
    <w:rsid w:val="00F41632"/>
    <w:rsid w:val="00F42267"/>
    <w:rsid w:val="00F4255B"/>
    <w:rsid w:val="00F454C9"/>
    <w:rsid w:val="00F46AE7"/>
    <w:rsid w:val="00F477E2"/>
    <w:rsid w:val="00F515FC"/>
    <w:rsid w:val="00F5295B"/>
    <w:rsid w:val="00F54935"/>
    <w:rsid w:val="00F57CCC"/>
    <w:rsid w:val="00F63771"/>
    <w:rsid w:val="00F63922"/>
    <w:rsid w:val="00F65BA4"/>
    <w:rsid w:val="00F6668D"/>
    <w:rsid w:val="00F70C83"/>
    <w:rsid w:val="00F76826"/>
    <w:rsid w:val="00F76A15"/>
    <w:rsid w:val="00F77CA1"/>
    <w:rsid w:val="00F82E38"/>
    <w:rsid w:val="00F9042A"/>
    <w:rsid w:val="00F916ED"/>
    <w:rsid w:val="00F9250E"/>
    <w:rsid w:val="00F94D2A"/>
    <w:rsid w:val="00F95492"/>
    <w:rsid w:val="00FA4064"/>
    <w:rsid w:val="00FA4846"/>
    <w:rsid w:val="00FB1EB6"/>
    <w:rsid w:val="00FB28F5"/>
    <w:rsid w:val="00FB466D"/>
    <w:rsid w:val="00FB4E10"/>
    <w:rsid w:val="00FB57EB"/>
    <w:rsid w:val="00FB5905"/>
    <w:rsid w:val="00FB5FF6"/>
    <w:rsid w:val="00FB6FF9"/>
    <w:rsid w:val="00FC0201"/>
    <w:rsid w:val="00FC066F"/>
    <w:rsid w:val="00FC16C6"/>
    <w:rsid w:val="00FC3901"/>
    <w:rsid w:val="00FC5B79"/>
    <w:rsid w:val="00FC7E58"/>
    <w:rsid w:val="00FD5EB9"/>
    <w:rsid w:val="00FD65DA"/>
    <w:rsid w:val="00FD69EA"/>
    <w:rsid w:val="00FD714E"/>
    <w:rsid w:val="00FE5780"/>
    <w:rsid w:val="00FE5E89"/>
    <w:rsid w:val="00FE7260"/>
    <w:rsid w:val="00FF0866"/>
    <w:rsid w:val="00FF21AE"/>
    <w:rsid w:val="00FF724C"/>
    <w:rsid w:val="00FF7A04"/>
    <w:rsid w:val="00FF7BD2"/>
    <w:rsid w:val="014A102B"/>
    <w:rsid w:val="01F86547"/>
    <w:rsid w:val="020B1352"/>
    <w:rsid w:val="04655A2E"/>
    <w:rsid w:val="06033D70"/>
    <w:rsid w:val="096822C4"/>
    <w:rsid w:val="0C722A17"/>
    <w:rsid w:val="0D1F2EFB"/>
    <w:rsid w:val="0DF10E84"/>
    <w:rsid w:val="0FBA0285"/>
    <w:rsid w:val="12967551"/>
    <w:rsid w:val="13006F54"/>
    <w:rsid w:val="136D6ED3"/>
    <w:rsid w:val="13866CDF"/>
    <w:rsid w:val="138F580D"/>
    <w:rsid w:val="174D5402"/>
    <w:rsid w:val="182F1BE9"/>
    <w:rsid w:val="19CB26FB"/>
    <w:rsid w:val="1D38533F"/>
    <w:rsid w:val="1EB65C73"/>
    <w:rsid w:val="203A3ADA"/>
    <w:rsid w:val="21E9513C"/>
    <w:rsid w:val="22640736"/>
    <w:rsid w:val="234A5ADA"/>
    <w:rsid w:val="23CE2E51"/>
    <w:rsid w:val="24A87D17"/>
    <w:rsid w:val="24BF1EF4"/>
    <w:rsid w:val="263C7165"/>
    <w:rsid w:val="2A27300C"/>
    <w:rsid w:val="2ABC209E"/>
    <w:rsid w:val="2B0C63C3"/>
    <w:rsid w:val="2CEC504B"/>
    <w:rsid w:val="2D3E7E1F"/>
    <w:rsid w:val="2FB44E79"/>
    <w:rsid w:val="33B05C54"/>
    <w:rsid w:val="36AA5FB7"/>
    <w:rsid w:val="37E207E0"/>
    <w:rsid w:val="3ADC3279"/>
    <w:rsid w:val="3AF720E1"/>
    <w:rsid w:val="3D7D4874"/>
    <w:rsid w:val="3DD32704"/>
    <w:rsid w:val="3F1F6E61"/>
    <w:rsid w:val="404B2AD9"/>
    <w:rsid w:val="438F3969"/>
    <w:rsid w:val="43AB35FA"/>
    <w:rsid w:val="43E40661"/>
    <w:rsid w:val="44A86AEF"/>
    <w:rsid w:val="466A68F8"/>
    <w:rsid w:val="46A75CF0"/>
    <w:rsid w:val="49D037AD"/>
    <w:rsid w:val="4A095C59"/>
    <w:rsid w:val="4BD42C46"/>
    <w:rsid w:val="4C1D5A86"/>
    <w:rsid w:val="4CBB7CB4"/>
    <w:rsid w:val="4D473578"/>
    <w:rsid w:val="4E7533AC"/>
    <w:rsid w:val="4FEA6EDE"/>
    <w:rsid w:val="4FEC4AC6"/>
    <w:rsid w:val="504170C8"/>
    <w:rsid w:val="51127997"/>
    <w:rsid w:val="52320CE8"/>
    <w:rsid w:val="53293D6C"/>
    <w:rsid w:val="53CE78AB"/>
    <w:rsid w:val="557C6D9E"/>
    <w:rsid w:val="55FF0855"/>
    <w:rsid w:val="578B5375"/>
    <w:rsid w:val="579E6661"/>
    <w:rsid w:val="58B96466"/>
    <w:rsid w:val="59D520D8"/>
    <w:rsid w:val="5A830ECD"/>
    <w:rsid w:val="5AB5391D"/>
    <w:rsid w:val="5B5C4BD9"/>
    <w:rsid w:val="5BA57A9F"/>
    <w:rsid w:val="5C0E3E63"/>
    <w:rsid w:val="5DD3249C"/>
    <w:rsid w:val="5E192021"/>
    <w:rsid w:val="5EC87223"/>
    <w:rsid w:val="607629FB"/>
    <w:rsid w:val="60C05AC1"/>
    <w:rsid w:val="618B1EF3"/>
    <w:rsid w:val="618B39CD"/>
    <w:rsid w:val="62110416"/>
    <w:rsid w:val="62A42A78"/>
    <w:rsid w:val="64E95889"/>
    <w:rsid w:val="675A1911"/>
    <w:rsid w:val="68A624C1"/>
    <w:rsid w:val="6B1328B3"/>
    <w:rsid w:val="6B872EA8"/>
    <w:rsid w:val="6F1448E1"/>
    <w:rsid w:val="706A291D"/>
    <w:rsid w:val="70921C01"/>
    <w:rsid w:val="71E06781"/>
    <w:rsid w:val="72827EF7"/>
    <w:rsid w:val="73D968CF"/>
    <w:rsid w:val="763464B7"/>
    <w:rsid w:val="7BA62F16"/>
    <w:rsid w:val="7D9D3491"/>
    <w:rsid w:val="7ECF35A2"/>
    <w:rsid w:val="7EE175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10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4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2"/>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3"/>
    <w:qFormat/>
    <w:uiPriority w:val="0"/>
    <w:pPr>
      <w:keepNext/>
      <w:widowControl/>
      <w:numPr>
        <w:ilvl w:val="0"/>
        <w:numId w:val="4"/>
      </w:numPr>
      <w:jc w:val="left"/>
      <w:outlineLvl w:val="4"/>
    </w:pPr>
    <w:rPr>
      <w:kern w:val="0"/>
      <w:sz w:val="24"/>
      <w:szCs w:val="20"/>
    </w:rPr>
  </w:style>
  <w:style w:type="paragraph" w:styleId="9">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1"/>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120"/>
    <w:semiHidden/>
    <w:qFormat/>
    <w:uiPriority w:val="0"/>
    <w:pPr>
      <w:jc w:val="left"/>
    </w:pPr>
  </w:style>
  <w:style w:type="paragraph" w:styleId="18">
    <w:name w:val="Body Text"/>
    <w:basedOn w:val="1"/>
    <w:link w:val="68"/>
    <w:qFormat/>
    <w:uiPriority w:val="0"/>
    <w:pPr>
      <w:spacing w:line="360" w:lineRule="auto"/>
    </w:pPr>
    <w:rPr>
      <w:rFonts w:eastAsia="仿宋_GB2312"/>
      <w:sz w:val="28"/>
    </w:rPr>
  </w:style>
  <w:style w:type="paragraph" w:styleId="19">
    <w:name w:val="Body Text Indent"/>
    <w:basedOn w:val="1"/>
    <w:link w:val="103"/>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link w:val="54"/>
    <w:qFormat/>
    <w:uiPriority w:val="0"/>
    <w:rPr>
      <w:rFonts w:ascii="宋体" w:hAnsi="Courier New"/>
      <w:szCs w:val="20"/>
    </w:rPr>
  </w:style>
  <w:style w:type="paragraph" w:styleId="23">
    <w:name w:val="Date"/>
    <w:basedOn w:val="1"/>
    <w:next w:val="1"/>
    <w:link w:val="113"/>
    <w:qFormat/>
    <w:uiPriority w:val="0"/>
    <w:rPr>
      <w:rFonts w:ascii="楷体_GB2312" w:eastAsia="楷体_GB2312"/>
      <w:b/>
      <w:sz w:val="28"/>
      <w:szCs w:val="20"/>
    </w:rPr>
  </w:style>
  <w:style w:type="paragraph" w:styleId="24">
    <w:name w:val="Body Text Indent 2"/>
    <w:basedOn w:val="1"/>
    <w:link w:val="64"/>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7"/>
    <w:next w:val="17"/>
    <w:semiHidden/>
    <w:qFormat/>
    <w:uiPriority w:val="0"/>
    <w:pPr>
      <w:widowControl/>
      <w:spacing w:afterLines="50"/>
    </w:pPr>
    <w:rPr>
      <w:b/>
      <w:bCs/>
      <w:kern w:val="0"/>
      <w:sz w:val="24"/>
      <w:szCs w:val="20"/>
    </w:rPr>
  </w:style>
  <w:style w:type="paragraph" w:styleId="38">
    <w:name w:val="Body Text First Indent"/>
    <w:basedOn w:val="18"/>
    <w:qFormat/>
    <w:uiPriority w:val="0"/>
    <w:pPr>
      <w:spacing w:after="120" w:line="240" w:lineRule="auto"/>
      <w:ind w:firstLine="420" w:firstLineChars="100"/>
    </w:pPr>
    <w:rPr>
      <w:rFonts w:eastAsia="宋体"/>
      <w:sz w:val="21"/>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0"/>
    <w:rPr>
      <w:color w:val="0000FF"/>
      <w:u w:val="single"/>
    </w:rPr>
  </w:style>
  <w:style w:type="character" w:styleId="48">
    <w:name w:val="annotation reference"/>
    <w:basedOn w:val="42"/>
    <w:semiHidden/>
    <w:qFormat/>
    <w:uiPriority w:val="0"/>
    <w:rPr>
      <w:sz w:val="21"/>
      <w:szCs w:val="21"/>
    </w:rPr>
  </w:style>
  <w:style w:type="character" w:customStyle="1" w:styleId="49">
    <w:name w:val="标题 3 Char"/>
    <w:link w:val="6"/>
    <w:qFormat/>
    <w:uiPriority w:val="0"/>
    <w:rPr>
      <w:rFonts w:eastAsia="仿宋_GB2312"/>
      <w:b/>
      <w:kern w:val="2"/>
      <w:sz w:val="32"/>
      <w:lang w:val="en-US" w:eastAsia="zh-CN" w:bidi="ar-SA"/>
    </w:rPr>
  </w:style>
  <w:style w:type="character" w:customStyle="1" w:styleId="50">
    <w:name w:val="标题 1 Char"/>
    <w:link w:val="3"/>
    <w:qFormat/>
    <w:uiPriority w:val="0"/>
    <w:rPr>
      <w:rFonts w:eastAsia="仿宋_GB2312"/>
      <w:b/>
      <w:kern w:val="44"/>
      <w:sz w:val="44"/>
      <w:lang w:val="en-US" w:eastAsia="zh-CN" w:bidi="ar-SA"/>
    </w:rPr>
  </w:style>
  <w:style w:type="character" w:customStyle="1" w:styleId="51">
    <w:name w:val="正文缩进 Char"/>
    <w:basedOn w:val="42"/>
    <w:link w:val="5"/>
    <w:qFormat/>
    <w:uiPriority w:val="0"/>
    <w:rPr>
      <w:rFonts w:eastAsia="宋体"/>
      <w:kern w:val="2"/>
      <w:sz w:val="21"/>
      <w:szCs w:val="24"/>
      <w:lang w:val="en-US" w:eastAsia="zh-CN" w:bidi="ar-SA"/>
    </w:rPr>
  </w:style>
  <w:style w:type="character" w:customStyle="1" w:styleId="52">
    <w:name w:val="标题 4 Char"/>
    <w:link w:val="7"/>
    <w:qFormat/>
    <w:uiPriority w:val="0"/>
    <w:rPr>
      <w:rFonts w:ascii="Arial" w:hAnsi="Arial" w:eastAsia="黑体"/>
      <w:b/>
      <w:kern w:val="2"/>
      <w:sz w:val="28"/>
      <w:lang w:val="en-US" w:eastAsia="zh-CN" w:bidi="ar-SA"/>
    </w:rPr>
  </w:style>
  <w:style w:type="character" w:customStyle="1" w:styleId="53">
    <w:name w:val="标题 5 Char"/>
    <w:link w:val="8"/>
    <w:qFormat/>
    <w:uiPriority w:val="0"/>
    <w:rPr>
      <w:rFonts w:eastAsia="宋体"/>
      <w:sz w:val="24"/>
      <w:lang w:val="en-US" w:eastAsia="zh-CN" w:bidi="ar-SA"/>
    </w:rPr>
  </w:style>
  <w:style w:type="character" w:customStyle="1" w:styleId="54">
    <w:name w:val="纯文本 Char"/>
    <w:basedOn w:val="42"/>
    <w:link w:val="22"/>
    <w:qFormat/>
    <w:uiPriority w:val="0"/>
    <w:rPr>
      <w:rFonts w:ascii="宋体" w:hAnsi="Courier New" w:eastAsia="宋体"/>
      <w:kern w:val="2"/>
      <w:sz w:val="21"/>
      <w:lang w:val="en-US" w:eastAsia="zh-CN" w:bidi="ar-SA"/>
    </w:rPr>
  </w:style>
  <w:style w:type="paragraph" w:customStyle="1" w:styleId="55">
    <w:name w:val="表正文"/>
    <w:basedOn w:val="1"/>
    <w:next w:val="22"/>
    <w:qFormat/>
    <w:uiPriority w:val="0"/>
    <w:rPr>
      <w:rFonts w:ascii="宋体" w:hAnsi="Courier New"/>
      <w:szCs w:val="20"/>
    </w:rPr>
  </w:style>
  <w:style w:type="paragraph" w:customStyle="1" w:styleId="56">
    <w:name w:val="正文段"/>
    <w:basedOn w:val="1"/>
    <w:link w:val="151"/>
    <w:qFormat/>
    <w:uiPriority w:val="0"/>
    <w:pPr>
      <w:widowControl/>
      <w:snapToGrid w:val="0"/>
      <w:spacing w:afterLines="50"/>
      <w:ind w:firstLine="200" w:firstLineChars="200"/>
    </w:pPr>
    <w:rPr>
      <w:kern w:val="0"/>
      <w:sz w:val="24"/>
      <w:szCs w:val="20"/>
    </w:rPr>
  </w:style>
  <w:style w:type="paragraph" w:customStyle="1" w:styleId="57">
    <w:name w:val="Char"/>
    <w:basedOn w:val="1"/>
    <w:qFormat/>
    <w:uiPriority w:val="0"/>
    <w:rPr>
      <w:rFonts w:ascii="仿宋_GB2312" w:eastAsia="仿宋_GB2312"/>
      <w:b/>
      <w:sz w:val="32"/>
      <w:szCs w:val="32"/>
    </w:rPr>
  </w:style>
  <w:style w:type="paragraph" w:customStyle="1" w:styleId="58">
    <w:name w:val="Table Text"/>
    <w:link w:val="59"/>
    <w:qFormat/>
    <w:uiPriority w:val="0"/>
    <w:pPr>
      <w:snapToGrid w:val="0"/>
      <w:spacing w:before="80" w:after="80"/>
    </w:pPr>
    <w:rPr>
      <w:rFonts w:ascii="Arial" w:hAnsi="Arial" w:eastAsia="宋体" w:cs="Times New Roman"/>
      <w:sz w:val="18"/>
      <w:lang w:val="en-US" w:eastAsia="zh-CN" w:bidi="ar-SA"/>
    </w:rPr>
  </w:style>
  <w:style w:type="character" w:customStyle="1" w:styleId="59">
    <w:name w:val="Table Text Char1"/>
    <w:basedOn w:val="42"/>
    <w:link w:val="58"/>
    <w:qFormat/>
    <w:uiPriority w:val="0"/>
    <w:rPr>
      <w:rFonts w:ascii="Arial" w:hAnsi="Arial"/>
      <w:sz w:val="18"/>
      <w:lang w:val="en-US" w:eastAsia="zh-CN" w:bidi="ar-SA"/>
    </w:rPr>
  </w:style>
  <w:style w:type="character" w:customStyle="1" w:styleId="60">
    <w:name w:val="正文（缩进2汉字） Char"/>
    <w:basedOn w:val="42"/>
    <w:link w:val="61"/>
    <w:qFormat/>
    <w:uiPriority w:val="0"/>
    <w:rPr>
      <w:rFonts w:ascii="宋体"/>
      <w:kern w:val="2"/>
      <w:sz w:val="21"/>
      <w:lang w:bidi="ar-SA"/>
    </w:rPr>
  </w:style>
  <w:style w:type="paragraph" w:customStyle="1" w:styleId="61">
    <w:name w:val="正文（缩进2汉字）"/>
    <w:basedOn w:val="1"/>
    <w:link w:val="60"/>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2">
    <w:name w:val="Char11"/>
    <w:basedOn w:val="1"/>
    <w:qFormat/>
    <w:uiPriority w:val="0"/>
    <w:pPr>
      <w:tabs>
        <w:tab w:val="left" w:pos="432"/>
      </w:tabs>
      <w:spacing w:beforeLines="50" w:afterLines="50"/>
      <w:ind w:left="432" w:hanging="432"/>
      <w:jc w:val="center"/>
    </w:pPr>
    <w:rPr>
      <w:sz w:val="24"/>
    </w:rPr>
  </w:style>
  <w:style w:type="paragraph" w:customStyle="1" w:styleId="63">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4">
    <w:name w:val="正文文本缩进 2 Char"/>
    <w:link w:val="24"/>
    <w:qFormat/>
    <w:locked/>
    <w:uiPriority w:val="0"/>
    <w:rPr>
      <w:rFonts w:eastAsia="宋体"/>
      <w:kern w:val="2"/>
      <w:sz w:val="21"/>
      <w:szCs w:val="24"/>
      <w:lang w:val="en-US" w:eastAsia="zh-CN" w:bidi="ar-SA"/>
    </w:rPr>
  </w:style>
  <w:style w:type="paragraph" w:customStyle="1" w:styleId="65">
    <w:name w:val="缺省文本"/>
    <w:basedOn w:val="1"/>
    <w:qFormat/>
    <w:uiPriority w:val="0"/>
    <w:pPr>
      <w:autoSpaceDE w:val="0"/>
      <w:autoSpaceDN w:val="0"/>
      <w:adjustRightInd w:val="0"/>
      <w:jc w:val="left"/>
    </w:pPr>
    <w:rPr>
      <w:kern w:val="0"/>
      <w:sz w:val="24"/>
    </w:rPr>
  </w:style>
  <w:style w:type="paragraph" w:customStyle="1" w:styleId="66">
    <w:name w:val="WW-正文文字缩进 2"/>
    <w:basedOn w:val="1"/>
    <w:qFormat/>
    <w:uiPriority w:val="0"/>
    <w:pPr>
      <w:suppressAutoHyphens/>
      <w:ind w:firstLine="420"/>
    </w:pPr>
    <w:rPr>
      <w:kern w:val="1"/>
      <w:szCs w:val="20"/>
    </w:rPr>
  </w:style>
  <w:style w:type="paragraph" w:customStyle="1" w:styleId="67">
    <w:name w:val="默认段落字体 Para Char Char Char Char Char Char Char Char Char1 Char Char Char Char"/>
    <w:basedOn w:val="1"/>
    <w:qFormat/>
    <w:uiPriority w:val="0"/>
    <w:rPr>
      <w:rFonts w:ascii="Tahoma" w:hAnsi="Tahoma"/>
      <w:sz w:val="24"/>
      <w:szCs w:val="20"/>
    </w:rPr>
  </w:style>
  <w:style w:type="character" w:customStyle="1" w:styleId="68">
    <w:name w:val="正文文本 Char"/>
    <w:link w:val="18"/>
    <w:qFormat/>
    <w:locked/>
    <w:uiPriority w:val="0"/>
    <w:rPr>
      <w:rFonts w:eastAsia="仿宋_GB2312"/>
      <w:kern w:val="2"/>
      <w:sz w:val="28"/>
      <w:szCs w:val="24"/>
      <w:lang w:val="en-US" w:eastAsia="zh-CN" w:bidi="ar-SA"/>
    </w:rPr>
  </w:style>
  <w:style w:type="paragraph" w:customStyle="1" w:styleId="69">
    <w:name w:val="项目排列"/>
    <w:basedOn w:val="1"/>
    <w:link w:val="70"/>
    <w:qFormat/>
    <w:uiPriority w:val="0"/>
    <w:pPr>
      <w:tabs>
        <w:tab w:val="left" w:pos="900"/>
      </w:tabs>
      <w:spacing w:beforeLines="50" w:afterLines="50" w:line="300" w:lineRule="auto"/>
      <w:ind w:left="900" w:hanging="420"/>
    </w:pPr>
    <w:rPr>
      <w:sz w:val="24"/>
    </w:rPr>
  </w:style>
  <w:style w:type="character" w:customStyle="1" w:styleId="70">
    <w:name w:val="项目排列 Char"/>
    <w:basedOn w:val="42"/>
    <w:link w:val="69"/>
    <w:qFormat/>
    <w:uiPriority w:val="0"/>
    <w:rPr>
      <w:kern w:val="2"/>
      <w:sz w:val="24"/>
      <w:szCs w:val="24"/>
    </w:rPr>
  </w:style>
  <w:style w:type="character" w:customStyle="1" w:styleId="71">
    <w:name w:val="style21"/>
    <w:basedOn w:val="42"/>
    <w:qFormat/>
    <w:uiPriority w:val="0"/>
    <w:rPr>
      <w:sz w:val="15"/>
      <w:szCs w:val="15"/>
    </w:rPr>
  </w:style>
  <w:style w:type="paragraph" w:customStyle="1" w:styleId="72">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3">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4">
    <w:name w:val="Char1"/>
    <w:basedOn w:val="1"/>
    <w:qFormat/>
    <w:uiPriority w:val="0"/>
    <w:rPr>
      <w:szCs w:val="20"/>
    </w:rPr>
  </w:style>
  <w:style w:type="paragraph" w:customStyle="1" w:styleId="75">
    <w:name w:val="列出段落1"/>
    <w:basedOn w:val="1"/>
    <w:qFormat/>
    <w:uiPriority w:val="0"/>
    <w:pPr>
      <w:ind w:firstLine="420" w:firstLineChars="200"/>
    </w:pPr>
    <w:rPr>
      <w:rFonts w:ascii="Calibri" w:hAnsi="Calibri"/>
      <w:szCs w:val="22"/>
    </w:rPr>
  </w:style>
  <w:style w:type="paragraph" w:customStyle="1" w:styleId="76">
    <w:name w:val="默认段落字体 Para Char Char Char Char"/>
    <w:basedOn w:val="1"/>
    <w:qFormat/>
    <w:uiPriority w:val="0"/>
  </w:style>
  <w:style w:type="paragraph" w:customStyle="1" w:styleId="77">
    <w:name w:val="Char Char Char1 Char Char Char1 Char Char Char Char"/>
    <w:basedOn w:val="1"/>
    <w:qFormat/>
    <w:uiPriority w:val="0"/>
  </w:style>
  <w:style w:type="character" w:customStyle="1" w:styleId="78">
    <w:name w:val="font1"/>
    <w:basedOn w:val="42"/>
    <w:qFormat/>
    <w:uiPriority w:val="0"/>
    <w:rPr>
      <w:color w:val="999999"/>
      <w:sz w:val="18"/>
      <w:szCs w:val="18"/>
      <w:u w:val="none"/>
    </w:rPr>
  </w:style>
  <w:style w:type="paragraph" w:customStyle="1" w:styleId="7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0">
    <w:name w:val="Char Char Char Char Char Char Char Char Char Char"/>
    <w:basedOn w:val="1"/>
    <w:qFormat/>
    <w:uiPriority w:val="0"/>
    <w:rPr>
      <w:rFonts w:ascii="Tahoma" w:hAnsi="Tahoma"/>
      <w:sz w:val="24"/>
      <w:szCs w:val="20"/>
    </w:rPr>
  </w:style>
  <w:style w:type="character" w:customStyle="1" w:styleId="81">
    <w:name w:val="apple-style-span"/>
    <w:basedOn w:val="42"/>
    <w:qFormat/>
    <w:uiPriority w:val="0"/>
  </w:style>
  <w:style w:type="paragraph" w:customStyle="1" w:styleId="82">
    <w:name w:val="正文无缩进"/>
    <w:basedOn w:val="1"/>
    <w:link w:val="83"/>
    <w:qFormat/>
    <w:uiPriority w:val="0"/>
    <w:pPr>
      <w:spacing w:line="360" w:lineRule="auto"/>
    </w:pPr>
    <w:rPr>
      <w:rFonts w:ascii="宋体"/>
      <w:color w:val="000000"/>
      <w:sz w:val="24"/>
    </w:rPr>
  </w:style>
  <w:style w:type="character" w:customStyle="1" w:styleId="83">
    <w:name w:val="正文无缩进 Char"/>
    <w:basedOn w:val="42"/>
    <w:link w:val="82"/>
    <w:qFormat/>
    <w:uiPriority w:val="0"/>
    <w:rPr>
      <w:rFonts w:ascii="宋体" w:eastAsia="宋体"/>
      <w:color w:val="000000"/>
      <w:kern w:val="2"/>
      <w:sz w:val="24"/>
      <w:szCs w:val="24"/>
      <w:lang w:val="en-US" w:eastAsia="zh-CN" w:bidi="ar-SA"/>
    </w:rPr>
  </w:style>
  <w:style w:type="paragraph" w:customStyle="1" w:styleId="8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5">
    <w:name w:val="ca-3"/>
    <w:basedOn w:val="42"/>
    <w:qFormat/>
    <w:uiPriority w:val="0"/>
  </w:style>
  <w:style w:type="paragraph" w:customStyle="1" w:styleId="86">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7">
    <w:name w:val="表格 Char Char"/>
    <w:link w:val="88"/>
    <w:qFormat/>
    <w:locked/>
    <w:uiPriority w:val="0"/>
    <w:rPr>
      <w:rFonts w:ascii="宋体" w:hAnsi="宋体" w:eastAsia="宋体"/>
      <w:lang w:val="en-US" w:eastAsia="zh-CN" w:bidi="ar-SA"/>
    </w:rPr>
  </w:style>
  <w:style w:type="paragraph" w:customStyle="1" w:styleId="88">
    <w:name w:val="表格"/>
    <w:basedOn w:val="1"/>
    <w:link w:val="87"/>
    <w:qFormat/>
    <w:uiPriority w:val="0"/>
    <w:pPr>
      <w:snapToGrid w:val="0"/>
      <w:ind w:firstLine="42" w:firstLineChars="21"/>
    </w:pPr>
    <w:rPr>
      <w:rFonts w:ascii="宋体" w:hAnsi="宋体"/>
      <w:kern w:val="0"/>
      <w:sz w:val="20"/>
      <w:szCs w:val="20"/>
    </w:rPr>
  </w:style>
  <w:style w:type="paragraph" w:customStyle="1" w:styleId="89">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90">
    <w:name w:val="Char Char1 Char Char Char Char Char Char"/>
    <w:basedOn w:val="1"/>
    <w:qFormat/>
    <w:uiPriority w:val="0"/>
    <w:pPr>
      <w:widowControl/>
      <w:spacing w:after="160" w:line="240" w:lineRule="exact"/>
      <w:jc w:val="left"/>
    </w:pPr>
  </w:style>
  <w:style w:type="character" w:customStyle="1" w:styleId="91">
    <w:name w:val="Char Char"/>
    <w:qFormat/>
    <w:uiPriority w:val="0"/>
    <w:rPr>
      <w:rFonts w:hint="eastAsia" w:ascii="宋体" w:hAnsi="Courier New" w:eastAsia="宋体"/>
      <w:kern w:val="2"/>
      <w:sz w:val="21"/>
      <w:lang w:val="en-US" w:eastAsia="zh-CN" w:bidi="ar-SA"/>
    </w:rPr>
  </w:style>
  <w:style w:type="character" w:customStyle="1" w:styleId="92">
    <w:name w:val="style51"/>
    <w:basedOn w:val="42"/>
    <w:qFormat/>
    <w:uiPriority w:val="0"/>
    <w:rPr>
      <w:sz w:val="21"/>
      <w:szCs w:val="21"/>
    </w:rPr>
  </w:style>
  <w:style w:type="paragraph" w:customStyle="1" w:styleId="93">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4">
    <w:name w:val="标准文本"/>
    <w:basedOn w:val="1"/>
    <w:link w:val="95"/>
    <w:qFormat/>
    <w:uiPriority w:val="0"/>
    <w:pPr>
      <w:spacing w:line="360" w:lineRule="auto"/>
      <w:ind w:firstLine="480" w:firstLineChars="200"/>
    </w:pPr>
    <w:rPr>
      <w:rFonts w:cs="宋体"/>
      <w:sz w:val="24"/>
      <w:szCs w:val="20"/>
    </w:rPr>
  </w:style>
  <w:style w:type="character" w:customStyle="1" w:styleId="95">
    <w:name w:val="标准文本 Char"/>
    <w:basedOn w:val="42"/>
    <w:link w:val="94"/>
    <w:qFormat/>
    <w:uiPriority w:val="0"/>
    <w:rPr>
      <w:rFonts w:eastAsia="宋体" w:cs="宋体"/>
      <w:kern w:val="2"/>
      <w:sz w:val="24"/>
      <w:lang w:val="en-US" w:eastAsia="zh-CN" w:bidi="ar-SA"/>
    </w:rPr>
  </w:style>
  <w:style w:type="paragraph" w:customStyle="1" w:styleId="9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7">
    <w:name w:val="自定义正文"/>
    <w:basedOn w:val="1"/>
    <w:link w:val="98"/>
    <w:qFormat/>
    <w:uiPriority w:val="0"/>
    <w:pPr>
      <w:spacing w:line="480" w:lineRule="exact"/>
      <w:ind w:firstLine="200" w:firstLineChars="200"/>
      <w:jc w:val="left"/>
    </w:pPr>
    <w:rPr>
      <w:rFonts w:ascii="仿宋_GB2312" w:eastAsia="仿宋_GB2312"/>
      <w:sz w:val="28"/>
    </w:rPr>
  </w:style>
  <w:style w:type="character" w:customStyle="1" w:styleId="98">
    <w:name w:val="自定义正文 Char"/>
    <w:basedOn w:val="42"/>
    <w:link w:val="97"/>
    <w:qFormat/>
    <w:uiPriority w:val="0"/>
    <w:rPr>
      <w:rFonts w:ascii="仿宋_GB2312" w:eastAsia="仿宋_GB2312"/>
      <w:kern w:val="2"/>
      <w:sz w:val="28"/>
      <w:szCs w:val="24"/>
      <w:lang w:val="en-US" w:eastAsia="zh-CN" w:bidi="ar-SA"/>
    </w:rPr>
  </w:style>
  <w:style w:type="paragraph" w:customStyle="1" w:styleId="99">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00">
    <w:name w:val="自定义表格文字"/>
    <w:basedOn w:val="1"/>
    <w:qFormat/>
    <w:uiPriority w:val="0"/>
    <w:pPr>
      <w:spacing w:before="60" w:after="60" w:line="320" w:lineRule="exact"/>
      <w:jc w:val="left"/>
    </w:pPr>
    <w:rPr>
      <w:rFonts w:ascii="宋体" w:eastAsia="楷体_GB2312"/>
    </w:rPr>
  </w:style>
  <w:style w:type="paragraph" w:customStyle="1" w:styleId="101">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2">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3">
    <w:name w:val="正文文本缩进 Char"/>
    <w:link w:val="19"/>
    <w:qFormat/>
    <w:uiPriority w:val="0"/>
    <w:rPr>
      <w:rFonts w:eastAsia="宋体"/>
      <w:kern w:val="2"/>
      <w:sz w:val="21"/>
      <w:szCs w:val="24"/>
      <w:lang w:val="en-US" w:eastAsia="zh-CN" w:bidi="ar-SA"/>
    </w:rPr>
  </w:style>
  <w:style w:type="character" w:customStyle="1" w:styleId="104">
    <w:name w:val="Char Char1"/>
    <w:qFormat/>
    <w:uiPriority w:val="0"/>
    <w:rPr>
      <w:rFonts w:ascii="宋体" w:hAnsi="Courier New" w:eastAsia="宋体"/>
      <w:kern w:val="2"/>
      <w:sz w:val="21"/>
      <w:lang w:val="en-US" w:eastAsia="zh-CN" w:bidi="ar-SA"/>
    </w:rPr>
  </w:style>
  <w:style w:type="paragraph" w:customStyle="1" w:styleId="105">
    <w:name w:val="Char Char Char Char1"/>
    <w:basedOn w:val="1"/>
    <w:qFormat/>
    <w:uiPriority w:val="0"/>
    <w:rPr>
      <w:rFonts w:ascii="Tahoma" w:hAnsi="Tahoma"/>
      <w:sz w:val="24"/>
      <w:szCs w:val="20"/>
    </w:rPr>
  </w:style>
  <w:style w:type="character" w:customStyle="1" w:styleId="106">
    <w:name w:val="标题 2 Char"/>
    <w:link w:val="4"/>
    <w:qFormat/>
    <w:uiPriority w:val="0"/>
    <w:rPr>
      <w:rFonts w:ascii="Arial" w:hAnsi="Arial" w:eastAsia="黑体"/>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9"/>
    <w:qFormat/>
    <w:uiPriority w:val="0"/>
    <w:rPr>
      <w:rFonts w:ascii="宋体" w:hAnsi="Arial" w:eastAsia="宋体"/>
      <w:sz w:val="24"/>
      <w:lang w:val="en-US" w:eastAsia="zh-CN" w:bidi="ar-SA"/>
    </w:rPr>
  </w:style>
  <w:style w:type="character" w:customStyle="1" w:styleId="110">
    <w:name w:val="标题 7 Char"/>
    <w:link w:val="10"/>
    <w:qFormat/>
    <w:uiPriority w:val="0"/>
    <w:rPr>
      <w:rFonts w:ascii="宋体" w:hAnsi="Arial" w:eastAsia="宋体"/>
      <w:b/>
      <w:sz w:val="24"/>
      <w:lang w:val="en-US" w:eastAsia="zh-CN" w:bidi="ar-SA"/>
    </w:rPr>
  </w:style>
  <w:style w:type="character" w:customStyle="1" w:styleId="111">
    <w:name w:val="标题 8 Char"/>
    <w:link w:val="11"/>
    <w:qFormat/>
    <w:uiPriority w:val="0"/>
    <w:rPr>
      <w:rFonts w:ascii="Arial" w:hAnsi="Arial" w:eastAsia="黑体"/>
      <w:sz w:val="24"/>
      <w:lang w:val="en-US" w:eastAsia="zh-CN" w:bidi="ar-SA"/>
    </w:rPr>
  </w:style>
  <w:style w:type="character" w:customStyle="1" w:styleId="112">
    <w:name w:val="标题 9 Char"/>
    <w:link w:val="12"/>
    <w:qFormat/>
    <w:uiPriority w:val="0"/>
    <w:rPr>
      <w:rFonts w:ascii="Arial" w:hAnsi="Arial" w:eastAsia="黑体"/>
      <w:sz w:val="24"/>
      <w:lang w:val="en-US" w:eastAsia="zh-CN" w:bidi="ar-SA"/>
    </w:rPr>
  </w:style>
  <w:style w:type="character" w:customStyle="1" w:styleId="113">
    <w:name w:val="日期 Char"/>
    <w:link w:val="23"/>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7"/>
    <w:qFormat/>
    <w:uiPriority w:val="99"/>
    <w:rPr>
      <w:rFonts w:eastAsia="宋体"/>
      <w:kern w:val="2"/>
      <w:sz w:val="18"/>
      <w:szCs w:val="18"/>
      <w:lang w:val="en-US" w:eastAsia="zh-CN" w:bidi="ar-SA"/>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7"/>
    <w:semiHidden/>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2"/>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6"/>
    <w:qFormat/>
    <w:uiPriority w:val="0"/>
    <w:rPr>
      <w:rFonts w:ascii="Tahoma" w:hAnsi="Tahoma"/>
      <w:sz w:val="24"/>
    </w:rPr>
  </w:style>
  <w:style w:type="paragraph" w:customStyle="1" w:styleId="134">
    <w:name w:val="Char Char Char"/>
    <w:basedOn w:val="16"/>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5"/>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6"/>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 w:type="paragraph" w:customStyle="1" w:styleId="160">
    <w:name w:val="_Style 2"/>
    <w:basedOn w:val="1"/>
    <w:qFormat/>
    <w:uiPriority w:val="0"/>
    <w:pPr>
      <w:widowControl/>
      <w:ind w:firstLine="420"/>
    </w:pPr>
    <w:rPr>
      <w:rFonts w:ascii="Calibri" w:hAnsi="Calibri" w:eastAsia="Calibri"/>
      <w:kern w:val="0"/>
      <w:sz w:val="20"/>
      <w:szCs w:val="20"/>
    </w:rPr>
  </w:style>
  <w:style w:type="paragraph" w:customStyle="1" w:styleId="161">
    <w:name w:val="Table Paragraph"/>
    <w:basedOn w:val="1"/>
    <w:qFormat/>
    <w:uiPriority w:val="1"/>
    <w:rPr>
      <w:rFonts w:ascii="宋体" w:hAnsi="宋体" w:cs="宋体"/>
      <w:lang w:val="zh-CN" w:bidi="zh-CN"/>
    </w:rPr>
  </w:style>
  <w:style w:type="paragraph" w:customStyle="1" w:styleId="162">
    <w:name w:val="reader-word-layer reader-word-s5-9"/>
    <w:basedOn w:val="1"/>
    <w:qFormat/>
    <w:uiPriority w:val="0"/>
    <w:pPr>
      <w:widowControl/>
      <w:spacing w:before="100" w:beforeAutospacing="1" w:after="100" w:afterAutospacing="1"/>
      <w:jc w:val="left"/>
    </w:pPr>
    <w:rPr>
      <w:rFonts w:ascii="宋体" w:hAnsi="宋体" w:cs="宋体"/>
      <w:kern w:val="0"/>
      <w:sz w:val="24"/>
    </w:rPr>
  </w:style>
  <w:style w:type="character" w:customStyle="1" w:styleId="163">
    <w:name w:val="font61"/>
    <w:qFormat/>
    <w:uiPriority w:val="0"/>
    <w:rPr>
      <w:rFonts w:hint="eastAsia" w:ascii="宋体" w:hAnsi="宋体" w:eastAsia="宋体" w:cs="宋体"/>
      <w:color w:val="000000"/>
      <w:sz w:val="22"/>
      <w:szCs w:val="22"/>
      <w:u w:val="none"/>
    </w:rPr>
  </w:style>
  <w:style w:type="character" w:customStyle="1" w:styleId="164">
    <w:name w:val="font01"/>
    <w:basedOn w:val="42"/>
    <w:qFormat/>
    <w:uiPriority w:val="0"/>
    <w:rPr>
      <w:rFonts w:hint="eastAsia" w:ascii="宋体" w:hAnsi="宋体" w:eastAsia="宋体" w:cs="宋体"/>
      <w:color w:val="000000"/>
      <w:sz w:val="20"/>
      <w:szCs w:val="20"/>
      <w:u w:val="none"/>
    </w:rPr>
  </w:style>
  <w:style w:type="character" w:customStyle="1" w:styleId="165">
    <w:name w:val="NormalCharacter"/>
    <w:qFormat/>
    <w:uiPriority w:val="0"/>
  </w:style>
  <w:style w:type="paragraph" w:customStyle="1" w:styleId="166">
    <w:name w:val="正文3"/>
    <w:qFormat/>
    <w:uiPriority w:val="0"/>
    <w:pPr>
      <w:jc w:val="both"/>
    </w:pPr>
    <w:rPr>
      <w:rFonts w:ascii="Calibri" w:hAnsi="Calibri" w:eastAsia="微软雅黑" w:cs="Times New Roman"/>
      <w:kern w:val="2"/>
      <w:sz w:val="21"/>
      <w:szCs w:val="21"/>
      <w:lang w:val="en-US" w:eastAsia="zh-CN" w:bidi="ar-SA"/>
    </w:rPr>
  </w:style>
  <w:style w:type="paragraph" w:customStyle="1" w:styleId="167">
    <w:name w:val="样式 列表编号 + 段后: 0.5 行"/>
    <w:basedOn w:val="14"/>
    <w:qFormat/>
    <w:uiPriority w:val="0"/>
    <w:pPr>
      <w:tabs>
        <w:tab w:val="left" w:pos="360"/>
      </w:tabs>
      <w:spacing w:before="100" w:beforeAutospacing="1" w:after="120"/>
      <w:ind w:left="4315" w:hanging="420"/>
    </w:pPr>
    <w:rPr>
      <w:rFonts w:cs="宋体"/>
    </w:rPr>
  </w:style>
  <w:style w:type="paragraph" w:customStyle="1" w:styleId="168">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137027-3E0D-4DE6-94C4-749F859E468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50</Pages>
  <Words>28445</Words>
  <Characters>30036</Characters>
  <Lines>247</Lines>
  <Paragraphs>69</Paragraphs>
  <TotalTime>0</TotalTime>
  <ScaleCrop>false</ScaleCrop>
  <LinksUpToDate>false</LinksUpToDate>
  <CharactersWithSpaces>30356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2020-09-30T08:40:00Z</dcterms:created>
  <dc:creator>USER</dc:creator>
  <cp:lastModifiedBy>無珂鲰玳k&amp;o_O</cp:lastModifiedBy>
  <cp:lastPrinted>2020-09-18T07:16:00Z</cp:lastPrinted>
  <dcterms:modified xsi:type="dcterms:W3CDTF">2022-10-27T03:41:50Z</dcterms:modified>
  <dc:title>绍兴文理学院计算机机房设备及录播系统供货项目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3B20A1D08FD14B4FA7BD455D5F80CD2C</vt:lpwstr>
  </property>
</Properties>
</file>