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center"/>
        <w:rPr>
          <w:rFonts w:hint="eastAsia" w:ascii="仿宋" w:hAnsi="仿宋" w:eastAsia="仿宋" w:cs="仿宋"/>
          <w:b/>
          <w:color w:val="auto"/>
          <w:sz w:val="52"/>
          <w:szCs w:val="52"/>
          <w:highlight w:val="none"/>
        </w:rPr>
      </w:pPr>
    </w:p>
    <w:p>
      <w:pPr>
        <w:pStyle w:val="2"/>
        <w:ind w:firstLine="0" w:firstLineChars="0"/>
        <w:jc w:val="center"/>
        <w:rPr>
          <w:rFonts w:hint="eastAsia" w:ascii="仿宋" w:hAnsi="仿宋" w:eastAsia="仿宋" w:cs="仿宋"/>
          <w:color w:val="auto"/>
          <w:highlight w:val="none"/>
          <w:lang w:val="en-US" w:eastAsia="zh-CN"/>
        </w:rPr>
      </w:pPr>
      <w:bookmarkStart w:id="11" w:name="_GoBack"/>
      <w:r>
        <w:rPr>
          <w:rFonts w:hint="eastAsia" w:ascii="仿宋" w:hAnsi="仿宋" w:eastAsia="仿宋" w:cs="仿宋"/>
          <w:b/>
          <w:color w:val="auto"/>
          <w:sz w:val="52"/>
          <w:szCs w:val="52"/>
          <w:highlight w:val="none"/>
        </w:rPr>
        <w:t>绍兴市中医院</w:t>
      </w:r>
      <w:r>
        <w:rPr>
          <w:rFonts w:hint="eastAsia" w:ascii="仿宋" w:hAnsi="仿宋" w:eastAsia="仿宋" w:cs="仿宋"/>
          <w:b/>
          <w:color w:val="auto"/>
          <w:sz w:val="52"/>
          <w:szCs w:val="52"/>
          <w:highlight w:val="none"/>
          <w:lang w:eastAsia="zh-CN"/>
        </w:rPr>
        <w:t>智慧手术室护理综合管理系统及移动护理升级系统采购项目</w:t>
      </w:r>
    </w:p>
    <w:bookmarkEnd w:id="11"/>
    <w:p>
      <w:pPr>
        <w:pStyle w:val="2"/>
        <w:rPr>
          <w:rFonts w:hint="eastAsia" w:ascii="仿宋" w:hAnsi="仿宋" w:eastAsia="仿宋" w:cs="仿宋"/>
          <w:color w:val="auto"/>
          <w:highlight w:val="none"/>
          <w:lang w:val="en-US"/>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1"/>
        <w:tblW w:w="0" w:type="auto"/>
        <w:jc w:val="center"/>
        <w:tblLayout w:type="autofit"/>
        <w:tblCellMar>
          <w:top w:w="0" w:type="dxa"/>
          <w:left w:w="108" w:type="dxa"/>
          <w:bottom w:w="0" w:type="dxa"/>
          <w:right w:w="108" w:type="dxa"/>
        </w:tblCellMar>
      </w:tblPr>
      <w:tblGrid>
        <w:gridCol w:w="2356"/>
        <w:gridCol w:w="5445"/>
      </w:tblGrid>
      <w:tr>
        <w:trPr>
          <w:trHeight w:val="50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招标代理单</w:t>
            </w:r>
            <w:r>
              <w:rPr>
                <w:rFonts w:hint="eastAsia" w:ascii="仿宋" w:hAnsi="仿宋" w:eastAsia="仿宋" w:cs="仿宋"/>
                <w:color w:val="auto"/>
                <w:w w:val="93"/>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rPr>
              <w:t>月</w:t>
            </w:r>
          </w:p>
        </w:tc>
      </w:tr>
    </w:tbl>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jc w:val="left"/>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智慧手术室护理综合管理系统及移动护理升级系统采购项目</w:t>
            </w:r>
            <w:r>
              <w:rPr>
                <w:rFonts w:hint="eastAsia" w:ascii="仿宋" w:hAnsi="仿宋" w:eastAsia="仿宋" w:cs="仿宋"/>
                <w:color w:val="auto"/>
                <w:kern w:val="0"/>
                <w:sz w:val="24"/>
                <w:highlight w:val="none"/>
              </w:rPr>
              <w:t>的潜在投标人应向招标代理机构报名获取招标文件，并于202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09:00（北京时间）前递交投标文件。</w:t>
            </w:r>
          </w:p>
        </w:tc>
      </w:tr>
    </w:tbl>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一、项目基本情况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TYJZ2022</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项目名称：绍兴市中医院</w:t>
      </w:r>
      <w:r>
        <w:rPr>
          <w:rFonts w:hint="eastAsia" w:ascii="仿宋" w:hAnsi="仿宋" w:eastAsia="仿宋" w:cs="仿宋"/>
          <w:color w:val="auto"/>
          <w:kern w:val="0"/>
          <w:sz w:val="24"/>
          <w:highlight w:val="none"/>
          <w:lang w:eastAsia="zh-CN"/>
        </w:rPr>
        <w:t>智慧手术室护理综合管理系统及移动护理升级系统采购项目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450000</w:t>
      </w:r>
      <w:r>
        <w:rPr>
          <w:rFonts w:hint="eastAsia" w:ascii="仿宋" w:hAnsi="仿宋" w:eastAsia="仿宋" w:cs="仿宋"/>
          <w:color w:val="auto"/>
          <w:kern w:val="0"/>
          <w:sz w:val="24"/>
          <w:highlight w:val="none"/>
        </w:rPr>
        <w:t xml:space="preserve">   </w:t>
      </w:r>
    </w:p>
    <w:p>
      <w:pPr>
        <w:widowControl/>
        <w:snapToGrid w:val="0"/>
        <w:spacing w:line="440" w:lineRule="exact"/>
        <w:ind w:left="2399" w:leftChars="228" w:hanging="1920" w:hangingChars="8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最高限价（元）：</w:t>
      </w:r>
      <w:r>
        <w:rPr>
          <w:rFonts w:hint="eastAsia" w:ascii="仿宋" w:hAnsi="仿宋" w:eastAsia="仿宋" w:cs="仿宋"/>
          <w:color w:val="auto"/>
          <w:kern w:val="0"/>
          <w:sz w:val="24"/>
          <w:highlight w:val="none"/>
          <w:lang w:eastAsia="zh-CN"/>
        </w:rPr>
        <w:t>3</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lang w:eastAsia="zh-CN"/>
        </w:rPr>
        <w:t>0000</w:t>
      </w:r>
      <w:r>
        <w:rPr>
          <w:rFonts w:hint="eastAsia" w:ascii="仿宋" w:hAnsi="仿宋" w:eastAsia="仿宋" w:cs="仿宋"/>
          <w:color w:val="auto"/>
          <w:kern w:val="0"/>
          <w:sz w:val="24"/>
          <w:highlight w:val="none"/>
          <w:lang w:val="en-US" w:eastAsia="zh-CN"/>
        </w:rPr>
        <w:t>,100000</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采购需求：详见招标文件</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kern w:val="0"/>
          <w:sz w:val="24"/>
          <w:highlight w:val="none"/>
          <w:lang w:eastAsia="zh-CN"/>
        </w:rPr>
        <w:t>智慧手术室护理综合管理系统</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3</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lang w:eastAsia="zh-CN"/>
        </w:rPr>
        <w:t>0000</w:t>
      </w:r>
      <w:r>
        <w:rPr>
          <w:rFonts w:hint="eastAsia" w:ascii="仿宋" w:hAnsi="仿宋" w:eastAsia="仿宋" w:cs="仿宋"/>
          <w:color w:val="auto"/>
          <w:szCs w:val="24"/>
          <w:highlight w:val="none"/>
        </w:rPr>
        <w:t> </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57"/>
        <w:spacing w:afterLines="0" w:line="440" w:lineRule="exact"/>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是</w:t>
      </w:r>
      <w:r>
        <w:rPr>
          <w:rFonts w:hint="eastAsia" w:ascii="仿宋" w:hAnsi="仿宋" w:eastAsia="仿宋" w:cs="仿宋"/>
          <w:color w:val="auto"/>
          <w:kern w:val="0"/>
          <w:sz w:val="24"/>
          <w:highlight w:val="none"/>
        </w:rPr>
        <w:t>）接受联合体投标。</w:t>
      </w:r>
    </w:p>
    <w:p>
      <w:pPr>
        <w:pStyle w:val="57"/>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标项二:</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w:t>
      </w:r>
      <w:r>
        <w:rPr>
          <w:rFonts w:hint="eastAsia" w:ascii="仿宋" w:hAnsi="仿宋" w:eastAsia="仿宋" w:cs="仿宋"/>
          <w:color w:val="000000" w:themeColor="text1"/>
          <w:szCs w:val="24"/>
          <w:lang w:val="en-US" w:eastAsia="zh-CN"/>
        </w:rPr>
        <w:t xml:space="preserve">   </w:t>
      </w:r>
      <w:r>
        <w:rPr>
          <w:rFonts w:hint="eastAsia" w:ascii="仿宋" w:hAnsi="仿宋" w:eastAsia="仿宋" w:cs="仿宋"/>
          <w:color w:val="000000" w:themeColor="text1"/>
          <w:szCs w:val="24"/>
        </w:rPr>
        <w:t>标项名称:</w:t>
      </w:r>
      <w:r>
        <w:rPr>
          <w:rFonts w:hint="eastAsia" w:ascii="仿宋" w:hAnsi="仿宋" w:eastAsia="仿宋" w:cs="仿宋"/>
          <w:color w:val="000000" w:themeColor="text1"/>
        </w:rPr>
        <w:t xml:space="preserve"> </w:t>
      </w:r>
      <w:r>
        <w:rPr>
          <w:rFonts w:hint="eastAsia" w:ascii="仿宋" w:hAnsi="仿宋" w:eastAsia="仿宋" w:cs="仿宋"/>
          <w:color w:val="auto"/>
          <w:kern w:val="0"/>
          <w:sz w:val="24"/>
          <w:highlight w:val="none"/>
          <w:lang w:eastAsia="zh-CN"/>
        </w:rPr>
        <w:t>移动护理升级系统</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w:t>
      </w:r>
      <w:r>
        <w:rPr>
          <w:rFonts w:hint="eastAsia" w:ascii="仿宋" w:hAnsi="仿宋" w:eastAsia="仿宋" w:cs="仿宋"/>
          <w:color w:val="000000" w:themeColor="text1"/>
          <w:szCs w:val="24"/>
          <w:lang w:val="en-US" w:eastAsia="zh-CN"/>
        </w:rPr>
        <w:t xml:space="preserve">   </w:t>
      </w:r>
      <w:r>
        <w:rPr>
          <w:rFonts w:hint="eastAsia" w:ascii="仿宋" w:hAnsi="仿宋" w:eastAsia="仿宋" w:cs="仿宋"/>
          <w:color w:val="000000" w:themeColor="text1"/>
          <w:szCs w:val="24"/>
        </w:rPr>
        <w:t>数量:1</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w:t>
      </w:r>
      <w:r>
        <w:rPr>
          <w:rFonts w:hint="eastAsia" w:ascii="仿宋" w:hAnsi="仿宋" w:eastAsia="仿宋" w:cs="仿宋"/>
          <w:color w:val="000000" w:themeColor="text1"/>
          <w:szCs w:val="24"/>
          <w:lang w:val="en-US" w:eastAsia="zh-CN"/>
        </w:rPr>
        <w:t xml:space="preserve">   </w:t>
      </w:r>
      <w:r>
        <w:rPr>
          <w:rFonts w:hint="eastAsia" w:ascii="仿宋" w:hAnsi="仿宋" w:eastAsia="仿宋" w:cs="仿宋"/>
          <w:color w:val="000000" w:themeColor="text1"/>
          <w:szCs w:val="24"/>
        </w:rPr>
        <w:t xml:space="preserve">预算金额（元）: </w:t>
      </w:r>
      <w:r>
        <w:rPr>
          <w:rFonts w:hint="eastAsia" w:ascii="仿宋" w:hAnsi="仿宋" w:eastAsia="仿宋" w:cs="仿宋"/>
          <w:color w:val="000000" w:themeColor="text1"/>
          <w:szCs w:val="24"/>
          <w:lang w:val="en-US" w:eastAsia="zh-CN"/>
        </w:rPr>
        <w:t>10</w:t>
      </w:r>
      <w:r>
        <w:rPr>
          <w:rFonts w:hint="eastAsia" w:ascii="仿宋" w:hAnsi="仿宋" w:eastAsia="仿宋" w:cs="仿宋"/>
          <w:color w:val="000000" w:themeColor="text1"/>
          <w:szCs w:val="24"/>
        </w:rPr>
        <w:t>0000</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w:t>
      </w:r>
      <w:r>
        <w:rPr>
          <w:rFonts w:hint="eastAsia" w:ascii="仿宋" w:hAnsi="仿宋" w:eastAsia="仿宋" w:cs="仿宋"/>
          <w:color w:val="000000" w:themeColor="text1"/>
          <w:szCs w:val="24"/>
          <w:lang w:val="en-US" w:eastAsia="zh-CN"/>
        </w:rPr>
        <w:t xml:space="preserve">   </w:t>
      </w:r>
      <w:r>
        <w:rPr>
          <w:rFonts w:hint="eastAsia" w:ascii="仿宋" w:hAnsi="仿宋" w:eastAsia="仿宋" w:cs="仿宋"/>
          <w:color w:val="000000" w:themeColor="text1"/>
          <w:szCs w:val="24"/>
        </w:rPr>
        <w:t>简要规格描述或项目基本概况介绍、用途：详见采购文件 </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w:t>
      </w:r>
      <w:r>
        <w:rPr>
          <w:rFonts w:hint="eastAsia" w:ascii="仿宋" w:hAnsi="仿宋" w:eastAsia="仿宋" w:cs="仿宋"/>
          <w:color w:val="000000" w:themeColor="text1"/>
          <w:szCs w:val="24"/>
          <w:lang w:val="en-US" w:eastAsia="zh-CN"/>
        </w:rPr>
        <w:t xml:space="preserve">   </w:t>
      </w:r>
      <w:r>
        <w:rPr>
          <w:rFonts w:hint="eastAsia" w:ascii="仿宋" w:hAnsi="仿宋" w:eastAsia="仿宋" w:cs="仿宋"/>
          <w:color w:val="000000" w:themeColor="text1"/>
          <w:szCs w:val="24"/>
        </w:rPr>
        <w:t> 备注：无</w:t>
      </w:r>
    </w:p>
    <w:p>
      <w:pPr>
        <w:pStyle w:val="57"/>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合同履约期限：按双方合同约定条款执行。</w:t>
      </w:r>
    </w:p>
    <w:p>
      <w:pPr>
        <w:pStyle w:val="57"/>
        <w:spacing w:afterLines="0" w:line="440" w:lineRule="exact"/>
        <w:ind w:firstLine="480"/>
        <w:rPr>
          <w:rFonts w:hint="eastAsia" w:ascii="仿宋" w:hAnsi="仿宋" w:eastAsia="仿宋" w:cs="仿宋"/>
          <w:color w:val="auto"/>
          <w:kern w:val="0"/>
          <w:sz w:val="24"/>
          <w:highlight w:val="none"/>
        </w:rPr>
      </w:pPr>
      <w:r>
        <w:rPr>
          <w:rFonts w:hint="eastAsia" w:ascii="仿宋" w:hAnsi="仿宋" w:eastAsia="仿宋" w:cs="仿宋"/>
          <w:color w:val="000000" w:themeColor="text1"/>
          <w:szCs w:val="24"/>
        </w:rPr>
        <w:t>本项目（</w:t>
      </w:r>
      <w:r>
        <w:rPr>
          <w:rFonts w:hint="eastAsia" w:ascii="仿宋" w:hAnsi="仿宋" w:eastAsia="仿宋" w:cs="仿宋"/>
          <w:color w:val="000000" w:themeColor="text1"/>
          <w:szCs w:val="24"/>
          <w:lang w:eastAsia="zh-CN"/>
        </w:rPr>
        <w:t>是</w:t>
      </w:r>
      <w:r>
        <w:rPr>
          <w:rFonts w:hint="eastAsia" w:ascii="仿宋" w:hAnsi="仿宋" w:eastAsia="仿宋" w:cs="仿宋"/>
          <w:color w:val="000000" w:themeColor="text1"/>
          <w:szCs w:val="24"/>
        </w:rPr>
        <w:t>）接受联合体投标。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highlight w:val="none"/>
        </w:rPr>
        <w:t>2.本项目的特定资格要求：</w:t>
      </w:r>
      <w:r>
        <w:rPr>
          <w:rFonts w:hint="eastAsia" w:ascii="仿宋" w:hAnsi="仿宋" w:eastAsia="仿宋" w:cs="仿宋"/>
          <w:color w:val="auto"/>
          <w:kern w:val="0"/>
          <w:sz w:val="24"/>
          <w:highlight w:val="none"/>
          <w:lang w:eastAsia="zh-CN"/>
        </w:rPr>
        <w:t>无。</w:t>
      </w:r>
    </w:p>
    <w:p>
      <w:pPr>
        <w:pStyle w:val="5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三、获取招标文件 </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招标公告发布：</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浙江政府采购网</w:t>
      </w:r>
      <w:r>
        <w:rPr>
          <w:rFonts w:hint="eastAsia" w:ascii="仿宋" w:hAnsi="仿宋" w:eastAsia="仿宋" w:cs="仿宋"/>
          <w:color w:val="auto"/>
          <w:szCs w:val="24"/>
          <w:highlight w:val="none"/>
        </w:rPr>
        <w:t xml:space="preserve">  https://zfcg.czt.zj.gov.cn/</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绍兴市中医院 http://www.sxzyy.cn</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年月日上午8:30 — 11:30；下午14:00 — 16:30 (双休日及法定节假日除外）</w:t>
      </w:r>
    </w:p>
    <w:p>
      <w:pPr>
        <w:spacing w:line="288" w:lineRule="auto"/>
        <w:ind w:firstLine="480" w:firstLineChars="200"/>
        <w:rPr>
          <w:rFonts w:hint="eastAsia" w:ascii="仿宋" w:hAnsi="仿宋" w:eastAsia="仿宋" w:cs="仿宋"/>
          <w:bCs/>
          <w:color w:val="auto"/>
          <w:kern w:val="0"/>
          <w:sz w:val="24"/>
          <w:szCs w:val="20"/>
          <w:highlight w:val="none"/>
        </w:rPr>
      </w:pPr>
      <w:r>
        <w:rPr>
          <w:rFonts w:hint="eastAsia" w:ascii="仿宋" w:hAnsi="仿宋" w:eastAsia="仿宋" w:cs="仿宋"/>
          <w:color w:val="auto"/>
          <w:kern w:val="0"/>
          <w:sz w:val="24"/>
          <w:highlight w:val="none"/>
        </w:rPr>
        <w:t>方式：</w:t>
      </w:r>
      <w:r>
        <w:rPr>
          <w:rFonts w:hint="eastAsia" w:ascii="仿宋" w:hAnsi="仿宋" w:eastAsia="仿宋" w:cs="仿宋"/>
          <w:color w:val="auto"/>
          <w:kern w:val="0"/>
          <w:sz w:val="24"/>
          <w:highlight w:val="none"/>
          <w:lang w:eastAsia="zh-CN"/>
        </w:rPr>
        <w:t>网上报名，</w:t>
      </w:r>
      <w:r>
        <w:rPr>
          <w:rFonts w:hint="eastAsia" w:ascii="仿宋" w:hAnsi="仿宋" w:eastAsia="仿宋" w:cs="仿宋"/>
          <w:bCs/>
          <w:color w:val="auto"/>
          <w:kern w:val="0"/>
          <w:sz w:val="24"/>
          <w:szCs w:val="20"/>
          <w:highlight w:val="none"/>
        </w:rPr>
        <w:t>以扫描件邮件形式发至2429136371@qq.com邮箱内。（上述报名资料仅作为报名登记使用，报名时不对投标人资格是否符合作出评判）</w:t>
      </w:r>
    </w:p>
    <w:p>
      <w:pPr>
        <w:pStyle w:val="2"/>
        <w:rPr>
          <w:rFonts w:hint="eastAsia" w:ascii="仿宋" w:hAnsi="仿宋" w:eastAsia="仿宋" w:cs="仿宋"/>
          <w:color w:val="auto"/>
          <w:highlight w:val="none"/>
          <w:lang w:val="en-US"/>
        </w:rPr>
      </w:pPr>
      <w:r>
        <w:rPr>
          <w:rFonts w:hint="eastAsia" w:ascii="仿宋" w:hAnsi="仿宋" w:eastAsia="仿宋" w:cs="仿宋"/>
          <w:bCs/>
          <w:color w:val="auto"/>
          <w:kern w:val="0"/>
          <w:szCs w:val="20"/>
          <w:highlight w:val="none"/>
          <w:lang w:val="en-US"/>
        </w:rPr>
        <w:t>报名资料：营业执照副本复印件、授权委托书或单位介绍信、授权委托人身份证复印件（备注：联系方式、邮箱）等（加盖公章）。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售价（元）：200元/份（售后不退</w:t>
      </w:r>
      <w:r>
        <w:rPr>
          <w:rFonts w:hint="eastAsia" w:ascii="仿宋" w:hAnsi="仿宋" w:eastAsia="仿宋" w:cs="仿宋"/>
          <w:color w:val="auto"/>
          <w:kern w:val="0"/>
          <w:sz w:val="24"/>
          <w:highlight w:val="none"/>
          <w:lang w:eastAsia="zh-CN"/>
        </w:rPr>
        <w:t>，支付宝账号：</w:t>
      </w:r>
      <w:r>
        <w:rPr>
          <w:rFonts w:hint="eastAsia" w:ascii="仿宋" w:hAnsi="仿宋" w:eastAsia="仿宋" w:cs="仿宋"/>
          <w:color w:val="auto"/>
          <w:kern w:val="0"/>
          <w:sz w:val="24"/>
          <w:highlight w:val="none"/>
          <w:lang w:val="en-US" w:eastAsia="zh-CN"/>
        </w:rPr>
        <w:t>13656752180</w:t>
      </w:r>
      <w:r>
        <w:rPr>
          <w:rFonts w:hint="eastAsia" w:ascii="仿宋" w:hAnsi="仿宋" w:eastAsia="仿宋" w:cs="仿宋"/>
          <w:color w:val="auto"/>
          <w:kern w:val="0"/>
          <w:sz w:val="24"/>
          <w:highlight w:val="none"/>
        </w:rPr>
        <w:t>）</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2.采购代理机构将拒绝接受未获取招标文件供应商的投标文件。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3.招标文件的提供期限截止之日之后有潜在供应商提出获取招标文件的，采购代理机构将允许其获取。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绍兴市越城区人民中路651号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沈科长</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质疑联系人：胡</w:t>
      </w:r>
      <w:r>
        <w:rPr>
          <w:rFonts w:hint="eastAsia" w:ascii="仿宋" w:hAnsi="仿宋" w:eastAsia="仿宋" w:cs="仿宋"/>
          <w:color w:val="auto"/>
          <w:kern w:val="0"/>
          <w:sz w:val="24"/>
          <w:highlight w:val="none"/>
          <w:lang w:eastAsia="zh-CN"/>
        </w:rPr>
        <w:t>泽宇</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pStyle w:val="2"/>
        <w:rPr>
          <w:rFonts w:hint="eastAsia" w:ascii="仿宋" w:hAnsi="仿宋" w:eastAsia="仿宋" w:cs="仿宋"/>
          <w:color w:val="auto"/>
          <w:highlight w:val="none"/>
        </w:rPr>
      </w:pP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1"/>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2"/>
        <w:gridCol w:w="7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6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61"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61"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61"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w:t>
            </w:r>
          </w:p>
          <w:p>
            <w:pPr>
              <w:spacing w:line="420" w:lineRule="exact"/>
              <w:ind w:firstLine="1288" w:firstLineChars="537"/>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61" w:type="dxa"/>
            <w:gridSpan w:val="2"/>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61" w:type="dxa"/>
            <w:gridSpan w:val="2"/>
            <w:vAlign w:val="center"/>
          </w:tcPr>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61"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现场演示(讲解)：</w:t>
            </w:r>
            <w:r>
              <w:rPr>
                <w:rFonts w:hint="eastAsia" w:ascii="仿宋_GB2312" w:hAnsi="新宋体" w:eastAsia="仿宋_GB2312" w:cs="Arial"/>
                <w:b/>
                <w:bCs/>
                <w:color w:val="000000" w:themeColor="text1"/>
                <w:sz w:val="24"/>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在评标时安排每个投标人进行现场演示或</w:t>
            </w:r>
            <w:r>
              <w:rPr>
                <w:rFonts w:hint="eastAsia" w:ascii="仿宋_GB2312" w:hAnsi="仿宋" w:eastAsia="仿宋_GB2312" w:cs="仿宋_GB2312"/>
                <w:color w:val="auto"/>
                <w:kern w:val="0"/>
                <w:sz w:val="24"/>
                <w:highlight w:val="none"/>
                <w:lang w:val="en-US" w:eastAsia="zh-CN"/>
              </w:rPr>
              <w:t>U盘录制演示（</w:t>
            </w:r>
            <w:r>
              <w:rPr>
                <w:rFonts w:hint="eastAsia" w:ascii="仿宋_GB2312" w:hAnsi="仿宋" w:eastAsia="仿宋_GB2312" w:cs="仿宋_GB2312"/>
                <w:color w:val="auto"/>
                <w:kern w:val="0"/>
                <w:sz w:val="24"/>
                <w:szCs w:val="24"/>
                <w:lang w:val="zh-CN"/>
              </w:rPr>
              <w:t>使用图片、PPT演示不得分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每个投标人演示开始前的调试准备时间不超过15分钟，演示时间不超过15分钟，</w:t>
            </w:r>
            <w:r>
              <w:rPr>
                <w:rFonts w:hint="eastAsia" w:ascii="仿宋_GB2312" w:hAnsi="仿宋_GB2312" w:eastAsia="仿宋_GB2312" w:cs="仿宋_GB2312"/>
                <w:color w:val="auto"/>
                <w:sz w:val="24"/>
                <w:highlight w:val="none"/>
              </w:rPr>
              <w:t>不包含评委提问解答时间。</w:t>
            </w:r>
          </w:p>
          <w:p>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pPr>
              <w:spacing w:line="420" w:lineRule="exact"/>
              <w:rPr>
                <w:rFonts w:hint="eastAsia" w:ascii="仿宋_GB2312" w:hAnsi="仿宋" w:eastAsia="仿宋_GB2312" w:cs="仿宋_GB2312"/>
                <w:b/>
                <w:color w:val="auto"/>
                <w:kern w:val="0"/>
                <w:sz w:val="24"/>
                <w:lang w:val="en-US" w:eastAsia="zh-CN"/>
              </w:rPr>
            </w:pPr>
            <w:r>
              <w:rPr>
                <w:rFonts w:hint="eastAsia" w:ascii="仿宋_GB2312" w:hAnsi="仿宋" w:eastAsia="仿宋_GB2312" w:cs="仿宋_GB2312"/>
                <w:b/>
                <w:color w:val="auto"/>
                <w:kern w:val="0"/>
                <w:sz w:val="24"/>
                <w:lang w:val="zh-CN"/>
              </w:rPr>
              <w:t>视频邮寄地址及联系方式：</w:t>
            </w:r>
            <w:r>
              <w:rPr>
                <w:rFonts w:hint="eastAsia" w:ascii="仿宋_GB2312" w:hAnsi="仿宋" w:eastAsia="仿宋_GB2312" w:cs="仿宋_GB2312"/>
                <w:b w:val="0"/>
                <w:bCs/>
                <w:color w:val="auto"/>
                <w:kern w:val="0"/>
                <w:sz w:val="24"/>
                <w:lang w:val="zh-CN"/>
              </w:rPr>
              <w:t>绍兴市越城区朝皇路</w:t>
            </w:r>
            <w:r>
              <w:rPr>
                <w:rFonts w:hint="eastAsia" w:ascii="仿宋_GB2312" w:hAnsi="仿宋" w:eastAsia="仿宋_GB2312" w:cs="仿宋_GB2312"/>
                <w:b w:val="0"/>
                <w:bCs/>
                <w:color w:val="auto"/>
                <w:kern w:val="0"/>
                <w:sz w:val="24"/>
                <w:lang w:val="en-US" w:eastAsia="zh-CN"/>
              </w:rPr>
              <w:t>58号正大综合楼601招标室，收件人：金锦英，联系电话：13656752180。</w:t>
            </w:r>
          </w:p>
          <w:p>
            <w:pPr>
              <w:spacing w:line="420" w:lineRule="exact"/>
              <w:rPr>
                <w:rFonts w:hint="eastAsia" w:ascii="仿宋_GB2312" w:hAnsi="宋体" w:eastAsia="仿宋_GB2312" w:cs="宋体"/>
                <w:color w:val="auto"/>
                <w:sz w:val="24"/>
                <w:lang w:eastAsia="zh-CN"/>
              </w:rPr>
            </w:pPr>
            <w:r>
              <w:rPr>
                <w:rFonts w:hint="eastAsia" w:ascii="仿宋_GB2312" w:hAnsi="仿宋" w:eastAsia="仿宋_GB2312" w:cs="仿宋_GB2312"/>
                <w:b/>
                <w:color w:val="auto"/>
                <w:kern w:val="0"/>
                <w:sz w:val="24"/>
                <w:lang w:val="zh-CN"/>
              </w:rPr>
              <w:t>录制视频接收时间：</w:t>
            </w:r>
            <w:r>
              <w:rPr>
                <w:rFonts w:hint="eastAsia" w:ascii="仿宋_GB2312" w:hAnsi="宋体" w:eastAsia="仿宋_GB2312" w:cs="宋体"/>
                <w:color w:val="auto"/>
                <w:sz w:val="24"/>
                <w:lang w:eastAsia="zh-CN"/>
              </w:rPr>
              <w:t>投标截止前</w:t>
            </w:r>
          </w:p>
          <w:p>
            <w:pPr>
              <w:spacing w:line="420" w:lineRule="exact"/>
              <w:rPr>
                <w:rFonts w:hint="eastAsia" w:ascii="仿宋" w:hAnsi="仿宋" w:eastAsia="仿宋" w:cs="仿宋"/>
                <w:color w:val="auto"/>
                <w:sz w:val="24"/>
                <w:highlight w:val="none"/>
              </w:rPr>
            </w:pPr>
            <w:r>
              <w:rPr>
                <w:rFonts w:hint="eastAsia" w:ascii="仿宋_GB2312" w:hAnsi="宋体" w:eastAsia="仿宋_GB2312" w:cs="宋体"/>
                <w:b/>
                <w:bCs/>
                <w:color w:val="auto"/>
                <w:sz w:val="24"/>
              </w:rPr>
              <w:t>其他：</w:t>
            </w:r>
            <w:r>
              <w:rPr>
                <w:rFonts w:hint="eastAsia" w:ascii="仿宋_GB2312" w:hAnsi="宋体" w:eastAsia="仿宋_GB2312" w:cs="宋体"/>
                <w:color w:val="auto"/>
                <w:sz w:val="24"/>
              </w:rPr>
              <w:br w:type="textWrapping"/>
            </w:r>
            <w:r>
              <w:rPr>
                <w:rFonts w:hint="eastAsia" w:ascii="仿宋_GB2312" w:hAnsi="宋体" w:eastAsia="仿宋_GB2312" w:cs="宋体"/>
                <w:color w:val="auto"/>
                <w:sz w:val="24"/>
              </w:rPr>
              <w:t>1）</w:t>
            </w:r>
            <w:r>
              <w:rPr>
                <w:rFonts w:hint="eastAsia" w:ascii="仿宋_GB2312" w:hAnsi="宋体" w:eastAsia="仿宋_GB2312" w:cs="宋体"/>
                <w:color w:val="auto"/>
                <w:sz w:val="24"/>
                <w:lang w:eastAsia="zh-CN"/>
              </w:rPr>
              <w:t>视频录制后存储</w:t>
            </w:r>
            <w:r>
              <w:rPr>
                <w:rFonts w:hint="eastAsia" w:ascii="仿宋_GB2312" w:hAnsi="宋体" w:eastAsia="仿宋_GB2312" w:cs="宋体"/>
                <w:color w:val="auto"/>
                <w:sz w:val="24"/>
                <w:lang w:val="en-US" w:eastAsia="zh-CN"/>
              </w:rPr>
              <w:t>U盘内（投标人需自行承担U盘内视频破坏或无法打开等风险），</w:t>
            </w:r>
            <w:r>
              <w:rPr>
                <w:rFonts w:hint="eastAsia" w:ascii="仿宋_GB2312" w:hAnsi="宋体" w:eastAsia="仿宋_GB2312" w:cs="宋体"/>
                <w:color w:val="auto"/>
                <w:sz w:val="24"/>
              </w:rPr>
              <w:t>需</w:t>
            </w:r>
            <w:r>
              <w:rPr>
                <w:rFonts w:hint="eastAsia" w:ascii="仿宋_GB2312" w:hAnsi="宋体" w:eastAsia="仿宋_GB2312" w:cs="宋体"/>
                <w:color w:val="auto"/>
                <w:sz w:val="24"/>
                <w:lang w:eastAsia="zh-CN"/>
              </w:rPr>
              <w:t>密封包装、</w:t>
            </w:r>
            <w:r>
              <w:rPr>
                <w:rFonts w:hint="eastAsia" w:ascii="仿宋_GB2312" w:hAnsi="宋体" w:eastAsia="仿宋_GB2312" w:cs="宋体"/>
                <w:color w:val="auto"/>
                <w:sz w:val="24"/>
              </w:rPr>
              <w:t>贴有标注供应商名称且加盖</w:t>
            </w:r>
            <w:r>
              <w:rPr>
                <w:rFonts w:hint="eastAsia" w:ascii="仿宋_GB2312" w:hAnsi="宋体" w:eastAsia="仿宋_GB2312" w:cs="宋体"/>
                <w:color w:val="auto"/>
                <w:sz w:val="24"/>
                <w:lang w:eastAsia="zh-CN"/>
              </w:rPr>
              <w:t>投标人</w:t>
            </w:r>
            <w:r>
              <w:rPr>
                <w:rFonts w:hint="eastAsia" w:ascii="仿宋_GB2312" w:hAnsi="宋体" w:eastAsia="仿宋_GB2312" w:cs="宋体"/>
                <w:color w:val="auto"/>
                <w:sz w:val="24"/>
              </w:rPr>
              <w:t>公章的标签。</w:t>
            </w:r>
            <w:r>
              <w:rPr>
                <w:rFonts w:hint="eastAsia" w:ascii="仿宋_GB2312" w:hAnsi="宋体" w:eastAsia="仿宋_GB2312" w:cs="宋体"/>
                <w:color w:val="auto"/>
                <w:sz w:val="24"/>
              </w:rPr>
              <w:br w:type="textWrapping"/>
            </w:r>
            <w:r>
              <w:rPr>
                <w:rFonts w:hint="eastAsia" w:ascii="仿宋_GB2312" w:hAnsi="宋体" w:eastAsia="仿宋_GB2312" w:cs="宋体"/>
                <w:color w:val="auto"/>
                <w:sz w:val="24"/>
              </w:rPr>
              <w:t>2）中标人</w:t>
            </w:r>
            <w:r>
              <w:rPr>
                <w:rFonts w:hint="eastAsia" w:ascii="仿宋_GB2312" w:hAnsi="宋体" w:eastAsia="仿宋_GB2312" w:cs="宋体"/>
                <w:color w:val="auto"/>
                <w:sz w:val="24"/>
                <w:lang w:eastAsia="zh-CN"/>
              </w:rPr>
              <w:t>视频</w:t>
            </w:r>
            <w:r>
              <w:rPr>
                <w:rFonts w:hint="eastAsia" w:ascii="仿宋_GB2312" w:hAnsi="宋体" w:eastAsia="仿宋_GB2312" w:cs="宋体"/>
                <w:color w:val="auto"/>
                <w:sz w:val="24"/>
              </w:rPr>
              <w:t>不予退还，由采购人带回并妥善保管作为验收的参考；未中标人</w:t>
            </w:r>
            <w:r>
              <w:rPr>
                <w:rFonts w:hint="eastAsia" w:ascii="仿宋_GB2312" w:hAnsi="宋体" w:eastAsia="仿宋_GB2312" w:cs="宋体"/>
                <w:color w:val="auto"/>
                <w:sz w:val="24"/>
                <w:lang w:eastAsia="zh-CN"/>
              </w:rPr>
              <w:t>视频</w:t>
            </w:r>
            <w:r>
              <w:rPr>
                <w:rFonts w:hint="eastAsia" w:ascii="仿宋_GB2312" w:hAnsi="宋体" w:eastAsia="仿宋_GB2312" w:cs="宋体"/>
                <w:color w:val="auto"/>
                <w:sz w:val="24"/>
              </w:rPr>
              <w:t>开标结束后请自行带回，本</w:t>
            </w:r>
            <w:r>
              <w:rPr>
                <w:rFonts w:hint="eastAsia" w:ascii="仿宋_GB2312" w:hAnsi="宋体" w:eastAsia="仿宋_GB2312" w:cs="宋体"/>
                <w:color w:val="auto"/>
                <w:sz w:val="24"/>
                <w:lang w:eastAsia="zh-CN"/>
              </w:rPr>
              <w:t>采购代理机构</w:t>
            </w:r>
            <w:r>
              <w:rPr>
                <w:rFonts w:hint="eastAsia" w:ascii="仿宋_GB2312" w:hAnsi="宋体" w:eastAsia="仿宋_GB2312" w:cs="宋体"/>
                <w:color w:val="auto"/>
                <w:sz w:val="24"/>
              </w:rPr>
              <w:t>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22" w:type="dxa"/>
          </w:tcPr>
          <w:p>
            <w:pPr>
              <w:snapToGri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22"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61" w:type="dxa"/>
            <w:gridSpan w:val="2"/>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61"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eastAsia="zh-CN"/>
              </w:rPr>
              <w:t>浙江省政府采购网</w:t>
            </w:r>
            <w:r>
              <w:rPr>
                <w:rFonts w:hint="eastAsia" w:ascii="仿宋" w:hAnsi="仿宋" w:eastAsia="仿宋" w:cs="仿宋"/>
                <w:color w:val="auto"/>
                <w:sz w:val="24"/>
                <w:highlight w:val="none"/>
              </w:rPr>
              <w:t>、绍兴市中医院官网查看下载。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61" w:type="dxa"/>
            <w:gridSpan w:val="2"/>
            <w:vAlign w:val="center"/>
          </w:tcPr>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6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6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numPr>
                <w:ilvl w:val="255"/>
                <w:numId w:val="0"/>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注：中标人放弃中标资格或因质疑、投诉被取消中标资格或不能履行合同的，本项目重新开展政府采购活动。</w:t>
            </w:r>
          </w:p>
        </w:tc>
      </w:tr>
    </w:tbl>
    <w:p>
      <w:pPr>
        <w:pageBreakBefore/>
        <w:ind w:left="238"/>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4.2招标文件的澄清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2.1.1投标响应函（格式见第六部分附件）；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3"/>
        <w:spacing w:line="440" w:lineRule="exact"/>
        <w:ind w:firstLine="480" w:firstLineChars="200"/>
        <w:rPr>
          <w:rFonts w:hint="eastAsia" w:ascii="仿宋" w:hAnsi="仿宋" w:eastAsia="仿宋" w:cs="仿宋"/>
          <w:color w:val="auto"/>
          <w:sz w:val="24"/>
          <w:highlight w:val="none"/>
        </w:rPr>
      </w:pPr>
      <w:bookmarkStart w:id="0" w:name="_Hlt68073093"/>
      <w:bookmarkEnd w:id="0"/>
      <w:bookmarkStart w:id="1" w:name="_Hlt68072998"/>
      <w:bookmarkEnd w:id="1"/>
      <w:bookmarkStart w:id="2" w:name="_Hlt68403820"/>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等财务报表资料文件(新成立的公司，必须提供情况说明)；</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3"/>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10</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kern w:val="0"/>
          <w:sz w:val="24"/>
          <w:highlight w:val="none"/>
        </w:rPr>
        <w:t>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lang w:val="zh-CN"/>
        </w:rPr>
        <w:t>验收方案；（如有）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r>
        <w:rPr>
          <w:rFonts w:hint="eastAsia" w:ascii="仿宋" w:hAnsi="仿宋" w:eastAsia="仿宋" w:cs="仿宋"/>
          <w:color w:val="auto"/>
          <w:kern w:val="0"/>
          <w:sz w:val="24"/>
          <w:highlight w:val="none"/>
          <w:lang w:val="zh-CN"/>
        </w:rPr>
        <w:t>（如有）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注：复印件应加盖投标人公章</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9"/>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投标人应于投标截止以前将该书面材料以现场送达（即交即走）的方式递交。</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bookmarkStart w:id="3" w:name="_Toc84325929"/>
      <w:bookmarkStart w:id="4" w:name="_Toc81372776"/>
      <w:bookmarkStart w:id="5" w:name="_Toc81372953"/>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9"/>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3.供应商提交的质疑书需一式三份，质疑书至少应包括下列主要内容：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pacing w:line="440" w:lineRule="exact"/>
        <w:ind w:firstLine="422" w:firstLineChars="200"/>
        <w:rPr>
          <w:rFonts w:hint="eastAsia"/>
        </w:rPr>
      </w:pPr>
      <w:r>
        <w:rPr>
          <w:rFonts w:hint="eastAsia" w:ascii="仿宋" w:hAnsi="仿宋" w:eastAsia="仿宋" w:cs="仿宋"/>
          <w:b/>
          <w:bCs/>
          <w:color w:val="000000"/>
          <w:szCs w:val="21"/>
        </w:rPr>
        <w:t>一、招标项目设备名称及数量</w:t>
      </w:r>
      <w:r>
        <w:rPr>
          <w:rFonts w:hint="eastAsia" w:ascii="仿宋" w:hAnsi="仿宋" w:eastAsia="仿宋" w:cs="仿宋"/>
          <w:b/>
          <w:color w:val="000000"/>
          <w:szCs w:val="21"/>
        </w:rPr>
        <w:t>：</w:t>
      </w:r>
    </w:p>
    <w:p>
      <w:pPr>
        <w:spacing w:line="440" w:lineRule="exact"/>
        <w:ind w:firstLine="482" w:firstLineChars="200"/>
        <w:rPr>
          <w:rFonts w:hint="eastAsia" w:ascii="仿宋" w:hAnsi="仿宋" w:eastAsia="仿宋" w:cs="仿宋"/>
          <w:b/>
          <w:color w:val="auto"/>
          <w:sz w:val="24"/>
          <w:highlight w:val="none"/>
        </w:rPr>
      </w:pPr>
      <w:bookmarkStart w:id="6" w:name="_Toc84325981"/>
      <w:bookmarkStart w:id="7" w:name="_Toc81372964"/>
      <w:bookmarkStart w:id="8" w:name="_Toc80157775"/>
      <w:bookmarkStart w:id="9" w:name="_Toc81372787"/>
      <w:r>
        <w:rPr>
          <w:rFonts w:hint="eastAsia" w:ascii="仿宋" w:hAnsi="仿宋" w:eastAsia="仿宋" w:cs="仿宋"/>
          <w:b/>
          <w:color w:val="auto"/>
          <w:sz w:val="24"/>
          <w:highlight w:val="none"/>
        </w:rPr>
        <w:t xml:space="preserve"> </w:t>
      </w:r>
      <w:r>
        <w:rPr>
          <w:rFonts w:hint="eastAsia" w:ascii="仿宋" w:hAnsi="仿宋" w:eastAsia="仿宋" w:cs="仿宋"/>
          <w:b/>
          <w:bCs/>
          <w:color w:val="000000" w:themeColor="text1"/>
          <w:sz w:val="24"/>
          <w:bdr w:val="single" w:color="auto" w:sz="4" w:space="0"/>
        </w:rPr>
        <w:t>01标</w:t>
      </w:r>
      <w:r>
        <w:rPr>
          <w:rFonts w:hint="eastAsia" w:ascii="仿宋" w:hAnsi="仿宋" w:eastAsia="仿宋" w:cs="仿宋"/>
          <w:b/>
          <w:color w:val="auto"/>
          <w:sz w:val="24"/>
          <w:highlight w:val="none"/>
          <w:lang w:eastAsia="zh-CN"/>
        </w:rPr>
        <w:t>智慧手术室护理综合管理系统及移动护理升级系统采购项目</w:t>
      </w:r>
      <w:r>
        <w:rPr>
          <w:rFonts w:hint="eastAsia" w:ascii="仿宋" w:hAnsi="仿宋" w:eastAsia="仿宋" w:cs="仿宋"/>
          <w:b/>
          <w:color w:val="auto"/>
          <w:sz w:val="24"/>
          <w:highlight w:val="none"/>
        </w:rPr>
        <w:t>，上限价：</w:t>
      </w:r>
      <w:r>
        <w:rPr>
          <w:rFonts w:hint="eastAsia" w:ascii="仿宋" w:hAnsi="仿宋" w:eastAsia="仿宋" w:cs="仿宋"/>
          <w:b/>
          <w:color w:val="auto"/>
          <w:sz w:val="24"/>
          <w:highlight w:val="none"/>
          <w:lang w:val="en-US" w:eastAsia="zh-CN"/>
        </w:rPr>
        <w:t>35</w:t>
      </w:r>
      <w:r>
        <w:rPr>
          <w:rFonts w:hint="eastAsia" w:ascii="仿宋" w:hAnsi="仿宋" w:eastAsia="仿宋" w:cs="仿宋"/>
          <w:b/>
          <w:color w:val="auto"/>
          <w:sz w:val="24"/>
          <w:highlight w:val="none"/>
        </w:rPr>
        <w:t>万元。</w:t>
      </w:r>
    </w:p>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（一）</w:t>
      </w:r>
      <w:r>
        <w:rPr>
          <w:rFonts w:hint="eastAsia" w:ascii="仿宋" w:hAnsi="仿宋" w:eastAsia="仿宋" w:cs="仿宋"/>
          <w:szCs w:val="21"/>
        </w:rPr>
        <w:t>智慧手术室护理综合管理系统</w:t>
      </w:r>
      <w:r>
        <w:rPr>
          <w:rFonts w:hint="eastAsia" w:ascii="仿宋" w:hAnsi="仿宋" w:eastAsia="仿宋" w:cs="仿宋"/>
          <w:color w:val="000000"/>
          <w:szCs w:val="21"/>
        </w:rPr>
        <w:t>设备配置清单表：</w:t>
      </w:r>
    </w:p>
    <w:tbl>
      <w:tblPr>
        <w:tblStyle w:val="41"/>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712"/>
        <w:gridCol w:w="155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3"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序号</w:t>
            </w:r>
          </w:p>
        </w:tc>
        <w:tc>
          <w:tcPr>
            <w:tcW w:w="2712"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产品名称</w:t>
            </w:r>
          </w:p>
        </w:tc>
        <w:tc>
          <w:tcPr>
            <w:tcW w:w="1559"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数量单位</w:t>
            </w:r>
          </w:p>
        </w:tc>
        <w:tc>
          <w:tcPr>
            <w:tcW w:w="3119"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3"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1</w:t>
            </w:r>
          </w:p>
        </w:tc>
        <w:tc>
          <w:tcPr>
            <w:tcW w:w="2712"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软件系统</w:t>
            </w:r>
          </w:p>
        </w:tc>
        <w:tc>
          <w:tcPr>
            <w:tcW w:w="1559"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1套</w:t>
            </w:r>
          </w:p>
        </w:tc>
        <w:tc>
          <w:tcPr>
            <w:tcW w:w="3119"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含第三方接口集成费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3"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2</w:t>
            </w:r>
          </w:p>
        </w:tc>
        <w:tc>
          <w:tcPr>
            <w:tcW w:w="2712"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PDA</w:t>
            </w:r>
          </w:p>
        </w:tc>
        <w:tc>
          <w:tcPr>
            <w:tcW w:w="1559"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20台</w:t>
            </w:r>
          </w:p>
        </w:tc>
        <w:tc>
          <w:tcPr>
            <w:tcW w:w="3119" w:type="dxa"/>
            <w:noWrap w:val="0"/>
            <w:vAlign w:val="center"/>
          </w:tcPr>
          <w:p>
            <w:pPr>
              <w:spacing w:line="300" w:lineRule="exact"/>
              <w:jc w:val="center"/>
              <w:rPr>
                <w:rFonts w:hint="eastAsia" w:ascii="仿宋" w:hAnsi="仿宋" w:eastAsia="仿宋" w:cs="仿宋"/>
                <w:color w:val="FF0000"/>
                <w:szCs w:val="21"/>
              </w:rPr>
            </w:pPr>
            <w:r>
              <w:rPr>
                <w:rFonts w:hint="eastAsia" w:ascii="仿宋" w:hAnsi="仿宋" w:eastAsia="仿宋" w:cs="仿宋"/>
                <w:color w:val="FF0000"/>
                <w:szCs w:val="21"/>
              </w:rPr>
              <w:t>设备正常使用</w:t>
            </w:r>
          </w:p>
        </w:tc>
      </w:tr>
    </w:tbl>
    <w:p>
      <w:pPr>
        <w:spacing w:line="360" w:lineRule="auto"/>
        <w:jc w:val="left"/>
        <w:rPr>
          <w:rFonts w:hint="eastAsia" w:ascii="仿宋" w:hAnsi="仿宋" w:eastAsia="仿宋" w:cs="仿宋"/>
          <w:color w:val="FF0000"/>
          <w:szCs w:val="21"/>
        </w:rPr>
      </w:pPr>
      <w:r>
        <w:rPr>
          <w:rFonts w:hint="eastAsia" w:ascii="仿宋" w:hAnsi="仿宋" w:eastAsia="仿宋" w:cs="仿宋"/>
          <w:color w:val="FF0000"/>
          <w:szCs w:val="21"/>
        </w:rPr>
        <w:t>以上配置清单中的项目质保说明：（1）软件系统：提供壹年免费维保服务（自项目验收合格之日起计算）。免费维保期过后，另行签订软件系统的维保合同，维保费不超过合同总额的10%；（2）序号2所列硬件设备保修三年。保修期过后，免费维修，如果需要更换零配件，只收取零配件成本费。</w:t>
      </w:r>
    </w:p>
    <w:p>
      <w:pPr>
        <w:spacing w:line="360" w:lineRule="auto"/>
        <w:jc w:val="left"/>
        <w:rPr>
          <w:rFonts w:hint="eastAsia" w:ascii="仿宋" w:hAnsi="仿宋" w:eastAsia="仿宋" w:cs="仿宋"/>
          <w:color w:val="000000"/>
          <w:szCs w:val="21"/>
        </w:rPr>
      </w:pPr>
      <w:r>
        <w:rPr>
          <w:rFonts w:hint="eastAsia" w:ascii="仿宋" w:hAnsi="仿宋" w:eastAsia="仿宋" w:cs="仿宋"/>
          <w:color w:val="000000"/>
          <w:szCs w:val="21"/>
        </w:rPr>
        <w:t>（二）技术要求：</w:t>
      </w:r>
    </w:p>
    <w:p>
      <w:pPr>
        <w:spacing w:line="360" w:lineRule="auto"/>
        <w:jc w:val="left"/>
        <w:rPr>
          <w:rFonts w:hint="eastAsia" w:ascii="仿宋" w:hAnsi="仿宋" w:eastAsia="仿宋" w:cs="仿宋"/>
          <w:color w:val="000000"/>
          <w:kern w:val="1"/>
          <w:szCs w:val="21"/>
        </w:rPr>
      </w:pPr>
      <w:r>
        <w:rPr>
          <w:rFonts w:hint="eastAsia" w:ascii="仿宋" w:hAnsi="仿宋" w:eastAsia="仿宋" w:cs="仿宋"/>
          <w:color w:val="000000"/>
          <w:kern w:val="1"/>
          <w:szCs w:val="21"/>
        </w:rPr>
        <w:t>1、总体要求</w:t>
      </w:r>
    </w:p>
    <w:p>
      <w:pPr>
        <w:spacing w:line="360" w:lineRule="auto"/>
        <w:jc w:val="left"/>
        <w:rPr>
          <w:rFonts w:hint="eastAsia" w:ascii="仿宋" w:hAnsi="仿宋" w:eastAsia="仿宋" w:cs="仿宋"/>
          <w:color w:val="000000"/>
          <w:kern w:val="1"/>
          <w:szCs w:val="21"/>
        </w:rPr>
      </w:pPr>
      <w:r>
        <w:rPr>
          <w:rFonts w:hint="eastAsia" w:ascii="仿宋" w:hAnsi="仿宋" w:eastAsia="仿宋" w:cs="仿宋"/>
          <w:color w:val="000000"/>
          <w:kern w:val="1"/>
          <w:szCs w:val="21"/>
        </w:rPr>
        <w:t>（1）标准化：全面采用国际、国家与地方各种标准和规范。以卫生部《医院信息系统基本功能规范》和我院的相关要求为依据，最符合医院实际需求为准。减少跨系统使用困难，保证与其他各子系统可以方便集成。</w:t>
      </w:r>
    </w:p>
    <w:p>
      <w:pPr>
        <w:spacing w:line="360" w:lineRule="auto"/>
        <w:jc w:val="left"/>
        <w:rPr>
          <w:rFonts w:hint="eastAsia" w:ascii="仿宋" w:hAnsi="仿宋" w:eastAsia="仿宋" w:cs="仿宋"/>
          <w:color w:val="000000"/>
          <w:kern w:val="1"/>
          <w:szCs w:val="21"/>
        </w:rPr>
      </w:pPr>
      <w:r>
        <w:rPr>
          <w:rFonts w:hint="eastAsia" w:ascii="仿宋" w:hAnsi="仿宋" w:eastAsia="仿宋" w:cs="仿宋"/>
          <w:color w:val="000000"/>
          <w:kern w:val="1"/>
          <w:szCs w:val="21"/>
        </w:rPr>
        <w:t>（2）技术稳定性：成熟可靠，性能稳定，能提供持续的版本升级服务。</w:t>
      </w:r>
    </w:p>
    <w:p>
      <w:pPr>
        <w:spacing w:line="360" w:lineRule="auto"/>
        <w:jc w:val="left"/>
        <w:rPr>
          <w:rFonts w:hint="eastAsia" w:ascii="仿宋" w:hAnsi="仿宋" w:eastAsia="仿宋" w:cs="仿宋"/>
          <w:color w:val="000000"/>
          <w:kern w:val="1"/>
          <w:szCs w:val="21"/>
        </w:rPr>
      </w:pPr>
      <w:r>
        <w:rPr>
          <w:rFonts w:hint="eastAsia" w:ascii="仿宋" w:hAnsi="仿宋" w:eastAsia="仿宋" w:cs="仿宋"/>
          <w:color w:val="000000"/>
          <w:kern w:val="1"/>
          <w:szCs w:val="21"/>
        </w:rPr>
        <w:t>（3）开放性设计：所投软件产品为投标公司自主研发，并能够根据医院实际需求进行系统的功能重组、修改与二次开发。</w:t>
      </w:r>
    </w:p>
    <w:p>
      <w:pPr>
        <w:rPr>
          <w:rFonts w:hint="eastAsia" w:ascii="仿宋" w:hAnsi="仿宋" w:eastAsia="仿宋" w:cs="仿宋"/>
        </w:rPr>
      </w:pPr>
      <w:r>
        <w:rPr>
          <w:rFonts w:hint="eastAsia" w:ascii="仿宋" w:hAnsi="仿宋" w:eastAsia="仿宋" w:cs="仿宋"/>
          <w:color w:val="000000"/>
          <w:szCs w:val="21"/>
        </w:rPr>
        <w:t>2、主要技术参数（</w:t>
      </w:r>
      <w:r>
        <w:rPr>
          <w:rFonts w:hint="eastAsia" w:ascii="仿宋" w:hAnsi="仿宋" w:eastAsia="仿宋" w:cs="仿宋"/>
          <w:color w:val="000000"/>
          <w:szCs w:val="21"/>
          <w:lang w:val="zh-CN"/>
        </w:rPr>
        <w:t>对应指标，详细说明，否则视为不符要求）</w:t>
      </w:r>
    </w:p>
    <w:tbl>
      <w:tblPr>
        <w:tblStyle w:val="41"/>
        <w:tblW w:w="50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9"/>
        <w:gridCol w:w="763"/>
        <w:gridCol w:w="1732"/>
        <w:gridCol w:w="5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72" w:type="pct"/>
            <w:gridSpan w:val="3"/>
            <w:shd w:val="clear" w:color="auto" w:fill="A6A6A6"/>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功能分类</w:t>
            </w:r>
          </w:p>
        </w:tc>
        <w:tc>
          <w:tcPr>
            <w:tcW w:w="954" w:type="pct"/>
            <w:shd w:val="clear" w:color="auto" w:fill="A6A6A6"/>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功能模块</w:t>
            </w:r>
          </w:p>
        </w:tc>
        <w:tc>
          <w:tcPr>
            <w:tcW w:w="3172" w:type="pct"/>
            <w:shd w:val="clear" w:color="auto" w:fill="A6A6A6"/>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72" w:type="pct"/>
            <w:gridSpan w:val="3"/>
            <w:vMerge w:val="restart"/>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系统管理</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用户账户管理</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创建/注销用户；用户角色设置；用户登录密码设置，支持密码输入长度控制、密码强度校验；用户图片签名设置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角色管理</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可根据科室或者病区创建对应的角色（如护士、护士长、管理员等），对角色进行权限设置。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权限管理</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管理不同用户权限，可直接套用相应角色权限，支持单独权限添加/删除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restart"/>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安全登录</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时间同步</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用户登录时，客户端自动同步服务器时间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权限登录</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用户根据所赋予的权限，进行系统登录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系统升级提醒</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系统版本升级后，对于已经打开在用的客户端进行提醒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通知功能</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可在系统内发布通知，程序进行弹窗式提醒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提醒管理</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PC客户端上维护好相应的提醒事件及时间，用户在PDA上选择相应提醒事件，当PDA到达预设的时间点后能够通过消息和振铃提醒用户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患者全过程管理</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患者信息</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根据医院第三方系统能提供的字段显示患者基本信息，包括：姓名、性别、床号、护理级别、联系方式、住址、身份证号、主治医生、诊断、饮食、过敏史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患者流转查询</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扫描患者腕带，核对患者信息， 并记录患者流转信息，记录患者出院、入院、外出检查、入手术室、出手术室、回病房 这些流转信息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手术患者转运交接单</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针对手术患者的转运交接单，转运交接时，由患者所在的前一个科室先填写内容，由患者所在的后一个科室检查并核对内容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出院患者查询</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可根据病历号、姓名、时间查阅已经出院的患者，双击出院记录可进入患者病历操作界面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1" w:type="pct"/>
            <w:vMerge w:val="restart"/>
            <w:noWrap w:val="0"/>
            <w:vAlign w:val="center"/>
          </w:tcPr>
          <w:p>
            <w:pPr>
              <w:widowControl/>
              <w:jc w:val="left"/>
              <w:rPr>
                <w:rFonts w:hint="eastAsia" w:ascii="仿宋" w:hAnsi="仿宋" w:eastAsia="仿宋" w:cs="仿宋"/>
                <w:color w:val="000000"/>
                <w:kern w:val="0"/>
                <w:sz w:val="22"/>
              </w:rPr>
            </w:pPr>
          </w:p>
          <w:p>
            <w:pPr>
              <w:widowControl/>
              <w:jc w:val="left"/>
              <w:rPr>
                <w:rFonts w:hint="eastAsia" w:ascii="仿宋" w:hAnsi="仿宋" w:eastAsia="仿宋" w:cs="仿宋"/>
                <w:color w:val="000000"/>
                <w:kern w:val="0"/>
                <w:sz w:val="22"/>
              </w:rPr>
            </w:pPr>
          </w:p>
          <w:p>
            <w:pPr>
              <w:widowControl/>
              <w:jc w:val="left"/>
              <w:rPr>
                <w:rFonts w:hint="eastAsia" w:ascii="仿宋" w:hAnsi="仿宋" w:eastAsia="仿宋" w:cs="仿宋"/>
                <w:color w:val="000000"/>
                <w:kern w:val="0"/>
                <w:sz w:val="22"/>
              </w:rPr>
            </w:pPr>
          </w:p>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手术患者闭环管理</w:t>
            </w:r>
          </w:p>
        </w:tc>
        <w:tc>
          <w:tcPr>
            <w:tcW w:w="480" w:type="pct"/>
            <w:gridSpan w:val="2"/>
            <w:vMerge w:val="restart"/>
            <w:noWrap/>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患者流转闭环</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出病房</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手术患者出病房时，扫描腕带确认，并录入手术流转单。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进手术室</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手术患者进手术室时扫描接收病人。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术前准备、进手术间</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进入手术室，扫描手术患者腕带条码，确认手术房间及手术部位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进复苏室</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手术患者完成手术，进入复苏室时扫描确认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送回病房</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手术患者完成手术送回病房。病房接收确认。每个流转环节，都进行身份扫码核对。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restart"/>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手术用药闭环</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手术用药</w:t>
            </w:r>
          </w:p>
        </w:tc>
        <w:tc>
          <w:tcPr>
            <w:tcW w:w="3172" w:type="pct"/>
            <w:noWrap w:val="0"/>
            <w:vAlign w:val="center"/>
          </w:tcPr>
          <w:p>
            <w:pPr>
              <w:pStyle w:val="97"/>
              <w:rPr>
                <w:rFonts w:hint="eastAsia" w:ascii="仿宋" w:hAnsi="仿宋" w:eastAsia="仿宋" w:cs="仿宋"/>
                <w:sz w:val="22"/>
                <w:szCs w:val="22"/>
              </w:rPr>
            </w:pPr>
            <w:r>
              <w:rPr>
                <w:rFonts w:hint="eastAsia" w:ascii="仿宋" w:hAnsi="仿宋" w:eastAsia="仿宋" w:cs="仿宋"/>
                <w:sz w:val="22"/>
                <w:szCs w:val="22"/>
              </w:rPr>
              <w:t>手术期药物医嘱执行的核对、医嘱提醒功能。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center"/>
              <w:rPr>
                <w:rFonts w:hint="eastAsia" w:ascii="仿宋" w:hAnsi="仿宋" w:eastAsia="仿宋" w:cs="仿宋"/>
                <w:color w:val="000000"/>
                <w:kern w:val="0"/>
                <w:sz w:val="22"/>
              </w:rPr>
            </w:pPr>
          </w:p>
        </w:tc>
        <w:tc>
          <w:tcPr>
            <w:tcW w:w="954" w:type="pct"/>
            <w:noWrap w:val="0"/>
            <w:vAlign w:val="bottom"/>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高危药品执行提示</w:t>
            </w:r>
          </w:p>
        </w:tc>
        <w:tc>
          <w:tcPr>
            <w:tcW w:w="3172" w:type="pct"/>
            <w:noWrap w:val="0"/>
            <w:vAlign w:val="bottom"/>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护理人员在执行高危药品时，系统能智能提醒，可强制双人核对后才能执行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restart"/>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手术器械闭环</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术前从供应室或器械模板中取得该手术所要用到的器械，核对数量，记录核对人及核对时间。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术中</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术中对手术器械时行核对，并记录核对人及核对时间。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关前</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关前对手术器械时行核对，并记录核对人及核对时间。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关后</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前后再次对手术器械时行核对，并记录核对人及核对时间。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restart"/>
            <w:noWrap w:val="0"/>
            <w:vAlign w:val="center"/>
          </w:tcPr>
          <w:p>
            <w:pPr>
              <w:widowControl/>
              <w:jc w:val="center"/>
              <w:rPr>
                <w:rFonts w:hint="eastAsia" w:ascii="仿宋" w:hAnsi="仿宋" w:eastAsia="仿宋" w:cs="仿宋"/>
                <w:color w:val="000000"/>
                <w:kern w:val="0"/>
                <w:sz w:val="22"/>
              </w:rPr>
            </w:pPr>
            <w:r>
              <w:rPr>
                <w:rFonts w:hint="eastAsia" w:ascii="仿宋" w:hAnsi="仿宋" w:eastAsia="仿宋" w:cs="仿宋"/>
                <w:color w:val="000000"/>
                <w:kern w:val="0"/>
                <w:sz w:val="22"/>
              </w:rPr>
              <w:t>病理标本闭环</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病理申请及标本打印</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获取病理系统中医生开具的病理申请单信息，打印标签，生成送检二维码（需要病理系统接口支持）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标本送检</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记录送检人及送检时间。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送检查询</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查询送检的标本状态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91" w:type="pct"/>
            <w:vMerge w:val="continue"/>
            <w:noWrap w:val="0"/>
            <w:vAlign w:val="center"/>
          </w:tcPr>
          <w:p>
            <w:pPr>
              <w:widowControl/>
              <w:jc w:val="left"/>
              <w:rPr>
                <w:rFonts w:hint="eastAsia" w:ascii="仿宋" w:hAnsi="仿宋" w:eastAsia="仿宋" w:cs="仿宋"/>
                <w:color w:val="000000"/>
                <w:kern w:val="0"/>
                <w:sz w:val="22"/>
              </w:rPr>
            </w:pPr>
          </w:p>
        </w:tc>
        <w:tc>
          <w:tcPr>
            <w:tcW w:w="480" w:type="pct"/>
            <w:gridSpan w:val="2"/>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结果回写</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将标本采集时间和采集人回写至第三方系统中（需要病理系统接口支持）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手术文书</w:t>
            </w:r>
          </w:p>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核对表单</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手术安全核查表</w:t>
            </w:r>
          </w:p>
        </w:tc>
        <w:tc>
          <w:tcPr>
            <w:tcW w:w="3172" w:type="pct"/>
            <w:noWrap w:val="0"/>
            <w:vAlign w:val="center"/>
          </w:tcPr>
          <w:p>
            <w:pPr>
              <w:widowControl/>
              <w:jc w:val="left"/>
              <w:rPr>
                <w:rFonts w:hint="eastAsia" w:ascii="仿宋" w:hAnsi="仿宋" w:eastAsia="仿宋" w:cs="仿宋"/>
                <w:color w:val="FF0000"/>
                <w:kern w:val="0"/>
                <w:sz w:val="22"/>
              </w:rPr>
            </w:pPr>
            <w:r>
              <w:rPr>
                <w:rFonts w:hint="eastAsia" w:ascii="仿宋" w:hAnsi="仿宋" w:eastAsia="仿宋" w:cs="仿宋"/>
                <w:color w:val="FF0000"/>
                <w:kern w:val="0"/>
                <w:sz w:val="22"/>
              </w:rPr>
              <w:t>按规定在术前，术中，术后，三方核查并于APP屏幕上手写体签名或CA接口签名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手术风险评估表</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按规定在术前，术中，术后，三方核查并屏幕上手写体签名或CA接口签名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手术护理记录单</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按规定在术前，术中，术后，三方核查并屏幕上手写体签名或CA接口签名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工友管理</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手术室工友派单</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护士在PDA录入工友的派工单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工单语音提醒</w:t>
            </w:r>
          </w:p>
        </w:tc>
        <w:tc>
          <w:tcPr>
            <w:tcW w:w="3172" w:type="pct"/>
            <w:noWrap w:val="0"/>
            <w:vAlign w:val="center"/>
          </w:tcPr>
          <w:p>
            <w:pPr>
              <w:widowControl/>
              <w:jc w:val="left"/>
              <w:rPr>
                <w:rFonts w:hint="eastAsia" w:ascii="仿宋" w:hAnsi="仿宋" w:eastAsia="仿宋" w:cs="仿宋"/>
                <w:color w:val="FF0000"/>
                <w:kern w:val="0"/>
                <w:sz w:val="22"/>
              </w:rPr>
            </w:pPr>
            <w:r>
              <w:rPr>
                <w:rFonts w:hint="eastAsia" w:ascii="仿宋" w:hAnsi="仿宋" w:eastAsia="仿宋" w:cs="仿宋"/>
                <w:color w:val="FF0000"/>
                <w:kern w:val="0"/>
                <w:sz w:val="22"/>
              </w:rPr>
              <w:t>工友房间的自助机上语音提醒，工友刷自己的二维码领取派工单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接单管理</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工友接单并完成工作后，回到工友房间，扫描后记录完成时间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工友工作量绩效考核</w:t>
            </w:r>
          </w:p>
        </w:tc>
        <w:tc>
          <w:tcPr>
            <w:tcW w:w="3172"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护士长根据工单生成工友工作量，并可根据工作量考核。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手术护士工作量管理</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工作量录入及查询</w:t>
            </w:r>
          </w:p>
        </w:tc>
        <w:tc>
          <w:tcPr>
            <w:tcW w:w="3172" w:type="pct"/>
            <w:noWrap w:val="0"/>
            <w:vAlign w:val="center"/>
          </w:tcPr>
          <w:p>
            <w:pPr>
              <w:pStyle w:val="97"/>
              <w:rPr>
                <w:rFonts w:hint="eastAsia" w:ascii="仿宋" w:hAnsi="仿宋" w:eastAsia="仿宋" w:cs="仿宋"/>
                <w:sz w:val="22"/>
                <w:szCs w:val="22"/>
              </w:rPr>
            </w:pPr>
            <w:r>
              <w:rPr>
                <w:rFonts w:hint="eastAsia" w:ascii="仿宋" w:hAnsi="仿宋" w:eastAsia="仿宋" w:cs="仿宋"/>
                <w:sz w:val="22"/>
                <w:szCs w:val="22"/>
              </w:rPr>
              <w:t>录入统计护士工作量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手术护士签到</w:t>
            </w:r>
          </w:p>
        </w:tc>
        <w:tc>
          <w:tcPr>
            <w:tcW w:w="3172" w:type="pct"/>
            <w:noWrap w:val="0"/>
            <w:vAlign w:val="center"/>
          </w:tcPr>
          <w:p>
            <w:pPr>
              <w:pStyle w:val="97"/>
              <w:rPr>
                <w:rFonts w:hint="eastAsia" w:ascii="仿宋" w:hAnsi="仿宋" w:eastAsia="仿宋" w:cs="仿宋"/>
                <w:sz w:val="22"/>
                <w:szCs w:val="22"/>
              </w:rPr>
            </w:pPr>
            <w:r>
              <w:rPr>
                <w:rFonts w:hint="eastAsia" w:ascii="仿宋" w:hAnsi="仿宋" w:eastAsia="仿宋" w:cs="仿宋"/>
                <w:sz w:val="22"/>
                <w:szCs w:val="22"/>
              </w:rPr>
              <w:t>护士到指定区域扫描二维码进行签到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手术护士签出</w:t>
            </w:r>
          </w:p>
        </w:tc>
        <w:tc>
          <w:tcPr>
            <w:tcW w:w="3172" w:type="pct"/>
            <w:noWrap w:val="0"/>
            <w:vAlign w:val="center"/>
          </w:tcPr>
          <w:p>
            <w:pPr>
              <w:pStyle w:val="97"/>
              <w:rPr>
                <w:rFonts w:hint="eastAsia" w:ascii="仿宋" w:hAnsi="仿宋" w:eastAsia="仿宋" w:cs="仿宋"/>
                <w:sz w:val="22"/>
                <w:szCs w:val="22"/>
              </w:rPr>
            </w:pPr>
            <w:r>
              <w:rPr>
                <w:rFonts w:hint="eastAsia" w:ascii="仿宋" w:hAnsi="仿宋" w:eastAsia="仿宋" w:cs="仿宋"/>
                <w:sz w:val="22"/>
                <w:szCs w:val="22"/>
              </w:rPr>
              <w:t>出科时护士签出扫描确认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复苏室排班管理</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剩余床位数</w:t>
            </w:r>
          </w:p>
        </w:tc>
        <w:tc>
          <w:tcPr>
            <w:tcW w:w="3172" w:type="pct"/>
            <w:noWrap w:val="0"/>
            <w:vAlign w:val="center"/>
          </w:tcPr>
          <w:p>
            <w:pPr>
              <w:pStyle w:val="97"/>
              <w:rPr>
                <w:rFonts w:hint="eastAsia" w:ascii="仿宋" w:hAnsi="仿宋" w:eastAsia="仿宋" w:cs="仿宋"/>
                <w:color w:val="FF0000"/>
                <w:sz w:val="22"/>
                <w:szCs w:val="22"/>
              </w:rPr>
            </w:pPr>
            <w:r>
              <w:rPr>
                <w:rFonts w:hint="eastAsia" w:ascii="仿宋" w:hAnsi="仿宋" w:eastAsia="仿宋" w:cs="仿宋"/>
                <w:color w:val="FF0000"/>
              </w:rPr>
              <w:t>▲</w:t>
            </w:r>
            <w:r>
              <w:rPr>
                <w:rFonts w:hint="eastAsia" w:ascii="仿宋" w:hAnsi="仿宋" w:eastAsia="仿宋" w:cs="仿宋"/>
                <w:color w:val="FF0000"/>
                <w:sz w:val="22"/>
                <w:szCs w:val="22"/>
              </w:rPr>
              <w:t>复苏室确认床位数</w:t>
            </w:r>
            <w:r>
              <w:rPr>
                <w:rFonts w:hint="eastAsia" w:ascii="仿宋" w:hAnsi="仿宋" w:eastAsia="仿宋" w:cs="仿宋"/>
                <w:color w:val="FF0000"/>
                <w:sz w:val="22"/>
              </w:rPr>
              <w:t>（提供功能截图予以证明，无截图或截图与技术要求存在偏差的均视为不满足）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申请复苏床位</w:t>
            </w:r>
          </w:p>
        </w:tc>
        <w:tc>
          <w:tcPr>
            <w:tcW w:w="3172" w:type="pct"/>
            <w:noWrap w:val="0"/>
            <w:vAlign w:val="center"/>
          </w:tcPr>
          <w:p>
            <w:pPr>
              <w:pStyle w:val="97"/>
              <w:rPr>
                <w:rFonts w:hint="eastAsia" w:ascii="仿宋" w:hAnsi="仿宋" w:eastAsia="仿宋" w:cs="仿宋"/>
                <w:color w:val="FF0000"/>
                <w:sz w:val="22"/>
                <w:szCs w:val="22"/>
              </w:rPr>
            </w:pPr>
            <w:r>
              <w:rPr>
                <w:rFonts w:hint="eastAsia" w:ascii="仿宋" w:hAnsi="仿宋" w:eastAsia="仿宋" w:cs="仿宋"/>
                <w:color w:val="FF0000"/>
              </w:rPr>
              <w:t>▲</w:t>
            </w:r>
            <w:r>
              <w:rPr>
                <w:rFonts w:hint="eastAsia" w:ascii="仿宋" w:hAnsi="仿宋" w:eastAsia="仿宋" w:cs="仿宋"/>
                <w:color w:val="FF0000"/>
                <w:sz w:val="22"/>
                <w:szCs w:val="22"/>
              </w:rPr>
              <w:t>在病人手术即将完成时，手术护士申请复苏室床位</w:t>
            </w:r>
            <w:r>
              <w:rPr>
                <w:rFonts w:hint="eastAsia" w:ascii="仿宋" w:hAnsi="仿宋" w:eastAsia="仿宋" w:cs="仿宋"/>
                <w:color w:val="FF0000"/>
                <w:sz w:val="22"/>
              </w:rPr>
              <w:t>（提供功能截图予以证明，无截图或截图与技术要求存在偏差的均视为不满足）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显示排队人数</w:t>
            </w:r>
          </w:p>
        </w:tc>
        <w:tc>
          <w:tcPr>
            <w:tcW w:w="3172" w:type="pct"/>
            <w:noWrap w:val="0"/>
            <w:vAlign w:val="center"/>
          </w:tcPr>
          <w:p>
            <w:pPr>
              <w:jc w:val="left"/>
              <w:rPr>
                <w:rFonts w:hint="eastAsia" w:ascii="仿宋" w:hAnsi="仿宋" w:eastAsia="仿宋" w:cs="仿宋"/>
                <w:color w:val="000000"/>
                <w:kern w:val="0"/>
                <w:sz w:val="22"/>
              </w:rPr>
            </w:pPr>
            <w:r>
              <w:rPr>
                <w:rFonts w:hint="eastAsia" w:ascii="仿宋" w:hAnsi="仿宋" w:eastAsia="仿宋" w:cs="仿宋"/>
                <w:color w:val="000000"/>
                <w:kern w:val="0"/>
                <w:sz w:val="22"/>
              </w:rPr>
              <w:t>申请完成显示前面还有几位排队。可以进入复苏室时(自动/手动)消息提醒排队者可以进入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送入复苏室</w:t>
            </w:r>
          </w:p>
        </w:tc>
        <w:tc>
          <w:tcPr>
            <w:tcW w:w="3172" w:type="pct"/>
            <w:noWrap w:val="0"/>
            <w:vAlign w:val="center"/>
          </w:tcPr>
          <w:p>
            <w:pPr>
              <w:tabs>
                <w:tab w:val="left" w:pos="312"/>
              </w:tabs>
              <w:jc w:val="left"/>
              <w:rPr>
                <w:rFonts w:hint="eastAsia" w:ascii="仿宋" w:hAnsi="仿宋" w:eastAsia="仿宋" w:cs="仿宋"/>
                <w:color w:val="000000"/>
                <w:kern w:val="0"/>
                <w:sz w:val="22"/>
              </w:rPr>
            </w:pPr>
            <w:r>
              <w:rPr>
                <w:rFonts w:hint="eastAsia" w:ascii="仿宋" w:hAnsi="仿宋" w:eastAsia="仿宋" w:cs="仿宋"/>
                <w:color w:val="000000"/>
                <w:kern w:val="0"/>
                <w:sz w:val="22"/>
              </w:rPr>
              <w:t>流程中进出复苏室接送病人必须扫描确认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手术通知</w:t>
            </w: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通知手术医生</w:t>
            </w:r>
          </w:p>
        </w:tc>
        <w:tc>
          <w:tcPr>
            <w:tcW w:w="3172" w:type="pct"/>
            <w:noWrap w:val="0"/>
            <w:vAlign w:val="center"/>
          </w:tcPr>
          <w:p>
            <w:pPr>
              <w:pStyle w:val="97"/>
              <w:rPr>
                <w:rFonts w:hint="eastAsia" w:ascii="仿宋" w:hAnsi="仿宋" w:eastAsia="仿宋" w:cs="仿宋"/>
                <w:color w:val="FF0000"/>
                <w:sz w:val="22"/>
                <w:szCs w:val="22"/>
              </w:rPr>
            </w:pPr>
            <w:r>
              <w:rPr>
                <w:rFonts w:hint="eastAsia" w:ascii="仿宋" w:hAnsi="仿宋" w:eastAsia="仿宋" w:cs="仿宋"/>
                <w:color w:val="FF0000"/>
              </w:rPr>
              <w:t>▲</w:t>
            </w:r>
            <w:r>
              <w:rPr>
                <w:rFonts w:hint="eastAsia" w:ascii="仿宋" w:hAnsi="仿宋" w:eastAsia="仿宋" w:cs="仿宋"/>
                <w:color w:val="FF0000"/>
                <w:sz w:val="22"/>
                <w:szCs w:val="22"/>
              </w:rPr>
              <w:t xml:space="preserve">患者出病房时，短信通知主刀医生(需要医院短信平台接口) </w:t>
            </w:r>
            <w:r>
              <w:rPr>
                <w:rFonts w:hint="eastAsia" w:ascii="仿宋" w:hAnsi="仿宋" w:eastAsia="仿宋" w:cs="仿宋"/>
                <w:color w:val="FF0000"/>
                <w:sz w:val="22"/>
              </w:rPr>
              <w:t>（提供功能截图予以证明，无截图或截图与技术要求存在偏差的均视为不满足）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通知患者家属</w:t>
            </w:r>
          </w:p>
        </w:tc>
        <w:tc>
          <w:tcPr>
            <w:tcW w:w="3172" w:type="pct"/>
            <w:noWrap w:val="0"/>
            <w:vAlign w:val="center"/>
          </w:tcPr>
          <w:p>
            <w:pPr>
              <w:pStyle w:val="97"/>
              <w:rPr>
                <w:rFonts w:hint="eastAsia" w:ascii="仿宋" w:hAnsi="仿宋" w:eastAsia="仿宋" w:cs="仿宋"/>
                <w:sz w:val="22"/>
                <w:szCs w:val="22"/>
              </w:rPr>
            </w:pPr>
            <w:r>
              <w:rPr>
                <w:rFonts w:hint="eastAsia" w:ascii="仿宋" w:hAnsi="仿宋" w:eastAsia="仿宋" w:cs="仿宋"/>
                <w:sz w:val="22"/>
                <w:szCs w:val="22"/>
              </w:rPr>
              <w:t>护士在PDA生成通知内容，手术室外大屏通过语音呼叫、文字滚动显示的方式通知家属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72" w:type="pct"/>
            <w:gridSpan w:val="3"/>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手术室设备管理</w:t>
            </w:r>
          </w:p>
        </w:tc>
        <w:tc>
          <w:tcPr>
            <w:tcW w:w="954" w:type="pct"/>
            <w:noWrap w:val="0"/>
            <w:vAlign w:val="center"/>
          </w:tcPr>
          <w:p>
            <w:pPr>
              <w:widowControl/>
              <w:jc w:val="left"/>
              <w:rPr>
                <w:rFonts w:hint="eastAsia" w:ascii="仿宋" w:hAnsi="仿宋" w:eastAsia="仿宋" w:cs="仿宋"/>
                <w:color w:val="FF0000"/>
                <w:kern w:val="0"/>
                <w:sz w:val="22"/>
              </w:rPr>
            </w:pPr>
            <w:r>
              <w:rPr>
                <w:rFonts w:hint="eastAsia" w:ascii="仿宋" w:hAnsi="仿宋" w:eastAsia="仿宋" w:cs="仿宋"/>
                <w:color w:val="FF0000"/>
                <w:kern w:val="0"/>
                <w:sz w:val="22"/>
              </w:rPr>
              <w:t>手术设备</w:t>
            </w:r>
          </w:p>
        </w:tc>
        <w:tc>
          <w:tcPr>
            <w:tcW w:w="3172" w:type="pct"/>
            <w:noWrap w:val="0"/>
            <w:vAlign w:val="center"/>
          </w:tcPr>
          <w:p>
            <w:pPr>
              <w:pStyle w:val="97"/>
              <w:rPr>
                <w:rFonts w:hint="eastAsia" w:ascii="仿宋" w:hAnsi="仿宋" w:eastAsia="仿宋" w:cs="仿宋"/>
                <w:color w:val="FF0000"/>
                <w:sz w:val="22"/>
                <w:szCs w:val="22"/>
              </w:rPr>
            </w:pPr>
            <w:r>
              <w:rPr>
                <w:rFonts w:hint="eastAsia" w:ascii="仿宋" w:hAnsi="仿宋" w:eastAsia="仿宋" w:cs="仿宋"/>
                <w:color w:val="FF0000"/>
              </w:rPr>
              <w:t>▲</w:t>
            </w:r>
            <w:r>
              <w:rPr>
                <w:rFonts w:hint="eastAsia" w:ascii="仿宋" w:hAnsi="仿宋" w:eastAsia="仿宋" w:cs="仿宋"/>
                <w:color w:val="FF0000"/>
                <w:sz w:val="22"/>
                <w:szCs w:val="22"/>
              </w:rPr>
              <w:t>对手术室重要设备的使用、维护，报修进行条码化管理。</w:t>
            </w:r>
            <w:r>
              <w:rPr>
                <w:rFonts w:hint="eastAsia" w:ascii="仿宋" w:hAnsi="仿宋" w:eastAsia="仿宋" w:cs="仿宋"/>
                <w:color w:val="FF0000"/>
                <w:sz w:val="22"/>
              </w:rPr>
              <w:t>（提供功能截图予以证明，无截图或截图与技术要求存在偏差的均视为不满足）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72" w:type="pct"/>
            <w:gridSpan w:val="3"/>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设备查询</w:t>
            </w:r>
          </w:p>
        </w:tc>
        <w:tc>
          <w:tcPr>
            <w:tcW w:w="3172" w:type="pct"/>
            <w:noWrap w:val="0"/>
            <w:vAlign w:val="center"/>
          </w:tcPr>
          <w:p>
            <w:pPr>
              <w:pStyle w:val="97"/>
              <w:rPr>
                <w:rFonts w:hint="eastAsia" w:ascii="仿宋" w:hAnsi="仿宋" w:eastAsia="仿宋" w:cs="仿宋"/>
                <w:sz w:val="22"/>
                <w:szCs w:val="22"/>
              </w:rPr>
            </w:pPr>
            <w:r>
              <w:rPr>
                <w:rFonts w:hint="eastAsia" w:ascii="仿宋" w:hAnsi="仿宋" w:eastAsia="仿宋" w:cs="仿宋"/>
                <w:sz w:val="22"/>
                <w:szCs w:val="22"/>
              </w:rPr>
              <w:t>对手术室重要设备状态查询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51" w:type="pct"/>
            <w:gridSpan w:val="2"/>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访视单管理</w:t>
            </w:r>
          </w:p>
        </w:tc>
        <w:tc>
          <w:tcPr>
            <w:tcW w:w="420" w:type="pct"/>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术前访视</w:t>
            </w:r>
          </w:p>
        </w:tc>
        <w:tc>
          <w:tcPr>
            <w:tcW w:w="954"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术前病人身份确认</w:t>
            </w:r>
          </w:p>
        </w:tc>
        <w:tc>
          <w:tcPr>
            <w:tcW w:w="3172"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扫描病人腕带确认术前访视病人身份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51" w:type="pct"/>
            <w:gridSpan w:val="2"/>
            <w:vMerge w:val="continue"/>
            <w:noWrap w:val="0"/>
            <w:vAlign w:val="center"/>
          </w:tcPr>
          <w:p>
            <w:pPr>
              <w:widowControl/>
              <w:jc w:val="left"/>
              <w:rPr>
                <w:rFonts w:hint="eastAsia" w:ascii="仿宋" w:hAnsi="仿宋" w:eastAsia="仿宋" w:cs="仿宋"/>
                <w:color w:val="000000"/>
                <w:kern w:val="0"/>
                <w:sz w:val="22"/>
              </w:rPr>
            </w:pPr>
          </w:p>
        </w:tc>
        <w:tc>
          <w:tcPr>
            <w:tcW w:w="420" w:type="pct"/>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术前访视评估单</w:t>
            </w:r>
          </w:p>
        </w:tc>
        <w:tc>
          <w:tcPr>
            <w:tcW w:w="3172"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根据手术患者实际情况记录相关术前访视评估单的内容，相关内容长期保存，可随时调阅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51" w:type="pct"/>
            <w:gridSpan w:val="2"/>
            <w:vMerge w:val="continue"/>
            <w:noWrap w:val="0"/>
            <w:vAlign w:val="center"/>
          </w:tcPr>
          <w:p>
            <w:pPr>
              <w:widowControl/>
              <w:jc w:val="left"/>
              <w:rPr>
                <w:rFonts w:hint="eastAsia" w:ascii="仿宋" w:hAnsi="仿宋" w:eastAsia="仿宋" w:cs="仿宋"/>
                <w:color w:val="000000"/>
                <w:kern w:val="0"/>
                <w:sz w:val="22"/>
              </w:rPr>
            </w:pPr>
          </w:p>
        </w:tc>
        <w:tc>
          <w:tcPr>
            <w:tcW w:w="420" w:type="pct"/>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术前未评估自动提醒</w:t>
            </w:r>
          </w:p>
        </w:tc>
        <w:tc>
          <w:tcPr>
            <w:tcW w:w="3172"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对于未完成术前访视的病人，于手术交接时实现未做术前随访提醒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51" w:type="pct"/>
            <w:gridSpan w:val="2"/>
            <w:vMerge w:val="continue"/>
            <w:noWrap w:val="0"/>
            <w:vAlign w:val="center"/>
          </w:tcPr>
          <w:p>
            <w:pPr>
              <w:widowControl/>
              <w:jc w:val="left"/>
              <w:rPr>
                <w:rFonts w:hint="eastAsia" w:ascii="仿宋" w:hAnsi="仿宋" w:eastAsia="仿宋" w:cs="仿宋"/>
                <w:color w:val="000000"/>
                <w:kern w:val="0"/>
                <w:sz w:val="22"/>
              </w:rPr>
            </w:pPr>
          </w:p>
        </w:tc>
        <w:tc>
          <w:tcPr>
            <w:tcW w:w="420" w:type="pct"/>
            <w:vMerge w:val="restart"/>
            <w:noWrap w:val="0"/>
            <w:vAlign w:val="center"/>
          </w:tcPr>
          <w:p>
            <w:pPr>
              <w:widowControl/>
              <w:jc w:val="left"/>
              <w:rPr>
                <w:rFonts w:hint="eastAsia" w:ascii="仿宋" w:hAnsi="仿宋" w:eastAsia="仿宋" w:cs="仿宋"/>
                <w:color w:val="000000"/>
                <w:kern w:val="0"/>
                <w:sz w:val="22"/>
              </w:rPr>
            </w:pPr>
            <w:r>
              <w:rPr>
                <w:rFonts w:hint="eastAsia" w:ascii="仿宋" w:hAnsi="仿宋" w:eastAsia="仿宋" w:cs="仿宋"/>
                <w:color w:val="000000"/>
                <w:kern w:val="0"/>
                <w:sz w:val="22"/>
              </w:rPr>
              <w:t>术后访视</w:t>
            </w:r>
          </w:p>
        </w:tc>
        <w:tc>
          <w:tcPr>
            <w:tcW w:w="954"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术后病人访视范围设定</w:t>
            </w:r>
          </w:p>
        </w:tc>
        <w:tc>
          <w:tcPr>
            <w:tcW w:w="3172"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术后访视范围设定，在出手术间根据病人情况勾选生成术后大手术交班和术后回访两张表单，以设定那些病人是要术后访视的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51" w:type="pct"/>
            <w:gridSpan w:val="2"/>
            <w:vMerge w:val="continue"/>
            <w:noWrap w:val="0"/>
            <w:vAlign w:val="center"/>
          </w:tcPr>
          <w:p>
            <w:pPr>
              <w:widowControl/>
              <w:jc w:val="left"/>
              <w:rPr>
                <w:rFonts w:hint="eastAsia" w:ascii="仿宋" w:hAnsi="仿宋" w:eastAsia="仿宋" w:cs="仿宋"/>
                <w:color w:val="000000"/>
                <w:kern w:val="0"/>
                <w:sz w:val="22"/>
              </w:rPr>
            </w:pPr>
          </w:p>
        </w:tc>
        <w:tc>
          <w:tcPr>
            <w:tcW w:w="420" w:type="pct"/>
            <w:vMerge w:val="continue"/>
            <w:noWrap w:val="0"/>
            <w:vAlign w:val="center"/>
          </w:tcPr>
          <w:p>
            <w:pPr>
              <w:widowControl/>
              <w:jc w:val="left"/>
              <w:rPr>
                <w:rFonts w:hint="eastAsia" w:ascii="仿宋" w:hAnsi="仿宋" w:eastAsia="仿宋" w:cs="仿宋"/>
                <w:color w:val="000000"/>
                <w:kern w:val="0"/>
                <w:sz w:val="22"/>
              </w:rPr>
            </w:pPr>
          </w:p>
        </w:tc>
        <w:tc>
          <w:tcPr>
            <w:tcW w:w="954"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术后访视评估单</w:t>
            </w:r>
          </w:p>
        </w:tc>
        <w:tc>
          <w:tcPr>
            <w:tcW w:w="3172" w:type="pc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根据手术患者实际情况记录相关术后访视评估单的内容，相关内容长期保存，可随时调阅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872" w:type="pct"/>
            <w:gridSpan w:val="3"/>
            <w:vMerge w:val="restart"/>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指标监测</w:t>
            </w:r>
          </w:p>
        </w:tc>
        <w:tc>
          <w:tcPr>
            <w:tcW w:w="954" w:type="pct"/>
            <w:vMerge w:val="restart"/>
            <w:noWrap w:val="0"/>
            <w:vAlign w:val="top"/>
          </w:tcPr>
          <w:p>
            <w:pPr>
              <w:spacing w:before="60" w:after="60" w:line="360" w:lineRule="auto"/>
              <w:jc w:val="left"/>
              <w:rPr>
                <w:rFonts w:hint="eastAsia" w:ascii="仿宋" w:hAnsi="仿宋" w:eastAsia="仿宋" w:cs="仿宋"/>
                <w:color w:val="000000"/>
                <w:kern w:val="0"/>
                <w:sz w:val="22"/>
              </w:rPr>
            </w:pPr>
          </w:p>
          <w:p>
            <w:pPr>
              <w:spacing w:before="60" w:after="60" w:line="360" w:lineRule="auto"/>
              <w:jc w:val="left"/>
              <w:rPr>
                <w:rFonts w:hint="eastAsia" w:ascii="仿宋" w:hAnsi="仿宋" w:eastAsia="仿宋" w:cs="仿宋"/>
                <w:color w:val="000000"/>
                <w:kern w:val="0"/>
                <w:sz w:val="22"/>
              </w:rPr>
            </w:pPr>
          </w:p>
          <w:p>
            <w:pPr>
              <w:spacing w:before="60" w:after="60" w:line="360" w:lineRule="auto"/>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手术室重点指标监测</w:t>
            </w:r>
          </w:p>
        </w:tc>
        <w:tc>
          <w:tcPr>
            <w:tcW w:w="3172" w:type="pct"/>
            <w:noWrap w:val="0"/>
            <w:vAlign w:val="top"/>
          </w:tcPr>
          <w:p>
            <w:pPr>
              <w:spacing w:before="60" w:after="60" w:line="360" w:lineRule="auto"/>
              <w:jc w:val="left"/>
              <w:rPr>
                <w:rFonts w:hint="eastAsia" w:ascii="仿宋" w:hAnsi="仿宋" w:eastAsia="仿宋" w:cs="仿宋"/>
                <w:color w:val="FF0000"/>
                <w:kern w:val="0"/>
                <w:sz w:val="22"/>
              </w:rPr>
            </w:pPr>
            <w:r>
              <w:rPr>
                <w:rFonts w:hint="eastAsia" w:ascii="仿宋" w:hAnsi="仿宋" w:eastAsia="仿宋" w:cs="仿宋"/>
                <w:color w:val="FF0000"/>
                <w:sz w:val="24"/>
              </w:rPr>
              <w:t>▲</w:t>
            </w:r>
            <w:r>
              <w:rPr>
                <w:rFonts w:hint="eastAsia" w:ascii="仿宋" w:hAnsi="仿宋" w:eastAsia="仿宋" w:cs="仿宋"/>
                <w:color w:val="FF0000"/>
                <w:kern w:val="0"/>
                <w:sz w:val="22"/>
              </w:rPr>
              <w:t>手术安全核查执行率（提供功能截图予以证明，无截图或截图与技术要求存在偏差的均视为不满足）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72" w:type="pct"/>
            <w:gridSpan w:val="3"/>
            <w:vMerge w:val="continue"/>
            <w:noWrap w:val="0"/>
            <w:vAlign w:val="center"/>
          </w:tcPr>
          <w:p>
            <w:pPr>
              <w:widowControl/>
              <w:spacing w:before="60" w:after="60"/>
              <w:jc w:val="left"/>
              <w:rPr>
                <w:rFonts w:hint="eastAsia" w:ascii="仿宋" w:hAnsi="仿宋" w:eastAsia="仿宋" w:cs="仿宋"/>
                <w:color w:val="000000"/>
                <w:kern w:val="0"/>
                <w:sz w:val="22"/>
              </w:rPr>
            </w:pPr>
          </w:p>
        </w:tc>
        <w:tc>
          <w:tcPr>
            <w:tcW w:w="954" w:type="pct"/>
            <w:vMerge w:val="continue"/>
            <w:noWrap w:val="0"/>
            <w:vAlign w:val="top"/>
          </w:tcPr>
          <w:p>
            <w:pPr>
              <w:spacing w:before="60" w:after="60" w:line="360" w:lineRule="auto"/>
              <w:jc w:val="left"/>
              <w:rPr>
                <w:rFonts w:hint="eastAsia" w:ascii="仿宋" w:hAnsi="仿宋" w:eastAsia="仿宋" w:cs="仿宋"/>
                <w:color w:val="000000"/>
                <w:kern w:val="0"/>
                <w:sz w:val="22"/>
              </w:rPr>
            </w:pPr>
          </w:p>
        </w:tc>
        <w:tc>
          <w:tcPr>
            <w:tcW w:w="3172" w:type="pct"/>
            <w:noWrap w:val="0"/>
            <w:vAlign w:val="top"/>
          </w:tcPr>
          <w:p>
            <w:pPr>
              <w:spacing w:before="60" w:after="60" w:line="360" w:lineRule="auto"/>
              <w:jc w:val="left"/>
              <w:rPr>
                <w:rFonts w:hint="eastAsia" w:ascii="仿宋" w:hAnsi="仿宋" w:eastAsia="仿宋" w:cs="仿宋"/>
                <w:color w:val="FF0000"/>
                <w:kern w:val="0"/>
                <w:sz w:val="22"/>
              </w:rPr>
            </w:pPr>
            <w:r>
              <w:rPr>
                <w:rFonts w:hint="eastAsia" w:ascii="仿宋" w:hAnsi="仿宋" w:eastAsia="仿宋" w:cs="仿宋"/>
                <w:color w:val="FF0000"/>
                <w:kern w:val="0"/>
                <w:sz w:val="22"/>
              </w:rPr>
              <w:t>手术部位标记执行率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72" w:type="pct"/>
            <w:gridSpan w:val="3"/>
            <w:vMerge w:val="continue"/>
            <w:noWrap w:val="0"/>
            <w:vAlign w:val="center"/>
          </w:tcPr>
          <w:p>
            <w:pPr>
              <w:widowControl/>
              <w:spacing w:before="60" w:after="60"/>
              <w:jc w:val="left"/>
              <w:rPr>
                <w:rFonts w:hint="eastAsia" w:ascii="仿宋" w:hAnsi="仿宋" w:eastAsia="仿宋" w:cs="仿宋"/>
                <w:color w:val="000000"/>
                <w:kern w:val="0"/>
                <w:sz w:val="22"/>
              </w:rPr>
            </w:pPr>
          </w:p>
        </w:tc>
        <w:tc>
          <w:tcPr>
            <w:tcW w:w="954" w:type="pct"/>
            <w:vMerge w:val="continue"/>
            <w:noWrap w:val="0"/>
            <w:vAlign w:val="top"/>
          </w:tcPr>
          <w:p>
            <w:pPr>
              <w:spacing w:before="60" w:after="60" w:line="360" w:lineRule="auto"/>
              <w:jc w:val="left"/>
              <w:rPr>
                <w:rFonts w:hint="eastAsia" w:ascii="仿宋" w:hAnsi="仿宋" w:eastAsia="仿宋" w:cs="仿宋"/>
                <w:color w:val="000000"/>
                <w:kern w:val="0"/>
                <w:sz w:val="22"/>
              </w:rPr>
            </w:pPr>
          </w:p>
        </w:tc>
        <w:tc>
          <w:tcPr>
            <w:tcW w:w="3172" w:type="pct"/>
            <w:noWrap w:val="0"/>
            <w:vAlign w:val="top"/>
          </w:tcPr>
          <w:p>
            <w:pPr>
              <w:spacing w:before="60" w:after="60" w:line="360" w:lineRule="auto"/>
              <w:jc w:val="left"/>
              <w:rPr>
                <w:rFonts w:hint="eastAsia" w:ascii="仿宋" w:hAnsi="仿宋" w:eastAsia="仿宋" w:cs="仿宋"/>
                <w:color w:val="000000"/>
                <w:kern w:val="0"/>
                <w:sz w:val="22"/>
              </w:rPr>
            </w:pPr>
            <w:r>
              <w:rPr>
                <w:rFonts w:hint="eastAsia" w:ascii="仿宋" w:hAnsi="仿宋" w:eastAsia="仿宋" w:cs="仿宋"/>
                <w:color w:val="000000"/>
                <w:kern w:val="0"/>
                <w:sz w:val="22"/>
              </w:rPr>
              <w:t>预防性抗生素正确执行率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72" w:type="pct"/>
            <w:gridSpan w:val="3"/>
            <w:vMerge w:val="continue"/>
            <w:noWrap w:val="0"/>
            <w:vAlign w:val="center"/>
          </w:tcPr>
          <w:p>
            <w:pPr>
              <w:widowControl/>
              <w:spacing w:before="60" w:after="60"/>
              <w:jc w:val="left"/>
              <w:rPr>
                <w:rFonts w:hint="eastAsia" w:ascii="仿宋" w:hAnsi="仿宋" w:eastAsia="仿宋" w:cs="仿宋"/>
                <w:color w:val="000000"/>
                <w:kern w:val="0"/>
                <w:sz w:val="22"/>
              </w:rPr>
            </w:pPr>
          </w:p>
        </w:tc>
        <w:tc>
          <w:tcPr>
            <w:tcW w:w="954" w:type="pct"/>
            <w:vMerge w:val="continue"/>
            <w:noWrap w:val="0"/>
            <w:vAlign w:val="top"/>
          </w:tcPr>
          <w:p>
            <w:pPr>
              <w:spacing w:before="60" w:after="60" w:line="360" w:lineRule="auto"/>
              <w:jc w:val="left"/>
              <w:rPr>
                <w:rFonts w:hint="eastAsia" w:ascii="仿宋" w:hAnsi="仿宋" w:eastAsia="仿宋" w:cs="仿宋"/>
                <w:color w:val="000000"/>
                <w:kern w:val="0"/>
                <w:sz w:val="22"/>
              </w:rPr>
            </w:pPr>
          </w:p>
        </w:tc>
        <w:tc>
          <w:tcPr>
            <w:tcW w:w="3172" w:type="pct"/>
            <w:noWrap w:val="0"/>
            <w:vAlign w:val="top"/>
          </w:tcPr>
          <w:p>
            <w:pPr>
              <w:spacing w:before="60" w:after="60" w:line="360" w:lineRule="auto"/>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手术患者压力性损伤发生率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72" w:type="pct"/>
            <w:gridSpan w:val="3"/>
            <w:vMerge w:val="continue"/>
            <w:noWrap w:val="0"/>
            <w:vAlign w:val="center"/>
          </w:tcPr>
          <w:p>
            <w:pPr>
              <w:widowControl/>
              <w:spacing w:before="60" w:after="60"/>
              <w:jc w:val="left"/>
              <w:rPr>
                <w:rFonts w:hint="eastAsia" w:ascii="仿宋" w:hAnsi="仿宋" w:eastAsia="仿宋" w:cs="仿宋"/>
                <w:color w:val="000000"/>
                <w:kern w:val="0"/>
                <w:sz w:val="22"/>
              </w:rPr>
            </w:pPr>
          </w:p>
        </w:tc>
        <w:tc>
          <w:tcPr>
            <w:tcW w:w="954" w:type="pct"/>
            <w:vMerge w:val="continue"/>
            <w:noWrap w:val="0"/>
            <w:vAlign w:val="top"/>
          </w:tcPr>
          <w:p>
            <w:pPr>
              <w:spacing w:before="60" w:after="60" w:line="360" w:lineRule="auto"/>
              <w:jc w:val="left"/>
              <w:rPr>
                <w:rFonts w:hint="eastAsia" w:ascii="仿宋" w:hAnsi="仿宋" w:eastAsia="仿宋" w:cs="仿宋"/>
                <w:color w:val="000000"/>
                <w:kern w:val="0"/>
                <w:sz w:val="22"/>
              </w:rPr>
            </w:pPr>
          </w:p>
        </w:tc>
        <w:tc>
          <w:tcPr>
            <w:tcW w:w="3172" w:type="pct"/>
            <w:noWrap w:val="0"/>
            <w:vAlign w:val="top"/>
          </w:tcPr>
          <w:p>
            <w:pPr>
              <w:spacing w:before="60" w:after="60" w:line="360" w:lineRule="auto"/>
              <w:jc w:val="left"/>
              <w:rPr>
                <w:rFonts w:hint="eastAsia" w:ascii="仿宋" w:hAnsi="仿宋" w:eastAsia="仿宋" w:cs="仿宋"/>
                <w:color w:val="000000"/>
                <w:kern w:val="0"/>
                <w:sz w:val="22"/>
              </w:rPr>
            </w:pPr>
            <w:r>
              <w:rPr>
                <w:rFonts w:hint="eastAsia" w:ascii="仿宋" w:hAnsi="仿宋" w:eastAsia="仿宋" w:cs="仿宋"/>
                <w:color w:val="000000"/>
                <w:kern w:val="0"/>
                <w:sz w:val="22"/>
              </w:rPr>
              <w:t>手术室护士锐器伤发生率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72" w:type="pct"/>
            <w:gridSpan w:val="3"/>
            <w:noWrap w:val="0"/>
            <w:vAlign w:val="center"/>
          </w:tcPr>
          <w:p>
            <w:pPr>
              <w:widowControl/>
              <w:spacing w:before="60" w:after="60"/>
              <w:jc w:val="left"/>
              <w:rPr>
                <w:rFonts w:hint="eastAsia" w:ascii="仿宋" w:hAnsi="仿宋" w:eastAsia="仿宋" w:cs="仿宋"/>
                <w:color w:val="000000"/>
                <w:kern w:val="0"/>
                <w:sz w:val="22"/>
              </w:rPr>
            </w:pPr>
            <w:r>
              <w:rPr>
                <w:rFonts w:hint="eastAsia" w:ascii="仿宋" w:hAnsi="仿宋" w:eastAsia="仿宋" w:cs="仿宋"/>
                <w:color w:val="000000"/>
                <w:kern w:val="0"/>
                <w:sz w:val="22"/>
              </w:rPr>
              <w:t>统计分析</w:t>
            </w:r>
          </w:p>
        </w:tc>
        <w:tc>
          <w:tcPr>
            <w:tcW w:w="954" w:type="pct"/>
            <w:noWrap w:val="0"/>
            <w:vAlign w:val="top"/>
          </w:tcPr>
          <w:p>
            <w:pPr>
              <w:spacing w:before="60" w:after="60" w:line="360" w:lineRule="auto"/>
              <w:jc w:val="both"/>
              <w:rPr>
                <w:rFonts w:hint="eastAsia" w:ascii="仿宋" w:hAnsi="仿宋" w:eastAsia="仿宋" w:cs="仿宋"/>
                <w:color w:val="000000"/>
                <w:kern w:val="0"/>
                <w:sz w:val="22"/>
              </w:rPr>
            </w:pPr>
            <w:r>
              <w:rPr>
                <w:rFonts w:hint="eastAsia" w:ascii="仿宋" w:hAnsi="仿宋" w:eastAsia="仿宋" w:cs="仿宋"/>
                <w:color w:val="000000"/>
                <w:kern w:val="0"/>
                <w:sz w:val="22"/>
              </w:rPr>
              <w:t>统计分析</w:t>
            </w:r>
          </w:p>
        </w:tc>
        <w:tc>
          <w:tcPr>
            <w:tcW w:w="3172" w:type="pct"/>
            <w:noWrap w:val="0"/>
            <w:vAlign w:val="top"/>
          </w:tcPr>
          <w:p>
            <w:pPr>
              <w:spacing w:before="60" w:after="60" w:line="360" w:lineRule="auto"/>
              <w:jc w:val="left"/>
              <w:rPr>
                <w:rFonts w:hint="eastAsia" w:ascii="仿宋" w:hAnsi="仿宋" w:eastAsia="仿宋" w:cs="仿宋"/>
                <w:color w:val="000000"/>
                <w:kern w:val="0"/>
                <w:sz w:val="22"/>
              </w:rPr>
            </w:pPr>
            <w:r>
              <w:rPr>
                <w:rFonts w:hint="eastAsia" w:ascii="仿宋" w:hAnsi="仿宋" w:eastAsia="仿宋" w:cs="仿宋"/>
                <w:color w:val="000000"/>
                <w:kern w:val="0"/>
                <w:sz w:val="22"/>
              </w:rPr>
              <w:t>包含但不限于：麻醉方式、手术名称、手术类型、麻醉医生、手术科室、手术级别、切口类型等工作量统计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72" w:type="pct"/>
            <w:gridSpan w:val="3"/>
            <w:noWrap w:val="0"/>
            <w:vAlign w:val="center"/>
          </w:tcPr>
          <w:p>
            <w:pPr>
              <w:keepNext w:val="0"/>
              <w:keepLines w:val="0"/>
              <w:pageBreakBefore w:val="0"/>
              <w:widowControl/>
              <w:kinsoku/>
              <w:wordWrap/>
              <w:overflowPunct/>
              <w:topLinePunct w:val="0"/>
              <w:autoSpaceDE/>
              <w:autoSpaceDN/>
              <w:bidi w:val="0"/>
              <w:adjustRightInd/>
              <w:snapToGrid/>
              <w:spacing w:before="60" w:after="60" w:line="320" w:lineRule="exact"/>
              <w:jc w:val="left"/>
              <w:textAlignment w:val="auto"/>
              <w:rPr>
                <w:rFonts w:hint="eastAsia" w:ascii="仿宋" w:hAnsi="仿宋" w:eastAsia="仿宋" w:cs="仿宋"/>
                <w:color w:val="C00000"/>
                <w:kern w:val="0"/>
                <w:sz w:val="22"/>
              </w:rPr>
            </w:pPr>
            <w:r>
              <w:rPr>
                <w:rFonts w:hint="eastAsia" w:ascii="仿宋" w:hAnsi="仿宋" w:eastAsia="仿宋" w:cs="仿宋"/>
                <w:color w:val="C00000"/>
                <w:kern w:val="0"/>
                <w:sz w:val="22"/>
              </w:rPr>
              <w:t>其他要求</w:t>
            </w:r>
          </w:p>
        </w:tc>
        <w:tc>
          <w:tcPr>
            <w:tcW w:w="4127" w:type="pct"/>
            <w:gridSpan w:val="2"/>
            <w:noWrap w:val="0"/>
            <w:vAlign w:val="top"/>
          </w:tcPr>
          <w:p>
            <w:pPr>
              <w:keepNext w:val="0"/>
              <w:keepLines w:val="0"/>
              <w:pageBreakBefore w:val="0"/>
              <w:numPr>
                <w:ilvl w:val="0"/>
                <w:numId w:val="8"/>
              </w:numPr>
              <w:kinsoku/>
              <w:wordWrap/>
              <w:overflowPunct/>
              <w:topLinePunct w:val="0"/>
              <w:autoSpaceDE/>
              <w:autoSpaceDN/>
              <w:bidi w:val="0"/>
              <w:adjustRightInd/>
              <w:snapToGrid/>
              <w:spacing w:before="60" w:after="60" w:line="320" w:lineRule="exact"/>
              <w:jc w:val="left"/>
              <w:textAlignment w:val="auto"/>
              <w:rPr>
                <w:rFonts w:hint="eastAsia" w:ascii="仿宋" w:hAnsi="仿宋" w:eastAsia="仿宋" w:cs="仿宋"/>
                <w:color w:val="C00000"/>
                <w:kern w:val="0"/>
                <w:sz w:val="22"/>
              </w:rPr>
            </w:pPr>
            <w:r>
              <w:rPr>
                <w:rFonts w:hint="eastAsia" w:ascii="仿宋" w:hAnsi="仿宋" w:eastAsia="仿宋" w:cs="仿宋"/>
                <w:color w:val="C00000"/>
                <w:kern w:val="0"/>
                <w:sz w:val="22"/>
              </w:rPr>
              <w:t>需</w:t>
            </w:r>
            <w:r>
              <w:rPr>
                <w:rFonts w:hint="eastAsia" w:ascii="仿宋" w:hAnsi="仿宋" w:eastAsia="仿宋" w:cs="仿宋"/>
                <w:color w:val="FF0000"/>
                <w:kern w:val="0"/>
                <w:sz w:val="22"/>
              </w:rPr>
              <w:t>要在65寸及以上的大屏上显示患者的过程管理并且具有语音播报通知功能。</w:t>
            </w:r>
          </w:p>
          <w:p>
            <w:pPr>
              <w:pStyle w:val="2"/>
              <w:keepNext w:val="0"/>
              <w:keepLines w:val="0"/>
              <w:pageBreakBefore w:val="0"/>
              <w:numPr>
                <w:ilvl w:val="0"/>
                <w:numId w:val="8"/>
              </w:numPr>
              <w:kinsoku/>
              <w:wordWrap/>
              <w:overflowPunct/>
              <w:topLinePunct w:val="0"/>
              <w:autoSpaceDE/>
              <w:autoSpaceDN/>
              <w:bidi w:val="0"/>
              <w:adjustRightInd/>
              <w:snapToGrid/>
              <w:spacing w:line="320" w:lineRule="exact"/>
              <w:ind w:firstLineChars="0"/>
              <w:textAlignment w:val="auto"/>
              <w:rPr>
                <w:rFonts w:hint="eastAsia" w:ascii="仿宋" w:hAnsi="仿宋" w:eastAsia="仿宋" w:cs="仿宋"/>
                <w:color w:val="FF0000"/>
                <w:kern w:val="0"/>
                <w:sz w:val="22"/>
                <w:szCs w:val="24"/>
                <w:lang w:val="en-US"/>
              </w:rPr>
            </w:pPr>
            <w:r>
              <w:rPr>
                <w:rFonts w:hint="eastAsia" w:ascii="仿宋" w:hAnsi="仿宋" w:eastAsia="仿宋" w:cs="仿宋"/>
                <w:color w:val="FF0000"/>
                <w:kern w:val="0"/>
                <w:sz w:val="22"/>
                <w:szCs w:val="24"/>
                <w:lang w:val="en-US"/>
              </w:rPr>
              <w:t>手术室工友接单、派单自助管理功能，</w:t>
            </w:r>
            <w:r>
              <w:rPr>
                <w:rFonts w:hint="eastAsia" w:ascii="仿宋" w:hAnsi="仿宋" w:eastAsia="仿宋" w:cs="仿宋"/>
                <w:color w:val="FF0000"/>
                <w:kern w:val="0"/>
                <w:sz w:val="22"/>
              </w:rPr>
              <w:t>工友刷自己的二维码领取派工单，待接工单语音提示</w:t>
            </w:r>
            <w:r>
              <w:rPr>
                <w:rFonts w:hint="eastAsia" w:ascii="仿宋" w:hAnsi="仿宋" w:eastAsia="仿宋" w:cs="仿宋"/>
                <w:color w:val="FF0000"/>
                <w:kern w:val="0"/>
                <w:sz w:val="22"/>
                <w:szCs w:val="24"/>
                <w:lang w:val="en-US"/>
              </w:rPr>
              <w:t>。</w:t>
            </w:r>
            <w:r>
              <w:rPr>
                <w:rFonts w:hint="eastAsia" w:ascii="仿宋" w:hAnsi="仿宋" w:eastAsia="仿宋" w:cs="仿宋"/>
                <w:color w:val="FF0000"/>
                <w:kern w:val="0"/>
                <w:sz w:val="22"/>
              </w:rPr>
              <w:t>投标单位需要提供相应的设备和软件功能，满足医</w:t>
            </w:r>
            <w:r>
              <w:rPr>
                <w:rFonts w:hint="eastAsia" w:ascii="仿宋" w:hAnsi="仿宋" w:eastAsia="仿宋" w:cs="仿宋"/>
                <w:color w:val="C00000"/>
                <w:kern w:val="0"/>
                <w:sz w:val="22"/>
              </w:rPr>
              <w:t>院正常使用。</w:t>
            </w:r>
          </w:p>
          <w:p>
            <w:pPr>
              <w:pStyle w:val="2"/>
              <w:keepNext w:val="0"/>
              <w:keepLines w:val="0"/>
              <w:pageBreakBefore w:val="0"/>
              <w:numPr>
                <w:ilvl w:val="0"/>
                <w:numId w:val="8"/>
              </w:numPr>
              <w:kinsoku/>
              <w:wordWrap/>
              <w:overflowPunct/>
              <w:topLinePunct w:val="0"/>
              <w:autoSpaceDE/>
              <w:autoSpaceDN/>
              <w:bidi w:val="0"/>
              <w:adjustRightInd/>
              <w:snapToGrid/>
              <w:spacing w:line="320" w:lineRule="exact"/>
              <w:ind w:firstLineChars="0"/>
              <w:textAlignment w:val="auto"/>
              <w:rPr>
                <w:rFonts w:hint="eastAsia" w:ascii="仿宋" w:hAnsi="仿宋" w:eastAsia="仿宋" w:cs="仿宋"/>
                <w:color w:val="FF0000"/>
                <w:kern w:val="0"/>
                <w:sz w:val="22"/>
                <w:szCs w:val="24"/>
                <w:lang w:val="en-US"/>
              </w:rPr>
            </w:pPr>
            <w:r>
              <w:rPr>
                <w:rFonts w:hint="eastAsia" w:ascii="仿宋" w:hAnsi="仿宋" w:eastAsia="仿宋" w:cs="仿宋"/>
                <w:color w:val="FF0000"/>
                <w:kern w:val="0"/>
                <w:sz w:val="22"/>
                <w:szCs w:val="24"/>
                <w:lang w:val="en-US"/>
              </w:rPr>
              <w:t>病理标签打印功能。</w:t>
            </w:r>
          </w:p>
          <w:p>
            <w:pPr>
              <w:pStyle w:val="2"/>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eastAsia" w:ascii="仿宋" w:hAnsi="仿宋" w:eastAsia="仿宋" w:cs="仿宋"/>
                <w:color w:val="FF0000"/>
                <w:kern w:val="0"/>
                <w:sz w:val="22"/>
                <w:szCs w:val="24"/>
                <w:lang w:val="en-US"/>
              </w:rPr>
            </w:pPr>
            <w:r>
              <w:rPr>
                <w:rFonts w:hint="eastAsia" w:ascii="仿宋" w:hAnsi="仿宋" w:eastAsia="仿宋" w:cs="仿宋"/>
                <w:color w:val="FF0000"/>
                <w:kern w:val="0"/>
                <w:sz w:val="22"/>
              </w:rPr>
              <w:t>投标单位需要提供相应的设备和软件功能，满足医</w:t>
            </w:r>
            <w:r>
              <w:rPr>
                <w:rFonts w:hint="eastAsia" w:ascii="仿宋" w:hAnsi="仿宋" w:eastAsia="仿宋" w:cs="仿宋"/>
                <w:color w:val="C00000"/>
                <w:kern w:val="0"/>
                <w:sz w:val="22"/>
              </w:rPr>
              <w:t>院正常使用。</w:t>
            </w:r>
          </w:p>
        </w:tc>
      </w:tr>
    </w:tbl>
    <w:p>
      <w:pPr>
        <w:rPr>
          <w:rFonts w:hint="eastAsia" w:ascii="仿宋" w:hAnsi="仿宋" w:eastAsia="仿宋" w:cs="仿宋"/>
          <w:color w:val="000000"/>
          <w:szCs w:val="21"/>
        </w:rPr>
      </w:pPr>
    </w:p>
    <w:tbl>
      <w:tblPr>
        <w:tblStyle w:val="41"/>
        <w:tblW w:w="9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00" w:type="dxa"/>
            <w:noWrap w:val="0"/>
            <w:vAlign w:val="center"/>
          </w:tcPr>
          <w:p>
            <w:pPr>
              <w:spacing w:line="360" w:lineRule="auto"/>
              <w:rPr>
                <w:rFonts w:hint="eastAsia" w:ascii="仿宋" w:hAnsi="仿宋" w:eastAsia="仿宋" w:cs="仿宋"/>
                <w:b/>
                <w:color w:val="000000"/>
                <w:sz w:val="24"/>
              </w:rPr>
            </w:pPr>
            <w:r>
              <w:rPr>
                <w:rFonts w:hint="eastAsia" w:ascii="仿宋" w:hAnsi="仿宋" w:eastAsia="仿宋" w:cs="仿宋"/>
                <w:b/>
                <w:color w:val="000000"/>
                <w:sz w:val="24"/>
              </w:rPr>
              <w:t>序号</w:t>
            </w:r>
          </w:p>
        </w:tc>
        <w:tc>
          <w:tcPr>
            <w:tcW w:w="8069" w:type="dxa"/>
            <w:noWrap w:val="0"/>
            <w:vAlign w:val="center"/>
          </w:tcPr>
          <w:p>
            <w:pPr>
              <w:spacing w:line="720" w:lineRule="auto"/>
              <w:jc w:val="center"/>
              <w:outlineLvl w:val="2"/>
              <w:rPr>
                <w:rFonts w:hint="eastAsia" w:ascii="仿宋" w:hAnsi="仿宋" w:eastAsia="仿宋" w:cs="仿宋"/>
                <w:b/>
                <w:bCs/>
                <w:color w:val="000000"/>
                <w:sz w:val="24"/>
              </w:rPr>
            </w:pPr>
            <w:r>
              <w:rPr>
                <w:rFonts w:hint="eastAsia" w:ascii="仿宋" w:hAnsi="仿宋" w:eastAsia="仿宋" w:cs="仿宋"/>
                <w:b/>
                <w:bCs/>
                <w:color w:val="000000"/>
                <w:sz w:val="24"/>
              </w:rPr>
              <w:t>主要硬件参数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 w:type="dxa"/>
            <w:noWrap w:val="0"/>
            <w:vAlign w:val="center"/>
          </w:tcPr>
          <w:p>
            <w:pPr>
              <w:spacing w:line="360" w:lineRule="auto"/>
              <w:rPr>
                <w:rFonts w:hint="eastAsia" w:ascii="仿宋" w:hAnsi="仿宋" w:eastAsia="仿宋" w:cs="仿宋"/>
                <w:color w:val="000000"/>
                <w:sz w:val="24"/>
              </w:rPr>
            </w:pPr>
            <w:r>
              <w:rPr>
                <w:rFonts w:hint="eastAsia" w:ascii="仿宋" w:hAnsi="仿宋" w:eastAsia="仿宋" w:cs="仿宋"/>
                <w:b/>
                <w:color w:val="000000"/>
                <w:szCs w:val="24"/>
              </w:rPr>
              <w:t>手持PDA</w:t>
            </w:r>
          </w:p>
        </w:tc>
        <w:tc>
          <w:tcPr>
            <w:tcW w:w="8069" w:type="dxa"/>
            <w:noWrap w:val="0"/>
            <w:vAlign w:val="center"/>
          </w:tcPr>
          <w:p>
            <w:pPr>
              <w:rPr>
                <w:rFonts w:hint="eastAsia" w:ascii="仿宋" w:hAnsi="仿宋" w:eastAsia="仿宋" w:cs="仿宋"/>
                <w:color w:val="FF0000"/>
                <w:lang w:bidi="en-US"/>
              </w:rPr>
            </w:pPr>
            <w:r>
              <w:rPr>
                <w:rFonts w:hint="eastAsia" w:ascii="仿宋" w:hAnsi="仿宋" w:eastAsia="仿宋" w:cs="仿宋"/>
                <w:color w:val="FF0000"/>
                <w:lang w:bidi="en-US"/>
              </w:rPr>
              <w:t>操作系统：Android 10以上，针对医疗行业应用定制开发，需提供国家权威部门出具的医疗操作系统软件著作权证书附硬件，并加盖公章。</w:t>
            </w:r>
          </w:p>
          <w:p>
            <w:pPr>
              <w:rPr>
                <w:rFonts w:hint="eastAsia" w:ascii="仿宋" w:hAnsi="仿宋" w:eastAsia="仿宋" w:cs="仿宋"/>
                <w:color w:val="FF0000"/>
                <w:lang w:bidi="en-US"/>
              </w:rPr>
            </w:pPr>
            <w:r>
              <w:rPr>
                <w:rFonts w:hint="eastAsia" w:ascii="仿宋" w:hAnsi="仿宋" w:eastAsia="仿宋" w:cs="仿宋"/>
                <w:color w:val="FF0000"/>
                <w:lang w:bidi="en-US"/>
              </w:rPr>
              <w:t>CPU：八核处理器、主频≥2.0GHz</w:t>
            </w:r>
          </w:p>
          <w:p>
            <w:pPr>
              <w:rPr>
                <w:rFonts w:hint="eastAsia" w:ascii="仿宋" w:hAnsi="仿宋" w:eastAsia="仿宋" w:cs="仿宋"/>
                <w:color w:val="FF0000"/>
                <w:lang w:bidi="en-US"/>
              </w:rPr>
            </w:pPr>
            <w:r>
              <w:rPr>
                <w:rFonts w:hint="eastAsia" w:ascii="仿宋" w:hAnsi="仿宋" w:eastAsia="仿宋" w:cs="仿宋"/>
                <w:color w:val="FF0000"/>
                <w:lang w:bidi="en-US"/>
              </w:rPr>
              <w:t>存储：内存≥2GB；存储≥16GB，支持SD卡扩充到128GB</w:t>
            </w:r>
          </w:p>
          <w:p>
            <w:pPr>
              <w:rPr>
                <w:rFonts w:hint="eastAsia" w:ascii="仿宋" w:hAnsi="仿宋" w:eastAsia="仿宋" w:cs="仿宋"/>
                <w:color w:val="FF0000"/>
                <w:lang w:bidi="en-US"/>
              </w:rPr>
            </w:pPr>
            <w:r>
              <w:rPr>
                <w:rFonts w:hint="eastAsia" w:ascii="仿宋" w:hAnsi="仿宋" w:eastAsia="仿宋" w:cs="仿宋"/>
                <w:color w:val="FF0000"/>
                <w:lang w:bidi="en-US"/>
              </w:rPr>
              <w:t>电池容量：≥4000mAh，一体化设计，不可拆卸。提供电池CQC认证报告</w:t>
            </w:r>
          </w:p>
          <w:p>
            <w:pPr>
              <w:rPr>
                <w:rFonts w:hint="eastAsia" w:ascii="仿宋" w:hAnsi="仿宋" w:eastAsia="仿宋" w:cs="仿宋"/>
                <w:color w:val="FF0000"/>
                <w:lang w:bidi="en-US"/>
              </w:rPr>
            </w:pPr>
            <w:r>
              <w:rPr>
                <w:rFonts w:hint="eastAsia" w:ascii="仿宋" w:hAnsi="仿宋" w:eastAsia="仿宋" w:cs="仿宋"/>
                <w:color w:val="FF0000"/>
                <w:lang w:bidi="en-US"/>
              </w:rPr>
              <w:t>续航时间：12小时以上</w:t>
            </w:r>
          </w:p>
          <w:p>
            <w:pPr>
              <w:rPr>
                <w:rFonts w:hint="eastAsia" w:ascii="仿宋" w:hAnsi="仿宋" w:eastAsia="仿宋" w:cs="仿宋"/>
                <w:color w:val="FF0000"/>
                <w:lang w:bidi="en-US"/>
              </w:rPr>
            </w:pPr>
            <w:r>
              <w:rPr>
                <w:rFonts w:hint="eastAsia" w:ascii="仿宋" w:hAnsi="仿宋" w:eastAsia="仿宋" w:cs="仿宋"/>
                <w:color w:val="FF0000"/>
                <w:lang w:bidi="en-US"/>
              </w:rPr>
              <w:t>显示屏：≥5.4寸彩色1440X720多点触控屏，超明亮，阳光下可视</w:t>
            </w:r>
          </w:p>
          <w:p>
            <w:pPr>
              <w:rPr>
                <w:rFonts w:hint="eastAsia" w:ascii="仿宋" w:hAnsi="仿宋" w:eastAsia="仿宋" w:cs="仿宋"/>
                <w:color w:val="FF0000"/>
                <w:lang w:bidi="en-US"/>
              </w:rPr>
            </w:pPr>
            <w:r>
              <w:rPr>
                <w:rFonts w:hint="eastAsia" w:ascii="仿宋" w:hAnsi="仿宋" w:eastAsia="仿宋" w:cs="仿宋"/>
                <w:color w:val="FF0000"/>
                <w:lang w:bidi="en-US"/>
              </w:rPr>
              <w:t>操作方式：支持湿手和手套模式，以及支持被动笔功能，支持On-TP Key</w:t>
            </w:r>
          </w:p>
          <w:p>
            <w:pPr>
              <w:rPr>
                <w:rFonts w:hint="eastAsia" w:ascii="仿宋" w:hAnsi="仿宋" w:eastAsia="仿宋" w:cs="仿宋"/>
                <w:color w:val="FF0000"/>
                <w:lang w:bidi="en-US"/>
              </w:rPr>
            </w:pPr>
            <w:r>
              <w:rPr>
                <w:rFonts w:hint="eastAsia" w:ascii="仿宋" w:hAnsi="仿宋" w:eastAsia="仿宋" w:cs="仿宋"/>
                <w:color w:val="FF0000"/>
                <w:lang w:bidi="en-US"/>
              </w:rPr>
              <w:t>摄像头：≥1300万后置摄像头和200万前置摄像头</w:t>
            </w:r>
          </w:p>
          <w:p>
            <w:pPr>
              <w:rPr>
                <w:rFonts w:hint="eastAsia" w:ascii="仿宋" w:hAnsi="仿宋" w:eastAsia="仿宋" w:cs="仿宋"/>
                <w:color w:val="FF0000"/>
                <w:lang w:bidi="en-US"/>
              </w:rPr>
            </w:pPr>
            <w:r>
              <w:rPr>
                <w:rFonts w:hint="eastAsia" w:ascii="仿宋" w:hAnsi="仿宋" w:eastAsia="仿宋" w:cs="仿宋"/>
                <w:color w:val="FF0000"/>
                <w:lang w:bidi="en-US"/>
              </w:rPr>
              <w:t>条码扫描引擎：支持各类1D/2D条码,扫描技术属于PDA原厂同品牌,提供原厂扫描技术专利，支持手机屏幕扫描。采用十字扫描头和LED补光技术，提高条码识别率。</w:t>
            </w:r>
          </w:p>
          <w:p>
            <w:pPr>
              <w:rPr>
                <w:rFonts w:hint="eastAsia" w:ascii="仿宋" w:hAnsi="仿宋" w:eastAsia="仿宋" w:cs="仿宋"/>
                <w:color w:val="FF0000"/>
                <w:lang w:bidi="en-US"/>
              </w:rPr>
            </w:pPr>
            <w:r>
              <w:rPr>
                <w:rFonts w:hint="eastAsia" w:ascii="仿宋" w:hAnsi="仿宋" w:eastAsia="仿宋" w:cs="仿宋"/>
                <w:color w:val="FF0000"/>
                <w:lang w:bidi="en-US"/>
              </w:rPr>
              <w:t>无线局域网：IEEE 802.11a/b/g/n/ac，支持2.4G及5G频段</w:t>
            </w:r>
          </w:p>
          <w:p>
            <w:pPr>
              <w:rPr>
                <w:rFonts w:hint="eastAsia" w:ascii="仿宋" w:hAnsi="仿宋" w:eastAsia="仿宋" w:cs="仿宋"/>
                <w:color w:val="FF0000"/>
                <w:lang w:bidi="en-US"/>
              </w:rPr>
            </w:pPr>
            <w:r>
              <w:rPr>
                <w:rFonts w:hint="eastAsia" w:ascii="仿宋" w:hAnsi="仿宋" w:eastAsia="仿宋" w:cs="仿宋"/>
                <w:color w:val="FF0000"/>
                <w:lang w:bidi="en-US"/>
              </w:rPr>
              <w:t xml:space="preserve">无线网络安全性：WEP, 802.1x, TKIP, AES, LEAP, PEAPv0, PEAPv1, EAP-M, SCHAPv2 </w:t>
            </w:r>
            <w:r>
              <w:rPr>
                <w:rFonts w:hint="eastAsia" w:ascii="仿宋" w:hAnsi="仿宋" w:eastAsia="仿宋" w:cs="仿宋"/>
                <w:color w:val="FF0000"/>
                <w:lang w:bidi="en-US"/>
              </w:rPr>
              <w:cr/>
            </w:r>
            <w:r>
              <w:rPr>
                <w:rFonts w:hint="eastAsia" w:ascii="仿宋" w:hAnsi="仿宋" w:eastAsia="仿宋" w:cs="仿宋"/>
                <w:color w:val="FF0000"/>
                <w:lang w:bidi="en-US"/>
              </w:rPr>
              <w:t>EAP-GTC, EAP-TLS, EAP-TTLS, WPA-PSK, WPA2</w:t>
            </w:r>
            <w:r>
              <w:rPr>
                <w:rFonts w:hint="eastAsia" w:ascii="仿宋" w:hAnsi="仿宋" w:eastAsia="仿宋" w:cs="仿宋"/>
                <w:color w:val="FF0000"/>
                <w:lang w:bidi="en-US"/>
              </w:rPr>
              <w:cr/>
            </w:r>
            <w:r>
              <w:rPr>
                <w:rFonts w:hint="eastAsia" w:ascii="仿宋" w:hAnsi="仿宋" w:eastAsia="仿宋" w:cs="仿宋"/>
                <w:color w:val="FF0000"/>
                <w:lang w:bidi="en-US"/>
              </w:rPr>
              <w:t>蓝牙：支持BT5.0</w:t>
            </w:r>
            <w:r>
              <w:rPr>
                <w:rFonts w:hint="eastAsia" w:ascii="仿宋" w:hAnsi="仿宋" w:eastAsia="仿宋" w:cs="仿宋"/>
                <w:color w:val="FF0000"/>
                <w:lang w:bidi="en-US"/>
              </w:rPr>
              <w:cr/>
            </w:r>
            <w:r>
              <w:rPr>
                <w:rFonts w:hint="eastAsia" w:ascii="仿宋" w:hAnsi="仿宋" w:eastAsia="仿宋" w:cs="仿宋"/>
                <w:color w:val="FF0000"/>
                <w:lang w:bidi="en-US"/>
              </w:rPr>
              <w:t>振动：自带振动马达</w:t>
            </w:r>
          </w:p>
          <w:p>
            <w:pPr>
              <w:rPr>
                <w:rFonts w:hint="eastAsia" w:ascii="仿宋" w:hAnsi="仿宋" w:eastAsia="仿宋" w:cs="仿宋"/>
                <w:color w:val="FF0000"/>
                <w:lang w:bidi="en-US"/>
              </w:rPr>
            </w:pPr>
            <w:r>
              <w:rPr>
                <w:rFonts w:hint="eastAsia" w:ascii="仿宋" w:hAnsi="仿宋" w:eastAsia="仿宋" w:cs="仿宋"/>
                <w:color w:val="FF0000"/>
                <w:lang w:bidi="en-US"/>
              </w:rPr>
              <w:t>外壳材料：采用医疗专用白色抑菌材料，坚固耐用，可耐受酒精、过氧化氢、丙乙醇、聚维酮碘等化学品擦拭消毒（含屏幕部分）</w:t>
            </w:r>
          </w:p>
          <w:p>
            <w:pPr>
              <w:rPr>
                <w:rFonts w:hint="eastAsia" w:ascii="仿宋" w:hAnsi="仿宋" w:eastAsia="仿宋" w:cs="仿宋"/>
                <w:color w:val="FF0000"/>
                <w:lang w:bidi="en-US"/>
              </w:rPr>
            </w:pPr>
            <w:r>
              <w:rPr>
                <w:rFonts w:hint="eastAsia" w:ascii="仿宋" w:hAnsi="仿宋" w:eastAsia="仿宋" w:cs="仿宋"/>
                <w:color w:val="FF0000"/>
                <w:lang w:bidi="en-US"/>
              </w:rPr>
              <w:t>工业防护等级：≥IP67或以上，提供权威机构检测报告。</w:t>
            </w:r>
          </w:p>
          <w:p>
            <w:pPr>
              <w:rPr>
                <w:rFonts w:hint="eastAsia" w:ascii="仿宋" w:hAnsi="仿宋" w:eastAsia="仿宋" w:cs="仿宋"/>
                <w:color w:val="FF0000"/>
                <w:lang w:bidi="en-US"/>
              </w:rPr>
            </w:pPr>
            <w:r>
              <w:rPr>
                <w:rFonts w:hint="eastAsia" w:ascii="仿宋" w:hAnsi="仿宋" w:eastAsia="仿宋" w:cs="仿宋"/>
                <w:color w:val="FF0000"/>
                <w:lang w:bidi="en-US"/>
              </w:rPr>
              <w:t>抗跌落能力：能承受1.2米高度水泥地面的多次跌落冲击，现场样机测试自由落体测试。</w:t>
            </w:r>
          </w:p>
          <w:p>
            <w:pPr>
              <w:rPr>
                <w:rFonts w:hint="eastAsia" w:ascii="仿宋" w:hAnsi="仿宋" w:eastAsia="仿宋" w:cs="仿宋"/>
                <w:color w:val="FF0000"/>
                <w:lang w:bidi="en-US"/>
              </w:rPr>
            </w:pPr>
            <w:r>
              <w:rPr>
                <w:rFonts w:hint="eastAsia" w:ascii="仿宋" w:hAnsi="仿宋" w:eastAsia="仿宋" w:cs="仿宋"/>
                <w:color w:val="FF0000"/>
                <w:lang w:bidi="en-US"/>
              </w:rPr>
              <w:t>重量：≤220克（含电池）</w:t>
            </w:r>
          </w:p>
          <w:p>
            <w:pPr>
              <w:rPr>
                <w:rFonts w:hint="eastAsia" w:ascii="仿宋" w:hAnsi="仿宋" w:eastAsia="仿宋" w:cs="仿宋"/>
                <w:color w:val="FF0000"/>
                <w:lang w:bidi="en-US"/>
              </w:rPr>
            </w:pPr>
            <w:r>
              <w:rPr>
                <w:rFonts w:hint="eastAsia" w:ascii="仿宋" w:hAnsi="仿宋" w:eastAsia="仿宋" w:cs="仿宋"/>
                <w:color w:val="FF0000"/>
                <w:lang w:bidi="en-US"/>
              </w:rPr>
              <w:t>认证：CCC认证，CE证书，WIFI联盟认证，无线电发射设备型号核准证，电信设备入网许可证书，电池货物运输空运和海运证书，盐雾测试报告</w:t>
            </w:r>
          </w:p>
          <w:p>
            <w:pPr>
              <w:rPr>
                <w:rFonts w:hint="eastAsia" w:ascii="仿宋" w:hAnsi="仿宋" w:eastAsia="仿宋" w:cs="仿宋"/>
                <w:color w:val="FF0000"/>
                <w:lang w:bidi="en-US"/>
              </w:rPr>
            </w:pPr>
            <w:r>
              <w:rPr>
                <w:rFonts w:hint="eastAsia" w:ascii="仿宋" w:hAnsi="仿宋" w:eastAsia="仿宋" w:cs="仿宋"/>
                <w:color w:val="FF0000"/>
                <w:lang w:bidi="en-US"/>
              </w:rPr>
              <w:t>操作温度：-20°C 至+60°C</w:t>
            </w:r>
          </w:p>
          <w:p>
            <w:pPr>
              <w:rPr>
                <w:rFonts w:hint="eastAsia" w:ascii="仿宋" w:hAnsi="仿宋" w:eastAsia="仿宋" w:cs="仿宋"/>
                <w:color w:val="FF0000"/>
                <w:lang w:bidi="en-US"/>
              </w:rPr>
            </w:pPr>
            <w:r>
              <w:rPr>
                <w:rFonts w:hint="eastAsia" w:ascii="仿宋" w:hAnsi="仿宋" w:eastAsia="仿宋" w:cs="仿宋"/>
                <w:color w:val="FF0000"/>
                <w:lang w:bidi="en-US"/>
              </w:rPr>
              <w:t>保修：主机3年全保，包含人为损坏，提供售后服务承诺函并加盖公章</w:t>
            </w:r>
          </w:p>
          <w:p>
            <w:pPr>
              <w:rPr>
                <w:rFonts w:hint="eastAsia" w:ascii="仿宋" w:hAnsi="仿宋" w:eastAsia="仿宋" w:cs="仿宋"/>
                <w:lang w:bidi="en-US"/>
              </w:rPr>
            </w:pPr>
            <w:r>
              <w:rPr>
                <w:rFonts w:hint="eastAsia" w:ascii="仿宋" w:hAnsi="仿宋" w:eastAsia="仿宋" w:cs="仿宋"/>
                <w:color w:val="FF0000"/>
                <w:lang w:bidi="en-US"/>
              </w:rPr>
              <w:t>配件：每台PDA配备原厂同品牌充电底座，配备手挂绳，方便使用</w:t>
            </w:r>
            <w:r>
              <w:rPr>
                <w:rFonts w:hint="eastAsia" w:ascii="仿宋" w:hAnsi="仿宋" w:eastAsia="仿宋" w:cs="仿宋"/>
                <w:color w:val="FF0000"/>
                <w:lang w:bidi="en-US"/>
              </w:rPr>
              <w:cr/>
            </w:r>
          </w:p>
        </w:tc>
      </w:tr>
    </w:tbl>
    <w:p>
      <w:pPr>
        <w:rPr>
          <w:rFonts w:hint="default" w:ascii="仿宋" w:hAnsi="仿宋" w:eastAsia="仿宋" w:cs="仿宋"/>
          <w:color w:val="000000"/>
          <w:kern w:val="0"/>
          <w:szCs w:val="21"/>
          <w:lang w:val="en-US" w:eastAsia="zh-CN" w:bidi="ar"/>
        </w:rPr>
      </w:pPr>
      <w:r>
        <w:rPr>
          <w:rFonts w:hint="eastAsia" w:ascii="仿宋" w:hAnsi="仿宋" w:eastAsia="仿宋" w:cs="仿宋"/>
          <w:b/>
          <w:color w:val="auto"/>
          <w:sz w:val="24"/>
          <w:highlight w:val="none"/>
        </w:rPr>
        <w:t xml:space="preserve"> </w:t>
      </w:r>
      <w:r>
        <w:rPr>
          <w:rFonts w:hint="eastAsia" w:ascii="仿宋" w:hAnsi="仿宋" w:eastAsia="仿宋" w:cs="仿宋"/>
          <w:b/>
          <w:bCs/>
          <w:color w:val="000000" w:themeColor="text1"/>
          <w:sz w:val="24"/>
          <w:bdr w:val="single" w:color="auto" w:sz="4" w:space="0"/>
        </w:rPr>
        <w:t>0</w:t>
      </w:r>
      <w:r>
        <w:rPr>
          <w:rFonts w:hint="eastAsia" w:ascii="仿宋" w:hAnsi="仿宋" w:eastAsia="仿宋" w:cs="仿宋"/>
          <w:b/>
          <w:bCs/>
          <w:color w:val="000000" w:themeColor="text1"/>
          <w:sz w:val="24"/>
          <w:bdr w:val="single" w:color="auto" w:sz="4" w:space="0"/>
          <w:lang w:val="en-US" w:eastAsia="zh-CN"/>
        </w:rPr>
        <w:t>2</w:t>
      </w:r>
      <w:r>
        <w:rPr>
          <w:rFonts w:hint="eastAsia" w:ascii="仿宋" w:hAnsi="仿宋" w:eastAsia="仿宋" w:cs="仿宋"/>
          <w:b/>
          <w:bCs/>
          <w:color w:val="000000" w:themeColor="text1"/>
          <w:sz w:val="24"/>
          <w:bdr w:val="single" w:color="auto" w:sz="4" w:space="0"/>
        </w:rPr>
        <w:t>标</w:t>
      </w:r>
      <w:r>
        <w:rPr>
          <w:rFonts w:hint="eastAsia" w:ascii="仿宋" w:hAnsi="仿宋" w:eastAsia="仿宋" w:cs="仿宋"/>
          <w:b/>
          <w:sz w:val="24"/>
        </w:rPr>
        <w:t>移动护理升级</w:t>
      </w:r>
      <w:r>
        <w:rPr>
          <w:rFonts w:hint="eastAsia" w:ascii="仿宋" w:hAnsi="仿宋" w:eastAsia="仿宋" w:cs="仿宋"/>
          <w:b/>
          <w:sz w:val="24"/>
          <w:lang w:eastAsia="zh-CN"/>
        </w:rPr>
        <w:t>，上限价为</w:t>
      </w:r>
      <w:r>
        <w:rPr>
          <w:rFonts w:hint="eastAsia" w:ascii="仿宋" w:hAnsi="仿宋" w:eastAsia="仿宋" w:cs="仿宋"/>
          <w:b/>
          <w:sz w:val="24"/>
          <w:lang w:val="en-US" w:eastAsia="zh-CN"/>
        </w:rPr>
        <w:t>10万元。</w:t>
      </w:r>
    </w:p>
    <w:p>
      <w:pPr>
        <w:spacing w:line="360" w:lineRule="auto"/>
        <w:jc w:val="left"/>
        <w:rPr>
          <w:rFonts w:hint="eastAsia" w:ascii="仿宋" w:hAnsi="仿宋" w:eastAsia="仿宋" w:cs="仿宋"/>
          <w:color w:val="000000"/>
          <w:szCs w:val="21"/>
        </w:rPr>
      </w:pPr>
      <w:r>
        <w:rPr>
          <w:rFonts w:hint="eastAsia" w:ascii="仿宋" w:hAnsi="仿宋" w:eastAsia="仿宋" w:cs="仿宋"/>
          <w:color w:val="000000"/>
          <w:szCs w:val="21"/>
          <w:lang w:eastAsia="zh-CN"/>
        </w:rPr>
        <w:t>（一）</w:t>
      </w:r>
      <w:r>
        <w:rPr>
          <w:rFonts w:hint="eastAsia" w:ascii="仿宋" w:hAnsi="仿宋" w:eastAsia="仿宋" w:cs="仿宋"/>
          <w:color w:val="000000"/>
          <w:szCs w:val="21"/>
        </w:rPr>
        <w:t>功能参数及要求</w:t>
      </w:r>
    </w:p>
    <w:tbl>
      <w:tblPr>
        <w:tblStyle w:val="41"/>
        <w:tblpPr w:leftFromText="180" w:rightFromText="180" w:vertAnchor="text" w:horzAnchor="margin" w:tblpXSpec="center" w:tblpY="333"/>
        <w:tblW w:w="8514" w:type="dxa"/>
        <w:tblInd w:w="0" w:type="dxa"/>
        <w:tblLayout w:type="fixed"/>
        <w:tblCellMar>
          <w:top w:w="0" w:type="dxa"/>
          <w:left w:w="0" w:type="dxa"/>
          <w:bottom w:w="0" w:type="dxa"/>
          <w:right w:w="0" w:type="dxa"/>
        </w:tblCellMar>
      </w:tblPr>
      <w:tblGrid>
        <w:gridCol w:w="582"/>
        <w:gridCol w:w="993"/>
        <w:gridCol w:w="1701"/>
        <w:gridCol w:w="5238"/>
      </w:tblGrid>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b/>
                <w:szCs w:val="21"/>
              </w:rPr>
            </w:pPr>
            <w:r>
              <w:rPr>
                <w:rFonts w:hint="eastAsia" w:ascii="仿宋" w:hAnsi="仿宋" w:eastAsia="仿宋" w:cs="仿宋"/>
                <w:b/>
                <w:szCs w:val="21"/>
              </w:rPr>
              <w:t>序号</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b/>
                <w:szCs w:val="21"/>
              </w:rPr>
            </w:pPr>
            <w:r>
              <w:rPr>
                <w:rFonts w:hint="eastAsia" w:ascii="仿宋" w:hAnsi="仿宋" w:eastAsia="仿宋" w:cs="仿宋"/>
                <w:b/>
                <w:kern w:val="0"/>
                <w:szCs w:val="21"/>
                <w:lang w:bidi="ar"/>
              </w:rPr>
              <w:t>主模块</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b/>
                <w:szCs w:val="21"/>
              </w:rPr>
            </w:pPr>
            <w:r>
              <w:rPr>
                <w:rFonts w:hint="eastAsia" w:ascii="仿宋" w:hAnsi="仿宋" w:eastAsia="仿宋" w:cs="仿宋"/>
                <w:b/>
                <w:kern w:val="0"/>
                <w:szCs w:val="21"/>
                <w:lang w:bidi="ar"/>
              </w:rPr>
              <w:t>子模块</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b/>
                <w:szCs w:val="21"/>
              </w:rPr>
            </w:pPr>
            <w:r>
              <w:rPr>
                <w:rFonts w:hint="eastAsia" w:ascii="仿宋" w:hAnsi="仿宋" w:eastAsia="仿宋" w:cs="仿宋"/>
                <w:b/>
                <w:kern w:val="0"/>
                <w:szCs w:val="21"/>
                <w:lang w:bidi="ar"/>
              </w:rPr>
              <w:t>功能说明</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1</w:t>
            </w:r>
          </w:p>
        </w:tc>
        <w:tc>
          <w:tcPr>
            <w:tcW w:w="993" w:type="dxa"/>
            <w:vMerge w:val="restar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PDA生命体征管理</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班内体征异常查询</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查询班次内体征异常的患者信息。</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体征趋势图</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动态查询患者生命体征、能显示单个生命体征某时段的趋势图。</w:t>
            </w:r>
          </w:p>
        </w:tc>
      </w:tr>
      <w:tr>
        <w:tblPrEx>
          <w:tblCellMar>
            <w:top w:w="0" w:type="dxa"/>
            <w:left w:w="0" w:type="dxa"/>
            <w:bottom w:w="0" w:type="dxa"/>
            <w:right w:w="0" w:type="dxa"/>
          </w:tblCellMar>
        </w:tblPrEx>
        <w:trPr>
          <w:trHeight w:val="23" w:hRule="atLeast"/>
        </w:trPr>
        <w:tc>
          <w:tcPr>
            <w:tcW w:w="582" w:type="dxa"/>
            <w:vMerge w:val="restart"/>
            <w:tcBorders>
              <w:top w:val="single" w:color="000000" w:sz="4" w:space="0"/>
              <w:left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3</w:t>
            </w:r>
          </w:p>
        </w:tc>
        <w:tc>
          <w:tcPr>
            <w:tcW w:w="993" w:type="dxa"/>
            <w:vMerge w:val="restart"/>
            <w:tcBorders>
              <w:top w:val="single" w:color="000000" w:sz="4" w:space="0"/>
              <w:left w:val="single" w:color="auto"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健康教育知识库</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color w:val="000000"/>
                <w:szCs w:val="21"/>
              </w:rPr>
              <w:t>▲</w:t>
            </w:r>
            <w:r>
              <w:rPr>
                <w:rFonts w:hint="eastAsia" w:ascii="仿宋" w:hAnsi="仿宋" w:eastAsia="仿宋" w:cs="仿宋"/>
                <w:kern w:val="0"/>
                <w:szCs w:val="21"/>
                <w:lang w:bidi="ar"/>
              </w:rPr>
              <w:t>健康教育知识库</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丰富的健康教育知识库，针对患者的不同病症，对住院须知实现床旁宣教。</w:t>
            </w:r>
          </w:p>
        </w:tc>
      </w:tr>
      <w:tr>
        <w:tblPrEx>
          <w:tblCellMar>
            <w:top w:w="0" w:type="dxa"/>
            <w:left w:w="0" w:type="dxa"/>
            <w:bottom w:w="0" w:type="dxa"/>
            <w:right w:w="0" w:type="dxa"/>
          </w:tblCellMar>
        </w:tblPrEx>
        <w:trPr>
          <w:trHeight w:val="23" w:hRule="atLeast"/>
        </w:trPr>
        <w:tc>
          <w:tcPr>
            <w:tcW w:w="582" w:type="dxa"/>
            <w:vMerge w:val="continue"/>
            <w:tcBorders>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p>
        </w:tc>
        <w:tc>
          <w:tcPr>
            <w:tcW w:w="993" w:type="dxa"/>
            <w:vMerge w:val="continue"/>
            <w:tcBorders>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kern w:val="0"/>
                <w:szCs w:val="21"/>
                <w:lang w:bidi="ar"/>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kern w:val="0"/>
                <w:szCs w:val="21"/>
                <w:lang w:bidi="ar"/>
              </w:rPr>
              <w:t>健康宣教模板配置</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自定义配置健康宣教内容。</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4</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交班报告</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交班报告</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录入、修改和查看各病区的交班报告。统计白班、小夜班、大夜班各个时间段的原有患者数、现有患者数、特级护理、一级护理、二级护理、三级护理、病危、病重、分娩、手术、转入、转出、体温异常、血压异常、血糖异常人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并能按上述分类分别查看该类患者的床位、姓名、年龄、诊断、描述和备注。</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993" w:type="dxa"/>
            <w:vMerge w:val="restar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r>
              <w:rPr>
                <w:rFonts w:hint="eastAsia" w:ascii="仿宋" w:hAnsi="仿宋" w:eastAsia="仿宋" w:cs="仿宋"/>
                <w:szCs w:val="21"/>
              </w:rPr>
              <w:t>护理文书</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color w:val="000000"/>
                <w:szCs w:val="21"/>
              </w:rPr>
              <w:t>▲</w:t>
            </w:r>
            <w:r>
              <w:rPr>
                <w:rFonts w:hint="eastAsia" w:ascii="仿宋" w:hAnsi="仿宋" w:eastAsia="仿宋" w:cs="仿宋"/>
                <w:kern w:val="0"/>
                <w:szCs w:val="21"/>
                <w:lang w:bidi="ar"/>
              </w:rPr>
              <w:t>每日评估单</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患者住院期间《每日评估单》相关信息的录入、修改、预览、打印，结构化文书操作，可配置，符合国家护理电子病历文书标准。</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血糖趋势图</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动态查询患者血糖信息，显示某时段的血糖趋势图。</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7</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护理会诊单</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护理会诊单</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对护理患者在不同科室进行会诊，最终形成一份完整的会诊单，协助本科室有针对性对患者进行有效护理。</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8</w:t>
            </w:r>
          </w:p>
        </w:tc>
        <w:tc>
          <w:tcPr>
            <w:tcW w:w="993" w:type="dxa"/>
            <w:vMerge w:val="restar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交接单</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危重患者转运交接单</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针对危重患者的转运交接单。</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9</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科室交接单</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科室之间交接。</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10</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医生分组</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szCs w:val="21"/>
              </w:rPr>
              <w:t>医生分组</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szCs w:val="21"/>
              </w:rPr>
              <w:t>按照医生组对分管病人的床位病人进行分组管理。</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11</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病情状况</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szCs w:val="21"/>
              </w:rPr>
              <w:t>病情状况</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针对病人的病情状况做出提醒，按照颜色区分病情状况的程度。</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12</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告知书</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szCs w:val="21"/>
              </w:rPr>
              <w:t>告知书</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患者误吸风险告知书</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13</w:t>
            </w:r>
          </w:p>
        </w:tc>
        <w:tc>
          <w:tcPr>
            <w:tcW w:w="993" w:type="dxa"/>
            <w:tcBorders>
              <w:top w:val="single" w:color="000000" w:sz="4" w:space="0"/>
              <w:left w:val="single" w:color="auto"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PDA医嘱执行统计管理</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医嘱执行工作量统计</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统计病区、病区各护理人员特定时段内完成医嘱执行数量。</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14</w:t>
            </w:r>
          </w:p>
        </w:tc>
        <w:tc>
          <w:tcPr>
            <w:tcW w:w="993" w:type="dxa"/>
            <w:vMerge w:val="restar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护理评分</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中心静脉导管评估</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患者住院期间置入中心静脉导管进行评估。</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15</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产科晕厥评分</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孕产妇住院期间晕厥评分。</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16</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导管评估单</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患者住院期间不同导管评估。</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17</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护理评分查询</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查询患者评分异常数据。</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18</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护理评分汇总（患者）</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汇总患者的所有评分记录，根据评分，提供（</w:t>
            </w:r>
            <w:r>
              <w:rPr>
                <w:rStyle w:val="165"/>
                <w:rFonts w:hint="eastAsia" w:ascii="仿宋" w:hAnsi="仿宋" w:eastAsia="仿宋" w:cs="仿宋"/>
                <w:sz w:val="21"/>
                <w:szCs w:val="21"/>
                <w:lang w:bidi="ar"/>
              </w:rPr>
              <w:t>疼痛、 跌倒/坠床、</w:t>
            </w:r>
            <w:r>
              <w:rPr>
                <w:rStyle w:val="165"/>
                <w:rFonts w:hint="eastAsia" w:ascii="仿宋" w:hAnsi="仿宋" w:eastAsia="仿宋" w:cs="仿宋"/>
                <w:color w:val="auto"/>
                <w:sz w:val="21"/>
                <w:szCs w:val="21"/>
                <w:lang w:bidi="ar"/>
              </w:rPr>
              <w:t>呕吐物吸入窒息预防、 压力性损伤预防、 意外烫伤预防</w:t>
            </w:r>
            <w:r>
              <w:rPr>
                <w:rStyle w:val="171"/>
                <w:rFonts w:hint="eastAsia" w:ascii="仿宋" w:hAnsi="仿宋" w:eastAsia="仿宋" w:cs="仿宋"/>
                <w:sz w:val="21"/>
                <w:szCs w:val="21"/>
                <w:lang w:bidi="ar"/>
              </w:rPr>
              <w:t>）等不同的护理措施。</w:t>
            </w:r>
          </w:p>
        </w:tc>
      </w:tr>
      <w:tr>
        <w:tblPrEx>
          <w:tblCellMar>
            <w:top w:w="0" w:type="dxa"/>
            <w:left w:w="0" w:type="dxa"/>
            <w:bottom w:w="0" w:type="dxa"/>
            <w:right w:w="0" w:type="dxa"/>
          </w:tblCellMar>
        </w:tblPrEx>
        <w:trPr>
          <w:trHeight w:val="23" w:hRule="atLeast"/>
        </w:trPr>
        <w:tc>
          <w:tcPr>
            <w:tcW w:w="582" w:type="dxa"/>
            <w:tcBorders>
              <w:top w:val="single" w:color="auto"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jc w:val="center"/>
              <w:rPr>
                <w:rFonts w:hint="eastAsia" w:ascii="仿宋" w:hAnsi="仿宋" w:eastAsia="仿宋" w:cs="仿宋"/>
                <w:szCs w:val="21"/>
              </w:rPr>
            </w:pPr>
            <w:r>
              <w:rPr>
                <w:rFonts w:hint="eastAsia" w:ascii="仿宋" w:hAnsi="仿宋" w:eastAsia="仿宋" w:cs="仿宋"/>
                <w:szCs w:val="21"/>
              </w:rPr>
              <w:t>19</w:t>
            </w:r>
          </w:p>
        </w:tc>
        <w:tc>
          <w:tcPr>
            <w:tcW w:w="993" w:type="dxa"/>
            <w:vMerge w:val="continue"/>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护理措施（成人/儿童）</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根据评分，提供不同的护理措施。 </w:t>
            </w:r>
            <w:r>
              <w:rPr>
                <w:rStyle w:val="171"/>
                <w:rFonts w:hint="eastAsia" w:ascii="仿宋" w:hAnsi="仿宋" w:eastAsia="仿宋" w:cs="仿宋"/>
                <w:sz w:val="21"/>
                <w:szCs w:val="21"/>
                <w:lang w:bidi="ar"/>
              </w:rPr>
              <w:t xml:space="preserve">  </w:t>
            </w:r>
          </w:p>
        </w:tc>
      </w:tr>
      <w:tr>
        <w:tblPrEx>
          <w:tblCellMar>
            <w:top w:w="0" w:type="dxa"/>
            <w:left w:w="0" w:type="dxa"/>
            <w:bottom w:w="0" w:type="dxa"/>
            <w:right w:w="0" w:type="dxa"/>
          </w:tblCellMar>
        </w:tblPrEx>
        <w:trPr>
          <w:trHeight w:val="23" w:hRule="atLeast"/>
        </w:trPr>
        <w:tc>
          <w:tcPr>
            <w:tcW w:w="582" w:type="dxa"/>
            <w:vMerge w:val="restart"/>
            <w:tcBorders>
              <w:top w:val="single" w:color="000000" w:sz="4" w:space="0"/>
              <w:left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r>
              <w:rPr>
                <w:rFonts w:hint="eastAsia" w:ascii="仿宋" w:hAnsi="仿宋" w:eastAsia="仿宋" w:cs="仿宋"/>
                <w:szCs w:val="21"/>
              </w:rPr>
              <w:t>20</w:t>
            </w:r>
          </w:p>
        </w:tc>
        <w:tc>
          <w:tcPr>
            <w:tcW w:w="993" w:type="dxa"/>
            <w:vMerge w:val="restart"/>
            <w:tcBorders>
              <w:top w:val="single" w:color="000000" w:sz="4" w:space="0"/>
              <w:left w:val="single" w:color="auto"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护理计划</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护理计划</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1.有各专科护理计划知识库，可按病种勾选，根据所选计划知识库，制定相应的护理处理措施。</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2.护理计划新增、修改、执行。</w:t>
            </w:r>
          </w:p>
        </w:tc>
      </w:tr>
      <w:tr>
        <w:tblPrEx>
          <w:tblCellMar>
            <w:top w:w="0" w:type="dxa"/>
            <w:left w:w="0" w:type="dxa"/>
            <w:bottom w:w="0" w:type="dxa"/>
            <w:right w:w="0" w:type="dxa"/>
          </w:tblCellMar>
        </w:tblPrEx>
        <w:trPr>
          <w:trHeight w:val="23" w:hRule="atLeast"/>
        </w:trPr>
        <w:tc>
          <w:tcPr>
            <w:tcW w:w="582" w:type="dxa"/>
            <w:vMerge w:val="continue"/>
            <w:tcBorders>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szCs w:val="21"/>
              </w:rPr>
            </w:pPr>
          </w:p>
        </w:tc>
        <w:tc>
          <w:tcPr>
            <w:tcW w:w="993" w:type="dxa"/>
            <w:vMerge w:val="continue"/>
            <w:tcBorders>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kern w:val="0"/>
                <w:szCs w:val="21"/>
                <w:lang w:bidi="ar"/>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护理计划模板配置</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自定义配置护理计划内容。</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21</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文书配置</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文书配置</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系统提供</w:t>
            </w:r>
            <w:r>
              <w:rPr>
                <w:rFonts w:hint="eastAsia" w:ascii="仿宋" w:hAnsi="仿宋" w:eastAsia="仿宋" w:cs="仿宋"/>
                <w:szCs w:val="21"/>
              </w:rPr>
              <w:t>提供结构化的文书配置工具，具有</w:t>
            </w:r>
            <w:r>
              <w:rPr>
                <w:rFonts w:hint="eastAsia" w:ascii="仿宋" w:hAnsi="仿宋" w:eastAsia="仿宋" w:cs="仿宋"/>
                <w:kern w:val="0"/>
                <w:szCs w:val="21"/>
                <w:lang w:bidi="ar"/>
              </w:rPr>
              <w:t>有可视化编辑，可自定义配置文书。</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22</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widowControl/>
              <w:ind w:firstLine="105" w:firstLineChars="50"/>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系统对接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color w:val="000000"/>
                <w:szCs w:val="21"/>
              </w:rPr>
              <w:t>▲</w:t>
            </w:r>
            <w:r>
              <w:rPr>
                <w:rFonts w:hint="eastAsia" w:ascii="仿宋" w:hAnsi="仿宋" w:eastAsia="仿宋" w:cs="仿宋"/>
                <w:kern w:val="0"/>
                <w:szCs w:val="21"/>
                <w:lang w:bidi="ar"/>
              </w:rPr>
              <w:t>无缝对接</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系统升级后需兼容</w:t>
            </w:r>
            <w:r>
              <w:rPr>
                <w:rFonts w:hint="eastAsia" w:ascii="仿宋" w:hAnsi="仿宋" w:eastAsia="仿宋" w:cs="仿宋"/>
                <w:szCs w:val="21"/>
              </w:rPr>
              <w:t>原护理系统所有原有业务。</w:t>
            </w:r>
          </w:p>
        </w:tc>
      </w:tr>
      <w:tr>
        <w:tblPrEx>
          <w:tblCellMar>
            <w:top w:w="0" w:type="dxa"/>
            <w:left w:w="0" w:type="dxa"/>
            <w:bottom w:w="0" w:type="dxa"/>
            <w:right w:w="0" w:type="dxa"/>
          </w:tblCellMar>
        </w:tblPrEx>
        <w:trPr>
          <w:trHeight w:val="23" w:hRule="atLeast"/>
        </w:trPr>
        <w:tc>
          <w:tcPr>
            <w:tcW w:w="582"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23</w:t>
            </w:r>
          </w:p>
        </w:tc>
        <w:tc>
          <w:tcPr>
            <w:tcW w:w="993"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扩展</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color w:val="000000"/>
                <w:szCs w:val="21"/>
              </w:rPr>
              <w:t>▲</w:t>
            </w:r>
            <w:r>
              <w:rPr>
                <w:rFonts w:hint="eastAsia" w:ascii="仿宋" w:hAnsi="仿宋" w:eastAsia="仿宋" w:cs="仿宋"/>
                <w:kern w:val="0"/>
                <w:szCs w:val="21"/>
                <w:lang w:bidi="ar"/>
              </w:rPr>
              <w:t>扩展部署</w:t>
            </w:r>
          </w:p>
        </w:tc>
        <w:tc>
          <w:tcPr>
            <w:tcW w:w="52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升级后系统需支持院方拓展4个病区，包括安装、部署、培训。</w:t>
            </w:r>
          </w:p>
        </w:tc>
      </w:tr>
    </w:tbl>
    <w:p>
      <w:pPr>
        <w:rPr>
          <w:rFonts w:hint="eastAsia" w:ascii="仿宋" w:hAnsi="仿宋" w:eastAsia="仿宋" w:cs="仿宋"/>
        </w:rPr>
      </w:pPr>
    </w:p>
    <w:p>
      <w:pPr>
        <w:spacing w:line="440" w:lineRule="exact"/>
        <w:rPr>
          <w:rFonts w:hint="eastAsia" w:ascii="仿宋" w:hAnsi="仿宋" w:eastAsia="仿宋" w:cs="仿宋"/>
          <w:color w:val="000000"/>
          <w:szCs w:val="21"/>
        </w:rPr>
      </w:pPr>
      <w:r>
        <w:rPr>
          <w:rFonts w:hint="eastAsia" w:ascii="仿宋" w:hAnsi="仿宋" w:eastAsia="仿宋" w:cs="仿宋"/>
          <w:color w:val="000000"/>
          <w:szCs w:val="21"/>
        </w:rPr>
        <w:t>（三） 售后服务要求</w:t>
      </w:r>
    </w:p>
    <w:p>
      <w:pPr>
        <w:spacing w:line="440" w:lineRule="exact"/>
        <w:ind w:firstLine="420" w:firstLineChars="200"/>
        <w:rPr>
          <w:rFonts w:hint="eastAsia" w:ascii="仿宋" w:hAnsi="仿宋" w:eastAsia="仿宋" w:cs="仿宋"/>
          <w:szCs w:val="21"/>
        </w:rPr>
      </w:pPr>
      <w:r>
        <w:rPr>
          <w:rFonts w:hint="eastAsia" w:ascii="仿宋" w:hAnsi="仿宋" w:eastAsia="仿宋" w:cs="仿宋"/>
          <w:color w:val="000000"/>
          <w:szCs w:val="21"/>
        </w:rPr>
        <w:t>1.</w:t>
      </w:r>
      <w:r>
        <w:rPr>
          <w:rFonts w:hint="eastAsia" w:ascii="仿宋" w:hAnsi="仿宋" w:eastAsia="仿宋" w:cs="仿宋"/>
          <w:szCs w:val="21"/>
        </w:rPr>
        <w:t>中标人应为本项目配备专业技术服务团队，并提供硬件设备叁年免费质保，软件提供壹年免费维保服务和永久技术支持，包括各种突发事件采取应急措施等。</w:t>
      </w:r>
    </w:p>
    <w:p>
      <w:pPr>
        <w:spacing w:line="44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2.服务内容包括：服务内容包括：系统维护；应急维护；客户化修改；数据库优化；系统更新。</w:t>
      </w:r>
    </w:p>
    <w:p>
      <w:pPr>
        <w:spacing w:line="44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3.服务响应时间：提供24小时技术电话支持（7x24），若电话中无法解决，中标人在2小时内派工程师到现场实施维护，及时排除软件故障，由此产生的费用均由中标人承担。</w:t>
      </w:r>
    </w:p>
    <w:p>
      <w:pPr>
        <w:spacing w:line="440" w:lineRule="exact"/>
        <w:rPr>
          <w:rFonts w:hint="eastAsia" w:ascii="仿宋" w:hAnsi="仿宋" w:eastAsia="仿宋" w:cs="仿宋"/>
          <w:color w:val="000000"/>
          <w:szCs w:val="21"/>
        </w:rPr>
      </w:pPr>
      <w:r>
        <w:rPr>
          <w:rFonts w:hint="eastAsia" w:ascii="仿宋" w:hAnsi="仿宋" w:eastAsia="仿宋" w:cs="仿宋"/>
          <w:color w:val="000000"/>
          <w:szCs w:val="21"/>
          <w:lang w:eastAsia="zh-CN"/>
        </w:rPr>
        <w:t>（四）</w:t>
      </w:r>
      <w:r>
        <w:rPr>
          <w:rFonts w:hint="eastAsia" w:ascii="仿宋" w:hAnsi="仿宋" w:eastAsia="仿宋" w:cs="仿宋"/>
          <w:color w:val="000000"/>
          <w:szCs w:val="21"/>
        </w:rPr>
        <w:t>付款方式：抗疫期间，按浙财采监〔2020〕3号和浙财采监〔2022〕3号文件要求执行，具体付款方式由双方协商后在合同中明确。</w:t>
      </w:r>
    </w:p>
    <w:p>
      <w:pPr>
        <w:spacing w:line="440" w:lineRule="exact"/>
        <w:rPr>
          <w:rFonts w:hint="eastAsia" w:ascii="仿宋" w:hAnsi="仿宋" w:eastAsia="仿宋" w:cs="仿宋"/>
          <w:color w:val="000000"/>
          <w:szCs w:val="21"/>
        </w:rPr>
      </w:pPr>
      <w:r>
        <w:rPr>
          <w:rFonts w:hint="eastAsia" w:ascii="仿宋" w:hAnsi="仿宋" w:eastAsia="仿宋" w:cs="仿宋"/>
          <w:color w:val="000000"/>
          <w:szCs w:val="21"/>
          <w:lang w:eastAsia="zh-CN"/>
        </w:rPr>
        <w:t>（五）</w:t>
      </w:r>
      <w:r>
        <w:rPr>
          <w:rFonts w:hint="eastAsia" w:ascii="仿宋" w:hAnsi="仿宋" w:eastAsia="仿宋" w:cs="仿宋"/>
          <w:color w:val="000000"/>
          <w:szCs w:val="21"/>
        </w:rPr>
        <w:t>其他要求</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1、支持达到互联互通四级甲等及五级乙等信息建设要求，须每年提供相关操作文档包括开发文档及数据采集相关材料。</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2、维保期内未涉及产品框架改造，中标方应按医院业务需求修改，不收取任何费用。</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3、该系统免费开放接口供其它系统使用及认证。</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4、系统应符合应用系统等保要求。</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5、此项目实施过程中所产生的一切实施费用均由中标方承担。</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6、针对与集成平台对接应承诺不收取任何费用。</w:t>
      </w:r>
    </w:p>
    <w:p>
      <w:pPr>
        <w:pStyle w:val="170"/>
        <w:spacing w:line="454" w:lineRule="exact"/>
        <w:ind w:firstLine="0"/>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kern w:val="2"/>
          <w:sz w:val="21"/>
          <w:szCs w:val="21"/>
          <w:lang w:val="en-US" w:eastAsia="zh-CN" w:bidi="ar-SA"/>
        </w:rPr>
        <w:t>7、中标方提供免费接口供其它系统使用及认证并承担与本软件相关的His等相关医院信息系统接口费用。</w:t>
      </w:r>
    </w:p>
    <w:p>
      <w:pPr>
        <w:spacing w:line="288" w:lineRule="auto"/>
        <w:jc w:val="left"/>
        <w:rPr>
          <w:rFonts w:hint="eastAsia" w:ascii="仿宋" w:hAnsi="仿宋" w:eastAsia="仿宋" w:cs="仿宋"/>
          <w:b/>
          <w:color w:val="auto"/>
          <w:sz w:val="24"/>
          <w:highlight w:val="none"/>
        </w:rPr>
      </w:pP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0" w:name="OLE_LINK1"/>
      <w:r>
        <w:rPr>
          <w:rFonts w:hint="eastAsia" w:ascii="仿宋" w:hAnsi="仿宋" w:eastAsia="仿宋" w:cs="仿宋"/>
          <w:b/>
          <w:color w:val="auto"/>
          <w:sz w:val="24"/>
          <w:highlight w:val="none"/>
        </w:rPr>
        <w:t>范围</w:t>
      </w:r>
      <w:bookmarkEnd w:id="10"/>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6"/>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7.2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8.不可抗力</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spacing w:line="800" w:lineRule="exact"/>
        <w:ind w:firstLine="723"/>
        <w:jc w:val="center"/>
        <w:rPr>
          <w:rFonts w:hint="eastAsia" w:ascii="仿宋" w:hAnsi="仿宋" w:eastAsia="仿宋" w:cs="仿宋"/>
          <w:b/>
          <w:color w:val="auto"/>
          <w:sz w:val="36"/>
          <w:szCs w:val="36"/>
          <w:highlight w:val="none"/>
        </w:rPr>
      </w:pPr>
    </w:p>
    <w:p>
      <w:pPr>
        <w:pStyle w:val="23"/>
        <w:spacing w:line="800" w:lineRule="exact"/>
        <w:ind w:firstLine="723"/>
        <w:jc w:val="center"/>
        <w:rPr>
          <w:rFonts w:hint="eastAsia" w:ascii="仿宋" w:hAnsi="仿宋" w:eastAsia="仿宋" w:cs="仿宋"/>
          <w:b/>
          <w:color w:val="auto"/>
          <w:sz w:val="36"/>
          <w:szCs w:val="36"/>
          <w:highlight w:val="none"/>
        </w:rPr>
      </w:pPr>
    </w:p>
    <w:p>
      <w:pPr>
        <w:pStyle w:val="23"/>
        <w:spacing w:line="800" w:lineRule="exact"/>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pStyle w:val="21"/>
        <w:spacing w:line="360" w:lineRule="auto"/>
        <w:ind w:left="842" w:hanging="422"/>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color w:val="auto"/>
          <w:kern w:val="0"/>
          <w:sz w:val="24"/>
          <w:highlight w:val="none"/>
        </w:rPr>
        <w:t>：70分</w:t>
      </w:r>
    </w:p>
    <w:p>
      <w:pPr>
        <w:pStyle w:val="21"/>
        <w:spacing w:line="360" w:lineRule="auto"/>
        <w:ind w:left="842" w:hanging="422"/>
        <w:rPr>
          <w:rFonts w:hint="eastAsia" w:ascii="仿宋" w:hAnsi="仿宋" w:eastAsia="仿宋" w:cs="仿宋"/>
          <w:b/>
          <w:bCs/>
          <w:color w:val="auto"/>
          <w:kern w:val="0"/>
          <w:sz w:val="24"/>
          <w:highlight w:val="none"/>
        </w:rPr>
      </w:pPr>
      <w:r>
        <w:rPr>
          <w:rFonts w:hint="eastAsia" w:ascii="仿宋" w:hAnsi="仿宋" w:eastAsia="仿宋" w:cs="仿宋"/>
          <w:b/>
          <w:bCs/>
          <w:color w:val="000000" w:themeColor="text1"/>
          <w:bdr w:val="single" w:color="auto" w:sz="4" w:space="0"/>
        </w:rPr>
        <w:t>01标</w:t>
      </w:r>
    </w:p>
    <w:tbl>
      <w:tblPr>
        <w:tblStyle w:val="41"/>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59"/>
        <w:gridCol w:w="682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50" w:type="dxa"/>
            <w:noWrap w:val="0"/>
            <w:vAlign w:val="center"/>
          </w:tcPr>
          <w:p>
            <w:pPr>
              <w:tabs>
                <w:tab w:val="left" w:pos="826"/>
              </w:tabs>
              <w:spacing w:line="320" w:lineRule="exact"/>
              <w:jc w:val="center"/>
              <w:rPr>
                <w:rFonts w:hint="eastAsia" w:ascii="仿宋" w:hAnsi="仿宋" w:eastAsia="仿宋" w:cs="仿宋"/>
                <w:b/>
                <w:color w:val="000000"/>
                <w:szCs w:val="21"/>
                <w:lang w:eastAsia="zh-CN"/>
              </w:rPr>
            </w:pPr>
            <w:r>
              <w:rPr>
                <w:rFonts w:hint="eastAsia" w:ascii="仿宋" w:hAnsi="仿宋" w:eastAsia="仿宋" w:cs="仿宋"/>
                <w:b/>
                <w:color w:val="000000"/>
                <w:szCs w:val="21"/>
                <w:lang w:eastAsia="zh-CN"/>
              </w:rPr>
              <w:t>序号</w:t>
            </w:r>
          </w:p>
        </w:tc>
        <w:tc>
          <w:tcPr>
            <w:tcW w:w="1259" w:type="dxa"/>
            <w:noWrap w:val="0"/>
            <w:vAlign w:val="center"/>
          </w:tcPr>
          <w:p>
            <w:pPr>
              <w:tabs>
                <w:tab w:val="left" w:pos="826"/>
              </w:tabs>
              <w:spacing w:line="320" w:lineRule="exact"/>
              <w:ind w:firstLine="241"/>
              <w:jc w:val="center"/>
              <w:rPr>
                <w:rFonts w:hint="eastAsia" w:ascii="仿宋" w:hAnsi="仿宋" w:eastAsia="仿宋" w:cs="仿宋"/>
                <w:b/>
                <w:color w:val="000000"/>
                <w:szCs w:val="21"/>
              </w:rPr>
            </w:pPr>
            <w:r>
              <w:rPr>
                <w:rFonts w:hint="eastAsia" w:ascii="仿宋" w:hAnsi="仿宋" w:eastAsia="仿宋" w:cs="仿宋"/>
                <w:b/>
                <w:color w:val="000000"/>
                <w:szCs w:val="21"/>
              </w:rPr>
              <w:t>评分项目</w:t>
            </w:r>
          </w:p>
        </w:tc>
        <w:tc>
          <w:tcPr>
            <w:tcW w:w="6820" w:type="dxa"/>
            <w:noWrap w:val="0"/>
            <w:vAlign w:val="center"/>
          </w:tcPr>
          <w:p>
            <w:pPr>
              <w:tabs>
                <w:tab w:val="left" w:pos="826"/>
              </w:tabs>
              <w:spacing w:line="320" w:lineRule="exact"/>
              <w:ind w:firstLine="241"/>
              <w:jc w:val="center"/>
              <w:rPr>
                <w:rFonts w:hint="eastAsia" w:ascii="仿宋" w:hAnsi="仿宋" w:eastAsia="仿宋" w:cs="仿宋"/>
                <w:b/>
                <w:bCs/>
                <w:color w:val="000000"/>
                <w:szCs w:val="21"/>
              </w:rPr>
            </w:pPr>
            <w:r>
              <w:rPr>
                <w:rFonts w:hint="eastAsia" w:ascii="仿宋" w:hAnsi="仿宋" w:eastAsia="仿宋" w:cs="仿宋"/>
                <w:b/>
                <w:color w:val="000000"/>
                <w:szCs w:val="21"/>
              </w:rPr>
              <w:t>评标要点及说明</w:t>
            </w:r>
          </w:p>
        </w:tc>
        <w:tc>
          <w:tcPr>
            <w:tcW w:w="709" w:type="dxa"/>
            <w:noWrap w:val="0"/>
            <w:vAlign w:val="center"/>
          </w:tcPr>
          <w:p>
            <w:pPr>
              <w:tabs>
                <w:tab w:val="left" w:pos="826"/>
              </w:tabs>
              <w:spacing w:line="320" w:lineRule="exact"/>
              <w:rPr>
                <w:rFonts w:hint="eastAsia" w:ascii="仿宋" w:hAnsi="仿宋" w:eastAsia="仿宋" w:cs="仿宋"/>
                <w:b/>
                <w:color w:val="000000"/>
                <w:szCs w:val="21"/>
              </w:rPr>
            </w:pPr>
            <w:r>
              <w:rPr>
                <w:rFonts w:hint="eastAsia" w:ascii="仿宋" w:hAnsi="仿宋" w:eastAsia="仿宋" w:cs="仿宋"/>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0000"/>
                <w:szCs w:val="21"/>
              </w:rPr>
            </w:pPr>
            <w:r>
              <w:rPr>
                <w:rFonts w:hint="eastAsia" w:ascii="仿宋" w:hAnsi="仿宋" w:eastAsia="仿宋" w:cs="仿宋"/>
                <w:color w:val="000000"/>
                <w:szCs w:val="21"/>
              </w:rPr>
              <w:t>技术参数响应情况</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根据投标产品技术指标要求，技术指标满足或高于要求得满分。技术指标中打“▲”号的指标每有一项负偏离的扣</w:t>
            </w:r>
            <w:r>
              <w:rPr>
                <w:rFonts w:hint="eastAsia" w:ascii="仿宋" w:hAnsi="仿宋" w:eastAsia="仿宋" w:cs="仿宋"/>
                <w:color w:val="0070C0"/>
                <w:szCs w:val="21"/>
              </w:rPr>
              <w:t>4分</w:t>
            </w:r>
            <w:r>
              <w:rPr>
                <w:rFonts w:hint="eastAsia" w:ascii="仿宋" w:hAnsi="仿宋" w:eastAsia="仿宋" w:cs="仿宋"/>
                <w:color w:val="0070C0"/>
                <w:kern w:val="0"/>
                <w:sz w:val="22"/>
              </w:rPr>
              <w:t>（提供功能截图予以证明，无截图或截图与技术要求存在偏差的均视为不满足</w:t>
            </w:r>
            <w:r>
              <w:rPr>
                <w:rFonts w:hint="eastAsia" w:ascii="仿宋" w:hAnsi="仿宋" w:eastAsia="仿宋" w:cs="仿宋"/>
                <w:color w:val="0070C0"/>
                <w:szCs w:val="21"/>
              </w:rPr>
              <w:t>），</w:t>
            </w:r>
            <w:r>
              <w:rPr>
                <w:rFonts w:hint="eastAsia" w:ascii="仿宋" w:hAnsi="仿宋" w:eastAsia="仿宋" w:cs="仿宋"/>
                <w:color w:val="000000"/>
                <w:szCs w:val="21"/>
              </w:rPr>
              <w:t>其他一般指标负偏离的每有一项扣</w:t>
            </w:r>
            <w:r>
              <w:rPr>
                <w:rFonts w:hint="eastAsia" w:ascii="仿宋" w:hAnsi="仿宋" w:eastAsia="仿宋" w:cs="仿宋"/>
                <w:color w:val="0070C0"/>
                <w:szCs w:val="21"/>
              </w:rPr>
              <w:t>2分,</w:t>
            </w:r>
            <w:r>
              <w:rPr>
                <w:rFonts w:hint="eastAsia" w:ascii="仿宋" w:hAnsi="仿宋" w:eastAsia="仿宋" w:cs="仿宋"/>
                <w:color w:val="000000"/>
                <w:szCs w:val="21"/>
              </w:rPr>
              <w:t>扣完为止。</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Cs/>
                <w:color w:val="000000"/>
                <w:szCs w:val="21"/>
                <w:lang w:val="en-US" w:eastAsia="zh-CN"/>
              </w:rPr>
            </w:pPr>
            <w:r>
              <w:rPr>
                <w:rFonts w:hint="eastAsia" w:ascii="仿宋" w:hAnsi="仿宋" w:eastAsia="仿宋" w:cs="仿宋"/>
                <w:bCs/>
                <w:color w:val="000000"/>
                <w:szCs w:val="21"/>
                <w:lang w:val="en-US" w:eastAsia="zh-CN"/>
              </w:rPr>
              <w:t>2</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0000"/>
                <w:szCs w:val="21"/>
              </w:rPr>
            </w:pPr>
            <w:r>
              <w:rPr>
                <w:rFonts w:hint="eastAsia" w:ascii="仿宋" w:hAnsi="仿宋" w:eastAsia="仿宋" w:cs="仿宋"/>
                <w:bCs/>
                <w:color w:val="000000"/>
                <w:szCs w:val="21"/>
              </w:rPr>
              <w:t>方案总体设计</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投标方案总体设计的合理性、</w:t>
            </w:r>
            <w:r>
              <w:rPr>
                <w:rFonts w:hint="eastAsia" w:ascii="仿宋" w:hAnsi="仿宋" w:eastAsia="仿宋" w:cs="仿宋"/>
                <w:bCs/>
                <w:color w:val="000000"/>
                <w:szCs w:val="21"/>
              </w:rPr>
              <w:t>技术的成熟可靠性，性能的稳定性</w:t>
            </w:r>
            <w:r>
              <w:rPr>
                <w:rFonts w:hint="eastAsia" w:ascii="仿宋" w:hAnsi="仿宋" w:eastAsia="仿宋" w:cs="仿宋"/>
                <w:color w:val="000000"/>
                <w:szCs w:val="21"/>
              </w:rPr>
              <w:t>等，详细阐述系统的体系架构、功能模块、实现思路和关键技术等横向比较。</w:t>
            </w:r>
            <w:r>
              <w:rPr>
                <w:rStyle w:val="166"/>
                <w:rFonts w:hint="eastAsia" w:ascii="仿宋" w:hAnsi="仿宋" w:eastAsia="仿宋" w:cs="仿宋"/>
                <w:color w:val="000000"/>
                <w:szCs w:val="21"/>
              </w:rPr>
              <w:t>优</w:t>
            </w:r>
            <w:r>
              <w:rPr>
                <w:rStyle w:val="166"/>
                <w:rFonts w:hint="eastAsia" w:ascii="仿宋" w:hAnsi="仿宋" w:eastAsia="仿宋" w:cs="仿宋"/>
                <w:color w:val="000000"/>
                <w:szCs w:val="21"/>
                <w:lang w:eastAsia="zh-CN"/>
              </w:rPr>
              <w:t>得</w:t>
            </w:r>
            <w:r>
              <w:rPr>
                <w:rStyle w:val="166"/>
                <w:rFonts w:hint="eastAsia" w:ascii="仿宋" w:hAnsi="仿宋" w:eastAsia="仿宋" w:cs="仿宋"/>
                <w:color w:val="000000"/>
                <w:szCs w:val="21"/>
              </w:rPr>
              <w:t>5-3.1分，良3-2.1分，一般2-0.1分</w:t>
            </w:r>
            <w:r>
              <w:rPr>
                <w:rStyle w:val="166"/>
                <w:rFonts w:hint="eastAsia" w:ascii="仿宋" w:hAnsi="仿宋" w:eastAsia="仿宋" w:cs="仿宋"/>
                <w:color w:val="000000"/>
                <w:szCs w:val="21"/>
                <w:lang w:eastAsia="zh-CN"/>
              </w:rPr>
              <w:t>，未提供不得分</w:t>
            </w:r>
            <w:r>
              <w:rPr>
                <w:rStyle w:val="166"/>
                <w:rFonts w:hint="eastAsia" w:ascii="仿宋" w:hAnsi="仿宋" w:eastAsia="仿宋" w:cs="仿宋"/>
                <w:color w:val="000000"/>
                <w:szCs w:val="21"/>
              </w:rPr>
              <w:t>。</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0000"/>
                <w:szCs w:val="21"/>
              </w:rPr>
            </w:pPr>
            <w:r>
              <w:rPr>
                <w:rFonts w:hint="eastAsia" w:ascii="仿宋" w:hAnsi="仿宋" w:eastAsia="仿宋" w:cs="仿宋"/>
                <w:color w:val="000000"/>
                <w:szCs w:val="21"/>
              </w:rPr>
              <w:t>项目实施</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项目实施计划安排合理，实施人员配备适当</w:t>
            </w:r>
            <w:r>
              <w:rPr>
                <w:rFonts w:hint="eastAsia" w:ascii="仿宋" w:hAnsi="仿宋" w:eastAsia="仿宋" w:cs="仿宋"/>
                <w:bCs/>
                <w:color w:val="000000"/>
                <w:szCs w:val="21"/>
              </w:rPr>
              <w:t>, 优</w:t>
            </w:r>
            <w:r>
              <w:rPr>
                <w:rFonts w:hint="eastAsia" w:ascii="仿宋" w:hAnsi="仿宋" w:eastAsia="仿宋" w:cs="仿宋"/>
                <w:bCs/>
                <w:color w:val="000000"/>
                <w:szCs w:val="21"/>
                <w:lang w:eastAsia="zh-CN"/>
              </w:rPr>
              <w:t>得</w:t>
            </w:r>
            <w:r>
              <w:rPr>
                <w:rFonts w:hint="eastAsia" w:ascii="仿宋" w:hAnsi="仿宋" w:eastAsia="仿宋" w:cs="仿宋"/>
                <w:bCs/>
                <w:color w:val="000000"/>
                <w:szCs w:val="21"/>
              </w:rPr>
              <w:t>5-3.1分，良</w:t>
            </w:r>
            <w:r>
              <w:rPr>
                <w:rFonts w:hint="eastAsia" w:ascii="仿宋" w:hAnsi="仿宋" w:eastAsia="仿宋" w:cs="仿宋"/>
                <w:bCs/>
                <w:color w:val="000000"/>
                <w:szCs w:val="21"/>
                <w:lang w:eastAsia="zh-CN"/>
              </w:rPr>
              <w:t>得</w:t>
            </w:r>
            <w:r>
              <w:rPr>
                <w:rFonts w:hint="eastAsia" w:ascii="仿宋" w:hAnsi="仿宋" w:eastAsia="仿宋" w:cs="仿宋"/>
                <w:bCs/>
                <w:color w:val="000000"/>
                <w:szCs w:val="21"/>
              </w:rPr>
              <w:t>3-2.1分，</w:t>
            </w:r>
            <w:r>
              <w:rPr>
                <w:rFonts w:hint="eastAsia" w:ascii="仿宋" w:hAnsi="仿宋" w:eastAsia="仿宋" w:cs="仿宋"/>
                <w:bCs/>
                <w:color w:val="000000"/>
                <w:szCs w:val="21"/>
                <w:lang w:eastAsia="zh-CN"/>
              </w:rPr>
              <w:t>一般得</w:t>
            </w:r>
            <w:r>
              <w:rPr>
                <w:rFonts w:hint="eastAsia" w:ascii="仿宋" w:hAnsi="仿宋" w:eastAsia="仿宋" w:cs="仿宋"/>
                <w:bCs/>
                <w:color w:val="000000"/>
                <w:szCs w:val="21"/>
              </w:rPr>
              <w:t>2-0.1分</w:t>
            </w:r>
            <w:r>
              <w:rPr>
                <w:rStyle w:val="166"/>
                <w:rFonts w:hint="eastAsia" w:ascii="仿宋" w:hAnsi="仿宋" w:eastAsia="仿宋" w:cs="仿宋"/>
                <w:color w:val="000000"/>
                <w:szCs w:val="21"/>
                <w:lang w:eastAsia="zh-CN"/>
              </w:rPr>
              <w:t>，未提供不得分</w:t>
            </w:r>
            <w:r>
              <w:rPr>
                <w:rFonts w:hint="eastAsia" w:ascii="仿宋" w:hAnsi="仿宋" w:eastAsia="仿宋" w:cs="仿宋"/>
                <w:bCs/>
                <w:color w:val="000000"/>
                <w:szCs w:val="21"/>
              </w:rPr>
              <w:t>。</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4</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公司信用</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投标人具有如下资质：</w:t>
            </w:r>
          </w:p>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（1）、企业资信证书（AAA级）</w:t>
            </w:r>
          </w:p>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（2）、招标投标信用企业证书（AAA级）</w:t>
            </w:r>
          </w:p>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（3）、重合同守信用企业证书（AAA级）</w:t>
            </w:r>
          </w:p>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szCs w:val="21"/>
              </w:rPr>
              <w:t>全部提供得3分，每缺一项扣1分。证书需在有效期内。</w:t>
            </w:r>
            <w:r>
              <w:rPr>
                <w:rFonts w:hint="eastAsia" w:ascii="仿宋" w:hAnsi="仿宋" w:eastAsia="仿宋" w:cs="仿宋"/>
                <w:color w:val="0070C0"/>
                <w:szCs w:val="21"/>
              </w:rPr>
              <w:t>（提供证书复印件并加盖投标单位公章，</w:t>
            </w:r>
            <w:r>
              <w:rPr>
                <w:rStyle w:val="166"/>
                <w:rFonts w:hint="eastAsia" w:ascii="仿宋" w:hAnsi="仿宋" w:eastAsia="仿宋" w:cs="仿宋"/>
                <w:color w:val="0070C0"/>
                <w:szCs w:val="21"/>
              </w:rPr>
              <w:t>不提供不得分。</w:t>
            </w:r>
            <w:r>
              <w:rPr>
                <w:rFonts w:hint="eastAsia" w:ascii="仿宋" w:hAnsi="仿宋" w:eastAsia="仿宋" w:cs="仿宋"/>
                <w:color w:val="0070C0"/>
                <w:szCs w:val="21"/>
              </w:rPr>
              <w:t>）</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5</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团队成员</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项目负责人具有医疗相关的质量管理体系方面证书得2分。</w:t>
            </w:r>
            <w:r>
              <w:rPr>
                <w:rFonts w:hint="eastAsia" w:ascii="仿宋" w:hAnsi="仿宋" w:eastAsia="仿宋" w:cs="仿宋"/>
                <w:color w:val="0070C0"/>
                <w:szCs w:val="21"/>
              </w:rPr>
              <w:t>提供证书复印件并加盖投标单位公章，</w:t>
            </w:r>
            <w:r>
              <w:rPr>
                <w:rStyle w:val="166"/>
                <w:rFonts w:hint="eastAsia" w:ascii="仿宋" w:hAnsi="仿宋" w:eastAsia="仿宋" w:cs="仿宋"/>
                <w:color w:val="0070C0"/>
                <w:szCs w:val="21"/>
              </w:rPr>
              <w:t>不提供不得分。</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6</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0000"/>
                <w:szCs w:val="21"/>
              </w:rPr>
            </w:pPr>
            <w:r>
              <w:rPr>
                <w:rFonts w:hint="eastAsia" w:ascii="仿宋" w:hAnsi="仿宋" w:eastAsia="仿宋" w:cs="仿宋"/>
                <w:color w:val="000000"/>
                <w:szCs w:val="21"/>
              </w:rPr>
              <w:t>产品资质</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70C0"/>
                <w:szCs w:val="21"/>
              </w:rPr>
            </w:pPr>
            <w:r>
              <w:rPr>
                <w:rFonts w:hint="eastAsia" w:ascii="仿宋" w:hAnsi="仿宋" w:eastAsia="仿宋" w:cs="仿宋"/>
                <w:color w:val="0070C0"/>
                <w:szCs w:val="21"/>
              </w:rPr>
              <w:t>投标人具有手术安全管理相关软件著作权证书，得2分</w:t>
            </w:r>
            <w:r>
              <w:rPr>
                <w:rFonts w:hint="eastAsia" w:ascii="仿宋" w:hAnsi="仿宋" w:eastAsia="仿宋" w:cs="仿宋"/>
                <w:color w:val="0070C0"/>
                <w:szCs w:val="21"/>
                <w:lang w:eastAsia="zh-CN"/>
              </w:rPr>
              <w:t>，需</w:t>
            </w:r>
            <w:r>
              <w:rPr>
                <w:rFonts w:hint="eastAsia" w:ascii="仿宋" w:hAnsi="仿宋" w:eastAsia="仿宋" w:cs="仿宋"/>
                <w:color w:val="0070C0"/>
                <w:szCs w:val="21"/>
              </w:rPr>
              <w:t>提供含有“手术安全”字样的著作权证书复印件并加盖投标单位公章，不提供不得分。</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70C0"/>
                <w:szCs w:val="21"/>
              </w:rPr>
            </w:pPr>
            <w:r>
              <w:rPr>
                <w:rFonts w:hint="eastAsia" w:ascii="仿宋" w:hAnsi="仿宋" w:eastAsia="仿宋" w:cs="仿宋"/>
                <w:color w:val="0070C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7</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0000"/>
                <w:szCs w:val="21"/>
              </w:rPr>
            </w:pPr>
            <w:r>
              <w:rPr>
                <w:rFonts w:hint="eastAsia" w:ascii="仿宋" w:hAnsi="仿宋" w:eastAsia="仿宋" w:cs="仿宋"/>
                <w:color w:val="000000"/>
                <w:szCs w:val="21"/>
              </w:rPr>
              <w:t>培训方案</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Cs w:val="21"/>
              </w:rPr>
            </w:pPr>
            <w:r>
              <w:rPr>
                <w:rFonts w:hint="eastAsia" w:ascii="仿宋" w:hAnsi="仿宋" w:eastAsia="仿宋" w:cs="仿宋"/>
                <w:color w:val="000000"/>
                <w:szCs w:val="21"/>
              </w:rPr>
              <w:t>投标文件中是否提供详细的培训方案，包含培训内容、方式及人员</w:t>
            </w:r>
            <w:r>
              <w:rPr>
                <w:rFonts w:hint="eastAsia" w:ascii="仿宋" w:hAnsi="仿宋" w:eastAsia="仿宋" w:cs="仿宋"/>
                <w:color w:val="000000"/>
                <w:szCs w:val="21"/>
                <w:lang w:eastAsia="zh-CN"/>
              </w:rPr>
              <w:t>，</w:t>
            </w:r>
            <w:r>
              <w:rPr>
                <w:rFonts w:hint="eastAsia" w:ascii="仿宋" w:hAnsi="仿宋" w:eastAsia="仿宋" w:cs="仿宋"/>
                <w:color w:val="000000"/>
                <w:szCs w:val="21"/>
              </w:rPr>
              <w:t>优</w:t>
            </w:r>
            <w:r>
              <w:rPr>
                <w:rFonts w:hint="eastAsia" w:ascii="仿宋" w:hAnsi="仿宋" w:eastAsia="仿宋" w:cs="仿宋"/>
                <w:color w:val="000000"/>
                <w:szCs w:val="21"/>
                <w:lang w:eastAsia="zh-CN"/>
              </w:rPr>
              <w:t>得</w:t>
            </w:r>
            <w:r>
              <w:rPr>
                <w:rFonts w:hint="eastAsia" w:ascii="仿宋" w:hAnsi="仿宋" w:eastAsia="仿宋" w:cs="仿宋"/>
                <w:color w:val="000000"/>
                <w:szCs w:val="21"/>
              </w:rPr>
              <w:t>5-3.1分，良</w:t>
            </w:r>
            <w:r>
              <w:rPr>
                <w:rFonts w:hint="eastAsia" w:ascii="仿宋" w:hAnsi="仿宋" w:eastAsia="仿宋" w:cs="仿宋"/>
                <w:color w:val="000000"/>
                <w:szCs w:val="21"/>
                <w:lang w:eastAsia="zh-CN"/>
              </w:rPr>
              <w:t>得</w:t>
            </w:r>
            <w:r>
              <w:rPr>
                <w:rFonts w:hint="eastAsia" w:ascii="仿宋" w:hAnsi="仿宋" w:eastAsia="仿宋" w:cs="仿宋"/>
                <w:color w:val="000000"/>
                <w:szCs w:val="21"/>
              </w:rPr>
              <w:t>3-2.1分，一般</w:t>
            </w:r>
            <w:r>
              <w:rPr>
                <w:rFonts w:hint="eastAsia" w:ascii="仿宋" w:hAnsi="仿宋" w:eastAsia="仿宋" w:cs="仿宋"/>
                <w:color w:val="000000"/>
                <w:szCs w:val="21"/>
                <w:lang w:eastAsia="zh-CN"/>
              </w:rPr>
              <w:t>得</w:t>
            </w:r>
            <w:r>
              <w:rPr>
                <w:rFonts w:hint="eastAsia" w:ascii="仿宋" w:hAnsi="仿宋" w:eastAsia="仿宋" w:cs="仿宋"/>
                <w:color w:val="000000"/>
                <w:szCs w:val="21"/>
              </w:rPr>
              <w:t>2-0.1分。</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70C0"/>
                <w:szCs w:val="21"/>
                <w:lang w:val="en-US" w:eastAsia="zh-CN"/>
              </w:rPr>
            </w:pPr>
            <w:r>
              <w:rPr>
                <w:rFonts w:hint="eastAsia" w:ascii="仿宋" w:hAnsi="仿宋" w:eastAsia="仿宋" w:cs="仿宋"/>
                <w:color w:val="0070C0"/>
                <w:szCs w:val="21"/>
                <w:lang w:val="en-US" w:eastAsia="zh-CN"/>
              </w:rPr>
              <w:t>8</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70C0"/>
                <w:szCs w:val="21"/>
              </w:rPr>
            </w:pPr>
            <w:r>
              <w:rPr>
                <w:rFonts w:hint="eastAsia" w:ascii="仿宋" w:hAnsi="仿宋" w:eastAsia="仿宋" w:cs="仿宋"/>
                <w:color w:val="0070C0"/>
                <w:szCs w:val="21"/>
              </w:rPr>
              <w:t>案例</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70C0"/>
                <w:szCs w:val="21"/>
              </w:rPr>
            </w:pPr>
            <w:r>
              <w:rPr>
                <w:rFonts w:hint="eastAsia" w:ascii="仿宋" w:hAnsi="仿宋" w:eastAsia="仿宋" w:cs="仿宋"/>
                <w:color w:val="0070C0"/>
                <w:szCs w:val="21"/>
                <w:lang w:bidi="ar"/>
              </w:rPr>
              <w:t>投标</w:t>
            </w:r>
            <w:r>
              <w:rPr>
                <w:rFonts w:hint="eastAsia" w:ascii="仿宋" w:hAnsi="仿宋" w:eastAsia="仿宋" w:cs="仿宋"/>
                <w:color w:val="0070C0"/>
                <w:szCs w:val="21"/>
                <w:lang w:eastAsia="zh-CN" w:bidi="ar"/>
              </w:rPr>
              <w:t>人</w:t>
            </w:r>
            <w:r>
              <w:rPr>
                <w:rFonts w:hint="eastAsia" w:ascii="仿宋" w:hAnsi="仿宋" w:eastAsia="仿宋" w:cs="仿宋"/>
                <w:color w:val="0070C0"/>
                <w:szCs w:val="21"/>
                <w:lang w:bidi="ar"/>
              </w:rPr>
              <w:t>20</w:t>
            </w:r>
            <w:r>
              <w:rPr>
                <w:rFonts w:hint="eastAsia" w:ascii="仿宋" w:hAnsi="仿宋" w:eastAsia="仿宋" w:cs="仿宋"/>
                <w:color w:val="0070C0"/>
                <w:szCs w:val="21"/>
                <w:lang w:val="en-US" w:eastAsia="zh-CN" w:bidi="ar"/>
              </w:rPr>
              <w:t>20</w:t>
            </w:r>
            <w:r>
              <w:rPr>
                <w:rFonts w:hint="eastAsia" w:ascii="仿宋" w:hAnsi="仿宋" w:eastAsia="仿宋" w:cs="仿宋"/>
                <w:color w:val="0070C0"/>
                <w:szCs w:val="21"/>
                <w:lang w:bidi="ar"/>
              </w:rPr>
              <w:t>年1月1日至今项目案例</w:t>
            </w:r>
            <w:r>
              <w:rPr>
                <w:rFonts w:hint="eastAsia" w:ascii="仿宋" w:hAnsi="仿宋" w:eastAsia="仿宋" w:cs="仿宋"/>
                <w:color w:val="0070C0"/>
                <w:szCs w:val="21"/>
                <w:lang w:eastAsia="zh-CN" w:bidi="ar"/>
              </w:rPr>
              <w:t>（以合同签订时间为准）</w:t>
            </w:r>
            <w:r>
              <w:rPr>
                <w:rFonts w:hint="eastAsia" w:ascii="仿宋" w:hAnsi="仿宋" w:eastAsia="仿宋" w:cs="仿宋"/>
                <w:color w:val="0070C0"/>
                <w:szCs w:val="21"/>
                <w:lang w:bidi="ar"/>
              </w:rPr>
              <w:t>。每</w:t>
            </w:r>
            <w:r>
              <w:rPr>
                <w:rFonts w:hint="eastAsia" w:ascii="仿宋" w:hAnsi="仿宋" w:eastAsia="仿宋" w:cs="仿宋"/>
                <w:color w:val="0070C0"/>
                <w:szCs w:val="21"/>
              </w:rPr>
              <w:t>提供一份合同复印件或者用户使用报告得1分。最高3分。</w:t>
            </w:r>
            <w:r>
              <w:rPr>
                <w:rFonts w:hint="eastAsia" w:ascii="仿宋" w:hAnsi="仿宋" w:eastAsia="仿宋" w:cs="仿宋"/>
                <w:color w:val="0070C0"/>
                <w:szCs w:val="21"/>
                <w:lang w:eastAsia="zh-CN"/>
              </w:rPr>
              <w:t>需</w:t>
            </w:r>
            <w:r>
              <w:rPr>
                <w:rStyle w:val="166"/>
                <w:rFonts w:hint="eastAsia" w:ascii="仿宋" w:hAnsi="仿宋" w:eastAsia="仿宋" w:cs="仿宋"/>
                <w:color w:val="0070C0"/>
                <w:szCs w:val="21"/>
              </w:rPr>
              <w:t>提供证明文件的复印件加盖投标</w:t>
            </w:r>
            <w:r>
              <w:rPr>
                <w:rStyle w:val="166"/>
                <w:rFonts w:hint="eastAsia" w:ascii="仿宋" w:hAnsi="仿宋" w:eastAsia="仿宋" w:cs="仿宋"/>
                <w:color w:val="0070C0"/>
                <w:szCs w:val="21"/>
                <w:lang w:eastAsia="zh-CN"/>
              </w:rPr>
              <w:t>人</w:t>
            </w:r>
            <w:r>
              <w:rPr>
                <w:rStyle w:val="166"/>
                <w:rFonts w:hint="eastAsia" w:ascii="仿宋" w:hAnsi="仿宋" w:eastAsia="仿宋" w:cs="仿宋"/>
                <w:color w:val="0070C0"/>
                <w:szCs w:val="21"/>
              </w:rPr>
              <w:t>公章，不提供不得分。</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70C0"/>
                <w:szCs w:val="21"/>
              </w:rPr>
            </w:pPr>
            <w:r>
              <w:rPr>
                <w:rFonts w:hint="eastAsia" w:ascii="仿宋" w:hAnsi="仿宋" w:eastAsia="仿宋" w:cs="仿宋"/>
                <w:color w:val="0070C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9</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000000"/>
                <w:szCs w:val="21"/>
              </w:rPr>
            </w:pPr>
            <w:r>
              <w:rPr>
                <w:rFonts w:hint="eastAsia" w:ascii="仿宋" w:hAnsi="仿宋" w:eastAsia="仿宋" w:cs="仿宋"/>
                <w:color w:val="000000"/>
                <w:szCs w:val="21"/>
              </w:rPr>
              <w:t>售后服务</w:t>
            </w:r>
          </w:p>
        </w:tc>
        <w:tc>
          <w:tcPr>
            <w:tcW w:w="6820"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color w:val="000000"/>
                <w:szCs w:val="21"/>
              </w:rPr>
            </w:pPr>
            <w:r>
              <w:rPr>
                <w:rFonts w:hint="eastAsia" w:ascii="仿宋" w:hAnsi="仿宋" w:eastAsia="仿宋" w:cs="仿宋"/>
                <w:color w:val="000000"/>
                <w:szCs w:val="21"/>
              </w:rPr>
              <w:t>售后服务情况：机构距离客户服务现场路程及服务机构的本地化团队、人员资质证书、人员参与项目建设经历等多方面进行综合评分，优得7-5.1分，良得5-2.1分，一般得2-0.1分。</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FF0000"/>
                <w:kern w:val="0"/>
                <w:szCs w:val="21"/>
                <w:lang w:val="en-US" w:eastAsia="zh-CN" w:bidi="ar"/>
              </w:rPr>
            </w:pPr>
            <w:r>
              <w:rPr>
                <w:rFonts w:hint="eastAsia" w:ascii="仿宋" w:hAnsi="仿宋" w:eastAsia="仿宋" w:cs="仿宋"/>
                <w:color w:val="FF0000"/>
                <w:kern w:val="0"/>
                <w:szCs w:val="21"/>
                <w:lang w:val="en-US" w:eastAsia="zh-CN" w:bidi="ar"/>
              </w:rPr>
              <w:t>10</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color w:val="FF0000"/>
                <w:szCs w:val="21"/>
              </w:rPr>
            </w:pPr>
            <w:r>
              <w:rPr>
                <w:rFonts w:hint="eastAsia" w:ascii="仿宋" w:hAnsi="仿宋" w:eastAsia="仿宋" w:cs="仿宋"/>
                <w:color w:val="FF0000"/>
                <w:kern w:val="0"/>
                <w:szCs w:val="21"/>
                <w:lang w:bidi="ar"/>
              </w:rPr>
              <w:t>质保期顺延</w:t>
            </w:r>
          </w:p>
        </w:tc>
        <w:tc>
          <w:tcPr>
            <w:tcW w:w="6820"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FF0000"/>
                <w:szCs w:val="21"/>
              </w:rPr>
            </w:pPr>
            <w:r>
              <w:rPr>
                <w:rFonts w:hint="eastAsia" w:ascii="仿宋" w:hAnsi="仿宋" w:eastAsia="仿宋" w:cs="仿宋"/>
                <w:color w:val="FF0000"/>
              </w:rPr>
              <w:t>投标人承诺的质</w:t>
            </w:r>
            <w:r>
              <w:rPr>
                <w:rFonts w:hint="eastAsia" w:ascii="仿宋" w:hAnsi="仿宋" w:eastAsia="仿宋" w:cs="仿宋"/>
                <w:color w:val="FF0000"/>
                <w:szCs w:val="21"/>
              </w:rPr>
              <w:t>保期顺延</w:t>
            </w:r>
            <w:r>
              <w:rPr>
                <w:rFonts w:hint="eastAsia" w:ascii="仿宋" w:hAnsi="仿宋" w:eastAsia="仿宋" w:cs="仿宋"/>
                <w:color w:val="FF0000"/>
              </w:rPr>
              <w:t>情况</w:t>
            </w:r>
            <w:r>
              <w:rPr>
                <w:rFonts w:hint="eastAsia" w:ascii="仿宋" w:hAnsi="仿宋" w:eastAsia="仿宋" w:cs="仿宋"/>
                <w:color w:val="FF0000"/>
                <w:szCs w:val="21"/>
              </w:rPr>
              <w:t>综合打分。（提供承诺函）优</w:t>
            </w:r>
            <w:r>
              <w:rPr>
                <w:rFonts w:hint="eastAsia" w:ascii="仿宋" w:hAnsi="仿宋" w:eastAsia="仿宋" w:cs="仿宋"/>
                <w:color w:val="FF0000"/>
                <w:szCs w:val="21"/>
                <w:lang w:eastAsia="zh-CN"/>
              </w:rPr>
              <w:t>得</w:t>
            </w:r>
            <w:r>
              <w:rPr>
                <w:rFonts w:hint="eastAsia" w:ascii="仿宋" w:hAnsi="仿宋" w:eastAsia="仿宋" w:cs="仿宋"/>
                <w:color w:val="FF0000"/>
                <w:szCs w:val="21"/>
              </w:rPr>
              <w:t>2-1.6分，良</w:t>
            </w:r>
            <w:r>
              <w:rPr>
                <w:rFonts w:hint="eastAsia" w:ascii="仿宋" w:hAnsi="仿宋" w:eastAsia="仿宋" w:cs="仿宋"/>
                <w:color w:val="FF0000"/>
                <w:szCs w:val="21"/>
                <w:lang w:eastAsia="zh-CN"/>
              </w:rPr>
              <w:t>得</w:t>
            </w:r>
            <w:r>
              <w:rPr>
                <w:rFonts w:hint="eastAsia" w:ascii="仿宋" w:hAnsi="仿宋" w:eastAsia="仿宋" w:cs="仿宋"/>
                <w:color w:val="FF0000"/>
                <w:szCs w:val="21"/>
              </w:rPr>
              <w:t>1.5-1.1分，一般1-0.1分。</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Cs w:val="21"/>
                <w:lang w:val="en-US" w:eastAsia="zh-CN" w:bidi="ar"/>
              </w:rPr>
            </w:pPr>
            <w:r>
              <w:rPr>
                <w:rFonts w:hint="eastAsia" w:ascii="仿宋" w:hAnsi="仿宋" w:eastAsia="仿宋" w:cs="仿宋"/>
                <w:kern w:val="0"/>
                <w:szCs w:val="21"/>
                <w:lang w:val="en-US" w:eastAsia="zh-CN" w:bidi="ar"/>
              </w:rPr>
              <w:t>11</w:t>
            </w:r>
          </w:p>
        </w:tc>
        <w:tc>
          <w:tcPr>
            <w:tcW w:w="1259" w:type="dxa"/>
            <w:noWrap w:val="0"/>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 w:hAnsi="仿宋" w:eastAsia="仿宋" w:cs="仿宋"/>
                <w:kern w:val="0"/>
                <w:szCs w:val="21"/>
                <w:lang w:bidi="ar"/>
              </w:rPr>
            </w:pPr>
            <w:r>
              <w:rPr>
                <w:rFonts w:hint="eastAsia" w:ascii="仿宋" w:hAnsi="仿宋" w:eastAsia="仿宋" w:cs="仿宋"/>
                <w:kern w:val="0"/>
                <w:szCs w:val="21"/>
                <w:lang w:bidi="ar"/>
              </w:rPr>
              <w:t>产品演示</w:t>
            </w:r>
          </w:p>
        </w:tc>
        <w:tc>
          <w:tcPr>
            <w:tcW w:w="6820" w:type="dxa"/>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仿宋"/>
                <w:szCs w:val="21"/>
                <w:lang w:val="en-US" w:eastAsia="zh-CN"/>
              </w:rPr>
            </w:pPr>
            <w:r>
              <w:rPr>
                <w:rFonts w:hint="eastAsia" w:ascii="仿宋" w:hAnsi="仿宋" w:eastAsia="仿宋" w:cs="仿宋"/>
                <w:b/>
                <w:bCs/>
                <w:color w:val="auto"/>
                <w:kern w:val="2"/>
                <w:sz w:val="21"/>
                <w:szCs w:val="21"/>
                <w:lang w:val="zh-CN"/>
              </w:rPr>
              <w:t>投标人</w:t>
            </w:r>
            <w:r>
              <w:rPr>
                <w:rFonts w:hint="eastAsia" w:ascii="仿宋" w:hAnsi="仿宋" w:eastAsia="仿宋" w:cs="仿宋"/>
                <w:b/>
                <w:bCs/>
                <w:color w:val="auto"/>
                <w:kern w:val="2"/>
                <w:sz w:val="21"/>
                <w:szCs w:val="21"/>
                <w:highlight w:val="none"/>
                <w:lang w:val="zh-CN"/>
              </w:rPr>
              <w:t>进行现场演示或</w:t>
            </w:r>
            <w:r>
              <w:rPr>
                <w:rFonts w:hint="eastAsia" w:ascii="仿宋" w:hAnsi="仿宋" w:eastAsia="仿宋" w:cs="仿宋"/>
                <w:b/>
                <w:bCs/>
                <w:color w:val="auto"/>
                <w:kern w:val="2"/>
                <w:sz w:val="21"/>
                <w:szCs w:val="21"/>
                <w:lang w:val="zh-CN"/>
              </w:rPr>
              <w:t>视频录制演示</w:t>
            </w:r>
            <w:r>
              <w:rPr>
                <w:rFonts w:hint="eastAsia" w:ascii="仿宋" w:hAnsi="仿宋" w:eastAsia="仿宋" w:cs="仿宋"/>
                <w:b/>
                <w:bCs/>
                <w:color w:val="auto"/>
                <w:szCs w:val="21"/>
              </w:rPr>
              <w:t>，演示时间不超过</w:t>
            </w:r>
            <w:r>
              <w:rPr>
                <w:rFonts w:hint="eastAsia" w:ascii="仿宋" w:hAnsi="仿宋" w:eastAsia="仿宋" w:cs="仿宋"/>
                <w:b/>
                <w:bCs/>
                <w:color w:val="auto"/>
                <w:szCs w:val="21"/>
                <w:lang w:val="en-US" w:eastAsia="zh-CN"/>
              </w:rPr>
              <w:t>15</w:t>
            </w:r>
            <w:r>
              <w:rPr>
                <w:rFonts w:hint="eastAsia" w:ascii="仿宋" w:hAnsi="仿宋" w:eastAsia="仿宋" w:cs="仿宋"/>
                <w:b/>
                <w:bCs/>
                <w:color w:val="auto"/>
                <w:szCs w:val="21"/>
              </w:rPr>
              <w:t>分钟。</w:t>
            </w:r>
            <w:r>
              <w:rPr>
                <w:rFonts w:hint="eastAsia" w:ascii="仿宋" w:hAnsi="仿宋" w:eastAsia="仿宋" w:cs="仿宋"/>
                <w:b/>
                <w:bCs/>
                <w:color w:val="auto"/>
                <w:szCs w:val="21"/>
                <w:lang w:eastAsia="zh-CN"/>
              </w:rPr>
              <w:t>使用图片、</w:t>
            </w:r>
            <w:r>
              <w:rPr>
                <w:rFonts w:hint="eastAsia" w:ascii="仿宋" w:hAnsi="仿宋" w:eastAsia="仿宋" w:cs="仿宋"/>
                <w:b/>
                <w:bCs/>
                <w:color w:val="auto"/>
                <w:szCs w:val="21"/>
              </w:rPr>
              <w:t>PPT演示不</w:t>
            </w:r>
            <w:r>
              <w:rPr>
                <w:rFonts w:hint="eastAsia" w:ascii="仿宋" w:hAnsi="仿宋" w:eastAsia="仿宋" w:cs="仿宋"/>
                <w:b/>
                <w:bCs/>
                <w:color w:val="auto"/>
                <w:szCs w:val="21"/>
                <w:lang w:val="zh-CN"/>
              </w:rPr>
              <w:t>得分。</w:t>
            </w:r>
            <w:r>
              <w:rPr>
                <w:rFonts w:hint="eastAsia" w:ascii="仿宋" w:hAnsi="仿宋" w:eastAsia="仿宋" w:cs="仿宋"/>
                <w:b/>
                <w:bCs/>
                <w:color w:val="auto"/>
                <w:szCs w:val="21"/>
                <w:lang w:val="zh-CN" w:eastAsia="zh-CN"/>
              </w:rPr>
              <w:t>全部演示成功的得16分。演示内容包含：</w:t>
            </w:r>
          </w:p>
          <w:p>
            <w:pPr>
              <w:pStyle w:val="74"/>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仿宋"/>
                <w:color w:val="0070C0"/>
                <w:szCs w:val="21"/>
                <w:lang w:val="en-US" w:eastAsia="zh-CN"/>
              </w:rPr>
            </w:pPr>
            <w:r>
              <w:rPr>
                <w:rFonts w:hint="eastAsia" w:ascii="仿宋" w:hAnsi="仿宋" w:eastAsia="仿宋" w:cs="仿宋"/>
                <w:szCs w:val="21"/>
                <w:lang w:val="en-US" w:eastAsia="zh-CN"/>
              </w:rPr>
              <w:t>1、手术安全核查（App）：麻醉实施前、手术开始前、离开手术室前的三方核查核对录入功能实现，并且能够实现手术医生、麻醉医生、手术室护理的手写体签名并保存功能（印刷体不算）。</w:t>
            </w:r>
            <w:r>
              <w:rPr>
                <w:rFonts w:hint="eastAsia" w:ascii="仿宋" w:hAnsi="仿宋" w:eastAsia="仿宋" w:cs="仿宋"/>
                <w:color w:val="FF0000"/>
                <w:szCs w:val="21"/>
                <w:lang w:val="en-US" w:eastAsia="zh-CN"/>
              </w:rPr>
              <w:t>（演示内容全部实现得3分，每有一项功能不演示扣1分，扣完为止）;</w:t>
            </w:r>
          </w:p>
          <w:p>
            <w:pPr>
              <w:pStyle w:val="74"/>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仿宋"/>
                <w:color w:val="0070C0"/>
                <w:szCs w:val="21"/>
                <w:lang w:val="en-US" w:eastAsia="zh-CN"/>
              </w:rPr>
            </w:pPr>
            <w:r>
              <w:rPr>
                <w:rFonts w:hint="eastAsia" w:ascii="仿宋" w:hAnsi="仿宋" w:eastAsia="仿宋" w:cs="仿宋"/>
                <w:szCs w:val="21"/>
                <w:lang w:val="en-US" w:eastAsia="zh-CN"/>
              </w:rPr>
              <w:t>2、复苏室排班:PC端可实现复苏室床位字典维护功能;PC端可方便的查到当前复苏室床位的使用情况。App端在病人转复苏室选择床位时，只显示未使用的床位。</w:t>
            </w:r>
            <w:r>
              <w:rPr>
                <w:rFonts w:hint="eastAsia" w:ascii="仿宋" w:hAnsi="仿宋" w:eastAsia="仿宋" w:cs="仿宋"/>
                <w:color w:val="FF0000"/>
                <w:szCs w:val="21"/>
                <w:lang w:val="en-US" w:eastAsia="zh-CN"/>
              </w:rPr>
              <w:t>（演示内容全部实现得3分，每有一项功能不演示扣1分，扣完为止）;</w:t>
            </w:r>
          </w:p>
          <w:p>
            <w:pPr>
              <w:pStyle w:val="74"/>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仿宋"/>
                <w:color w:val="0070C0"/>
                <w:szCs w:val="21"/>
                <w:lang w:val="en-US" w:eastAsia="zh-CN"/>
              </w:rPr>
            </w:pPr>
            <w:r>
              <w:rPr>
                <w:rFonts w:hint="eastAsia" w:ascii="仿宋" w:hAnsi="仿宋" w:eastAsia="仿宋" w:cs="仿宋"/>
                <w:szCs w:val="21"/>
                <w:lang w:val="en-US" w:eastAsia="zh-CN"/>
              </w:rPr>
              <w:t>3、手术通知：病人离开病房确认时，系统自动生成一条呼叫手术医生的短信通知（也可在App端查看到）。App端可录入呼叫家属界面，并且大屏通过语音呼叫与滚动显示的方式通知家属。</w:t>
            </w:r>
            <w:r>
              <w:rPr>
                <w:rFonts w:hint="eastAsia" w:ascii="仿宋" w:hAnsi="仿宋" w:eastAsia="仿宋" w:cs="仿宋"/>
                <w:color w:val="FF0000"/>
                <w:szCs w:val="21"/>
                <w:lang w:val="en-US" w:eastAsia="zh-CN"/>
              </w:rPr>
              <w:t>（演示内容全部实现得3分，每有一项功能不演示扣1分，扣完为止）;</w:t>
            </w:r>
          </w:p>
          <w:p>
            <w:pPr>
              <w:pStyle w:val="74"/>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仿宋"/>
                <w:color w:val="0070C0"/>
                <w:szCs w:val="21"/>
                <w:lang w:val="en-US" w:eastAsia="zh-CN"/>
              </w:rPr>
            </w:pPr>
            <w:r>
              <w:rPr>
                <w:rFonts w:hint="eastAsia" w:ascii="仿宋" w:hAnsi="仿宋" w:eastAsia="仿宋" w:cs="仿宋"/>
                <w:szCs w:val="21"/>
                <w:lang w:val="en-US" w:eastAsia="zh-CN"/>
              </w:rPr>
              <w:t>4、手术室重要设备管理：PC端可录入手术室重要仪器设备字典，并查询到维修记录。PDA端可以按设备类型查到手术室常用的仪器设备与责任人等信息，可录入维修记录，并对历次维修可查询。</w:t>
            </w:r>
            <w:r>
              <w:rPr>
                <w:rFonts w:hint="eastAsia" w:ascii="仿宋" w:hAnsi="仿宋" w:eastAsia="仿宋" w:cs="仿宋"/>
                <w:color w:val="FF0000"/>
                <w:szCs w:val="21"/>
                <w:lang w:val="en-US" w:eastAsia="zh-CN"/>
              </w:rPr>
              <w:t>（演示内容全部实现得3分，每有一项功能不演示扣1分，扣完为止）;</w:t>
            </w:r>
          </w:p>
          <w:p>
            <w:pPr>
              <w:pStyle w:val="74"/>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5、手术室重点指标监测：App端可录入手术室重点指标信息，PC端可以图文方式查到指标监测率。</w:t>
            </w:r>
            <w:r>
              <w:rPr>
                <w:rFonts w:hint="eastAsia" w:ascii="仿宋" w:hAnsi="仿宋" w:eastAsia="仿宋" w:cs="仿宋"/>
                <w:color w:val="FF0000"/>
                <w:szCs w:val="21"/>
                <w:lang w:val="en-US" w:eastAsia="zh-CN"/>
              </w:rPr>
              <w:t>（演示内容全部实现得4分，每有一项功能不演示扣2分，扣完为止）</w:t>
            </w:r>
            <w:r>
              <w:rPr>
                <w:rFonts w:hint="eastAsia" w:ascii="仿宋" w:hAnsi="仿宋" w:eastAsia="仿宋" w:cs="仿宋"/>
                <w:color w:val="0070C0"/>
                <w:szCs w:val="21"/>
                <w:lang w:val="en-US" w:eastAsia="zh-CN"/>
              </w:rPr>
              <w:t>。</w:t>
            </w:r>
          </w:p>
        </w:tc>
        <w:tc>
          <w:tcPr>
            <w:tcW w:w="709" w:type="dxa"/>
            <w:noWrap w:val="0"/>
            <w:vAlign w:val="center"/>
          </w:tcPr>
          <w:p>
            <w:pPr>
              <w:keepNext w:val="0"/>
              <w:keepLines w:val="0"/>
              <w:pageBreakBefore w:val="0"/>
              <w:tabs>
                <w:tab w:val="left" w:pos="826"/>
              </w:tabs>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Cs w:val="21"/>
              </w:rPr>
            </w:pPr>
            <w:r>
              <w:rPr>
                <w:rFonts w:hint="eastAsia" w:ascii="仿宋" w:hAnsi="仿宋" w:eastAsia="仿宋" w:cs="仿宋"/>
                <w:color w:val="000000"/>
                <w:szCs w:val="21"/>
              </w:rPr>
              <w:t>16</w:t>
            </w:r>
          </w:p>
        </w:tc>
      </w:tr>
    </w:tbl>
    <w:p>
      <w:pPr>
        <w:pStyle w:val="23"/>
        <w:snapToGrid w:val="0"/>
        <w:spacing w:line="360" w:lineRule="auto"/>
        <w:rPr>
          <w:rFonts w:hint="eastAsia" w:ascii="仿宋" w:hAnsi="仿宋" w:eastAsia="仿宋" w:cs="仿宋"/>
          <w:b/>
          <w:bCs/>
          <w:iCs/>
          <w:color w:val="auto"/>
          <w:sz w:val="24"/>
          <w:highlight w:val="none"/>
        </w:rPr>
      </w:pPr>
      <w:r>
        <w:rPr>
          <w:rFonts w:hint="eastAsia" w:ascii="仿宋" w:hAnsi="仿宋" w:eastAsia="仿宋" w:cs="仿宋"/>
          <w:b/>
          <w:bCs/>
          <w:color w:val="000000" w:themeColor="text1"/>
          <w:sz w:val="24"/>
          <w:szCs w:val="24"/>
          <w:bdr w:val="single" w:color="auto" w:sz="4" w:space="0"/>
        </w:rPr>
        <w:t>0</w:t>
      </w:r>
      <w:r>
        <w:rPr>
          <w:rFonts w:hint="eastAsia" w:ascii="仿宋" w:hAnsi="仿宋" w:eastAsia="仿宋" w:cs="仿宋"/>
          <w:b/>
          <w:bCs/>
          <w:color w:val="000000" w:themeColor="text1"/>
          <w:sz w:val="24"/>
          <w:bdr w:val="single" w:color="auto" w:sz="4" w:space="0"/>
        </w:rPr>
        <w:t>2</w:t>
      </w:r>
      <w:r>
        <w:rPr>
          <w:rFonts w:hint="eastAsia" w:ascii="仿宋" w:hAnsi="仿宋" w:eastAsia="仿宋" w:cs="仿宋"/>
          <w:b/>
          <w:bCs/>
          <w:color w:val="000000" w:themeColor="text1"/>
          <w:sz w:val="24"/>
          <w:szCs w:val="24"/>
          <w:bdr w:val="single" w:color="auto" w:sz="4" w:space="0"/>
        </w:rPr>
        <w:t>标</w:t>
      </w:r>
    </w:p>
    <w:tbl>
      <w:tblPr>
        <w:tblStyle w:val="41"/>
        <w:tblW w:w="916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89"/>
        <w:gridCol w:w="6315"/>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Cs w:val="21"/>
              </w:rPr>
            </w:pPr>
            <w:r>
              <w:rPr>
                <w:rFonts w:hint="eastAsia" w:ascii="仿宋" w:hAnsi="仿宋" w:eastAsia="仿宋" w:cs="仿宋"/>
                <w:b/>
                <w:bCs/>
                <w:szCs w:val="21"/>
              </w:rPr>
              <w:t>序号</w:t>
            </w:r>
          </w:p>
        </w:tc>
        <w:tc>
          <w:tcPr>
            <w:tcW w:w="1389"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Cs w:val="21"/>
              </w:rPr>
            </w:pPr>
            <w:r>
              <w:rPr>
                <w:rFonts w:hint="eastAsia" w:ascii="仿宋" w:hAnsi="仿宋" w:eastAsia="仿宋" w:cs="仿宋"/>
                <w:b/>
                <w:bCs/>
                <w:szCs w:val="21"/>
              </w:rPr>
              <w:t>评分内容</w:t>
            </w:r>
          </w:p>
        </w:tc>
        <w:tc>
          <w:tcPr>
            <w:tcW w:w="631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Cs w:val="21"/>
              </w:rPr>
            </w:pPr>
            <w:r>
              <w:rPr>
                <w:rFonts w:hint="eastAsia" w:ascii="仿宋" w:hAnsi="仿宋" w:eastAsia="仿宋" w:cs="仿宋"/>
                <w:b/>
                <w:bCs/>
                <w:szCs w:val="21"/>
              </w:rPr>
              <w:t>评标要点及说明</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Cs w:val="21"/>
              </w:rPr>
            </w:pPr>
            <w:r>
              <w:rPr>
                <w:rFonts w:hint="eastAsia" w:ascii="仿宋" w:hAnsi="仿宋" w:eastAsia="仿宋" w:cs="仿宋"/>
                <w:b/>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1</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技术偏离</w:t>
            </w: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技术规格指标全部符合得31</w:t>
            </w:r>
            <w:r>
              <w:rPr>
                <w:rFonts w:hint="eastAsia" w:ascii="仿宋" w:hAnsi="仿宋" w:eastAsia="仿宋" w:cs="仿宋"/>
                <w:color w:val="000000"/>
                <w:szCs w:val="21"/>
              </w:rPr>
              <w:t>分。对非关键的性能指标及技术参数负偏或缺漏项的每项扣1分，对标注“▲”性能指标及技术参数负偏或缺漏项的每项扣3分，扣完为止</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2</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技术方案</w:t>
            </w: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专家根据技术解决方案打分。总体方案实用性强，合理性好的，得11-15分，实用性较强，合理性较好的6-10.9分，实用性一般，合理性一般的，得0.1-5.9分；</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3</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实施计划</w:t>
            </w: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专家根据具体实施计划打分。优</w:t>
            </w:r>
            <w:r>
              <w:rPr>
                <w:rFonts w:hint="eastAsia" w:ascii="仿宋" w:hAnsi="仿宋" w:eastAsia="仿宋" w:cs="仿宋"/>
                <w:szCs w:val="21"/>
                <w:lang w:eastAsia="zh-CN"/>
              </w:rPr>
              <w:t>得</w:t>
            </w:r>
            <w:r>
              <w:rPr>
                <w:rFonts w:hint="eastAsia" w:ascii="仿宋" w:hAnsi="仿宋" w:eastAsia="仿宋" w:cs="仿宋"/>
                <w:szCs w:val="21"/>
              </w:rPr>
              <w:t>4-5分，良</w:t>
            </w:r>
            <w:r>
              <w:rPr>
                <w:rFonts w:hint="eastAsia" w:ascii="仿宋" w:hAnsi="仿宋" w:eastAsia="仿宋" w:cs="仿宋"/>
                <w:szCs w:val="21"/>
                <w:lang w:eastAsia="zh-CN"/>
              </w:rPr>
              <w:t>得</w:t>
            </w:r>
            <w:r>
              <w:rPr>
                <w:rFonts w:hint="eastAsia" w:ascii="仿宋" w:hAnsi="仿宋" w:eastAsia="仿宋" w:cs="仿宋"/>
                <w:szCs w:val="21"/>
              </w:rPr>
              <w:t>2-3.9分，一般0.1-1.9分。</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4</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实施人员</w:t>
            </w: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专家根据项目实施组人员资质进行打分，提供系统分析师，软件设计师，系统集成项目管理工程师证书，每提供一份得1分，最高得3分</w:t>
            </w:r>
            <w:r>
              <w:rPr>
                <w:rFonts w:hint="eastAsia" w:ascii="仿宋" w:hAnsi="仿宋" w:eastAsia="仿宋" w:cs="仿宋"/>
                <w:szCs w:val="21"/>
                <w:lang w:eastAsia="zh-CN"/>
              </w:rPr>
              <w:t>，需提供相关证书复印件加投标人公章，未提供不得分</w:t>
            </w:r>
            <w:r>
              <w:rPr>
                <w:rFonts w:hint="eastAsia" w:ascii="仿宋" w:hAnsi="仿宋" w:eastAsia="仿宋" w:cs="仿宋"/>
                <w:szCs w:val="21"/>
              </w:rPr>
              <w:t>。</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5</w:t>
            </w:r>
          </w:p>
        </w:tc>
        <w:tc>
          <w:tcPr>
            <w:tcW w:w="1389"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公司资质</w:t>
            </w:r>
          </w:p>
        </w:tc>
        <w:tc>
          <w:tcPr>
            <w:tcW w:w="6315" w:type="dxa"/>
            <w:noWrap w:val="0"/>
            <w:vAlign w:val="center"/>
          </w:tcPr>
          <w:p>
            <w:pPr>
              <w:pStyle w:val="23"/>
              <w:keepNext w:val="0"/>
              <w:keepLines w:val="0"/>
              <w:pageBreakBefore w:val="0"/>
              <w:widowControl w:val="0"/>
              <w:kinsoku/>
              <w:wordWrap/>
              <w:overflowPunct/>
              <w:topLinePunct w:val="0"/>
              <w:autoSpaceDE/>
              <w:autoSpaceDN/>
              <w:bidi w:val="0"/>
              <w:adjustRightInd/>
              <w:snapToGrid/>
              <w:spacing w:before="120" w:after="120" w:line="280" w:lineRule="exact"/>
              <w:jc w:val="left"/>
              <w:textAlignment w:val="auto"/>
              <w:rPr>
                <w:rFonts w:hint="eastAsia" w:ascii="仿宋" w:hAnsi="仿宋" w:eastAsia="仿宋" w:cs="仿宋"/>
                <w:szCs w:val="21"/>
              </w:rPr>
            </w:pPr>
            <w:r>
              <w:rPr>
                <w:rFonts w:hint="eastAsia" w:ascii="仿宋" w:hAnsi="仿宋" w:eastAsia="仿宋" w:cs="仿宋"/>
                <w:szCs w:val="21"/>
                <w:lang w:val="en-US" w:eastAsia="zh-CN"/>
              </w:rPr>
              <w:t>投标人具有高新技术企业证书，省级科技型中小企业证书，移动护理相关软件著作权证书，</w:t>
            </w:r>
            <w:r>
              <w:rPr>
                <w:rFonts w:hint="eastAsia" w:ascii="仿宋" w:hAnsi="仿宋" w:eastAsia="仿宋" w:cs="仿宋"/>
                <w:szCs w:val="21"/>
              </w:rPr>
              <w:t>每提供一份得1分，最高3分</w:t>
            </w:r>
            <w:r>
              <w:rPr>
                <w:rFonts w:hint="eastAsia" w:ascii="仿宋" w:hAnsi="仿宋" w:eastAsia="仿宋" w:cs="仿宋"/>
                <w:szCs w:val="21"/>
                <w:lang w:eastAsia="zh-CN"/>
              </w:rPr>
              <w:t>，需提供证书复印件加盖投标人公章，未提供不得分</w:t>
            </w:r>
            <w:r>
              <w:rPr>
                <w:rFonts w:hint="eastAsia" w:ascii="仿宋" w:hAnsi="仿宋" w:eastAsia="仿宋" w:cs="仿宋"/>
                <w:szCs w:val="21"/>
              </w:rPr>
              <w:t>。</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6</w:t>
            </w:r>
          </w:p>
        </w:tc>
        <w:tc>
          <w:tcPr>
            <w:tcW w:w="1389"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同类业绩</w:t>
            </w: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投标人</w:t>
            </w:r>
            <w:r>
              <w:rPr>
                <w:rFonts w:hint="eastAsia" w:ascii="仿宋" w:hAnsi="仿宋" w:eastAsia="仿宋" w:cs="仿宋"/>
                <w:color w:val="0070C0"/>
                <w:szCs w:val="21"/>
                <w:lang w:bidi="ar"/>
              </w:rPr>
              <w:t>20</w:t>
            </w:r>
            <w:r>
              <w:rPr>
                <w:rFonts w:hint="eastAsia" w:ascii="仿宋" w:hAnsi="仿宋" w:eastAsia="仿宋" w:cs="仿宋"/>
                <w:color w:val="0070C0"/>
                <w:szCs w:val="21"/>
                <w:lang w:val="en-US" w:eastAsia="zh-CN" w:bidi="ar"/>
              </w:rPr>
              <w:t>20</w:t>
            </w:r>
            <w:r>
              <w:rPr>
                <w:rFonts w:hint="eastAsia" w:ascii="仿宋" w:hAnsi="仿宋" w:eastAsia="仿宋" w:cs="仿宋"/>
                <w:color w:val="0070C0"/>
                <w:szCs w:val="21"/>
                <w:lang w:bidi="ar"/>
              </w:rPr>
              <w:t>年1月1日至今</w:t>
            </w:r>
            <w:r>
              <w:rPr>
                <w:rFonts w:hint="eastAsia" w:ascii="仿宋" w:hAnsi="仿宋" w:eastAsia="仿宋" w:cs="仿宋"/>
                <w:color w:val="0070C0"/>
                <w:szCs w:val="21"/>
                <w:lang w:eastAsia="zh-CN" w:bidi="ar"/>
              </w:rPr>
              <w:t>（以合同签订时间为准）</w:t>
            </w:r>
            <w:r>
              <w:rPr>
                <w:rFonts w:hint="eastAsia" w:ascii="仿宋" w:hAnsi="仿宋" w:eastAsia="仿宋" w:cs="仿宋"/>
                <w:szCs w:val="21"/>
              </w:rPr>
              <w:t>承接过移动护理（或护理病历系统）相关产品的升级改造服务等同类业绩，每提供一份得1分，最高3分</w:t>
            </w:r>
            <w:r>
              <w:rPr>
                <w:rFonts w:hint="eastAsia" w:ascii="仿宋" w:hAnsi="仿宋" w:eastAsia="仿宋" w:cs="仿宋"/>
                <w:szCs w:val="21"/>
                <w:lang w:eastAsia="zh-CN"/>
              </w:rPr>
              <w:t>，需提供合同复印件加盖投标人公章，未提供不得分</w:t>
            </w:r>
            <w:r>
              <w:rPr>
                <w:rFonts w:hint="eastAsia" w:ascii="仿宋" w:hAnsi="仿宋" w:eastAsia="仿宋" w:cs="仿宋"/>
                <w:szCs w:val="21"/>
              </w:rPr>
              <w:t>。</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95" w:type="dxa"/>
            <w:vMerge w:val="restart"/>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7</w:t>
            </w:r>
          </w:p>
        </w:tc>
        <w:tc>
          <w:tcPr>
            <w:tcW w:w="1389" w:type="dxa"/>
            <w:vMerge w:val="restart"/>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bCs/>
                <w:kern w:val="0"/>
                <w:szCs w:val="21"/>
              </w:rPr>
              <w:t>售后服务</w:t>
            </w: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根据投标人提供的售后服务承诺情况，系统应急处理方案等，评委酌情打分，优4-6分，良2-3.9分，一般0.1-1.9分。</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95" w:type="dxa"/>
            <w:vMerge w:val="continue"/>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p>
        </w:tc>
        <w:tc>
          <w:tcPr>
            <w:tcW w:w="1389" w:type="dxa"/>
            <w:vMerge w:val="continue"/>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Cs/>
                <w:kern w:val="0"/>
                <w:szCs w:val="21"/>
              </w:rPr>
            </w:pPr>
          </w:p>
        </w:tc>
        <w:tc>
          <w:tcPr>
            <w:tcW w:w="631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szCs w:val="21"/>
              </w:rPr>
              <w:t xml:space="preserve">本地化服务：公司在浙江的或在浙江有售后服务机构并提供工商登记证明的得2分。 </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9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8</w:t>
            </w:r>
          </w:p>
        </w:tc>
        <w:tc>
          <w:tcPr>
            <w:tcW w:w="1389"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lang w:eastAsia="zh-CN"/>
              </w:rPr>
            </w:pPr>
            <w:r>
              <w:rPr>
                <w:rFonts w:hint="eastAsia" w:ascii="仿宋" w:hAnsi="仿宋" w:eastAsia="仿宋" w:cs="仿宋"/>
                <w:szCs w:val="21"/>
                <w:lang w:eastAsia="zh-CN"/>
              </w:rPr>
              <w:t>标书制作</w:t>
            </w:r>
          </w:p>
        </w:tc>
        <w:tc>
          <w:tcPr>
            <w:tcW w:w="6315"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textAlignment w:val="auto"/>
              <w:rPr>
                <w:rFonts w:hint="eastAsia" w:ascii="仿宋" w:hAnsi="仿宋" w:eastAsia="仿宋" w:cs="仿宋"/>
                <w:szCs w:val="21"/>
              </w:rPr>
            </w:pPr>
            <w:r>
              <w:rPr>
                <w:rFonts w:hint="eastAsia" w:ascii="仿宋" w:hAnsi="仿宋" w:eastAsia="仿宋" w:cs="仿宋"/>
                <w:bCs/>
                <w:kern w:val="0"/>
                <w:szCs w:val="21"/>
              </w:rPr>
              <w:t>评委根据投标文件的内容是否完整、编排是否有序、印制是否清晰等因素酌情打分；</w:t>
            </w:r>
            <w:r>
              <w:rPr>
                <w:rFonts w:hint="eastAsia" w:ascii="仿宋" w:hAnsi="仿宋" w:eastAsia="仿宋" w:cs="仿宋"/>
                <w:szCs w:val="21"/>
              </w:rPr>
              <w:t>优1.5-2分；良0.8-1.4；一般的得0.1-0.7分；</w:t>
            </w:r>
          </w:p>
        </w:tc>
        <w:tc>
          <w:tcPr>
            <w:tcW w:w="668"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320" w:lineRule="exact"/>
              <w:jc w:val="center"/>
              <w:textAlignment w:val="auto"/>
              <w:rPr>
                <w:rFonts w:hint="eastAsia" w:ascii="仿宋" w:hAnsi="仿宋" w:eastAsia="仿宋" w:cs="仿宋"/>
                <w:szCs w:val="21"/>
              </w:rPr>
            </w:pPr>
            <w:r>
              <w:rPr>
                <w:rFonts w:hint="eastAsia" w:ascii="仿宋" w:hAnsi="仿宋" w:eastAsia="仿宋" w:cs="仿宋"/>
                <w:szCs w:val="21"/>
              </w:rPr>
              <w:t>2</w:t>
            </w:r>
          </w:p>
        </w:tc>
      </w:tr>
    </w:tbl>
    <w:p>
      <w:pPr>
        <w:spacing w:line="440" w:lineRule="exact"/>
        <w:rPr>
          <w:rFonts w:hint="eastAsia" w:ascii="仿宋" w:hAnsi="仿宋" w:eastAsia="仿宋" w:cs="仿宋"/>
          <w:color w:val="auto"/>
          <w:szCs w:val="21"/>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napToGrid w:val="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即：投标报价得分=(评标基准价／投标报价)×30</w:t>
      </w:r>
    </w:p>
    <w:p>
      <w:pPr>
        <w:widowControl/>
        <w:snapToGrid w:val="0"/>
        <w:spacing w:line="480" w:lineRule="exact"/>
        <w:rPr>
          <w:rFonts w:hint="eastAsia" w:ascii="仿宋" w:hAnsi="仿宋" w:eastAsia="仿宋" w:cs="仿宋"/>
          <w:bCs/>
          <w:iCs/>
          <w:color w:val="auto"/>
          <w:sz w:val="24"/>
          <w:highlight w:val="none"/>
          <w:u w:val="single"/>
        </w:rPr>
      </w:pPr>
    </w:p>
    <w:bookmarkEnd w:id="6"/>
    <w:bookmarkEnd w:id="7"/>
    <w:bookmarkEnd w:id="8"/>
    <w:bookmarkEnd w:id="9"/>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7"/>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）的要求，正式授权下述签字人</w:t>
      </w:r>
      <w:r>
        <w:rPr>
          <w:rFonts w:hint="eastAsia" w:ascii="仿宋" w:hAnsi="仿宋" w:eastAsia="仿宋" w:cs="仿宋"/>
          <w:b/>
          <w:color w:val="auto"/>
          <w:szCs w:val="24"/>
          <w:highlight w:val="none"/>
          <w:u w:val="single"/>
        </w:rPr>
        <w:t>（填写姓名、单位、职务）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填写单位、地址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5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5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供应商有前款第a)至e)项情形之一的，中标、成交无效。</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5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5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投标人(盖章)：　　　　　　　　　　　　　　　　　　　　日期：</w:t>
      </w:r>
    </w:p>
    <w:p>
      <w:pPr>
        <w:rPr>
          <w:rFonts w:hint="eastAsia" w:ascii="仿宋" w:hAnsi="仿宋" w:eastAsia="仿宋" w:cs="仿宋"/>
          <w:color w:val="auto"/>
          <w:highlight w:val="none"/>
        </w:rPr>
      </w:pPr>
    </w:p>
    <w:p>
      <w:pPr>
        <w:rPr>
          <w:rFonts w:hint="eastAsia" w:ascii="仿宋" w:hAnsi="仿宋" w:eastAsia="仿宋" w:cs="仿宋"/>
          <w:color w:val="auto"/>
          <w:highlight w:val="none"/>
        </w:rPr>
        <w:sectPr>
          <w:footerReference r:id="rId5" w:type="first"/>
          <w:headerReference r:id="rId3" w:type="default"/>
          <w:footerReference r:id="rId4" w:type="default"/>
          <w:type w:val="continuous"/>
          <w:pgSz w:w="11906" w:h="16838"/>
          <w:pgMar w:top="1440" w:right="1406" w:bottom="1246" w:left="1758" w:header="1021" w:footer="902" w:gutter="0"/>
          <w:cols w:space="425" w:num="1"/>
          <w:titlePg/>
          <w:docGrid w:type="lines" w:linePitch="312" w:charSpace="0"/>
        </w:sect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20" w:firstLineChars="200"/>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（1）法定代表人授权书…………………………………………………………（页码）</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5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（11）所有与符合性审查有关的资信文件（复印件）………………………（页码）</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消耗品、维修零配件购买价格清单…………………………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1、法定代表人授权委托书（格式）</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w:t>
      </w:r>
      <w:r>
        <w:rPr>
          <w:rFonts w:hint="eastAsia" w:ascii="仿宋" w:hAnsi="仿宋" w:eastAsia="仿宋" w:cs="仿宋"/>
          <w:b/>
          <w:color w:val="auto"/>
          <w:sz w:val="30"/>
          <w:szCs w:val="30"/>
          <w:highlight w:val="none"/>
          <w:lang w:eastAsia="zh-CN"/>
        </w:rPr>
        <w:t>2021年度资产负债表</w:t>
      </w:r>
      <w:r>
        <w:rPr>
          <w:rFonts w:hint="eastAsia" w:ascii="仿宋" w:hAnsi="仿宋" w:eastAsia="仿宋" w:cs="仿宋"/>
          <w:b/>
          <w:color w:val="auto"/>
          <w:sz w:val="30"/>
          <w:szCs w:val="30"/>
          <w:highlight w:val="none"/>
        </w:rPr>
        <w:t>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智慧手术室护理综合管理系统及移动护理升级系统采购项目</w:t>
      </w:r>
      <w:r>
        <w:rPr>
          <w:rFonts w:hint="eastAsia" w:ascii="仿宋" w:hAnsi="仿宋" w:eastAsia="仿宋" w:cs="仿宋"/>
          <w:color w:val="auto"/>
          <w:sz w:val="24"/>
          <w:highlight w:val="none"/>
        </w:rPr>
        <w:t>（招标编号:）合同所必需的设备和专业技术能力。如中标，我方将保证合同顺利履行。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ind w:firstLine="4560" w:firstLineChars="19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pStyle w:val="156"/>
        <w:ind w:firstLine="0"/>
        <w:jc w:val="both"/>
        <w:rPr>
          <w:rFonts w:hint="eastAsia" w:ascii="仿宋" w:hAnsi="仿宋" w:eastAsia="仿宋" w:cs="仿宋"/>
          <w:color w:val="auto"/>
          <w:highlight w:val="none"/>
        </w:rPr>
      </w:pPr>
    </w:p>
    <w:p>
      <w:pPr>
        <w:pStyle w:val="156"/>
        <w:ind w:firstLine="0"/>
        <w:jc w:val="both"/>
        <w:rPr>
          <w:rFonts w:hint="eastAsia" w:ascii="仿宋" w:hAnsi="仿宋" w:eastAsia="仿宋" w:cs="仿宋"/>
          <w:color w:val="auto"/>
          <w:highlight w:val="none"/>
        </w:rPr>
      </w:pPr>
    </w:p>
    <w:p>
      <w:pPr>
        <w:pStyle w:val="156"/>
        <w:ind w:firstLine="0"/>
        <w:jc w:val="both"/>
        <w:rPr>
          <w:rFonts w:hint="eastAsia" w:ascii="仿宋" w:hAnsi="仿宋" w:eastAsia="仿宋" w:cs="仿宋"/>
          <w:color w:val="auto"/>
          <w:highlight w:val="none"/>
        </w:rPr>
      </w:pPr>
    </w:p>
    <w:p>
      <w:pPr>
        <w:pStyle w:val="15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六、严格遵守政府采购法、合同法等法律，诚实守信，合法经营，坚决抵制各种违法违纪行为。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5037" w:firstLineChars="2099"/>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年月日</w:t>
      </w:r>
    </w:p>
    <w:p>
      <w:pPr>
        <w:spacing w:line="360" w:lineRule="auto"/>
        <w:jc w:val="right"/>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8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8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jc w:val="right"/>
        <w:rPr>
          <w:rFonts w:hint="eastAsia" w:ascii="仿宋" w:hAnsi="仿宋" w:eastAsia="仿宋" w:cs="仿宋"/>
          <w:color w:val="auto"/>
          <w:kern w:val="0"/>
          <w:sz w:val="24"/>
          <w:highlight w:val="none"/>
          <w:lang w:val="zh-CN"/>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jc w:val="righ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日期：年月日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21、</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41"/>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adjustRightInd w:val="0"/>
        <w:snapToGrid w:val="0"/>
        <w:ind w:right="172" w:rightChars="82" w:firstLine="606" w:firstLineChars="202"/>
        <w:rPr>
          <w:rFonts w:hint="eastAsia" w:ascii="仿宋" w:hAnsi="仿宋" w:eastAsia="仿宋" w:cs="仿宋"/>
          <w:color w:val="auto"/>
          <w:sz w:val="30"/>
          <w:highlight w:val="none"/>
        </w:rPr>
      </w:pPr>
    </w:p>
    <w:p>
      <w:pPr>
        <w:adjustRightInd w:val="0"/>
        <w:snapToGrid w:val="0"/>
        <w:ind w:right="172" w:rightChars="82" w:firstLine="606" w:firstLineChars="202"/>
        <w:rPr>
          <w:rFonts w:hint="eastAsia" w:ascii="仿宋" w:hAnsi="仿宋" w:eastAsia="仿宋" w:cs="仿宋"/>
          <w:color w:val="auto"/>
          <w:sz w:val="30"/>
          <w:highlight w:val="none"/>
        </w:rPr>
      </w:pPr>
    </w:p>
    <w:p>
      <w:pPr>
        <w:spacing w:line="440" w:lineRule="exact"/>
        <w:ind w:left="-210" w:leftChars="-100"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440" w:lineRule="exact"/>
        <w:jc w:val="left"/>
        <w:rPr>
          <w:rFonts w:hint="eastAsia" w:ascii="仿宋" w:hAnsi="仿宋" w:eastAsia="仿宋" w:cs="仿宋"/>
          <w:color w:val="auto"/>
          <w:sz w:val="24"/>
          <w:highlight w:val="none"/>
        </w:rPr>
      </w:pPr>
    </w:p>
    <w:p>
      <w:pPr>
        <w:spacing w:line="440" w:lineRule="exact"/>
        <w:ind w:left="-210" w:leftChars="-10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日期：年月日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ind w:firstLine="4800" w:firstLineChars="20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ind w:firstLine="1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23、验收方案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autoSpaceDE w:val="0"/>
        <w:autoSpaceDN w:val="0"/>
        <w:spacing w:line="360" w:lineRule="auto"/>
        <w:ind w:firstLine="4800" w:firstLineChars="20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投标人名称（盖章）：</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24、认为需要的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right"/>
        <w:rPr>
          <w:rFonts w:hint="eastAsia" w:ascii="仿宋" w:hAnsi="仿宋" w:eastAsia="仿宋" w:cs="仿宋"/>
          <w:color w:val="auto"/>
          <w:sz w:val="24"/>
          <w:highlight w:val="none"/>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w:t>
      </w:r>
      <w:r>
        <w:rPr>
          <w:rFonts w:hint="eastAsia" w:ascii="仿宋" w:hAnsi="仿宋" w:eastAsia="仿宋" w:cs="仿宋"/>
          <w:color w:val="auto"/>
          <w:kern w:val="0"/>
          <w:sz w:val="24"/>
          <w:highlight w:val="none"/>
        </w:rPr>
        <w:t>签字或</w:t>
      </w:r>
      <w:r>
        <w:rPr>
          <w:rFonts w:hint="eastAsia" w:ascii="仿宋" w:hAnsi="仿宋" w:eastAsia="仿宋" w:cs="仿宋"/>
          <w:color w:val="auto"/>
          <w:kern w:val="0"/>
          <w:sz w:val="24"/>
          <w:highlight w:val="none"/>
          <w:lang w:val="zh-CN"/>
        </w:rPr>
        <w:t>盖章）：</w:t>
      </w:r>
    </w:p>
    <w:p>
      <w:pPr>
        <w:spacing w:line="360" w:lineRule="auto"/>
        <w:jc w:val="right"/>
        <w:rPr>
          <w:rFonts w:hint="eastAsia" w:ascii="仿宋" w:hAnsi="仿宋" w:eastAsia="仿宋" w:cs="仿宋"/>
          <w:color w:val="auto"/>
          <w:kern w:val="0"/>
          <w:sz w:val="24"/>
          <w:highlight w:val="none"/>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kern w:val="0"/>
          <w:sz w:val="24"/>
          <w:highlight w:val="none"/>
          <w:lang w:val="zh-CN"/>
        </w:rPr>
        <w:t>日期：年月日</w:t>
      </w:r>
    </w:p>
    <w:p>
      <w:pPr>
        <w:rPr>
          <w:rFonts w:hint="eastAsia" w:ascii="仿宋" w:hAnsi="仿宋" w:eastAsia="仿宋" w:cs="仿宋"/>
          <w:color w:val="auto"/>
          <w:kern w:val="0"/>
          <w:sz w:val="24"/>
          <w:highlight w:val="none"/>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pict>
        <v:shape id="文本框 1026" o:spid="_x0000_s1027"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&#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sUjg0AAAAAMBAAAPAAAAAAAAAAEAIAAAACIAAABk&#10;cnMvZG93bnJldi54bWxQSwECFAAUAAAACACHTuJA9Dmb6tUBAACoAwAADgAAAAAAAAABACAAAAAf&#10;AQAAZHJzL2Uyb0RvYy54bWxQSwUGAAAAAAYABgBZAQAAZgUAAAAA&#10;">
          <v:path/>
          <v:fill on="f" focussize="0,0"/>
          <v:stroke on="f" joinstyle="miter"/>
          <v:imagedata o:title=""/>
          <o:lock v:ext="edit"/>
          <v:textbox inset="0mm,0mm,0mm,0mm" style="mso-fit-shape-to-text:t;">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983"/>
        <w:tab w:val="clear" w:pos="4153"/>
      </w:tabs>
    </w:pPr>
    <w:r>
      <w:pict>
        <v:shape id="文本框 1025" o:spid="_x0000_s1026" o:spt="202" type="#_x0000_t202" style="position:absolute;left:0pt;margin-left:216.3pt;margin-top:-0.75pt;height:10.35pt;width:9.05pt;mso-position-horizontal-relative:margin;mso-wrap-style:none;z-index:251660288;mso-width-relative:page;mso-height-relative:page;" filled="f" stroked="f" coordsize="21600,21600" o:gfxdata="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fn2Y9YAAAAJAQAADwAAAAAAAAABACAA&#10;AAAiAAAAZHJzL2Rvd25yZXYueG1sUEsBAhQAFAAAAAgAh07iQLU8GMbWAQAAqAMAAA4AAAAAAAAA&#10;AQAgAAAAJQEAAGRycy9lMm9Eb2MueG1sUEsFBgAAAAAGAAYAWQEAAG0FAAAAAA==&#10;">
          <v:path/>
          <v:fill on="f" focussize="0,0"/>
          <v:stroke on="f" joinstyle="miter"/>
          <v:imagedata o:title=""/>
          <o:lock v:ext="edit"/>
          <v:textbox inset="0mm,0mm,0mm,0mm" style="mso-fit-shape-to-text:t;">
            <w:txbxContent>
              <w:p>
                <w:pPr>
                  <w:pStyle w:val="27"/>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8"/>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2"/>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13D75BE"/>
    <w:multiLevelType w:val="multilevel"/>
    <w:tmpl w:val="713D75B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172A27"/>
    <w:rsid w:val="00000288"/>
    <w:rsid w:val="00014C26"/>
    <w:rsid w:val="000213BD"/>
    <w:rsid w:val="0002203D"/>
    <w:rsid w:val="0002468D"/>
    <w:rsid w:val="00027D17"/>
    <w:rsid w:val="00030956"/>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709D"/>
    <w:rsid w:val="00061571"/>
    <w:rsid w:val="00061B36"/>
    <w:rsid w:val="00065248"/>
    <w:rsid w:val="00065EFB"/>
    <w:rsid w:val="00067179"/>
    <w:rsid w:val="00074373"/>
    <w:rsid w:val="00077669"/>
    <w:rsid w:val="00083E93"/>
    <w:rsid w:val="00087C4A"/>
    <w:rsid w:val="000933A2"/>
    <w:rsid w:val="00094E92"/>
    <w:rsid w:val="00095559"/>
    <w:rsid w:val="00097868"/>
    <w:rsid w:val="000A1105"/>
    <w:rsid w:val="000A2858"/>
    <w:rsid w:val="000A4F03"/>
    <w:rsid w:val="000A5AC0"/>
    <w:rsid w:val="000A6E1E"/>
    <w:rsid w:val="000B625B"/>
    <w:rsid w:val="000C1A63"/>
    <w:rsid w:val="000C1F3C"/>
    <w:rsid w:val="000C21A5"/>
    <w:rsid w:val="000C3344"/>
    <w:rsid w:val="000C3EE7"/>
    <w:rsid w:val="000C4DBA"/>
    <w:rsid w:val="000C74D4"/>
    <w:rsid w:val="000D0DAB"/>
    <w:rsid w:val="000D0E6C"/>
    <w:rsid w:val="000D110F"/>
    <w:rsid w:val="000D158D"/>
    <w:rsid w:val="000D24E4"/>
    <w:rsid w:val="000D44B1"/>
    <w:rsid w:val="000D4D0E"/>
    <w:rsid w:val="000D4FB6"/>
    <w:rsid w:val="000D64D4"/>
    <w:rsid w:val="000E4A4F"/>
    <w:rsid w:val="000E5A4E"/>
    <w:rsid w:val="00104663"/>
    <w:rsid w:val="001109F8"/>
    <w:rsid w:val="00111C9B"/>
    <w:rsid w:val="00111CC8"/>
    <w:rsid w:val="00112B08"/>
    <w:rsid w:val="0011449B"/>
    <w:rsid w:val="00114B03"/>
    <w:rsid w:val="00114C81"/>
    <w:rsid w:val="00115E6F"/>
    <w:rsid w:val="00116EDA"/>
    <w:rsid w:val="0012018C"/>
    <w:rsid w:val="001218E0"/>
    <w:rsid w:val="00122906"/>
    <w:rsid w:val="0012458E"/>
    <w:rsid w:val="00130D54"/>
    <w:rsid w:val="001345B3"/>
    <w:rsid w:val="0013565E"/>
    <w:rsid w:val="00137525"/>
    <w:rsid w:val="001400AB"/>
    <w:rsid w:val="00142AA1"/>
    <w:rsid w:val="00150D5E"/>
    <w:rsid w:val="00157269"/>
    <w:rsid w:val="00161E6C"/>
    <w:rsid w:val="00162D85"/>
    <w:rsid w:val="00165068"/>
    <w:rsid w:val="00165C06"/>
    <w:rsid w:val="00166E3E"/>
    <w:rsid w:val="00172A27"/>
    <w:rsid w:val="00173659"/>
    <w:rsid w:val="001737BE"/>
    <w:rsid w:val="00174AB3"/>
    <w:rsid w:val="001751A8"/>
    <w:rsid w:val="00182BCE"/>
    <w:rsid w:val="001841D9"/>
    <w:rsid w:val="00184C15"/>
    <w:rsid w:val="001869CB"/>
    <w:rsid w:val="00187E3F"/>
    <w:rsid w:val="0019064E"/>
    <w:rsid w:val="00190DB7"/>
    <w:rsid w:val="00191263"/>
    <w:rsid w:val="001915D6"/>
    <w:rsid w:val="00191EE1"/>
    <w:rsid w:val="00192A2F"/>
    <w:rsid w:val="00193494"/>
    <w:rsid w:val="001A0C24"/>
    <w:rsid w:val="001A15C0"/>
    <w:rsid w:val="001A40E8"/>
    <w:rsid w:val="001A5CA3"/>
    <w:rsid w:val="001A622E"/>
    <w:rsid w:val="001A6712"/>
    <w:rsid w:val="001B2770"/>
    <w:rsid w:val="001B485F"/>
    <w:rsid w:val="001B4A44"/>
    <w:rsid w:val="001B4D88"/>
    <w:rsid w:val="001B70E5"/>
    <w:rsid w:val="001C07C7"/>
    <w:rsid w:val="001C1E8B"/>
    <w:rsid w:val="001C3739"/>
    <w:rsid w:val="001C5267"/>
    <w:rsid w:val="001C6042"/>
    <w:rsid w:val="001D108D"/>
    <w:rsid w:val="001D24BB"/>
    <w:rsid w:val="001D509C"/>
    <w:rsid w:val="001D6ED7"/>
    <w:rsid w:val="001D7C85"/>
    <w:rsid w:val="001E0576"/>
    <w:rsid w:val="001E0DE9"/>
    <w:rsid w:val="001E3B20"/>
    <w:rsid w:val="001E4A9F"/>
    <w:rsid w:val="001F2767"/>
    <w:rsid w:val="001F3859"/>
    <w:rsid w:val="001F429B"/>
    <w:rsid w:val="001F43C6"/>
    <w:rsid w:val="001F4C63"/>
    <w:rsid w:val="001F7E31"/>
    <w:rsid w:val="0020010E"/>
    <w:rsid w:val="002020B2"/>
    <w:rsid w:val="0020567D"/>
    <w:rsid w:val="002056F9"/>
    <w:rsid w:val="002062F2"/>
    <w:rsid w:val="002070ED"/>
    <w:rsid w:val="00210CAC"/>
    <w:rsid w:val="00211374"/>
    <w:rsid w:val="00231CB7"/>
    <w:rsid w:val="00231D98"/>
    <w:rsid w:val="00233356"/>
    <w:rsid w:val="0023638E"/>
    <w:rsid w:val="00236750"/>
    <w:rsid w:val="00241007"/>
    <w:rsid w:val="00242F55"/>
    <w:rsid w:val="00247AB8"/>
    <w:rsid w:val="00250440"/>
    <w:rsid w:val="00250675"/>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158"/>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6A17"/>
    <w:rsid w:val="00307917"/>
    <w:rsid w:val="003103BE"/>
    <w:rsid w:val="00310479"/>
    <w:rsid w:val="003110EF"/>
    <w:rsid w:val="0031459C"/>
    <w:rsid w:val="00315E77"/>
    <w:rsid w:val="00316329"/>
    <w:rsid w:val="003263C0"/>
    <w:rsid w:val="0032789C"/>
    <w:rsid w:val="00327BE3"/>
    <w:rsid w:val="00330D20"/>
    <w:rsid w:val="00334AE8"/>
    <w:rsid w:val="00335134"/>
    <w:rsid w:val="00346756"/>
    <w:rsid w:val="00352CD7"/>
    <w:rsid w:val="0036433A"/>
    <w:rsid w:val="00365E4D"/>
    <w:rsid w:val="003676AE"/>
    <w:rsid w:val="00367EAB"/>
    <w:rsid w:val="00371214"/>
    <w:rsid w:val="00372A03"/>
    <w:rsid w:val="0037368A"/>
    <w:rsid w:val="00373B00"/>
    <w:rsid w:val="00375107"/>
    <w:rsid w:val="0037517D"/>
    <w:rsid w:val="00375265"/>
    <w:rsid w:val="00376A59"/>
    <w:rsid w:val="00381405"/>
    <w:rsid w:val="00383216"/>
    <w:rsid w:val="00384E3C"/>
    <w:rsid w:val="0039130B"/>
    <w:rsid w:val="00393589"/>
    <w:rsid w:val="00393A4C"/>
    <w:rsid w:val="003A2040"/>
    <w:rsid w:val="003A25EB"/>
    <w:rsid w:val="003A6E44"/>
    <w:rsid w:val="003A74F5"/>
    <w:rsid w:val="003B0045"/>
    <w:rsid w:val="003B2B02"/>
    <w:rsid w:val="003B2E46"/>
    <w:rsid w:val="003B6B82"/>
    <w:rsid w:val="003C0638"/>
    <w:rsid w:val="003C2D53"/>
    <w:rsid w:val="003C3A74"/>
    <w:rsid w:val="003C4BA8"/>
    <w:rsid w:val="003C637D"/>
    <w:rsid w:val="003C7D51"/>
    <w:rsid w:val="003D1A22"/>
    <w:rsid w:val="003D7052"/>
    <w:rsid w:val="003D7693"/>
    <w:rsid w:val="003E074D"/>
    <w:rsid w:val="003E4007"/>
    <w:rsid w:val="003E6C02"/>
    <w:rsid w:val="003F15E3"/>
    <w:rsid w:val="003F4084"/>
    <w:rsid w:val="003F4F31"/>
    <w:rsid w:val="003F5EF9"/>
    <w:rsid w:val="003F61F8"/>
    <w:rsid w:val="003F77E0"/>
    <w:rsid w:val="003F7BB2"/>
    <w:rsid w:val="00400057"/>
    <w:rsid w:val="004014F5"/>
    <w:rsid w:val="00405C1A"/>
    <w:rsid w:val="00407D88"/>
    <w:rsid w:val="004109FD"/>
    <w:rsid w:val="00411460"/>
    <w:rsid w:val="004126B4"/>
    <w:rsid w:val="004138A3"/>
    <w:rsid w:val="0041394C"/>
    <w:rsid w:val="0041468F"/>
    <w:rsid w:val="004169D9"/>
    <w:rsid w:val="00417C8A"/>
    <w:rsid w:val="00420156"/>
    <w:rsid w:val="00422031"/>
    <w:rsid w:val="00423A07"/>
    <w:rsid w:val="00426003"/>
    <w:rsid w:val="00426E6F"/>
    <w:rsid w:val="004307B2"/>
    <w:rsid w:val="00431F99"/>
    <w:rsid w:val="00432686"/>
    <w:rsid w:val="004350B7"/>
    <w:rsid w:val="00442935"/>
    <w:rsid w:val="0044422F"/>
    <w:rsid w:val="00445C1C"/>
    <w:rsid w:val="004531C3"/>
    <w:rsid w:val="00454A5B"/>
    <w:rsid w:val="00454E74"/>
    <w:rsid w:val="00457241"/>
    <w:rsid w:val="00460753"/>
    <w:rsid w:val="00460D42"/>
    <w:rsid w:val="00461637"/>
    <w:rsid w:val="004627E0"/>
    <w:rsid w:val="00464359"/>
    <w:rsid w:val="00465438"/>
    <w:rsid w:val="00471407"/>
    <w:rsid w:val="00471778"/>
    <w:rsid w:val="00476C0B"/>
    <w:rsid w:val="00477EFE"/>
    <w:rsid w:val="004823E8"/>
    <w:rsid w:val="00485E04"/>
    <w:rsid w:val="00487128"/>
    <w:rsid w:val="00487707"/>
    <w:rsid w:val="00493946"/>
    <w:rsid w:val="00494596"/>
    <w:rsid w:val="00495B26"/>
    <w:rsid w:val="004964DA"/>
    <w:rsid w:val="00497699"/>
    <w:rsid w:val="00497B43"/>
    <w:rsid w:val="00497DB2"/>
    <w:rsid w:val="004A0174"/>
    <w:rsid w:val="004A19C4"/>
    <w:rsid w:val="004A1C81"/>
    <w:rsid w:val="004A236E"/>
    <w:rsid w:val="004A7A78"/>
    <w:rsid w:val="004B5136"/>
    <w:rsid w:val="004C0238"/>
    <w:rsid w:val="004C1A9C"/>
    <w:rsid w:val="004C2F11"/>
    <w:rsid w:val="004D0EA8"/>
    <w:rsid w:val="004D2D24"/>
    <w:rsid w:val="004D314A"/>
    <w:rsid w:val="004D42D8"/>
    <w:rsid w:val="004D4938"/>
    <w:rsid w:val="004D5BFF"/>
    <w:rsid w:val="004D6FCA"/>
    <w:rsid w:val="004E04D2"/>
    <w:rsid w:val="004E1AB8"/>
    <w:rsid w:val="004E22FC"/>
    <w:rsid w:val="004E2A2F"/>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3917"/>
    <w:rsid w:val="00536FBF"/>
    <w:rsid w:val="0054018C"/>
    <w:rsid w:val="0054254A"/>
    <w:rsid w:val="00544130"/>
    <w:rsid w:val="0055182F"/>
    <w:rsid w:val="005522C5"/>
    <w:rsid w:val="00555780"/>
    <w:rsid w:val="0056065C"/>
    <w:rsid w:val="0057066B"/>
    <w:rsid w:val="0057223E"/>
    <w:rsid w:val="00572BAD"/>
    <w:rsid w:val="00573BCB"/>
    <w:rsid w:val="00576529"/>
    <w:rsid w:val="00577014"/>
    <w:rsid w:val="00584301"/>
    <w:rsid w:val="00585E68"/>
    <w:rsid w:val="00586C3A"/>
    <w:rsid w:val="00587796"/>
    <w:rsid w:val="005879E7"/>
    <w:rsid w:val="00590E09"/>
    <w:rsid w:val="00591584"/>
    <w:rsid w:val="00594CDD"/>
    <w:rsid w:val="005967FC"/>
    <w:rsid w:val="005A0348"/>
    <w:rsid w:val="005A32FB"/>
    <w:rsid w:val="005A38C6"/>
    <w:rsid w:val="005A3E6E"/>
    <w:rsid w:val="005A7A4A"/>
    <w:rsid w:val="005B280F"/>
    <w:rsid w:val="005B5915"/>
    <w:rsid w:val="005C0B8A"/>
    <w:rsid w:val="005C16E4"/>
    <w:rsid w:val="005C1CD8"/>
    <w:rsid w:val="005C3154"/>
    <w:rsid w:val="005C3A22"/>
    <w:rsid w:val="005C3D96"/>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4F0"/>
    <w:rsid w:val="00615A32"/>
    <w:rsid w:val="00625BC2"/>
    <w:rsid w:val="0063038E"/>
    <w:rsid w:val="006329C9"/>
    <w:rsid w:val="006351A3"/>
    <w:rsid w:val="006366FE"/>
    <w:rsid w:val="00647236"/>
    <w:rsid w:val="00651C90"/>
    <w:rsid w:val="00655480"/>
    <w:rsid w:val="00655744"/>
    <w:rsid w:val="00656E00"/>
    <w:rsid w:val="00660A99"/>
    <w:rsid w:val="00667E4E"/>
    <w:rsid w:val="0067526F"/>
    <w:rsid w:val="00675C4B"/>
    <w:rsid w:val="006839B6"/>
    <w:rsid w:val="006854BE"/>
    <w:rsid w:val="00694B34"/>
    <w:rsid w:val="006964A9"/>
    <w:rsid w:val="00697E44"/>
    <w:rsid w:val="006A1906"/>
    <w:rsid w:val="006A69A8"/>
    <w:rsid w:val="006A6E74"/>
    <w:rsid w:val="006B183A"/>
    <w:rsid w:val="006B1AA2"/>
    <w:rsid w:val="006B4058"/>
    <w:rsid w:val="006B456B"/>
    <w:rsid w:val="006B4C67"/>
    <w:rsid w:val="006B502C"/>
    <w:rsid w:val="006B5BB8"/>
    <w:rsid w:val="006B6203"/>
    <w:rsid w:val="006B6B67"/>
    <w:rsid w:val="006C02F5"/>
    <w:rsid w:val="006C5FEF"/>
    <w:rsid w:val="006D34D0"/>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35"/>
    <w:rsid w:val="00722CB9"/>
    <w:rsid w:val="00727E2C"/>
    <w:rsid w:val="00727FEB"/>
    <w:rsid w:val="007367B3"/>
    <w:rsid w:val="007402C2"/>
    <w:rsid w:val="00743859"/>
    <w:rsid w:val="00743C5C"/>
    <w:rsid w:val="0074525D"/>
    <w:rsid w:val="00746B00"/>
    <w:rsid w:val="007474FA"/>
    <w:rsid w:val="0075094E"/>
    <w:rsid w:val="00757BAC"/>
    <w:rsid w:val="007626A0"/>
    <w:rsid w:val="00762B5C"/>
    <w:rsid w:val="00763A08"/>
    <w:rsid w:val="0076668A"/>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592B"/>
    <w:rsid w:val="007E765C"/>
    <w:rsid w:val="007F0976"/>
    <w:rsid w:val="007F4A8F"/>
    <w:rsid w:val="007F52CF"/>
    <w:rsid w:val="008007F7"/>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755E6"/>
    <w:rsid w:val="0088347A"/>
    <w:rsid w:val="00885D8E"/>
    <w:rsid w:val="00886234"/>
    <w:rsid w:val="008863A7"/>
    <w:rsid w:val="008863D4"/>
    <w:rsid w:val="00886634"/>
    <w:rsid w:val="00887B85"/>
    <w:rsid w:val="00890DCD"/>
    <w:rsid w:val="00896FB1"/>
    <w:rsid w:val="00897356"/>
    <w:rsid w:val="00897AF3"/>
    <w:rsid w:val="008A357F"/>
    <w:rsid w:val="008A4822"/>
    <w:rsid w:val="008A5161"/>
    <w:rsid w:val="008B079F"/>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E11"/>
    <w:rsid w:val="008E316D"/>
    <w:rsid w:val="008E4628"/>
    <w:rsid w:val="008E5F0C"/>
    <w:rsid w:val="008E612F"/>
    <w:rsid w:val="008F03D5"/>
    <w:rsid w:val="008F07DF"/>
    <w:rsid w:val="008F08A0"/>
    <w:rsid w:val="008F1219"/>
    <w:rsid w:val="008F366B"/>
    <w:rsid w:val="008F3E4C"/>
    <w:rsid w:val="008F7903"/>
    <w:rsid w:val="008F7DDE"/>
    <w:rsid w:val="0090287D"/>
    <w:rsid w:val="00907974"/>
    <w:rsid w:val="00910AD3"/>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4C57"/>
    <w:rsid w:val="00976C85"/>
    <w:rsid w:val="009829FC"/>
    <w:rsid w:val="00987666"/>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46"/>
    <w:rsid w:val="009C76D3"/>
    <w:rsid w:val="009D1860"/>
    <w:rsid w:val="009D384E"/>
    <w:rsid w:val="009D3E5A"/>
    <w:rsid w:val="009D4270"/>
    <w:rsid w:val="009D4691"/>
    <w:rsid w:val="009D5067"/>
    <w:rsid w:val="009D5C27"/>
    <w:rsid w:val="009D7183"/>
    <w:rsid w:val="009D744F"/>
    <w:rsid w:val="009E2C1B"/>
    <w:rsid w:val="009E35EE"/>
    <w:rsid w:val="009E3626"/>
    <w:rsid w:val="009E3F0D"/>
    <w:rsid w:val="009E55E0"/>
    <w:rsid w:val="009E6D86"/>
    <w:rsid w:val="009E7112"/>
    <w:rsid w:val="009F2035"/>
    <w:rsid w:val="009F5CDD"/>
    <w:rsid w:val="009F6F5D"/>
    <w:rsid w:val="00A0299D"/>
    <w:rsid w:val="00A039DC"/>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63A39"/>
    <w:rsid w:val="00A714BB"/>
    <w:rsid w:val="00A7154B"/>
    <w:rsid w:val="00A733D2"/>
    <w:rsid w:val="00A81059"/>
    <w:rsid w:val="00A87265"/>
    <w:rsid w:val="00A9044C"/>
    <w:rsid w:val="00A90951"/>
    <w:rsid w:val="00A9106B"/>
    <w:rsid w:val="00A915BC"/>
    <w:rsid w:val="00A91F9A"/>
    <w:rsid w:val="00A926FB"/>
    <w:rsid w:val="00A93AC6"/>
    <w:rsid w:val="00A93E9E"/>
    <w:rsid w:val="00A95DBC"/>
    <w:rsid w:val="00A96926"/>
    <w:rsid w:val="00A97D3D"/>
    <w:rsid w:val="00AA17DC"/>
    <w:rsid w:val="00AA3B9C"/>
    <w:rsid w:val="00AA493F"/>
    <w:rsid w:val="00AB2650"/>
    <w:rsid w:val="00AB29D3"/>
    <w:rsid w:val="00AB370A"/>
    <w:rsid w:val="00AB39F3"/>
    <w:rsid w:val="00AC2B19"/>
    <w:rsid w:val="00AC346A"/>
    <w:rsid w:val="00AC4A89"/>
    <w:rsid w:val="00AD032A"/>
    <w:rsid w:val="00AD212B"/>
    <w:rsid w:val="00AD5414"/>
    <w:rsid w:val="00AD5F30"/>
    <w:rsid w:val="00AE2286"/>
    <w:rsid w:val="00AE2ED6"/>
    <w:rsid w:val="00AE7E12"/>
    <w:rsid w:val="00AF039F"/>
    <w:rsid w:val="00AF0A13"/>
    <w:rsid w:val="00AF4A99"/>
    <w:rsid w:val="00AF65F7"/>
    <w:rsid w:val="00B00F7A"/>
    <w:rsid w:val="00B012D5"/>
    <w:rsid w:val="00B01A6C"/>
    <w:rsid w:val="00B0332B"/>
    <w:rsid w:val="00B127DA"/>
    <w:rsid w:val="00B12ECD"/>
    <w:rsid w:val="00B138A5"/>
    <w:rsid w:val="00B14C0B"/>
    <w:rsid w:val="00B15124"/>
    <w:rsid w:val="00B2146D"/>
    <w:rsid w:val="00B22071"/>
    <w:rsid w:val="00B31EF4"/>
    <w:rsid w:val="00B3313A"/>
    <w:rsid w:val="00B34302"/>
    <w:rsid w:val="00B35C4D"/>
    <w:rsid w:val="00B36043"/>
    <w:rsid w:val="00B367CF"/>
    <w:rsid w:val="00B37781"/>
    <w:rsid w:val="00B37BCC"/>
    <w:rsid w:val="00B41EA2"/>
    <w:rsid w:val="00B475BB"/>
    <w:rsid w:val="00B51EFD"/>
    <w:rsid w:val="00B54A1C"/>
    <w:rsid w:val="00B55791"/>
    <w:rsid w:val="00B56FBC"/>
    <w:rsid w:val="00B61CB2"/>
    <w:rsid w:val="00B63318"/>
    <w:rsid w:val="00B66525"/>
    <w:rsid w:val="00B702D9"/>
    <w:rsid w:val="00B729E1"/>
    <w:rsid w:val="00B808B4"/>
    <w:rsid w:val="00B80D7D"/>
    <w:rsid w:val="00B812CD"/>
    <w:rsid w:val="00B8314C"/>
    <w:rsid w:val="00B850D2"/>
    <w:rsid w:val="00B869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25A9"/>
    <w:rsid w:val="00C02D7A"/>
    <w:rsid w:val="00C036EC"/>
    <w:rsid w:val="00C0598F"/>
    <w:rsid w:val="00C05D6B"/>
    <w:rsid w:val="00C13CEC"/>
    <w:rsid w:val="00C13CF5"/>
    <w:rsid w:val="00C1781A"/>
    <w:rsid w:val="00C20683"/>
    <w:rsid w:val="00C20DC8"/>
    <w:rsid w:val="00C24B6E"/>
    <w:rsid w:val="00C256B4"/>
    <w:rsid w:val="00C304D6"/>
    <w:rsid w:val="00C31EB2"/>
    <w:rsid w:val="00C329C3"/>
    <w:rsid w:val="00C40CD1"/>
    <w:rsid w:val="00C52C7F"/>
    <w:rsid w:val="00C607B3"/>
    <w:rsid w:val="00C62563"/>
    <w:rsid w:val="00C628DA"/>
    <w:rsid w:val="00C6395F"/>
    <w:rsid w:val="00C667E7"/>
    <w:rsid w:val="00C66EE6"/>
    <w:rsid w:val="00C670AB"/>
    <w:rsid w:val="00C721C3"/>
    <w:rsid w:val="00C73213"/>
    <w:rsid w:val="00C7421C"/>
    <w:rsid w:val="00C74BFB"/>
    <w:rsid w:val="00C75DA4"/>
    <w:rsid w:val="00C765AF"/>
    <w:rsid w:val="00C81992"/>
    <w:rsid w:val="00C83068"/>
    <w:rsid w:val="00C833B7"/>
    <w:rsid w:val="00C83429"/>
    <w:rsid w:val="00C84785"/>
    <w:rsid w:val="00C8637A"/>
    <w:rsid w:val="00C87311"/>
    <w:rsid w:val="00C87F1E"/>
    <w:rsid w:val="00C90AF0"/>
    <w:rsid w:val="00C93022"/>
    <w:rsid w:val="00C96B1D"/>
    <w:rsid w:val="00CA1881"/>
    <w:rsid w:val="00CA27AA"/>
    <w:rsid w:val="00CA374D"/>
    <w:rsid w:val="00CA45AE"/>
    <w:rsid w:val="00CA6080"/>
    <w:rsid w:val="00CA627A"/>
    <w:rsid w:val="00CA6806"/>
    <w:rsid w:val="00CA70BF"/>
    <w:rsid w:val="00CA7348"/>
    <w:rsid w:val="00CB1316"/>
    <w:rsid w:val="00CB16E8"/>
    <w:rsid w:val="00CB7229"/>
    <w:rsid w:val="00CC0BE0"/>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1F9D"/>
    <w:rsid w:val="00D026F7"/>
    <w:rsid w:val="00D056B2"/>
    <w:rsid w:val="00D05917"/>
    <w:rsid w:val="00D05BBB"/>
    <w:rsid w:val="00D07AA9"/>
    <w:rsid w:val="00D10648"/>
    <w:rsid w:val="00D1373D"/>
    <w:rsid w:val="00D200E4"/>
    <w:rsid w:val="00D2049A"/>
    <w:rsid w:val="00D212FB"/>
    <w:rsid w:val="00D23BFA"/>
    <w:rsid w:val="00D24803"/>
    <w:rsid w:val="00D353FF"/>
    <w:rsid w:val="00D369AC"/>
    <w:rsid w:val="00D36FF4"/>
    <w:rsid w:val="00D40795"/>
    <w:rsid w:val="00D41C06"/>
    <w:rsid w:val="00D460AD"/>
    <w:rsid w:val="00D47043"/>
    <w:rsid w:val="00D51479"/>
    <w:rsid w:val="00D54C72"/>
    <w:rsid w:val="00D56345"/>
    <w:rsid w:val="00D56B35"/>
    <w:rsid w:val="00D56E7A"/>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37C"/>
    <w:rsid w:val="00DA7BFE"/>
    <w:rsid w:val="00DB3061"/>
    <w:rsid w:val="00DB5A96"/>
    <w:rsid w:val="00DB663C"/>
    <w:rsid w:val="00DB6F25"/>
    <w:rsid w:val="00DC10A7"/>
    <w:rsid w:val="00DC12B0"/>
    <w:rsid w:val="00DC4AA0"/>
    <w:rsid w:val="00DC6568"/>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210"/>
    <w:rsid w:val="00E47EEF"/>
    <w:rsid w:val="00E51C1B"/>
    <w:rsid w:val="00E533C4"/>
    <w:rsid w:val="00E53964"/>
    <w:rsid w:val="00E56E06"/>
    <w:rsid w:val="00E56FC4"/>
    <w:rsid w:val="00E57296"/>
    <w:rsid w:val="00E575C3"/>
    <w:rsid w:val="00E622B2"/>
    <w:rsid w:val="00E65055"/>
    <w:rsid w:val="00E65A9B"/>
    <w:rsid w:val="00E66918"/>
    <w:rsid w:val="00E72A91"/>
    <w:rsid w:val="00E75340"/>
    <w:rsid w:val="00E81C57"/>
    <w:rsid w:val="00E85789"/>
    <w:rsid w:val="00E91B94"/>
    <w:rsid w:val="00E93356"/>
    <w:rsid w:val="00E938AF"/>
    <w:rsid w:val="00E9512A"/>
    <w:rsid w:val="00E96A92"/>
    <w:rsid w:val="00EA3654"/>
    <w:rsid w:val="00EA37AB"/>
    <w:rsid w:val="00EA42EA"/>
    <w:rsid w:val="00EA4736"/>
    <w:rsid w:val="00EA4812"/>
    <w:rsid w:val="00EA62B8"/>
    <w:rsid w:val="00EA6B0D"/>
    <w:rsid w:val="00EB0AE3"/>
    <w:rsid w:val="00EB4A72"/>
    <w:rsid w:val="00EB72A5"/>
    <w:rsid w:val="00EB7E69"/>
    <w:rsid w:val="00EC075C"/>
    <w:rsid w:val="00EC155E"/>
    <w:rsid w:val="00EC209C"/>
    <w:rsid w:val="00EC2864"/>
    <w:rsid w:val="00EC3182"/>
    <w:rsid w:val="00EC57BD"/>
    <w:rsid w:val="00EC7697"/>
    <w:rsid w:val="00EC77D6"/>
    <w:rsid w:val="00ED1F25"/>
    <w:rsid w:val="00ED29D1"/>
    <w:rsid w:val="00ED3096"/>
    <w:rsid w:val="00ED3A96"/>
    <w:rsid w:val="00EE2519"/>
    <w:rsid w:val="00EE54FE"/>
    <w:rsid w:val="00EE5E15"/>
    <w:rsid w:val="00EF0648"/>
    <w:rsid w:val="00EF0988"/>
    <w:rsid w:val="00EF394B"/>
    <w:rsid w:val="00EF40B3"/>
    <w:rsid w:val="00F01C96"/>
    <w:rsid w:val="00F051F8"/>
    <w:rsid w:val="00F0661F"/>
    <w:rsid w:val="00F07A83"/>
    <w:rsid w:val="00F07BDA"/>
    <w:rsid w:val="00F12CBB"/>
    <w:rsid w:val="00F1355C"/>
    <w:rsid w:val="00F15F80"/>
    <w:rsid w:val="00F222DA"/>
    <w:rsid w:val="00F2566F"/>
    <w:rsid w:val="00F26477"/>
    <w:rsid w:val="00F27259"/>
    <w:rsid w:val="00F33527"/>
    <w:rsid w:val="00F33DF7"/>
    <w:rsid w:val="00F35DF7"/>
    <w:rsid w:val="00F360DB"/>
    <w:rsid w:val="00F37C1A"/>
    <w:rsid w:val="00F405B5"/>
    <w:rsid w:val="00F41632"/>
    <w:rsid w:val="00F42267"/>
    <w:rsid w:val="00F4255B"/>
    <w:rsid w:val="00F454C9"/>
    <w:rsid w:val="00F46AE7"/>
    <w:rsid w:val="00F477E2"/>
    <w:rsid w:val="00F515FC"/>
    <w:rsid w:val="00F5295B"/>
    <w:rsid w:val="00F54935"/>
    <w:rsid w:val="00F57CCC"/>
    <w:rsid w:val="00F63771"/>
    <w:rsid w:val="00F63922"/>
    <w:rsid w:val="00F65BA4"/>
    <w:rsid w:val="00F6668D"/>
    <w:rsid w:val="00F70C83"/>
    <w:rsid w:val="00F76826"/>
    <w:rsid w:val="00F76A15"/>
    <w:rsid w:val="00F77CA1"/>
    <w:rsid w:val="00F82E38"/>
    <w:rsid w:val="00F9042A"/>
    <w:rsid w:val="00F916ED"/>
    <w:rsid w:val="00F9250E"/>
    <w:rsid w:val="00F94D2A"/>
    <w:rsid w:val="00F95492"/>
    <w:rsid w:val="00FA4064"/>
    <w:rsid w:val="00FA4846"/>
    <w:rsid w:val="00FB1EB6"/>
    <w:rsid w:val="00FB28F5"/>
    <w:rsid w:val="00FB466D"/>
    <w:rsid w:val="00FB4E10"/>
    <w:rsid w:val="00FB57EB"/>
    <w:rsid w:val="00FB5905"/>
    <w:rsid w:val="00FB5FF6"/>
    <w:rsid w:val="00FB6FF9"/>
    <w:rsid w:val="00FC0201"/>
    <w:rsid w:val="00FC066F"/>
    <w:rsid w:val="00FC16C6"/>
    <w:rsid w:val="00FC3901"/>
    <w:rsid w:val="00FC5B79"/>
    <w:rsid w:val="00FC7E58"/>
    <w:rsid w:val="00FD5EB9"/>
    <w:rsid w:val="00FD65DA"/>
    <w:rsid w:val="00FD69EA"/>
    <w:rsid w:val="00FD714E"/>
    <w:rsid w:val="00FE5780"/>
    <w:rsid w:val="00FE5E89"/>
    <w:rsid w:val="00FE7260"/>
    <w:rsid w:val="00FF0866"/>
    <w:rsid w:val="00FF21AE"/>
    <w:rsid w:val="00FF724C"/>
    <w:rsid w:val="00FF7A04"/>
    <w:rsid w:val="00FF7BD2"/>
    <w:rsid w:val="014A102B"/>
    <w:rsid w:val="01F86547"/>
    <w:rsid w:val="020B1352"/>
    <w:rsid w:val="04655A2E"/>
    <w:rsid w:val="06033D70"/>
    <w:rsid w:val="096822C4"/>
    <w:rsid w:val="0D1F2EFB"/>
    <w:rsid w:val="0DF10E84"/>
    <w:rsid w:val="0FBA0285"/>
    <w:rsid w:val="12967551"/>
    <w:rsid w:val="13006F54"/>
    <w:rsid w:val="136D6ED3"/>
    <w:rsid w:val="13866CDF"/>
    <w:rsid w:val="138F580D"/>
    <w:rsid w:val="174D5402"/>
    <w:rsid w:val="182F1BE9"/>
    <w:rsid w:val="19CB26FB"/>
    <w:rsid w:val="1D38533F"/>
    <w:rsid w:val="1EB65C73"/>
    <w:rsid w:val="203A3ADA"/>
    <w:rsid w:val="21E9513C"/>
    <w:rsid w:val="22640736"/>
    <w:rsid w:val="234A5ADA"/>
    <w:rsid w:val="23CE2E51"/>
    <w:rsid w:val="24A87D17"/>
    <w:rsid w:val="24BF1EF4"/>
    <w:rsid w:val="263C7165"/>
    <w:rsid w:val="29BE4E73"/>
    <w:rsid w:val="2A27300C"/>
    <w:rsid w:val="2ABC209E"/>
    <w:rsid w:val="2B0C63C3"/>
    <w:rsid w:val="2CEC504B"/>
    <w:rsid w:val="2D3E7E1F"/>
    <w:rsid w:val="2FB44E79"/>
    <w:rsid w:val="2FDF1CD2"/>
    <w:rsid w:val="33B05C54"/>
    <w:rsid w:val="3509448B"/>
    <w:rsid w:val="36AA5FB7"/>
    <w:rsid w:val="37E207E0"/>
    <w:rsid w:val="3ADC3279"/>
    <w:rsid w:val="3AF720E1"/>
    <w:rsid w:val="3D7D4874"/>
    <w:rsid w:val="3DD32704"/>
    <w:rsid w:val="3F1F6E61"/>
    <w:rsid w:val="411370E1"/>
    <w:rsid w:val="438F3969"/>
    <w:rsid w:val="43AB35FA"/>
    <w:rsid w:val="43E40661"/>
    <w:rsid w:val="44A86AEF"/>
    <w:rsid w:val="466A68F8"/>
    <w:rsid w:val="46A75CF0"/>
    <w:rsid w:val="49D037AD"/>
    <w:rsid w:val="4A095C59"/>
    <w:rsid w:val="4BD42C46"/>
    <w:rsid w:val="4D473578"/>
    <w:rsid w:val="4ECF6DEE"/>
    <w:rsid w:val="4FEA6EDE"/>
    <w:rsid w:val="4FEC4AC6"/>
    <w:rsid w:val="504170C8"/>
    <w:rsid w:val="51127997"/>
    <w:rsid w:val="52320CE8"/>
    <w:rsid w:val="53293D6C"/>
    <w:rsid w:val="53CE78AB"/>
    <w:rsid w:val="557C6D9E"/>
    <w:rsid w:val="578B5375"/>
    <w:rsid w:val="579E6661"/>
    <w:rsid w:val="58B96466"/>
    <w:rsid w:val="59E92304"/>
    <w:rsid w:val="5A830ECD"/>
    <w:rsid w:val="5AB5391D"/>
    <w:rsid w:val="5B5C4BD9"/>
    <w:rsid w:val="5BA57A9F"/>
    <w:rsid w:val="5C0E3E63"/>
    <w:rsid w:val="5DD3249C"/>
    <w:rsid w:val="5E192021"/>
    <w:rsid w:val="5EC87223"/>
    <w:rsid w:val="607629FB"/>
    <w:rsid w:val="60C05AC1"/>
    <w:rsid w:val="618B1EF3"/>
    <w:rsid w:val="618B39CD"/>
    <w:rsid w:val="62110416"/>
    <w:rsid w:val="62A42A78"/>
    <w:rsid w:val="64E95889"/>
    <w:rsid w:val="675A1911"/>
    <w:rsid w:val="68A624C1"/>
    <w:rsid w:val="6B1328B3"/>
    <w:rsid w:val="6B872EA8"/>
    <w:rsid w:val="6F1448E1"/>
    <w:rsid w:val="702754DC"/>
    <w:rsid w:val="706A291D"/>
    <w:rsid w:val="70921C01"/>
    <w:rsid w:val="71E06781"/>
    <w:rsid w:val="72827EF7"/>
    <w:rsid w:val="73D968CF"/>
    <w:rsid w:val="763464B7"/>
    <w:rsid w:val="7BA62F16"/>
    <w:rsid w:val="7D9D3491"/>
    <w:rsid w:val="7ECF35A2"/>
    <w:rsid w:val="7EE175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qFormat="1"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0"/>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3"/>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4"/>
    <w:qFormat/>
    <w:uiPriority w:val="0"/>
    <w:pPr>
      <w:keepNext/>
      <w:widowControl/>
      <w:numPr>
        <w:ilvl w:val="0"/>
        <w:numId w:val="4"/>
      </w:numPr>
      <w:jc w:val="left"/>
      <w:outlineLvl w:val="4"/>
    </w:pPr>
    <w:rPr>
      <w:kern w:val="0"/>
      <w:sz w:val="24"/>
      <w:szCs w:val="20"/>
    </w:rPr>
  </w:style>
  <w:style w:type="paragraph" w:styleId="9">
    <w:name w:val="heading 6"/>
    <w:basedOn w:val="1"/>
    <w:next w:val="1"/>
    <w:link w:val="11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121"/>
    <w:semiHidden/>
    <w:qFormat/>
    <w:uiPriority w:val="0"/>
    <w:pPr>
      <w:jc w:val="left"/>
    </w:pPr>
  </w:style>
  <w:style w:type="paragraph" w:styleId="18">
    <w:name w:val="Body Text"/>
    <w:basedOn w:val="1"/>
    <w:link w:val="69"/>
    <w:qFormat/>
    <w:uiPriority w:val="0"/>
    <w:pPr>
      <w:spacing w:line="360" w:lineRule="auto"/>
    </w:pPr>
    <w:rPr>
      <w:rFonts w:eastAsia="仿宋_GB2312"/>
      <w:sz w:val="28"/>
    </w:rPr>
  </w:style>
  <w:style w:type="paragraph" w:styleId="19">
    <w:name w:val="Body Text Indent"/>
    <w:basedOn w:val="1"/>
    <w:link w:val="10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unhideWhenUsed/>
    <w:qFormat/>
    <w:uiPriority w:val="0"/>
    <w:pPr>
      <w:ind w:left="100" w:leftChars="200" w:hanging="200" w:hangingChars="200"/>
      <w:contextualSpacing/>
    </w:p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Plain Text"/>
    <w:basedOn w:val="1"/>
    <w:link w:val="55"/>
    <w:qFormat/>
    <w:uiPriority w:val="0"/>
    <w:rPr>
      <w:rFonts w:ascii="宋体" w:hAnsi="Courier New"/>
      <w:szCs w:val="20"/>
    </w:rPr>
  </w:style>
  <w:style w:type="paragraph" w:styleId="24">
    <w:name w:val="Date"/>
    <w:basedOn w:val="1"/>
    <w:next w:val="1"/>
    <w:link w:val="114"/>
    <w:qFormat/>
    <w:uiPriority w:val="0"/>
    <w:rPr>
      <w:rFonts w:ascii="楷体_GB2312" w:eastAsia="楷体_GB2312"/>
      <w:b/>
      <w:sz w:val="28"/>
      <w:szCs w:val="20"/>
    </w:rPr>
  </w:style>
  <w:style w:type="paragraph" w:styleId="25">
    <w:name w:val="Body Text Indent 2"/>
    <w:basedOn w:val="1"/>
    <w:link w:val="65"/>
    <w:qFormat/>
    <w:uiPriority w:val="0"/>
    <w:pPr>
      <w:spacing w:after="120" w:line="480" w:lineRule="auto"/>
      <w:ind w:left="420" w:leftChars="200"/>
    </w:pPr>
  </w:style>
  <w:style w:type="paragraph" w:styleId="26">
    <w:name w:val="Balloon Text"/>
    <w:basedOn w:val="1"/>
    <w:link w:val="159"/>
    <w:semiHidden/>
    <w:qFormat/>
    <w:uiPriority w:val="99"/>
    <w:rPr>
      <w:sz w:val="18"/>
      <w:szCs w:val="18"/>
    </w:rPr>
  </w:style>
  <w:style w:type="paragraph" w:styleId="27">
    <w:name w:val="footer"/>
    <w:basedOn w:val="1"/>
    <w:link w:val="158"/>
    <w:qFormat/>
    <w:uiPriority w:val="99"/>
    <w:pPr>
      <w:tabs>
        <w:tab w:val="center" w:pos="4153"/>
        <w:tab w:val="right" w:pos="8306"/>
      </w:tabs>
      <w:snapToGrid w:val="0"/>
      <w:jc w:val="left"/>
    </w:pPr>
    <w:rPr>
      <w:sz w:val="18"/>
      <w:szCs w:val="18"/>
    </w:rPr>
  </w:style>
  <w:style w:type="paragraph" w:styleId="28">
    <w:name w:val="header"/>
    <w:basedOn w:val="1"/>
    <w:link w:val="118"/>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126"/>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annotation subject"/>
    <w:basedOn w:val="17"/>
    <w:next w:val="17"/>
    <w:semiHidden/>
    <w:qFormat/>
    <w:uiPriority w:val="0"/>
    <w:pPr>
      <w:widowControl/>
      <w:spacing w:afterLines="50"/>
    </w:pPr>
    <w:rPr>
      <w:b/>
      <w:bCs/>
      <w:kern w:val="0"/>
      <w:sz w:val="24"/>
      <w:szCs w:val="20"/>
    </w:rPr>
  </w:style>
  <w:style w:type="paragraph" w:styleId="39">
    <w:name w:val="Body Text First Indent"/>
    <w:basedOn w:val="18"/>
    <w:qFormat/>
    <w:uiPriority w:val="0"/>
    <w:pPr>
      <w:spacing w:after="120" w:line="240" w:lineRule="auto"/>
      <w:ind w:firstLine="420" w:firstLineChars="100"/>
    </w:pPr>
    <w:rPr>
      <w:rFonts w:eastAsia="宋体"/>
      <w:sz w:val="21"/>
    </w:rPr>
  </w:style>
  <w:style w:type="paragraph" w:styleId="40">
    <w:name w:val="Body Text First Indent 2"/>
    <w:basedOn w:val="19"/>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0"/>
    <w:rPr>
      <w:b/>
      <w:bCs/>
    </w:rPr>
  </w:style>
  <w:style w:type="character" w:styleId="45">
    <w:name w:val="page number"/>
    <w:basedOn w:val="43"/>
    <w:qFormat/>
    <w:uiPriority w:val="0"/>
  </w:style>
  <w:style w:type="character" w:styleId="46">
    <w:name w:val="FollowedHyperlink"/>
    <w:basedOn w:val="43"/>
    <w:qFormat/>
    <w:uiPriority w:val="0"/>
    <w:rPr>
      <w:color w:val="800080"/>
      <w:u w:val="single"/>
    </w:rPr>
  </w:style>
  <w:style w:type="character" w:styleId="47">
    <w:name w:val="Emphasis"/>
    <w:basedOn w:val="43"/>
    <w:qFormat/>
    <w:uiPriority w:val="0"/>
    <w:rPr>
      <w:color w:val="CC0000"/>
    </w:rPr>
  </w:style>
  <w:style w:type="character" w:styleId="48">
    <w:name w:val="Hyperlink"/>
    <w:basedOn w:val="43"/>
    <w:qFormat/>
    <w:uiPriority w:val="0"/>
    <w:rPr>
      <w:color w:val="0000FF"/>
      <w:u w:val="single"/>
    </w:rPr>
  </w:style>
  <w:style w:type="character" w:styleId="49">
    <w:name w:val="annotation reference"/>
    <w:basedOn w:val="43"/>
    <w:semiHidden/>
    <w:qFormat/>
    <w:uiPriority w:val="0"/>
    <w:rPr>
      <w:sz w:val="21"/>
      <w:szCs w:val="21"/>
    </w:rPr>
  </w:style>
  <w:style w:type="character" w:customStyle="1" w:styleId="50">
    <w:name w:val="标题 3 Char"/>
    <w:link w:val="6"/>
    <w:qFormat/>
    <w:uiPriority w:val="0"/>
    <w:rPr>
      <w:rFonts w:eastAsia="仿宋_GB2312"/>
      <w:b/>
      <w:kern w:val="2"/>
      <w:sz w:val="32"/>
      <w:lang w:val="en-US" w:eastAsia="zh-CN" w:bidi="ar-SA"/>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basedOn w:val="43"/>
    <w:link w:val="5"/>
    <w:qFormat/>
    <w:uiPriority w:val="0"/>
    <w:rPr>
      <w:rFonts w:eastAsia="宋体"/>
      <w:kern w:val="2"/>
      <w:sz w:val="21"/>
      <w:szCs w:val="24"/>
      <w:lang w:val="en-US" w:eastAsia="zh-CN" w:bidi="ar-SA"/>
    </w:rPr>
  </w:style>
  <w:style w:type="character" w:customStyle="1" w:styleId="53">
    <w:name w:val="标题 4 Char"/>
    <w:link w:val="7"/>
    <w:qFormat/>
    <w:uiPriority w:val="0"/>
    <w:rPr>
      <w:rFonts w:ascii="Arial" w:hAnsi="Arial" w:eastAsia="黑体"/>
      <w:b/>
      <w:kern w:val="2"/>
      <w:sz w:val="28"/>
      <w:lang w:val="en-US" w:eastAsia="zh-CN" w:bidi="ar-SA"/>
    </w:rPr>
  </w:style>
  <w:style w:type="character" w:customStyle="1" w:styleId="54">
    <w:name w:val="标题 5 Char"/>
    <w:link w:val="8"/>
    <w:qFormat/>
    <w:uiPriority w:val="0"/>
    <w:rPr>
      <w:rFonts w:eastAsia="宋体"/>
      <w:sz w:val="24"/>
      <w:lang w:val="en-US" w:eastAsia="zh-CN" w:bidi="ar-SA"/>
    </w:rPr>
  </w:style>
  <w:style w:type="character" w:customStyle="1" w:styleId="55">
    <w:name w:val="纯文本 Char"/>
    <w:basedOn w:val="43"/>
    <w:link w:val="23"/>
    <w:qFormat/>
    <w:uiPriority w:val="0"/>
    <w:rPr>
      <w:rFonts w:ascii="宋体" w:hAnsi="Courier New" w:eastAsia="宋体"/>
      <w:kern w:val="2"/>
      <w:sz w:val="21"/>
      <w:lang w:val="en-US" w:eastAsia="zh-CN" w:bidi="ar-SA"/>
    </w:rPr>
  </w:style>
  <w:style w:type="paragraph" w:customStyle="1" w:styleId="56">
    <w:name w:val="表正文"/>
    <w:basedOn w:val="1"/>
    <w:next w:val="23"/>
    <w:qFormat/>
    <w:uiPriority w:val="0"/>
    <w:rPr>
      <w:rFonts w:ascii="宋体" w:hAnsi="Courier New"/>
      <w:szCs w:val="20"/>
    </w:rPr>
  </w:style>
  <w:style w:type="paragraph" w:customStyle="1" w:styleId="57">
    <w:name w:val="正文段"/>
    <w:basedOn w:val="1"/>
    <w:link w:val="152"/>
    <w:qFormat/>
    <w:uiPriority w:val="0"/>
    <w:pPr>
      <w:widowControl/>
      <w:snapToGrid w:val="0"/>
      <w:spacing w:afterLines="50"/>
      <w:ind w:firstLine="200" w:firstLineChars="200"/>
    </w:pPr>
    <w:rPr>
      <w:kern w:val="0"/>
      <w:sz w:val="24"/>
      <w:szCs w:val="20"/>
    </w:rPr>
  </w:style>
  <w:style w:type="paragraph" w:customStyle="1" w:styleId="58">
    <w:name w:val="Char"/>
    <w:basedOn w:val="1"/>
    <w:qFormat/>
    <w:uiPriority w:val="0"/>
    <w:rPr>
      <w:rFonts w:ascii="仿宋_GB2312" w:eastAsia="仿宋_GB2312"/>
      <w:b/>
      <w:sz w:val="32"/>
      <w:szCs w:val="32"/>
    </w:rPr>
  </w:style>
  <w:style w:type="paragraph" w:customStyle="1" w:styleId="59">
    <w:name w:val="Table Text"/>
    <w:link w:val="60"/>
    <w:qFormat/>
    <w:uiPriority w:val="0"/>
    <w:pPr>
      <w:snapToGrid w:val="0"/>
      <w:spacing w:before="80" w:after="80"/>
    </w:pPr>
    <w:rPr>
      <w:rFonts w:ascii="Arial" w:hAnsi="Arial" w:eastAsia="宋体" w:cs="Times New Roman"/>
      <w:sz w:val="18"/>
      <w:lang w:val="en-US" w:eastAsia="zh-CN" w:bidi="ar-SA"/>
    </w:rPr>
  </w:style>
  <w:style w:type="character" w:customStyle="1" w:styleId="60">
    <w:name w:val="Table Text Char1"/>
    <w:basedOn w:val="43"/>
    <w:link w:val="59"/>
    <w:qFormat/>
    <w:uiPriority w:val="0"/>
    <w:rPr>
      <w:rFonts w:ascii="Arial" w:hAnsi="Arial"/>
      <w:sz w:val="18"/>
      <w:lang w:val="en-US" w:eastAsia="zh-CN" w:bidi="ar-SA"/>
    </w:rPr>
  </w:style>
  <w:style w:type="character" w:customStyle="1" w:styleId="61">
    <w:name w:val="正文（缩进2汉字） Char"/>
    <w:basedOn w:val="43"/>
    <w:link w:val="62"/>
    <w:qFormat/>
    <w:uiPriority w:val="0"/>
    <w:rPr>
      <w:rFonts w:ascii="宋体"/>
      <w:kern w:val="2"/>
      <w:sz w:val="21"/>
      <w:lang w:bidi="ar-SA"/>
    </w:rPr>
  </w:style>
  <w:style w:type="paragraph" w:customStyle="1" w:styleId="62">
    <w:name w:val="正文（缩进2汉字）"/>
    <w:basedOn w:val="1"/>
    <w:link w:val="61"/>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3">
    <w:name w:val="Char11"/>
    <w:basedOn w:val="1"/>
    <w:qFormat/>
    <w:uiPriority w:val="0"/>
    <w:pPr>
      <w:tabs>
        <w:tab w:val="left" w:pos="432"/>
      </w:tabs>
      <w:spacing w:beforeLines="50" w:afterLines="50"/>
      <w:ind w:left="432" w:hanging="432"/>
      <w:jc w:val="center"/>
    </w:pPr>
    <w:rPr>
      <w:sz w:val="24"/>
    </w:rPr>
  </w:style>
  <w:style w:type="paragraph" w:customStyle="1" w:styleId="64">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5">
    <w:name w:val="正文文本缩进 2 Char"/>
    <w:link w:val="25"/>
    <w:qFormat/>
    <w:locked/>
    <w:uiPriority w:val="0"/>
    <w:rPr>
      <w:rFonts w:eastAsia="宋体"/>
      <w:kern w:val="2"/>
      <w:sz w:val="21"/>
      <w:szCs w:val="24"/>
      <w:lang w:val="en-US" w:eastAsia="zh-CN" w:bidi="ar-SA"/>
    </w:rPr>
  </w:style>
  <w:style w:type="paragraph" w:customStyle="1" w:styleId="66">
    <w:name w:val="缺省文本"/>
    <w:basedOn w:val="1"/>
    <w:qFormat/>
    <w:uiPriority w:val="0"/>
    <w:pPr>
      <w:autoSpaceDE w:val="0"/>
      <w:autoSpaceDN w:val="0"/>
      <w:adjustRightInd w:val="0"/>
      <w:jc w:val="left"/>
    </w:pPr>
    <w:rPr>
      <w:kern w:val="0"/>
      <w:sz w:val="24"/>
    </w:rPr>
  </w:style>
  <w:style w:type="paragraph" w:customStyle="1" w:styleId="67">
    <w:name w:val="WW-正文文字缩进 2"/>
    <w:basedOn w:val="1"/>
    <w:qFormat/>
    <w:uiPriority w:val="0"/>
    <w:pPr>
      <w:suppressAutoHyphens/>
      <w:ind w:firstLine="420"/>
    </w:pPr>
    <w:rPr>
      <w:kern w:val="1"/>
      <w:szCs w:val="20"/>
    </w:r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character" w:customStyle="1" w:styleId="69">
    <w:name w:val="正文文本 Char"/>
    <w:link w:val="18"/>
    <w:qFormat/>
    <w:locked/>
    <w:uiPriority w:val="0"/>
    <w:rPr>
      <w:rFonts w:eastAsia="仿宋_GB2312"/>
      <w:kern w:val="2"/>
      <w:sz w:val="28"/>
      <w:szCs w:val="24"/>
      <w:lang w:val="en-US" w:eastAsia="zh-CN" w:bidi="ar-SA"/>
    </w:rPr>
  </w:style>
  <w:style w:type="paragraph" w:customStyle="1" w:styleId="70">
    <w:name w:val="项目排列"/>
    <w:basedOn w:val="1"/>
    <w:link w:val="71"/>
    <w:qFormat/>
    <w:uiPriority w:val="0"/>
    <w:pPr>
      <w:tabs>
        <w:tab w:val="left" w:pos="900"/>
      </w:tabs>
      <w:spacing w:beforeLines="50" w:afterLines="50" w:line="300" w:lineRule="auto"/>
      <w:ind w:left="900" w:hanging="420"/>
    </w:pPr>
    <w:rPr>
      <w:sz w:val="24"/>
    </w:rPr>
  </w:style>
  <w:style w:type="character" w:customStyle="1" w:styleId="71">
    <w:name w:val="项目排列 Char"/>
    <w:basedOn w:val="43"/>
    <w:link w:val="70"/>
    <w:qFormat/>
    <w:uiPriority w:val="0"/>
    <w:rPr>
      <w:kern w:val="2"/>
      <w:sz w:val="24"/>
      <w:szCs w:val="24"/>
    </w:rPr>
  </w:style>
  <w:style w:type="character" w:customStyle="1" w:styleId="72">
    <w:name w:val="style21"/>
    <w:basedOn w:val="43"/>
    <w:qFormat/>
    <w:uiPriority w:val="0"/>
    <w:rPr>
      <w:sz w:val="15"/>
      <w:szCs w:val="15"/>
    </w:rPr>
  </w:style>
  <w:style w:type="paragraph" w:customStyle="1" w:styleId="73">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4">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5">
    <w:name w:val="Char1"/>
    <w:basedOn w:val="1"/>
    <w:qFormat/>
    <w:uiPriority w:val="0"/>
    <w:rPr>
      <w:szCs w:val="20"/>
    </w:rPr>
  </w:style>
  <w:style w:type="paragraph" w:customStyle="1" w:styleId="76">
    <w:name w:val="列出段落1"/>
    <w:basedOn w:val="1"/>
    <w:qFormat/>
    <w:uiPriority w:val="0"/>
    <w:pPr>
      <w:ind w:firstLine="420" w:firstLineChars="200"/>
    </w:pPr>
    <w:rPr>
      <w:rFonts w:ascii="Calibri" w:hAnsi="Calibri"/>
      <w:szCs w:val="22"/>
    </w:rPr>
  </w:style>
  <w:style w:type="paragraph" w:customStyle="1" w:styleId="77">
    <w:name w:val="默认段落字体 Para Char Char Char Char"/>
    <w:basedOn w:val="1"/>
    <w:qFormat/>
    <w:uiPriority w:val="0"/>
  </w:style>
  <w:style w:type="paragraph" w:customStyle="1" w:styleId="78">
    <w:name w:val="Char Char Char1 Char Char Char1 Char Char Char Char"/>
    <w:basedOn w:val="1"/>
    <w:qFormat/>
    <w:uiPriority w:val="0"/>
  </w:style>
  <w:style w:type="character" w:customStyle="1" w:styleId="79">
    <w:name w:val="font1"/>
    <w:basedOn w:val="43"/>
    <w:qFormat/>
    <w:uiPriority w:val="0"/>
    <w:rPr>
      <w:color w:val="999999"/>
      <w:sz w:val="18"/>
      <w:szCs w:val="18"/>
      <w:u w:val="none"/>
    </w:rPr>
  </w:style>
  <w:style w:type="paragraph" w:customStyle="1" w:styleId="8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Char Char Char Char Char Char Char Char Char Char"/>
    <w:basedOn w:val="1"/>
    <w:qFormat/>
    <w:uiPriority w:val="0"/>
    <w:rPr>
      <w:rFonts w:ascii="Tahoma" w:hAnsi="Tahoma"/>
      <w:sz w:val="24"/>
      <w:szCs w:val="20"/>
    </w:rPr>
  </w:style>
  <w:style w:type="character" w:customStyle="1" w:styleId="82">
    <w:name w:val="apple-style-span"/>
    <w:basedOn w:val="43"/>
    <w:qFormat/>
    <w:uiPriority w:val="0"/>
  </w:style>
  <w:style w:type="paragraph" w:customStyle="1" w:styleId="83">
    <w:name w:val="正文无缩进"/>
    <w:basedOn w:val="1"/>
    <w:link w:val="84"/>
    <w:qFormat/>
    <w:uiPriority w:val="0"/>
    <w:pPr>
      <w:spacing w:line="360" w:lineRule="auto"/>
    </w:pPr>
    <w:rPr>
      <w:rFonts w:ascii="宋体"/>
      <w:color w:val="000000"/>
      <w:sz w:val="24"/>
    </w:rPr>
  </w:style>
  <w:style w:type="character" w:customStyle="1" w:styleId="84">
    <w:name w:val="正文无缩进 Char"/>
    <w:basedOn w:val="43"/>
    <w:link w:val="83"/>
    <w:qFormat/>
    <w:uiPriority w:val="0"/>
    <w:rPr>
      <w:rFonts w:ascii="宋体" w:eastAsia="宋体"/>
      <w:color w:val="000000"/>
      <w:kern w:val="2"/>
      <w:sz w:val="24"/>
      <w:szCs w:val="24"/>
      <w:lang w:val="en-US" w:eastAsia="zh-CN" w:bidi="ar-SA"/>
    </w:rPr>
  </w:style>
  <w:style w:type="paragraph" w:customStyle="1" w:styleId="8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6">
    <w:name w:val="ca-3"/>
    <w:basedOn w:val="43"/>
    <w:qFormat/>
    <w:uiPriority w:val="0"/>
  </w:style>
  <w:style w:type="paragraph" w:customStyle="1" w:styleId="87">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8">
    <w:name w:val="表格 Char Char"/>
    <w:link w:val="89"/>
    <w:qFormat/>
    <w:locked/>
    <w:uiPriority w:val="0"/>
    <w:rPr>
      <w:rFonts w:ascii="宋体" w:hAnsi="宋体" w:eastAsia="宋体"/>
      <w:lang w:val="en-US" w:eastAsia="zh-CN" w:bidi="ar-SA"/>
    </w:rPr>
  </w:style>
  <w:style w:type="paragraph" w:customStyle="1" w:styleId="89">
    <w:name w:val="表格"/>
    <w:basedOn w:val="1"/>
    <w:link w:val="88"/>
    <w:qFormat/>
    <w:uiPriority w:val="0"/>
    <w:pPr>
      <w:snapToGrid w:val="0"/>
      <w:ind w:firstLine="42" w:firstLineChars="21"/>
    </w:pPr>
    <w:rPr>
      <w:rFonts w:ascii="宋体" w:hAnsi="宋体"/>
      <w:kern w:val="0"/>
      <w:sz w:val="20"/>
      <w:szCs w:val="20"/>
    </w:rPr>
  </w:style>
  <w:style w:type="paragraph" w:customStyle="1" w:styleId="90">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1">
    <w:name w:val="Char Char1 Char Char Char Char Char Char"/>
    <w:basedOn w:val="1"/>
    <w:qFormat/>
    <w:uiPriority w:val="0"/>
    <w:pPr>
      <w:widowControl/>
      <w:spacing w:after="160" w:line="240" w:lineRule="exact"/>
      <w:jc w:val="left"/>
    </w:pPr>
  </w:style>
  <w:style w:type="character" w:customStyle="1" w:styleId="92">
    <w:name w:val="Char Char"/>
    <w:qFormat/>
    <w:uiPriority w:val="0"/>
    <w:rPr>
      <w:rFonts w:hint="eastAsia" w:ascii="宋体" w:hAnsi="Courier New" w:eastAsia="宋体"/>
      <w:kern w:val="2"/>
      <w:sz w:val="21"/>
      <w:lang w:val="en-US" w:eastAsia="zh-CN" w:bidi="ar-SA"/>
    </w:rPr>
  </w:style>
  <w:style w:type="character" w:customStyle="1" w:styleId="93">
    <w:name w:val="style51"/>
    <w:basedOn w:val="43"/>
    <w:qFormat/>
    <w:uiPriority w:val="0"/>
    <w:rPr>
      <w:sz w:val="21"/>
      <w:szCs w:val="21"/>
    </w:rPr>
  </w:style>
  <w:style w:type="paragraph" w:customStyle="1" w:styleId="94">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5">
    <w:name w:val="标准文本"/>
    <w:basedOn w:val="1"/>
    <w:link w:val="96"/>
    <w:qFormat/>
    <w:uiPriority w:val="0"/>
    <w:pPr>
      <w:spacing w:line="360" w:lineRule="auto"/>
      <w:ind w:firstLine="480" w:firstLineChars="200"/>
    </w:pPr>
    <w:rPr>
      <w:rFonts w:cs="宋体"/>
      <w:sz w:val="24"/>
      <w:szCs w:val="20"/>
    </w:rPr>
  </w:style>
  <w:style w:type="character" w:customStyle="1" w:styleId="96">
    <w:name w:val="标准文本 Char"/>
    <w:basedOn w:val="43"/>
    <w:link w:val="95"/>
    <w:qFormat/>
    <w:uiPriority w:val="0"/>
    <w:rPr>
      <w:rFonts w:eastAsia="宋体" w:cs="宋体"/>
      <w:kern w:val="2"/>
      <w:sz w:val="24"/>
      <w:lang w:val="en-US" w:eastAsia="zh-CN" w:bidi="ar-SA"/>
    </w:rPr>
  </w:style>
  <w:style w:type="paragraph" w:customStyle="1" w:styleId="9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8">
    <w:name w:val="自定义正文"/>
    <w:basedOn w:val="1"/>
    <w:link w:val="99"/>
    <w:qFormat/>
    <w:uiPriority w:val="0"/>
    <w:pPr>
      <w:spacing w:line="480" w:lineRule="exact"/>
      <w:ind w:firstLine="200" w:firstLineChars="200"/>
      <w:jc w:val="left"/>
    </w:pPr>
    <w:rPr>
      <w:rFonts w:ascii="仿宋_GB2312" w:eastAsia="仿宋_GB2312"/>
      <w:sz w:val="28"/>
    </w:rPr>
  </w:style>
  <w:style w:type="character" w:customStyle="1" w:styleId="99">
    <w:name w:val="自定义正文 Char"/>
    <w:basedOn w:val="43"/>
    <w:link w:val="98"/>
    <w:qFormat/>
    <w:uiPriority w:val="0"/>
    <w:rPr>
      <w:rFonts w:ascii="仿宋_GB2312" w:eastAsia="仿宋_GB2312"/>
      <w:kern w:val="2"/>
      <w:sz w:val="28"/>
      <w:szCs w:val="24"/>
      <w:lang w:val="en-US" w:eastAsia="zh-CN" w:bidi="ar-SA"/>
    </w:rPr>
  </w:style>
  <w:style w:type="paragraph" w:customStyle="1" w:styleId="100">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1">
    <w:name w:val="自定义表格文字"/>
    <w:basedOn w:val="1"/>
    <w:qFormat/>
    <w:uiPriority w:val="0"/>
    <w:pPr>
      <w:spacing w:before="60" w:after="60" w:line="320" w:lineRule="exact"/>
      <w:jc w:val="left"/>
    </w:pPr>
    <w:rPr>
      <w:rFonts w:ascii="宋体" w:eastAsia="楷体_GB2312"/>
    </w:rPr>
  </w:style>
  <w:style w:type="paragraph" w:customStyle="1" w:styleId="102">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3">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4">
    <w:name w:val="正文文本缩进 Char"/>
    <w:link w:val="19"/>
    <w:qFormat/>
    <w:uiPriority w:val="0"/>
    <w:rPr>
      <w:rFonts w:eastAsia="宋体"/>
      <w:kern w:val="2"/>
      <w:sz w:val="21"/>
      <w:szCs w:val="24"/>
      <w:lang w:val="en-US" w:eastAsia="zh-CN" w:bidi="ar-SA"/>
    </w:rPr>
  </w:style>
  <w:style w:type="character" w:customStyle="1" w:styleId="105">
    <w:name w:val="Char Char1"/>
    <w:qFormat/>
    <w:uiPriority w:val="0"/>
    <w:rPr>
      <w:rFonts w:ascii="宋体" w:hAnsi="Courier New" w:eastAsia="宋体"/>
      <w:kern w:val="2"/>
      <w:sz w:val="21"/>
      <w:lang w:val="en-US" w:eastAsia="zh-CN" w:bidi="ar-SA"/>
    </w:rPr>
  </w:style>
  <w:style w:type="paragraph" w:customStyle="1" w:styleId="106">
    <w:name w:val="Char Char Char Char1"/>
    <w:basedOn w:val="1"/>
    <w:qFormat/>
    <w:uiPriority w:val="0"/>
    <w:rPr>
      <w:rFonts w:ascii="Tahoma" w:hAnsi="Tahoma"/>
      <w:sz w:val="24"/>
      <w:szCs w:val="20"/>
    </w:rPr>
  </w:style>
  <w:style w:type="character" w:customStyle="1" w:styleId="107">
    <w:name w:val="标题 2 Char"/>
    <w:link w:val="4"/>
    <w:qFormat/>
    <w:uiPriority w:val="0"/>
    <w:rPr>
      <w:rFonts w:ascii="Arial" w:hAnsi="Arial" w:eastAsia="黑体"/>
      <w:b/>
      <w:kern w:val="2"/>
      <w:sz w:val="32"/>
      <w:lang w:val="en-US" w:eastAsia="zh-CN" w:bidi="ar-SA"/>
    </w:rPr>
  </w:style>
  <w:style w:type="character" w:customStyle="1" w:styleId="108">
    <w:name w:val="H4 Char"/>
    <w:qFormat/>
    <w:uiPriority w:val="0"/>
    <w:rPr>
      <w:rFonts w:ascii="宋体" w:hAnsi="宋体" w:eastAsia="黑体"/>
      <w:b/>
      <w:bCs/>
      <w:color w:val="000000"/>
      <w:spacing w:val="-4"/>
      <w:kern w:val="2"/>
      <w:sz w:val="24"/>
      <w:szCs w:val="30"/>
      <w:lang w:val="en-US" w:eastAsia="zh-CN" w:bidi="ar-SA"/>
    </w:rPr>
  </w:style>
  <w:style w:type="character" w:customStyle="1" w:styleId="109">
    <w:name w:val="H5 Char"/>
    <w:qFormat/>
    <w:uiPriority w:val="0"/>
    <w:rPr>
      <w:rFonts w:ascii="Arial" w:hAnsi="Arial" w:eastAsia="宋体"/>
      <w:sz w:val="24"/>
      <w:lang w:val="en-US" w:eastAsia="zh-CN" w:bidi="ar-SA"/>
    </w:rPr>
  </w:style>
  <w:style w:type="character" w:customStyle="1" w:styleId="110">
    <w:name w:val="标题 6 Char"/>
    <w:link w:val="9"/>
    <w:qFormat/>
    <w:uiPriority w:val="0"/>
    <w:rPr>
      <w:rFonts w:ascii="宋体" w:hAnsi="Arial" w:eastAsia="宋体"/>
      <w:sz w:val="24"/>
      <w:lang w:val="en-US" w:eastAsia="zh-CN" w:bidi="ar-SA"/>
    </w:rPr>
  </w:style>
  <w:style w:type="character" w:customStyle="1" w:styleId="111">
    <w:name w:val="标题 7 Char"/>
    <w:link w:val="10"/>
    <w:qFormat/>
    <w:uiPriority w:val="0"/>
    <w:rPr>
      <w:rFonts w:ascii="宋体" w:hAnsi="Arial" w:eastAsia="宋体"/>
      <w:b/>
      <w:sz w:val="24"/>
      <w:lang w:val="en-US" w:eastAsia="zh-CN" w:bidi="ar-SA"/>
    </w:rPr>
  </w:style>
  <w:style w:type="character" w:customStyle="1" w:styleId="112">
    <w:name w:val="标题 8 Char"/>
    <w:link w:val="11"/>
    <w:qFormat/>
    <w:uiPriority w:val="0"/>
    <w:rPr>
      <w:rFonts w:ascii="Arial" w:hAnsi="Arial" w:eastAsia="黑体"/>
      <w:sz w:val="24"/>
      <w:lang w:val="en-US" w:eastAsia="zh-CN" w:bidi="ar-SA"/>
    </w:rPr>
  </w:style>
  <w:style w:type="character" w:customStyle="1" w:styleId="113">
    <w:name w:val="标题 9 Char"/>
    <w:link w:val="12"/>
    <w:qFormat/>
    <w:uiPriority w:val="0"/>
    <w:rPr>
      <w:rFonts w:ascii="Arial" w:hAnsi="Arial" w:eastAsia="黑体"/>
      <w:sz w:val="24"/>
      <w:lang w:val="en-US" w:eastAsia="zh-CN" w:bidi="ar-SA"/>
    </w:rPr>
  </w:style>
  <w:style w:type="character" w:customStyle="1" w:styleId="114">
    <w:name w:val="日期 Char"/>
    <w:link w:val="24"/>
    <w:qFormat/>
    <w:uiPriority w:val="0"/>
    <w:rPr>
      <w:rFonts w:ascii="楷体_GB2312" w:eastAsia="楷体_GB2312"/>
      <w:b/>
      <w:kern w:val="2"/>
      <w:sz w:val="28"/>
      <w:lang w:val="en-US" w:eastAsia="zh-CN" w:bidi="ar-SA"/>
    </w:rPr>
  </w:style>
  <w:style w:type="character" w:customStyle="1" w:styleId="115">
    <w:name w:val="Char Char8"/>
    <w:qFormat/>
    <w:uiPriority w:val="0"/>
    <w:rPr>
      <w:rFonts w:ascii="宋体" w:eastAsia="宋体"/>
      <w:kern w:val="2"/>
      <w:sz w:val="28"/>
      <w:lang w:val="en-US" w:eastAsia="zh-CN" w:bidi="ar-SA"/>
    </w:rPr>
  </w:style>
  <w:style w:type="character" w:customStyle="1" w:styleId="116">
    <w:name w:val="Char Char7"/>
    <w:qFormat/>
    <w:uiPriority w:val="0"/>
    <w:rPr>
      <w:rFonts w:eastAsia="仿宋_GB2312"/>
      <w:kern w:val="2"/>
      <w:sz w:val="24"/>
      <w:szCs w:val="24"/>
      <w:lang w:val="en-US" w:eastAsia="zh-CN" w:bidi="ar-SA"/>
    </w:rPr>
  </w:style>
  <w:style w:type="paragraph" w:customStyle="1" w:styleId="117">
    <w:name w:val="表内文字"/>
    <w:basedOn w:val="1"/>
    <w:qFormat/>
    <w:uiPriority w:val="0"/>
    <w:pPr>
      <w:jc w:val="center"/>
    </w:pPr>
    <w:rPr>
      <w:color w:val="FF0000"/>
      <w:kern w:val="0"/>
      <w:sz w:val="24"/>
    </w:rPr>
  </w:style>
  <w:style w:type="character" w:customStyle="1" w:styleId="118">
    <w:name w:val="页眉 Char"/>
    <w:link w:val="28"/>
    <w:qFormat/>
    <w:uiPriority w:val="99"/>
    <w:rPr>
      <w:rFonts w:eastAsia="宋体"/>
      <w:kern w:val="2"/>
      <w:sz w:val="18"/>
      <w:szCs w:val="18"/>
      <w:lang w:val="en-US" w:eastAsia="zh-CN" w:bidi="ar-SA"/>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3"/>
    <w:qFormat/>
    <w:uiPriority w:val="0"/>
    <w:rPr>
      <w:rFonts w:eastAsia="仿宋_GB2312"/>
      <w:kern w:val="2"/>
      <w:sz w:val="28"/>
      <w:szCs w:val="24"/>
      <w:lang w:val="en-US" w:eastAsia="zh-CN" w:bidi="ar-SA"/>
    </w:rPr>
  </w:style>
  <w:style w:type="character" w:customStyle="1" w:styleId="121">
    <w:name w:val="批注文字 Char"/>
    <w:link w:val="17"/>
    <w:semiHidden/>
    <w:qFormat/>
    <w:uiPriority w:val="0"/>
    <w:rPr>
      <w:rFonts w:eastAsia="宋体"/>
      <w:kern w:val="2"/>
      <w:sz w:val="21"/>
      <w:szCs w:val="24"/>
      <w:lang w:val="en-US" w:eastAsia="zh-CN" w:bidi="ar-SA"/>
    </w:rPr>
  </w:style>
  <w:style w:type="paragraph" w:customStyle="1" w:styleId="122">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3">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4">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5">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6">
    <w:name w:val="正文文本 2 Char"/>
    <w:link w:val="33"/>
    <w:qFormat/>
    <w:uiPriority w:val="0"/>
    <w:rPr>
      <w:rFonts w:ascii="隶书" w:eastAsia="隶书"/>
      <w:bCs/>
      <w:sz w:val="72"/>
      <w:szCs w:val="84"/>
      <w:lang w:val="en-US" w:eastAsia="zh-CN" w:bidi="ar-SA"/>
    </w:rPr>
  </w:style>
  <w:style w:type="paragraph" w:customStyle="1" w:styleId="127">
    <w:name w:val="项目1"/>
    <w:basedOn w:val="1"/>
    <w:qFormat/>
    <w:uiPriority w:val="0"/>
    <w:pPr>
      <w:tabs>
        <w:tab w:val="left" w:pos="840"/>
      </w:tabs>
      <w:spacing w:after="60"/>
      <w:ind w:left="840" w:hanging="420"/>
    </w:pPr>
    <w:rPr>
      <w:rFonts w:ascii="宋体"/>
      <w:spacing w:val="4"/>
      <w:szCs w:val="20"/>
    </w:rPr>
  </w:style>
  <w:style w:type="paragraph" w:customStyle="1" w:styleId="128">
    <w:name w:val="编10号"/>
    <w:basedOn w:val="1"/>
    <w:qFormat/>
    <w:uiPriority w:val="0"/>
    <w:pPr>
      <w:numPr>
        <w:ilvl w:val="3"/>
        <w:numId w:val="6"/>
      </w:numPr>
    </w:pPr>
  </w:style>
  <w:style w:type="paragraph" w:customStyle="1" w:styleId="129">
    <w:name w:val="段"/>
    <w:basedOn w:val="1"/>
    <w:qFormat/>
    <w:uiPriority w:val="0"/>
    <w:pPr>
      <w:ind w:firstLine="425"/>
    </w:pPr>
    <w:rPr>
      <w:rFonts w:ascii="宋体"/>
      <w:szCs w:val="20"/>
    </w:rPr>
  </w:style>
  <w:style w:type="paragraph" w:customStyle="1" w:styleId="130">
    <w:name w:val="Char Char Char Char"/>
    <w:basedOn w:val="1"/>
    <w:qFormat/>
    <w:uiPriority w:val="0"/>
    <w:pPr>
      <w:widowControl/>
      <w:spacing w:after="160" w:line="240" w:lineRule="exact"/>
      <w:jc w:val="left"/>
    </w:pPr>
    <w:rPr>
      <w:kern w:val="0"/>
      <w:sz w:val="24"/>
    </w:rPr>
  </w:style>
  <w:style w:type="paragraph" w:customStyle="1" w:styleId="131">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2">
    <w:name w:val="bulletintext1"/>
    <w:qFormat/>
    <w:uiPriority w:val="0"/>
    <w:rPr>
      <w:rFonts w:hint="eastAsia" w:ascii="宋体" w:hAnsi="宋体" w:eastAsia="宋体"/>
      <w:sz w:val="18"/>
      <w:szCs w:val="18"/>
    </w:rPr>
  </w:style>
  <w:style w:type="paragraph" w:customStyle="1" w:styleId="133">
    <w:name w:val="Char1 Char Char Char Char Char Char"/>
    <w:basedOn w:val="1"/>
    <w:qFormat/>
    <w:uiPriority w:val="0"/>
    <w:rPr>
      <w:rFonts w:ascii="Tahoma" w:hAnsi="Tahoma"/>
      <w:sz w:val="24"/>
      <w:szCs w:val="20"/>
    </w:rPr>
  </w:style>
  <w:style w:type="paragraph" w:customStyle="1" w:styleId="134">
    <w:name w:val="Char Char2 Char Char Char Char"/>
    <w:basedOn w:val="16"/>
    <w:qFormat/>
    <w:uiPriority w:val="0"/>
    <w:rPr>
      <w:rFonts w:ascii="Tahoma" w:hAnsi="Tahoma"/>
      <w:sz w:val="24"/>
    </w:rPr>
  </w:style>
  <w:style w:type="paragraph" w:customStyle="1" w:styleId="135">
    <w:name w:val="Char Char Char"/>
    <w:basedOn w:val="16"/>
    <w:qFormat/>
    <w:uiPriority w:val="0"/>
    <w:rPr>
      <w:rFonts w:ascii="Tahoma" w:hAnsi="Tahoma"/>
      <w:sz w:val="24"/>
    </w:rPr>
  </w:style>
  <w:style w:type="paragraph" w:customStyle="1" w:styleId="136">
    <w:name w:val="正文缩进 New"/>
    <w:basedOn w:val="1"/>
    <w:qFormat/>
    <w:uiPriority w:val="0"/>
    <w:pPr>
      <w:ind w:firstLine="420" w:firstLineChars="200"/>
    </w:pPr>
    <w:rPr>
      <w:szCs w:val="20"/>
    </w:rPr>
  </w:style>
  <w:style w:type="paragraph" w:customStyle="1" w:styleId="137">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8">
    <w:name w:val="tpc_content1"/>
    <w:qFormat/>
    <w:uiPriority w:val="0"/>
    <w:rPr>
      <w:sz w:val="20"/>
      <w:szCs w:val="20"/>
    </w:rPr>
  </w:style>
  <w:style w:type="character" w:customStyle="1" w:styleId="139">
    <w:name w:val="Char Char11"/>
    <w:qFormat/>
    <w:uiPriority w:val="0"/>
    <w:rPr>
      <w:b/>
      <w:kern w:val="44"/>
      <w:sz w:val="44"/>
    </w:rPr>
  </w:style>
  <w:style w:type="character" w:customStyle="1" w:styleId="140">
    <w:name w:val="Char Char10"/>
    <w:qFormat/>
    <w:uiPriority w:val="0"/>
    <w:rPr>
      <w:b/>
      <w:kern w:val="2"/>
      <w:sz w:val="28"/>
      <w:szCs w:val="28"/>
    </w:rPr>
  </w:style>
  <w:style w:type="character" w:customStyle="1" w:styleId="141">
    <w:name w:val="Char Char9"/>
    <w:qFormat/>
    <w:uiPriority w:val="0"/>
    <w:rPr>
      <w:b/>
      <w:kern w:val="2"/>
      <w:sz w:val="24"/>
      <w:szCs w:val="24"/>
    </w:rPr>
  </w:style>
  <w:style w:type="paragraph" w:customStyle="1" w:styleId="142">
    <w:name w:val="Char Char Char 字元 字元"/>
    <w:basedOn w:val="1"/>
    <w:qFormat/>
    <w:uiPriority w:val="0"/>
    <w:pPr>
      <w:spacing w:line="360" w:lineRule="auto"/>
      <w:ind w:firstLine="200" w:firstLineChars="200"/>
    </w:pPr>
    <w:rPr>
      <w:szCs w:val="20"/>
    </w:rPr>
  </w:style>
  <w:style w:type="paragraph" w:customStyle="1" w:styleId="143">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4">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5">
    <w:name w:val="style11"/>
    <w:basedOn w:val="43"/>
    <w:qFormat/>
    <w:uiPriority w:val="0"/>
    <w:rPr>
      <w:b/>
      <w:bCs/>
      <w:color w:val="FF0000"/>
    </w:rPr>
  </w:style>
  <w:style w:type="character" w:customStyle="1" w:styleId="146">
    <w:name w:val="info"/>
    <w:basedOn w:val="43"/>
    <w:qFormat/>
    <w:uiPriority w:val="0"/>
  </w:style>
  <w:style w:type="paragraph" w:customStyle="1" w:styleId="147">
    <w:name w:val="样式 正文缩进 + 首行缩进:  2 字符"/>
    <w:basedOn w:val="5"/>
    <w:link w:val="148"/>
    <w:qFormat/>
    <w:uiPriority w:val="0"/>
    <w:pPr>
      <w:spacing w:line="360" w:lineRule="auto"/>
      <w:ind w:firstLine="480"/>
    </w:pPr>
    <w:rPr>
      <w:rFonts w:ascii="宋体" w:hAnsi="宋体"/>
      <w:color w:val="000000"/>
      <w:kern w:val="0"/>
      <w:sz w:val="24"/>
      <w:szCs w:val="20"/>
    </w:rPr>
  </w:style>
  <w:style w:type="character" w:customStyle="1" w:styleId="148">
    <w:name w:val="样式 正文缩进 + 首行缩进:  2 字符 Char"/>
    <w:link w:val="147"/>
    <w:qFormat/>
    <w:locked/>
    <w:uiPriority w:val="0"/>
    <w:rPr>
      <w:rFonts w:ascii="宋体" w:hAnsi="宋体" w:eastAsia="宋体"/>
      <w:color w:val="000000"/>
      <w:sz w:val="24"/>
      <w:lang w:bidi="ar-SA"/>
    </w:rPr>
  </w:style>
  <w:style w:type="paragraph" w:customStyle="1" w:styleId="149">
    <w:name w:val="正文2"/>
    <w:basedOn w:val="1"/>
    <w:link w:val="150"/>
    <w:qFormat/>
    <w:uiPriority w:val="0"/>
    <w:pPr>
      <w:spacing w:before="156" w:line="360" w:lineRule="auto"/>
      <w:ind w:firstLine="510" w:firstLineChars="200"/>
    </w:pPr>
    <w:rPr>
      <w:sz w:val="24"/>
      <w:szCs w:val="20"/>
    </w:rPr>
  </w:style>
  <w:style w:type="character" w:customStyle="1" w:styleId="150">
    <w:name w:val="正文2 Char"/>
    <w:link w:val="149"/>
    <w:qFormat/>
    <w:uiPriority w:val="0"/>
    <w:rPr>
      <w:rFonts w:eastAsia="宋体"/>
      <w:kern w:val="2"/>
      <w:sz w:val="24"/>
      <w:lang w:val="en-US" w:eastAsia="zh-CN" w:bidi="ar-SA"/>
    </w:rPr>
  </w:style>
  <w:style w:type="paragraph" w:customStyle="1" w:styleId="151">
    <w:name w:val="p0"/>
    <w:basedOn w:val="1"/>
    <w:qFormat/>
    <w:uiPriority w:val="0"/>
    <w:pPr>
      <w:widowControl/>
    </w:pPr>
    <w:rPr>
      <w:kern w:val="0"/>
      <w:szCs w:val="21"/>
    </w:rPr>
  </w:style>
  <w:style w:type="character" w:customStyle="1" w:styleId="152">
    <w:name w:val="正文段 Char"/>
    <w:link w:val="57"/>
    <w:qFormat/>
    <w:uiPriority w:val="0"/>
    <w:rPr>
      <w:rFonts w:eastAsia="宋体"/>
      <w:sz w:val="24"/>
      <w:lang w:val="en-US" w:eastAsia="zh-CN" w:bidi="ar-SA"/>
    </w:rPr>
  </w:style>
  <w:style w:type="paragraph" w:customStyle="1" w:styleId="15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7">
    <w:name w:val="日期 Char2"/>
    <w:qFormat/>
    <w:uiPriority w:val="0"/>
    <w:rPr>
      <w:rFonts w:ascii="楷体_GB2312" w:eastAsia="楷体_GB2312"/>
      <w:b/>
      <w:kern w:val="2"/>
      <w:sz w:val="28"/>
      <w:lang w:val="en-US" w:eastAsia="zh-CN" w:bidi="ar-SA"/>
    </w:rPr>
  </w:style>
  <w:style w:type="character" w:customStyle="1" w:styleId="158">
    <w:name w:val="页脚 Char"/>
    <w:link w:val="27"/>
    <w:qFormat/>
    <w:uiPriority w:val="99"/>
    <w:rPr>
      <w:kern w:val="2"/>
      <w:sz w:val="18"/>
      <w:szCs w:val="18"/>
    </w:rPr>
  </w:style>
  <w:style w:type="character" w:customStyle="1" w:styleId="159">
    <w:name w:val="批注框文本 Char"/>
    <w:link w:val="26"/>
    <w:semiHidden/>
    <w:qFormat/>
    <w:uiPriority w:val="99"/>
    <w:rPr>
      <w:kern w:val="2"/>
      <w:sz w:val="18"/>
      <w:szCs w:val="18"/>
    </w:rPr>
  </w:style>
  <w:style w:type="character" w:customStyle="1" w:styleId="160">
    <w:name w:val="正文文本 2 Char1"/>
    <w:qFormat/>
    <w:uiPriority w:val="0"/>
    <w:rPr>
      <w:rFonts w:ascii="隶书" w:eastAsia="隶书"/>
      <w:bCs/>
      <w:sz w:val="72"/>
      <w:szCs w:val="84"/>
      <w:lang w:val="en-US" w:eastAsia="zh-CN" w:bidi="ar-SA"/>
    </w:rPr>
  </w:style>
  <w:style w:type="paragraph" w:customStyle="1" w:styleId="161">
    <w:name w:val="_Style 2"/>
    <w:basedOn w:val="1"/>
    <w:qFormat/>
    <w:uiPriority w:val="0"/>
    <w:pPr>
      <w:widowControl/>
      <w:ind w:firstLine="420"/>
    </w:pPr>
    <w:rPr>
      <w:rFonts w:ascii="Calibri" w:hAnsi="Calibri" w:eastAsia="Calibri"/>
      <w:kern w:val="0"/>
      <w:sz w:val="20"/>
      <w:szCs w:val="20"/>
    </w:rPr>
  </w:style>
  <w:style w:type="paragraph" w:customStyle="1" w:styleId="162">
    <w:name w:val="Table Paragraph"/>
    <w:basedOn w:val="1"/>
    <w:qFormat/>
    <w:uiPriority w:val="1"/>
    <w:rPr>
      <w:rFonts w:ascii="宋体" w:hAnsi="宋体" w:cs="宋体"/>
      <w:lang w:val="zh-CN" w:bidi="zh-CN"/>
    </w:rPr>
  </w:style>
  <w:style w:type="paragraph" w:customStyle="1" w:styleId="163">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character" w:customStyle="1" w:styleId="164">
    <w:name w:val="font61"/>
    <w:qFormat/>
    <w:uiPriority w:val="0"/>
    <w:rPr>
      <w:rFonts w:hint="eastAsia" w:ascii="宋体" w:hAnsi="宋体" w:eastAsia="宋体" w:cs="宋体"/>
      <w:color w:val="000000"/>
      <w:sz w:val="22"/>
      <w:szCs w:val="22"/>
      <w:u w:val="none"/>
    </w:rPr>
  </w:style>
  <w:style w:type="character" w:customStyle="1" w:styleId="165">
    <w:name w:val="font01"/>
    <w:basedOn w:val="43"/>
    <w:qFormat/>
    <w:uiPriority w:val="0"/>
    <w:rPr>
      <w:rFonts w:hint="eastAsia" w:ascii="宋体" w:hAnsi="宋体" w:eastAsia="宋体" w:cs="宋体"/>
      <w:color w:val="000000"/>
      <w:sz w:val="20"/>
      <w:szCs w:val="20"/>
      <w:u w:val="none"/>
    </w:rPr>
  </w:style>
  <w:style w:type="character" w:customStyle="1" w:styleId="166">
    <w:name w:val="NormalCharacter"/>
    <w:qFormat/>
    <w:uiPriority w:val="0"/>
  </w:style>
  <w:style w:type="paragraph" w:customStyle="1" w:styleId="167">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8">
    <w:name w:val="样式 列表编号 + 段后: 0.5 行"/>
    <w:basedOn w:val="14"/>
    <w:qFormat/>
    <w:uiPriority w:val="0"/>
    <w:pPr>
      <w:tabs>
        <w:tab w:val="left" w:pos="360"/>
      </w:tabs>
      <w:spacing w:before="100" w:beforeAutospacing="1" w:after="120"/>
      <w:ind w:left="4315" w:hanging="420"/>
    </w:pPr>
    <w:rPr>
      <w:rFonts w:cs="宋体"/>
    </w:rPr>
  </w:style>
  <w:style w:type="paragraph" w:customStyle="1" w:styleId="169">
    <w:name w:val="md_block"/>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70">
    <w:name w:val="Body text|1"/>
    <w:basedOn w:val="1"/>
    <w:qFormat/>
    <w:uiPriority w:val="0"/>
    <w:pPr>
      <w:spacing w:line="458" w:lineRule="auto"/>
      <w:ind w:firstLine="200"/>
      <w:jc w:val="left"/>
    </w:pPr>
    <w:rPr>
      <w:rFonts w:ascii="宋体" w:hAnsi="宋体" w:cs="宋体"/>
      <w:color w:val="000000"/>
      <w:kern w:val="0"/>
      <w:sz w:val="26"/>
      <w:szCs w:val="26"/>
      <w:lang w:val="zh-TW" w:eastAsia="zh-TW" w:bidi="zh-TW"/>
    </w:rPr>
  </w:style>
  <w:style w:type="character" w:customStyle="1" w:styleId="171">
    <w:name w:val="font51"/>
    <w:basedOn w:val="4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37027-3E0D-4DE6-94C4-749F859E46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30251</Words>
  <Characters>31854</Characters>
  <Lines>247</Lines>
  <Paragraphs>69</Paragraphs>
  <TotalTime>19</TotalTime>
  <ScaleCrop>false</ScaleCrop>
  <LinksUpToDate>false</LinksUpToDate>
  <CharactersWithSpaces>32223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2020-09-30T08:40:00Z</dcterms:created>
  <dc:creator>USER</dc:creator>
  <cp:lastModifiedBy>無珂鲰玳k&amp;o_O</cp:lastModifiedBy>
  <cp:lastPrinted>2020-09-18T07:16:00Z</cp:lastPrinted>
  <dcterms:modified xsi:type="dcterms:W3CDTF">2022-10-14T01:14:02Z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3B20A1D08FD14B4FA7BD455D5F80CD2C</vt:lpwstr>
  </property>
</Properties>
</file>