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8"/>
        <w:ind w:firstLine="0" w:firstLineChars="0"/>
        <w:jc w:val="center"/>
        <w:rPr>
          <w:rFonts w:hint="eastAsia" w:ascii="仿宋" w:hAnsi="仿宋" w:eastAsia="仿宋" w:cs="仿宋"/>
          <w:b/>
          <w:color w:val="auto"/>
          <w:sz w:val="52"/>
          <w:szCs w:val="52"/>
          <w:highlight w:val="none"/>
        </w:rPr>
      </w:pPr>
    </w:p>
    <w:p>
      <w:pPr>
        <w:pStyle w:val="48"/>
        <w:ind w:firstLine="0" w:firstLineChars="0"/>
        <w:jc w:val="center"/>
        <w:rPr>
          <w:rFonts w:hint="eastAsia" w:ascii="仿宋" w:hAnsi="仿宋" w:eastAsia="仿宋" w:cs="仿宋"/>
          <w:b/>
          <w:color w:val="auto"/>
          <w:sz w:val="52"/>
          <w:szCs w:val="52"/>
          <w:highlight w:val="none"/>
        </w:rPr>
      </w:pPr>
      <w:r>
        <w:rPr>
          <w:rFonts w:hint="eastAsia" w:ascii="仿宋" w:hAnsi="仿宋" w:eastAsia="仿宋" w:cs="仿宋"/>
          <w:b/>
          <w:color w:val="auto"/>
          <w:sz w:val="52"/>
          <w:szCs w:val="52"/>
          <w:highlight w:val="none"/>
        </w:rPr>
        <w:t>绍兴市中医院</w:t>
      </w:r>
    </w:p>
    <w:p>
      <w:pPr>
        <w:pStyle w:val="48"/>
        <w:ind w:firstLine="0" w:firstLineChars="0"/>
        <w:jc w:val="center"/>
        <w:rPr>
          <w:rFonts w:hint="eastAsia" w:ascii="仿宋" w:hAnsi="仿宋" w:eastAsia="仿宋" w:cs="仿宋"/>
          <w:color w:val="auto"/>
          <w:highlight w:val="none"/>
          <w:lang w:val="en-US" w:eastAsia="zh-CN"/>
        </w:rPr>
      </w:pPr>
      <w:r>
        <w:rPr>
          <w:rFonts w:hint="eastAsia" w:ascii="仿宋" w:hAnsi="仿宋" w:eastAsia="仿宋" w:cs="仿宋"/>
          <w:b/>
          <w:color w:val="auto"/>
          <w:sz w:val="52"/>
          <w:szCs w:val="52"/>
          <w:highlight w:val="none"/>
          <w:lang w:eastAsia="zh-CN"/>
        </w:rPr>
        <w:t>容灾系统升级项目</w:t>
      </w:r>
    </w:p>
    <w:p>
      <w:pPr>
        <w:pStyle w:val="48"/>
        <w:rPr>
          <w:rFonts w:hint="eastAsia" w:ascii="仿宋" w:hAnsi="仿宋" w:eastAsia="仿宋" w:cs="仿宋"/>
          <w:color w:val="auto"/>
          <w:highlight w:val="none"/>
          <w:lang w:val="en-US"/>
        </w:rPr>
      </w:pP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pPr>
        <w:jc w:val="center"/>
        <w:outlineLvl w:val="0"/>
        <w:rPr>
          <w:rFonts w:hint="eastAsia" w:ascii="仿宋" w:hAnsi="仿宋" w:eastAsia="仿宋" w:cs="仿宋"/>
          <w:color w:val="auto"/>
          <w:sz w:val="44"/>
          <w:highlight w:val="none"/>
        </w:rPr>
      </w:pPr>
    </w:p>
    <w:p>
      <w:pPr>
        <w:jc w:val="center"/>
        <w:outlineLvl w:val="0"/>
        <w:rPr>
          <w:rFonts w:hint="eastAsia" w:ascii="仿宋" w:hAnsi="仿宋" w:eastAsia="仿宋" w:cs="仿宋"/>
          <w:color w:val="auto"/>
          <w:sz w:val="44"/>
          <w:highlight w:val="none"/>
        </w:rPr>
      </w:pPr>
    </w:p>
    <w:p>
      <w:pPr>
        <w:jc w:val="center"/>
        <w:rPr>
          <w:rFonts w:hint="eastAsia" w:ascii="仿宋" w:hAnsi="仿宋" w:eastAsia="仿宋" w:cs="仿宋"/>
          <w:b/>
          <w:color w:val="auto"/>
          <w:sz w:val="24"/>
          <w:highlight w:val="none"/>
          <w:lang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TYJZ2022</w:t>
      </w:r>
    </w:p>
    <w:tbl>
      <w:tblPr>
        <w:tblStyle w:val="39"/>
        <w:tblW w:w="0" w:type="auto"/>
        <w:jc w:val="center"/>
        <w:tblLayout w:type="autofit"/>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504" w:hRule="atLeast"/>
          <w:jc w:val="center"/>
        </w:trPr>
        <w:tc>
          <w:tcPr>
            <w:tcW w:w="2356"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tcPr>
          <w:p>
            <w:pPr>
              <w:outlineLvl w:val="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绍兴市中医院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12"/>
                <w:w w:val="93"/>
                <w:kern w:val="0"/>
                <w:sz w:val="28"/>
                <w:szCs w:val="28"/>
                <w:highlight w:val="none"/>
              </w:rPr>
              <w:t>招标代理单</w:t>
            </w:r>
            <w:r>
              <w:rPr>
                <w:rFonts w:hint="eastAsia" w:ascii="仿宋" w:hAnsi="仿宋" w:eastAsia="仿宋" w:cs="仿宋"/>
                <w:color w:val="auto"/>
                <w:w w:val="93"/>
                <w:kern w:val="0"/>
                <w:sz w:val="28"/>
                <w:szCs w:val="28"/>
                <w:highlight w:val="none"/>
              </w:rPr>
              <w:t>位</w:t>
            </w:r>
            <w:r>
              <w:rPr>
                <w:rFonts w:hint="eastAsia" w:ascii="仿宋" w:hAnsi="仿宋" w:eastAsia="仿宋" w:cs="仿宋"/>
                <w:color w:val="auto"/>
                <w:sz w:val="28"/>
                <w:szCs w:val="28"/>
                <w:highlight w:val="none"/>
              </w:rPr>
              <w:t>：</w:t>
            </w:r>
          </w:p>
        </w:tc>
        <w:tc>
          <w:tcPr>
            <w:tcW w:w="5445"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泰宇建筑工程技术咨询有限公司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监督单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tblPrEx>
          <w:tblCellMar>
            <w:top w:w="0" w:type="dxa"/>
            <w:left w:w="108" w:type="dxa"/>
            <w:bottom w:w="0" w:type="dxa"/>
            <w:right w:w="108" w:type="dxa"/>
          </w:tblCellMar>
        </w:tblPrEx>
        <w:trPr>
          <w:trHeight w:val="397" w:hRule="atLeast"/>
          <w:jc w:val="center"/>
        </w:trPr>
        <w:tc>
          <w:tcPr>
            <w:tcW w:w="7801" w:type="dxa"/>
            <w:gridSpan w:val="2"/>
          </w:tcPr>
          <w:p>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eastAsia="zh-CN"/>
              </w:rPr>
              <w:t>二</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eastAsia="zh-CN"/>
              </w:rPr>
              <w:t>十</w:t>
            </w:r>
            <w:r>
              <w:rPr>
                <w:rFonts w:hint="eastAsia" w:ascii="仿宋" w:hAnsi="仿宋" w:eastAsia="仿宋" w:cs="仿宋"/>
                <w:color w:val="auto"/>
                <w:sz w:val="28"/>
                <w:szCs w:val="28"/>
                <w:highlight w:val="none"/>
              </w:rPr>
              <w:t>月</w:t>
            </w:r>
          </w:p>
        </w:tc>
      </w:tr>
    </w:tbl>
    <w:p>
      <w:pPr>
        <w:jc w:val="center"/>
        <w:rPr>
          <w:rFonts w:hint="eastAsia" w:ascii="仿宋" w:hAnsi="仿宋" w:eastAsia="仿宋" w:cs="仿宋"/>
          <w:b/>
          <w:color w:val="auto"/>
          <w:sz w:val="44"/>
          <w:szCs w:val="44"/>
          <w:highlight w:val="none"/>
        </w:rPr>
      </w:pPr>
    </w:p>
    <w:p>
      <w:pPr>
        <w:jc w:val="center"/>
        <w:rPr>
          <w:rFonts w:hint="eastAsia" w:ascii="仿宋" w:hAnsi="仿宋" w:eastAsia="仿宋" w:cs="仿宋"/>
          <w:b/>
          <w:color w:val="auto"/>
          <w:sz w:val="44"/>
          <w:szCs w:val="44"/>
          <w:highlight w:val="none"/>
        </w:rPr>
      </w:pPr>
    </w:p>
    <w:p>
      <w:pPr>
        <w:jc w:val="center"/>
        <w:rPr>
          <w:rFonts w:hint="eastAsia" w:ascii="仿宋" w:hAnsi="仿宋" w:eastAsia="仿宋" w:cs="仿宋"/>
          <w:b/>
          <w:color w:val="auto"/>
          <w:sz w:val="44"/>
          <w:szCs w:val="44"/>
          <w:highlight w:val="none"/>
        </w:rPr>
      </w:pPr>
    </w:p>
    <w:p>
      <w:pPr>
        <w:pStyle w:val="17"/>
        <w:rPr>
          <w:rFonts w:hint="eastAsia" w:ascii="仿宋" w:hAnsi="仿宋" w:eastAsia="仿宋" w:cs="仿宋"/>
          <w:b/>
          <w:color w:val="auto"/>
          <w:sz w:val="44"/>
          <w:szCs w:val="44"/>
          <w:highlight w:val="none"/>
        </w:rPr>
      </w:pPr>
    </w:p>
    <w:p>
      <w:pPr>
        <w:pStyle w:val="17"/>
        <w:rPr>
          <w:rFonts w:hint="eastAsia" w:ascii="仿宋" w:hAnsi="仿宋" w:eastAsia="仿宋" w:cs="仿宋"/>
          <w:b/>
          <w:color w:val="auto"/>
          <w:sz w:val="44"/>
          <w:szCs w:val="44"/>
          <w:highlight w:val="none"/>
        </w:rPr>
      </w:pPr>
    </w:p>
    <w:p>
      <w:pPr>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目录</w:t>
      </w:r>
    </w:p>
    <w:p>
      <w:pPr>
        <w:jc w:val="center"/>
        <w:rPr>
          <w:rFonts w:hint="eastAsia" w:ascii="仿宋" w:hAnsi="仿宋" w:eastAsia="仿宋" w:cs="仿宋"/>
          <w:b/>
          <w:color w:val="auto"/>
          <w:sz w:val="44"/>
          <w:szCs w:val="44"/>
          <w:highlight w:val="none"/>
        </w:rPr>
      </w:pPr>
    </w:p>
    <w:p>
      <w:pPr>
        <w:jc w:val="center"/>
        <w:rPr>
          <w:rFonts w:hint="eastAsia" w:ascii="仿宋" w:hAnsi="仿宋" w:eastAsia="仿宋" w:cs="仿宋"/>
          <w:color w:val="auto"/>
          <w:highlight w:val="none"/>
        </w:rPr>
      </w:pP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第一部分招标公告</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第二部分投标须知</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第三部分招标项目范围及要求</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第四部分授予合同</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第五部分评标方法及标准</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第六部分投标文件及其附件格式</w:t>
      </w:r>
    </w:p>
    <w:p>
      <w:pPr>
        <w:snapToGrid w:val="0"/>
        <w:spacing w:line="480" w:lineRule="auto"/>
        <w:jc w:val="left"/>
        <w:rPr>
          <w:rFonts w:hint="eastAsia" w:ascii="仿宋" w:hAnsi="仿宋" w:eastAsia="仿宋" w:cs="仿宋"/>
          <w:color w:val="auto"/>
          <w:sz w:val="36"/>
          <w:szCs w:val="36"/>
          <w:highlight w:val="none"/>
        </w:rPr>
      </w:pPr>
    </w:p>
    <w:p>
      <w:pPr>
        <w:snapToGrid w:val="0"/>
        <w:spacing w:line="480" w:lineRule="auto"/>
        <w:jc w:val="left"/>
        <w:rPr>
          <w:rFonts w:hint="eastAsia" w:ascii="仿宋" w:hAnsi="仿宋" w:eastAsia="仿宋" w:cs="仿宋"/>
          <w:color w:val="auto"/>
          <w:sz w:val="36"/>
          <w:szCs w:val="36"/>
          <w:highlight w:val="none"/>
        </w:rPr>
      </w:pPr>
    </w:p>
    <w:p>
      <w:pPr>
        <w:snapToGrid w:val="0"/>
        <w:spacing w:line="480" w:lineRule="auto"/>
        <w:jc w:val="left"/>
        <w:rPr>
          <w:rFonts w:hint="eastAsia" w:ascii="仿宋" w:hAnsi="仿宋" w:eastAsia="仿宋" w:cs="仿宋"/>
          <w:color w:val="auto"/>
          <w:sz w:val="36"/>
          <w:szCs w:val="36"/>
          <w:highlight w:val="none"/>
        </w:rPr>
      </w:pPr>
    </w:p>
    <w:p>
      <w:pPr>
        <w:pageBreakBefore/>
        <w:snapToGrid w:val="0"/>
        <w:spacing w:line="600" w:lineRule="exact"/>
        <w:jc w:val="center"/>
        <w:rPr>
          <w:rFonts w:hint="eastAsia" w:ascii="仿宋" w:hAnsi="仿宋" w:eastAsia="仿宋" w:cs="仿宋"/>
          <w:color w:val="auto"/>
          <w:highlight w:val="none"/>
        </w:rPr>
      </w:pPr>
      <w:r>
        <w:rPr>
          <w:rFonts w:hint="eastAsia" w:ascii="仿宋" w:hAnsi="仿宋" w:eastAsia="仿宋" w:cs="仿宋"/>
          <w:b/>
          <w:color w:val="auto"/>
          <w:sz w:val="36"/>
          <w:szCs w:val="36"/>
          <w:highlight w:val="none"/>
        </w:rPr>
        <w:t>第一部分 招标公告</w:t>
      </w:r>
    </w:p>
    <w:tbl>
      <w:tblPr>
        <w:tblStyle w:val="39"/>
        <w:tblW w:w="8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trPr>
        <w:tc>
          <w:tcPr>
            <w:tcW w:w="8612" w:type="dxa"/>
          </w:tcPr>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项目概况：    </w:t>
            </w:r>
          </w:p>
          <w:p>
            <w:pPr>
              <w:jc w:val="left"/>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绍兴市中医院</w:t>
            </w:r>
            <w:r>
              <w:rPr>
                <w:rFonts w:hint="eastAsia" w:ascii="仿宋" w:hAnsi="仿宋" w:eastAsia="仿宋" w:cs="仿宋"/>
                <w:color w:val="auto"/>
                <w:kern w:val="0"/>
                <w:sz w:val="24"/>
                <w:highlight w:val="none"/>
                <w:lang w:eastAsia="zh-CN"/>
              </w:rPr>
              <w:t>容灾系统升级项目</w:t>
            </w:r>
            <w:r>
              <w:rPr>
                <w:rFonts w:hint="eastAsia" w:ascii="仿宋" w:hAnsi="仿宋" w:eastAsia="仿宋" w:cs="仿宋"/>
                <w:color w:val="auto"/>
                <w:kern w:val="0"/>
                <w:sz w:val="24"/>
                <w:highlight w:val="none"/>
              </w:rPr>
              <w:t>的潜在投标人应向招标代理机构报名获取招标文件，并于202</w:t>
            </w:r>
            <w:r>
              <w:rPr>
                <w:rFonts w:hint="eastAsia" w:ascii="仿宋" w:hAnsi="仿宋" w:eastAsia="仿宋" w:cs="仿宋"/>
                <w:color w:val="auto"/>
                <w:kern w:val="0"/>
                <w:sz w:val="24"/>
                <w:highlight w:val="none"/>
                <w:lang w:val="en-US" w:eastAsia="zh-CN"/>
              </w:rPr>
              <w:t>2</w:t>
            </w:r>
            <w:r>
              <w:rPr>
                <w:rFonts w:hint="eastAsia" w:ascii="仿宋" w:hAnsi="仿宋" w:eastAsia="仿宋" w:cs="仿宋"/>
                <w:color w:val="auto"/>
                <w:kern w:val="0"/>
                <w:sz w:val="24"/>
                <w:highlight w:val="none"/>
              </w:rPr>
              <w:t>年月日 09:00（北京时间）前递交投标文件。</w:t>
            </w:r>
          </w:p>
        </w:tc>
      </w:tr>
    </w:tbl>
    <w:p>
      <w:pPr>
        <w:widowControl/>
        <w:snapToGrid w:val="0"/>
        <w:spacing w:line="440" w:lineRule="exact"/>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一、项目基本情况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项目编号：</w:t>
      </w:r>
      <w:r>
        <w:rPr>
          <w:rFonts w:hint="eastAsia" w:ascii="仿宋" w:hAnsi="仿宋" w:eastAsia="仿宋" w:cs="仿宋"/>
          <w:color w:val="auto"/>
          <w:kern w:val="0"/>
          <w:sz w:val="24"/>
          <w:highlight w:val="none"/>
          <w:lang w:eastAsia="zh-CN"/>
        </w:rPr>
        <w:t>TYJZ2022</w:t>
      </w:r>
      <w:r>
        <w:rPr>
          <w:rFonts w:hint="eastAsia" w:ascii="仿宋" w:hAnsi="仿宋" w:eastAsia="仿宋" w:cs="仿宋"/>
          <w:color w:val="auto"/>
          <w:kern w:val="0"/>
          <w:sz w:val="24"/>
          <w:highlight w:val="none"/>
        </w:rPr>
        <w:t> </w:t>
      </w:r>
    </w:p>
    <w:p>
      <w:pPr>
        <w:widowControl/>
        <w:snapToGrid w:val="0"/>
        <w:spacing w:line="440" w:lineRule="exact"/>
        <w:ind w:firstLine="480" w:firstLineChars="200"/>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rPr>
        <w:t>项目名称：绍兴市中医院</w:t>
      </w:r>
      <w:r>
        <w:rPr>
          <w:rFonts w:hint="eastAsia" w:ascii="仿宋" w:hAnsi="仿宋" w:eastAsia="仿宋" w:cs="仿宋"/>
          <w:color w:val="auto"/>
          <w:kern w:val="0"/>
          <w:sz w:val="24"/>
          <w:highlight w:val="none"/>
          <w:lang w:eastAsia="zh-CN"/>
        </w:rPr>
        <w:t>容灾系统升级项目</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预算金额（元）：</w:t>
      </w:r>
      <w:r>
        <w:rPr>
          <w:rFonts w:hint="eastAsia" w:ascii="仿宋" w:hAnsi="仿宋" w:eastAsia="仿宋" w:cs="仿宋"/>
          <w:color w:val="auto"/>
          <w:kern w:val="0"/>
          <w:sz w:val="24"/>
          <w:highlight w:val="none"/>
          <w:lang w:val="en-US" w:eastAsia="zh-CN"/>
        </w:rPr>
        <w:t>300000</w:t>
      </w:r>
      <w:r>
        <w:rPr>
          <w:rFonts w:hint="eastAsia" w:ascii="仿宋" w:hAnsi="仿宋" w:eastAsia="仿宋" w:cs="仿宋"/>
          <w:color w:val="auto"/>
          <w:kern w:val="0"/>
          <w:sz w:val="24"/>
          <w:highlight w:val="none"/>
        </w:rPr>
        <w:t xml:space="preserve">   </w:t>
      </w:r>
    </w:p>
    <w:p>
      <w:pPr>
        <w:widowControl/>
        <w:snapToGrid w:val="0"/>
        <w:spacing w:line="440" w:lineRule="exact"/>
        <w:ind w:left="2399" w:leftChars="228" w:hanging="1920" w:hangingChars="800"/>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rPr>
        <w:t>最高限价（元）：</w:t>
      </w:r>
      <w:r>
        <w:rPr>
          <w:rFonts w:hint="eastAsia" w:ascii="仿宋" w:hAnsi="仿宋" w:eastAsia="仿宋" w:cs="仿宋"/>
          <w:color w:val="auto"/>
          <w:kern w:val="0"/>
          <w:sz w:val="24"/>
          <w:highlight w:val="none"/>
          <w:lang w:eastAsia="zh-CN"/>
        </w:rPr>
        <w:t>300000</w:t>
      </w:r>
    </w:p>
    <w:p>
      <w:pPr>
        <w:widowControl/>
        <w:snapToGrid w:val="0"/>
        <w:spacing w:line="44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kern w:val="0"/>
          <w:sz w:val="24"/>
          <w:highlight w:val="none"/>
        </w:rPr>
        <w:t>采购需求：详见招标文件</w:t>
      </w:r>
    </w:p>
    <w:p>
      <w:pPr>
        <w:pStyle w:val="56"/>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标项</w:t>
      </w:r>
      <w:r>
        <w:rPr>
          <w:rFonts w:hint="eastAsia" w:ascii="仿宋" w:hAnsi="仿宋" w:eastAsia="仿宋" w:cs="仿宋"/>
          <w:color w:val="auto"/>
          <w:szCs w:val="24"/>
          <w:highlight w:val="none"/>
          <w:lang w:eastAsia="zh-CN"/>
        </w:rPr>
        <w:t>一</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rPr>
        <w:br w:type="textWrapping"/>
      </w:r>
      <w:r>
        <w:rPr>
          <w:rFonts w:hint="eastAsia" w:ascii="仿宋" w:hAnsi="仿宋" w:eastAsia="仿宋" w:cs="仿宋"/>
          <w:color w:val="auto"/>
          <w:szCs w:val="24"/>
          <w:highlight w:val="none"/>
        </w:rPr>
        <w:t>  </w:t>
      </w:r>
      <w:r>
        <w:rPr>
          <w:rFonts w:hint="eastAsia" w:ascii="仿宋" w:hAnsi="仿宋" w:eastAsia="仿宋" w:cs="仿宋"/>
          <w:color w:val="auto"/>
          <w:szCs w:val="24"/>
          <w:highlight w:val="none"/>
          <w:lang w:val="en-US" w:eastAsia="zh-CN"/>
        </w:rPr>
        <w:t xml:space="preserve">   </w:t>
      </w:r>
      <w:r>
        <w:rPr>
          <w:rFonts w:hint="eastAsia" w:ascii="仿宋" w:hAnsi="仿宋" w:eastAsia="仿宋" w:cs="仿宋"/>
          <w:color w:val="auto"/>
          <w:szCs w:val="24"/>
          <w:highlight w:val="none"/>
        </w:rPr>
        <w:t>标项名称:</w:t>
      </w:r>
      <w:r>
        <w:rPr>
          <w:rFonts w:hint="eastAsia" w:ascii="仿宋" w:hAnsi="仿宋" w:eastAsia="仿宋" w:cs="仿宋"/>
          <w:color w:val="auto"/>
          <w:kern w:val="0"/>
          <w:sz w:val="24"/>
          <w:highlight w:val="none"/>
          <w:lang w:eastAsia="zh-CN"/>
        </w:rPr>
        <w:t>容灾系统升级项目</w:t>
      </w:r>
      <w:r>
        <w:rPr>
          <w:rFonts w:hint="eastAsia" w:ascii="仿宋" w:hAnsi="仿宋" w:eastAsia="仿宋" w:cs="仿宋"/>
          <w:color w:val="auto"/>
          <w:szCs w:val="24"/>
          <w:highlight w:val="none"/>
        </w:rPr>
        <w:br w:type="textWrapping"/>
      </w:r>
      <w:r>
        <w:rPr>
          <w:rFonts w:hint="eastAsia" w:ascii="仿宋" w:hAnsi="仿宋" w:eastAsia="仿宋" w:cs="仿宋"/>
          <w:color w:val="auto"/>
          <w:szCs w:val="24"/>
          <w:highlight w:val="none"/>
        </w:rPr>
        <w:t>  </w:t>
      </w:r>
      <w:r>
        <w:rPr>
          <w:rFonts w:hint="eastAsia" w:ascii="仿宋" w:hAnsi="仿宋" w:eastAsia="仿宋" w:cs="仿宋"/>
          <w:color w:val="auto"/>
          <w:szCs w:val="24"/>
          <w:highlight w:val="none"/>
          <w:lang w:val="en-US" w:eastAsia="zh-CN"/>
        </w:rPr>
        <w:t xml:space="preserve">   </w:t>
      </w:r>
      <w:r>
        <w:rPr>
          <w:rFonts w:hint="eastAsia" w:ascii="仿宋" w:hAnsi="仿宋" w:eastAsia="仿宋" w:cs="仿宋"/>
          <w:color w:val="auto"/>
          <w:szCs w:val="24"/>
          <w:highlight w:val="none"/>
        </w:rPr>
        <w:t>数量:1</w:t>
      </w:r>
    </w:p>
    <w:p>
      <w:pPr>
        <w:pStyle w:val="56"/>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预算金额（元）:</w:t>
      </w:r>
      <w:r>
        <w:rPr>
          <w:rFonts w:hint="eastAsia" w:ascii="仿宋" w:hAnsi="仿宋" w:eastAsia="仿宋" w:cs="仿宋"/>
          <w:color w:val="auto"/>
          <w:szCs w:val="24"/>
          <w:highlight w:val="none"/>
          <w:lang w:eastAsia="zh-CN"/>
        </w:rPr>
        <w:t>300000</w:t>
      </w:r>
      <w:r>
        <w:rPr>
          <w:rFonts w:hint="eastAsia" w:ascii="仿宋" w:hAnsi="仿宋" w:eastAsia="仿宋" w:cs="仿宋"/>
          <w:color w:val="auto"/>
          <w:szCs w:val="24"/>
          <w:highlight w:val="none"/>
        </w:rPr>
        <w:t> </w:t>
      </w:r>
    </w:p>
    <w:p>
      <w:pPr>
        <w:pStyle w:val="56"/>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highlight w:val="none"/>
        </w:rPr>
        <w:t>简要规格描述或项目基本概况介绍、用途：详见采购文件 </w:t>
      </w:r>
      <w:r>
        <w:rPr>
          <w:rFonts w:hint="eastAsia" w:ascii="仿宋" w:hAnsi="仿宋" w:eastAsia="仿宋" w:cs="仿宋"/>
          <w:color w:val="auto"/>
          <w:szCs w:val="24"/>
          <w:highlight w:val="none"/>
        </w:rPr>
        <w:br w:type="textWrapping"/>
      </w:r>
      <w:r>
        <w:rPr>
          <w:rFonts w:hint="eastAsia" w:ascii="仿宋" w:hAnsi="仿宋" w:eastAsia="仿宋" w:cs="仿宋"/>
          <w:color w:val="auto"/>
          <w:szCs w:val="24"/>
          <w:highlight w:val="none"/>
        </w:rPr>
        <w:t>  </w:t>
      </w:r>
      <w:r>
        <w:rPr>
          <w:rFonts w:hint="eastAsia" w:ascii="仿宋" w:hAnsi="仿宋" w:eastAsia="仿宋" w:cs="仿宋"/>
          <w:color w:val="auto"/>
          <w:szCs w:val="24"/>
          <w:highlight w:val="none"/>
          <w:lang w:val="en-US" w:eastAsia="zh-CN"/>
        </w:rPr>
        <w:t xml:space="preserve">   </w:t>
      </w:r>
      <w:r>
        <w:rPr>
          <w:rFonts w:hint="eastAsia" w:ascii="仿宋" w:hAnsi="仿宋" w:eastAsia="仿宋" w:cs="仿宋"/>
          <w:color w:val="auto"/>
          <w:szCs w:val="24"/>
          <w:highlight w:val="none"/>
        </w:rPr>
        <w:t>备注：无</w:t>
      </w:r>
    </w:p>
    <w:p>
      <w:pPr>
        <w:pStyle w:val="56"/>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合同履约期限：按双方合同约定条款执行。</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本项目（</w:t>
      </w:r>
      <w:r>
        <w:rPr>
          <w:rFonts w:hint="eastAsia" w:ascii="仿宋" w:hAnsi="仿宋" w:eastAsia="仿宋" w:cs="仿宋"/>
          <w:color w:val="auto"/>
          <w:kern w:val="0"/>
          <w:sz w:val="24"/>
          <w:highlight w:val="none"/>
          <w:lang w:eastAsia="zh-CN"/>
        </w:rPr>
        <w:t>是</w:t>
      </w:r>
      <w:r>
        <w:rPr>
          <w:rFonts w:hint="eastAsia" w:ascii="仿宋" w:hAnsi="仿宋" w:eastAsia="仿宋" w:cs="仿宋"/>
          <w:color w:val="auto"/>
          <w:kern w:val="0"/>
          <w:sz w:val="24"/>
          <w:highlight w:val="none"/>
        </w:rPr>
        <w:t>）接受联合体投标。</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二、申请人的资格要求：</w:t>
      </w:r>
    </w:p>
    <w:p>
      <w:pPr>
        <w:widowControl/>
        <w:snapToGrid w:val="0"/>
        <w:spacing w:line="440" w:lineRule="exact"/>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满足《中华人民共和国政府采购法》第二十二条规定；未被“信用中国”（www.creditchina.gov.cn)、中国政府采购网（www.ccgp.gov.cn）列入失信被执行人、重大税收违法案件当事人名单、政府采购严重违法失信行为记录名单。</w:t>
      </w:r>
    </w:p>
    <w:p>
      <w:pPr>
        <w:widowControl/>
        <w:spacing w:line="360" w:lineRule="auto"/>
        <w:ind w:firstLine="480" w:firstLineChars="2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highlight w:val="none"/>
        </w:rPr>
        <w:t>2.本项目的特定资格要求：</w:t>
      </w:r>
      <w:r>
        <w:rPr>
          <w:rFonts w:hint="eastAsia" w:ascii="仿宋" w:hAnsi="仿宋" w:eastAsia="仿宋" w:cs="仿宋"/>
          <w:color w:val="auto"/>
          <w:kern w:val="0"/>
          <w:sz w:val="24"/>
          <w:highlight w:val="none"/>
          <w:lang w:eastAsia="zh-CN"/>
        </w:rPr>
        <w:t>无。</w:t>
      </w:r>
    </w:p>
    <w:p>
      <w:pPr>
        <w:pStyle w:val="56"/>
        <w:spacing w:afterLines="0" w:line="440" w:lineRule="exact"/>
        <w:ind w:firstLine="480"/>
        <w:rPr>
          <w:rFonts w:hint="eastAsia" w:ascii="仿宋" w:hAnsi="仿宋" w:eastAsia="仿宋" w:cs="仿宋"/>
          <w:color w:val="auto"/>
          <w:highlight w:val="none"/>
        </w:rPr>
      </w:pPr>
      <w:r>
        <w:rPr>
          <w:rFonts w:hint="eastAsia" w:ascii="仿宋" w:hAnsi="仿宋" w:eastAsia="仿宋" w:cs="仿宋"/>
          <w:color w:val="auto"/>
          <w:highlight w:val="none"/>
        </w:rPr>
        <w:t>三、获取招标文件 </w:t>
      </w:r>
    </w:p>
    <w:p>
      <w:pPr>
        <w:pStyle w:val="56"/>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招标公告发布：</w:t>
      </w:r>
    </w:p>
    <w:p>
      <w:pPr>
        <w:pStyle w:val="56"/>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lang w:eastAsia="zh-CN"/>
        </w:rPr>
        <w:t>浙江政府采购网</w:t>
      </w:r>
      <w:r>
        <w:rPr>
          <w:rFonts w:hint="eastAsia" w:ascii="仿宋" w:hAnsi="仿宋" w:eastAsia="仿宋" w:cs="仿宋"/>
          <w:color w:val="auto"/>
          <w:szCs w:val="24"/>
          <w:highlight w:val="none"/>
        </w:rPr>
        <w:t xml:space="preserve">  https://zfcg.czt.zj.gov.cn/</w:t>
      </w:r>
    </w:p>
    <w:p>
      <w:pPr>
        <w:pStyle w:val="56"/>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绍兴市中医院 http://www.sxzyy.cn</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时间：202</w:t>
      </w:r>
      <w:r>
        <w:rPr>
          <w:rFonts w:hint="eastAsia" w:ascii="仿宋" w:hAnsi="仿宋" w:eastAsia="仿宋" w:cs="仿宋"/>
          <w:color w:val="auto"/>
          <w:kern w:val="0"/>
          <w:sz w:val="24"/>
          <w:highlight w:val="none"/>
          <w:lang w:val="en-US" w:eastAsia="zh-CN"/>
        </w:rPr>
        <w:t>2</w:t>
      </w:r>
      <w:r>
        <w:rPr>
          <w:rFonts w:hint="eastAsia" w:ascii="仿宋" w:hAnsi="仿宋" w:eastAsia="仿宋" w:cs="仿宋"/>
          <w:color w:val="auto"/>
          <w:kern w:val="0"/>
          <w:sz w:val="24"/>
          <w:highlight w:val="none"/>
        </w:rPr>
        <w:t>年月日至202</w:t>
      </w:r>
      <w:r>
        <w:rPr>
          <w:rFonts w:hint="eastAsia" w:ascii="仿宋" w:hAnsi="仿宋" w:eastAsia="仿宋" w:cs="仿宋"/>
          <w:color w:val="auto"/>
          <w:kern w:val="0"/>
          <w:sz w:val="24"/>
          <w:highlight w:val="none"/>
          <w:lang w:val="en-US" w:eastAsia="zh-CN"/>
        </w:rPr>
        <w:t>2</w:t>
      </w:r>
      <w:r>
        <w:rPr>
          <w:rFonts w:hint="eastAsia" w:ascii="仿宋" w:hAnsi="仿宋" w:eastAsia="仿宋" w:cs="仿宋"/>
          <w:color w:val="auto"/>
          <w:kern w:val="0"/>
          <w:sz w:val="24"/>
          <w:highlight w:val="none"/>
        </w:rPr>
        <w:t>年月日上午8:30 — 11:30；下午14:00 — 16:30 (双休日及法定节假日除外）</w:t>
      </w:r>
    </w:p>
    <w:p>
      <w:pPr>
        <w:spacing w:line="288" w:lineRule="auto"/>
        <w:ind w:firstLine="480" w:firstLineChars="200"/>
        <w:rPr>
          <w:rFonts w:hint="eastAsia" w:ascii="仿宋" w:hAnsi="仿宋" w:eastAsia="仿宋" w:cs="仿宋"/>
          <w:bCs/>
          <w:color w:val="auto"/>
          <w:kern w:val="0"/>
          <w:sz w:val="24"/>
          <w:szCs w:val="20"/>
          <w:highlight w:val="none"/>
        </w:rPr>
      </w:pPr>
      <w:r>
        <w:rPr>
          <w:rFonts w:hint="eastAsia" w:ascii="仿宋" w:hAnsi="仿宋" w:eastAsia="仿宋" w:cs="仿宋"/>
          <w:color w:val="auto"/>
          <w:kern w:val="0"/>
          <w:sz w:val="24"/>
          <w:highlight w:val="none"/>
        </w:rPr>
        <w:t>方式：</w:t>
      </w:r>
      <w:r>
        <w:rPr>
          <w:rFonts w:hint="eastAsia" w:ascii="仿宋" w:hAnsi="仿宋" w:eastAsia="仿宋" w:cs="仿宋"/>
          <w:color w:val="auto"/>
          <w:kern w:val="0"/>
          <w:sz w:val="24"/>
          <w:highlight w:val="none"/>
          <w:lang w:eastAsia="zh-CN"/>
        </w:rPr>
        <w:t>网上报名，</w:t>
      </w:r>
      <w:r>
        <w:rPr>
          <w:rFonts w:hint="eastAsia" w:ascii="仿宋" w:hAnsi="仿宋" w:eastAsia="仿宋" w:cs="仿宋"/>
          <w:bCs/>
          <w:color w:val="auto"/>
          <w:kern w:val="0"/>
          <w:sz w:val="24"/>
          <w:szCs w:val="20"/>
          <w:highlight w:val="none"/>
        </w:rPr>
        <w:t>以扫描件邮件形式发至2429136371@qq.com邮箱内。（上述报名资料仅作为报名登记使用，报名时不对投标人资格是否符合作出评判）</w:t>
      </w:r>
    </w:p>
    <w:p>
      <w:pPr>
        <w:pStyle w:val="48"/>
        <w:rPr>
          <w:rFonts w:hint="eastAsia" w:ascii="仿宋" w:hAnsi="仿宋" w:eastAsia="仿宋" w:cs="仿宋"/>
          <w:color w:val="auto"/>
          <w:highlight w:val="none"/>
          <w:lang w:val="en-US"/>
        </w:rPr>
      </w:pPr>
      <w:r>
        <w:rPr>
          <w:rFonts w:hint="eastAsia" w:ascii="仿宋" w:hAnsi="仿宋" w:eastAsia="仿宋" w:cs="仿宋"/>
          <w:bCs/>
          <w:color w:val="auto"/>
          <w:kern w:val="0"/>
          <w:szCs w:val="20"/>
          <w:highlight w:val="none"/>
          <w:lang w:val="en-US"/>
        </w:rPr>
        <w:t>报名资料：营业执照副本复印件、授权委托书或单位介绍信、授权委托人身份证复印件（备注：联系方式、邮箱）等（加盖公章）。</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售价（元）：200元/份（售后不退</w:t>
      </w:r>
      <w:r>
        <w:rPr>
          <w:rFonts w:hint="eastAsia" w:ascii="仿宋" w:hAnsi="仿宋" w:eastAsia="仿宋" w:cs="仿宋"/>
          <w:color w:val="auto"/>
          <w:kern w:val="0"/>
          <w:sz w:val="24"/>
          <w:highlight w:val="none"/>
          <w:lang w:eastAsia="zh-CN"/>
        </w:rPr>
        <w:t>，支付宝账号：</w:t>
      </w:r>
      <w:r>
        <w:rPr>
          <w:rFonts w:hint="eastAsia" w:ascii="仿宋" w:hAnsi="仿宋" w:eastAsia="仿宋" w:cs="仿宋"/>
          <w:color w:val="auto"/>
          <w:kern w:val="0"/>
          <w:sz w:val="24"/>
          <w:highlight w:val="none"/>
          <w:lang w:val="en-US" w:eastAsia="zh-CN"/>
        </w:rPr>
        <w:t>13656752180</w:t>
      </w:r>
      <w:r>
        <w:rPr>
          <w:rFonts w:hint="eastAsia" w:ascii="仿宋" w:hAnsi="仿宋" w:eastAsia="仿宋" w:cs="仿宋"/>
          <w:color w:val="auto"/>
          <w:kern w:val="0"/>
          <w:sz w:val="24"/>
          <w:highlight w:val="none"/>
        </w:rPr>
        <w:t>）</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四、提交投标文件截止时间、开标时间和地点</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提交投标文件截止时间：202</w:t>
      </w:r>
      <w:r>
        <w:rPr>
          <w:rFonts w:hint="eastAsia" w:ascii="仿宋" w:hAnsi="仿宋" w:eastAsia="仿宋" w:cs="仿宋"/>
          <w:color w:val="auto"/>
          <w:kern w:val="0"/>
          <w:sz w:val="24"/>
          <w:highlight w:val="none"/>
          <w:lang w:val="en-US" w:eastAsia="zh-CN"/>
        </w:rPr>
        <w:t>2</w:t>
      </w:r>
      <w:r>
        <w:rPr>
          <w:rFonts w:hint="eastAsia" w:ascii="仿宋" w:hAnsi="仿宋" w:eastAsia="仿宋" w:cs="仿宋"/>
          <w:color w:val="auto"/>
          <w:kern w:val="0"/>
          <w:sz w:val="24"/>
          <w:highlight w:val="none"/>
        </w:rPr>
        <w:t>年月日 09:00（北京时间）</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投标地点：绍兴市越城区朝皇路58号正大综合楼601泰宇咨询会议室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开标时间：202</w:t>
      </w:r>
      <w:r>
        <w:rPr>
          <w:rFonts w:hint="eastAsia" w:ascii="仿宋" w:hAnsi="仿宋" w:eastAsia="仿宋" w:cs="仿宋"/>
          <w:color w:val="auto"/>
          <w:kern w:val="0"/>
          <w:sz w:val="24"/>
          <w:highlight w:val="none"/>
          <w:lang w:val="en-US" w:eastAsia="zh-CN"/>
        </w:rPr>
        <w:t>2</w:t>
      </w:r>
      <w:r>
        <w:rPr>
          <w:rFonts w:hint="eastAsia" w:ascii="仿宋" w:hAnsi="仿宋" w:eastAsia="仿宋" w:cs="仿宋"/>
          <w:color w:val="auto"/>
          <w:kern w:val="0"/>
          <w:sz w:val="24"/>
          <w:highlight w:val="none"/>
        </w:rPr>
        <w:t>年月日 09:00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开标地点：绍兴市越城区朝皇路58号正大综合楼601泰宇咨询会议室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五、公告期限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自本公告发布之日起5个工作日。</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六、其他补充事宜</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1.供应商认为采购文件使自己的权益受到损害的，可以自获取采购文件之日或 者采购文件公告期限届满之日（公告期限届满后获取采购文件的，以公告期限届满之日为准）起7个工作日内，以书面形式向采购人和采购代理机构提出质疑。</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2.采购代理机构将拒绝接受未获取招标文件供应商的投标文件。</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3.招标文件的提供期限截止之日之后有潜在供应商提出获取招标文件的，采购代理机构将允许其获取。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七、对本次采购提出询问、质疑、投诉，请按以下方式联系</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1.采购人信息</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名称：绍兴市中医院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地址： 绍兴市越城区人民中路651号</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传真：/</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项目联系人（询问）：王宁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项目联系方式（询问）：0575-89102270</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质疑联系人： 沈科长</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质疑联系方式：0575-89107189</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2.采购代理机构信息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名称：泰宇建筑工程技术咨询有限公司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地址：绍兴市越城区朝皇路58号正大综合楼601</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传真：/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项目联系人（询问）：金锦英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项目联系方式（询问）：0575-88226969/13656752180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质疑联系人：胡</w:t>
      </w:r>
      <w:r>
        <w:rPr>
          <w:rFonts w:hint="eastAsia" w:ascii="仿宋" w:hAnsi="仿宋" w:eastAsia="仿宋" w:cs="仿宋"/>
          <w:color w:val="auto"/>
          <w:kern w:val="0"/>
          <w:sz w:val="24"/>
          <w:highlight w:val="none"/>
          <w:lang w:eastAsia="zh-CN"/>
        </w:rPr>
        <w:t>泽宇</w:t>
      </w:r>
      <w:r>
        <w:rPr>
          <w:rFonts w:hint="eastAsia" w:ascii="仿宋" w:hAnsi="仿宋" w:eastAsia="仿宋" w:cs="仿宋"/>
          <w:color w:val="auto"/>
          <w:kern w:val="0"/>
          <w:sz w:val="24"/>
          <w:highlight w:val="none"/>
        </w:rPr>
        <w:t xml:space="preserve">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质疑联系方式：0575-85080066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3.同级政府采购监督管理部门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名称：绍兴市财政局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地址：绍兴市越城区凤林西路151号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传真：0575-85209806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联系人 ：宋晓林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监督投诉电话：0575-85209806       </w:t>
      </w:r>
    </w:p>
    <w:p>
      <w:pPr>
        <w:pStyle w:val="48"/>
        <w:rPr>
          <w:rFonts w:hint="eastAsia" w:ascii="仿宋" w:hAnsi="仿宋" w:eastAsia="仿宋" w:cs="仿宋"/>
          <w:color w:val="auto"/>
          <w:highlight w:val="none"/>
        </w:rPr>
      </w:pPr>
    </w:p>
    <w:p>
      <w:pPr>
        <w:pageBreakBefore/>
        <w:spacing w:line="440" w:lineRule="exact"/>
        <w:ind w:firstLine="2530" w:firstLineChars="700"/>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第二部分投标须知</w:t>
      </w:r>
    </w:p>
    <w:p>
      <w:pPr>
        <w:ind w:left="238"/>
        <w:jc w:val="center"/>
        <w:rPr>
          <w:rFonts w:hint="eastAsia" w:ascii="仿宋" w:hAnsi="仿宋" w:eastAsia="仿宋" w:cs="仿宋"/>
          <w:b/>
          <w:color w:val="auto"/>
          <w:sz w:val="30"/>
          <w:szCs w:val="36"/>
          <w:highlight w:val="none"/>
        </w:rPr>
      </w:pPr>
      <w:r>
        <w:rPr>
          <w:rFonts w:hint="eastAsia" w:ascii="仿宋" w:hAnsi="仿宋" w:eastAsia="仿宋" w:cs="仿宋"/>
          <w:b/>
          <w:color w:val="auto"/>
          <w:sz w:val="30"/>
          <w:szCs w:val="36"/>
          <w:highlight w:val="none"/>
        </w:rPr>
        <w:t>前附表</w:t>
      </w:r>
    </w:p>
    <w:tbl>
      <w:tblPr>
        <w:tblStyle w:val="39"/>
        <w:tblW w:w="94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9"/>
        <w:gridCol w:w="822"/>
        <w:gridCol w:w="77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69"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561" w:type="dxa"/>
            <w:gridSpan w:val="2"/>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561" w:type="dxa"/>
            <w:gridSpan w:val="2"/>
            <w:vAlign w:val="center"/>
          </w:tcPr>
          <w:p>
            <w:pPr>
              <w:snapToGrid w:val="0"/>
              <w:spacing w:line="42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投标人应当提交的资格、资信证明文件</w:t>
            </w:r>
            <w:r>
              <w:rPr>
                <w:rFonts w:hint="eastAsia" w:ascii="仿宋" w:hAnsi="仿宋" w:eastAsia="仿宋" w:cs="仿宋"/>
                <w:color w:val="auto"/>
                <w:sz w:val="24"/>
                <w:highlight w:val="none"/>
              </w:rPr>
              <w:t>：</w:t>
            </w:r>
          </w:p>
          <w:p>
            <w:pPr>
              <w:snapToGrid w:val="0"/>
              <w:spacing w:line="42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（1）相关证明文件：</w:t>
            </w:r>
            <w:r>
              <w:rPr>
                <w:rFonts w:hint="eastAsia" w:ascii="仿宋" w:hAnsi="仿宋" w:eastAsia="仿宋" w:cs="仿宋"/>
                <w:color w:val="auto"/>
                <w:sz w:val="24"/>
                <w:highlight w:val="none"/>
              </w:rPr>
              <w:t>营业执照(或事业法人登记证或其他工商等登记证明材料)复印件、</w:t>
            </w:r>
            <w:r>
              <w:rPr>
                <w:rFonts w:hint="eastAsia" w:ascii="仿宋" w:hAnsi="仿宋" w:eastAsia="仿宋" w:cs="仿宋"/>
                <w:color w:val="auto"/>
                <w:sz w:val="24"/>
                <w:highlight w:val="none"/>
                <w:lang w:eastAsia="zh-CN"/>
              </w:rPr>
              <w:t>2021年度资产负债表</w:t>
            </w:r>
            <w:r>
              <w:rPr>
                <w:rFonts w:hint="eastAsia" w:ascii="仿宋" w:hAnsi="仿宋" w:eastAsia="仿宋" w:cs="仿宋"/>
                <w:color w:val="auto"/>
                <w:sz w:val="24"/>
                <w:highlight w:val="none"/>
              </w:rPr>
              <w:t>等财务报表资料文件(新成立的公司提供情况说明)、参加本次政府采购活动前三年内，在经营活动中没有重大违法记录的声明（详见格式范例）。</w:t>
            </w:r>
          </w:p>
          <w:p>
            <w:pPr>
              <w:snapToGrid w:val="0"/>
              <w:spacing w:line="42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（2）资信证明文件（如果有，按招标文件第三部分招标项目范围及要求和第五部分评分标准提供）。</w:t>
            </w:r>
          </w:p>
          <w:p>
            <w:pPr>
              <w:snapToGrid w:val="0"/>
              <w:spacing w:line="420" w:lineRule="exact"/>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（3）特许资格、资信证明文件（如果有）：</w:t>
            </w:r>
          </w:p>
          <w:p>
            <w:pPr>
              <w:spacing w:line="42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561" w:type="dxa"/>
            <w:gridSpan w:val="2"/>
            <w:vAlign w:val="center"/>
          </w:tcPr>
          <w:p>
            <w:pPr>
              <w:snapToGrid w:val="0"/>
              <w:spacing w:line="42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pPr>
              <w:snapToGrid w:val="0"/>
              <w:spacing w:line="42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pPr>
              <w:snapToGrid w:val="0"/>
              <w:spacing w:line="42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69"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561" w:type="dxa"/>
            <w:gridSpan w:val="2"/>
            <w:vAlign w:val="center"/>
          </w:tcPr>
          <w:p>
            <w:pPr>
              <w:autoSpaceDE w:val="0"/>
              <w:autoSpaceDN w:val="0"/>
              <w:spacing w:line="420" w:lineRule="exact"/>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69"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561" w:type="dxa"/>
            <w:gridSpan w:val="2"/>
            <w:vAlign w:val="center"/>
          </w:tcPr>
          <w:p>
            <w:pPr>
              <w:spacing w:line="42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分包或转包：</w:t>
            </w:r>
            <w:r>
              <w:rPr>
                <w:rFonts w:hint="eastAsia" w:ascii="仿宋" w:hAnsi="仿宋" w:eastAsia="仿宋" w:cs="仿宋"/>
                <w:color w:val="auto"/>
                <w:sz w:val="24"/>
                <w:highlight w:val="none"/>
              </w:rPr>
              <w:t>（1）采购人不同意分包。</w:t>
            </w:r>
          </w:p>
          <w:p>
            <w:pPr>
              <w:spacing w:line="420" w:lineRule="exact"/>
              <w:ind w:firstLine="1288" w:firstLineChars="537"/>
              <w:rPr>
                <w:rFonts w:hint="eastAsia" w:ascii="仿宋" w:hAnsi="仿宋" w:eastAsia="仿宋" w:cs="仿宋"/>
                <w:color w:val="auto"/>
                <w:sz w:val="24"/>
                <w:highlight w:val="none"/>
              </w:rPr>
            </w:pPr>
            <w:r>
              <w:rPr>
                <w:rFonts w:hint="eastAsia" w:ascii="仿宋" w:hAnsi="仿宋" w:eastAsia="仿宋" w:cs="仿宋"/>
                <w:color w:val="auto"/>
                <w:sz w:val="24"/>
                <w:highlight w:val="none"/>
              </w:rPr>
              <w:t>（2）本项目不得转包。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69"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561" w:type="dxa"/>
            <w:gridSpan w:val="2"/>
            <w:vAlign w:val="center"/>
          </w:tcPr>
          <w:p>
            <w:pPr>
              <w:spacing w:line="42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正本一份、副本四份。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869"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561" w:type="dxa"/>
            <w:gridSpan w:val="2"/>
            <w:vAlign w:val="center"/>
          </w:tcPr>
          <w:p>
            <w:pPr>
              <w:autoSpaceDE w:val="0"/>
              <w:autoSpaceDN w:val="0"/>
              <w:spacing w:line="420" w:lineRule="exact"/>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r>
              <w:rPr>
                <w:rFonts w:hint="eastAsia" w:ascii="仿宋" w:hAnsi="仿宋" w:eastAsia="仿宋" w:cs="仿宋"/>
                <w:color w:val="auto"/>
                <w:sz w:val="24"/>
                <w:highlight w:val="none"/>
              </w:rPr>
              <w:t>无</w:t>
            </w:r>
            <w:r>
              <w:rPr>
                <w:rFonts w:hint="eastAsia" w:ascii="仿宋" w:hAnsi="仿宋" w:eastAsia="仿宋" w:cs="仿宋"/>
                <w:b/>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69"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561" w:type="dxa"/>
            <w:gridSpan w:val="2"/>
            <w:vAlign w:val="center"/>
          </w:tcPr>
          <w:p>
            <w:pPr>
              <w:autoSpaceDE w:val="0"/>
              <w:autoSpaceDN w:val="0"/>
              <w:adjustRightInd w:val="0"/>
              <w:spacing w:line="42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561" w:type="dxa"/>
            <w:gridSpan w:val="2"/>
            <w:vAlign w:val="center"/>
          </w:tcPr>
          <w:p>
            <w:pPr>
              <w:spacing w:line="42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现场演示(讲解)：</w:t>
            </w:r>
            <w:r>
              <w:rPr>
                <w:rFonts w:hint="eastAsia" w:ascii="仿宋" w:hAnsi="仿宋" w:eastAsia="仿宋" w:cs="仿宋"/>
                <w:color w:val="auto"/>
                <w:sz w:val="24"/>
                <w:highlight w:val="none"/>
              </w:rPr>
              <w:t>无</w:t>
            </w:r>
            <w:r>
              <w:rPr>
                <w:rFonts w:hint="eastAsia" w:ascii="仿宋" w:hAnsi="仿宋" w:eastAsia="仿宋" w:cs="仿宋"/>
                <w:b/>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22" w:type="dxa"/>
          </w:tcPr>
          <w:p>
            <w:pPr>
              <w:snapToGrid w:val="0"/>
              <w:spacing w:line="42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739" w:type="dxa"/>
            <w:vAlign w:val="center"/>
          </w:tcPr>
          <w:p>
            <w:pPr>
              <w:snapToGrid w:val="0"/>
              <w:spacing w:line="42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本项目不允许采购进口产品，供应商所提供的货物和服务须在我国境内合法生产、销售。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869" w:type="dxa"/>
            <w:vMerge w:val="restart"/>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22" w:type="dxa"/>
            <w:vMerge w:val="restart"/>
            <w:vAlign w:val="center"/>
          </w:tcPr>
          <w:p>
            <w:pPr>
              <w:snapToGrid w:val="0"/>
              <w:spacing w:line="42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739" w:type="dxa"/>
            <w:vAlign w:val="center"/>
          </w:tcPr>
          <w:p>
            <w:pPr>
              <w:snapToGrid w:val="0"/>
              <w:spacing w:line="42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投标截止时间前</w:t>
            </w:r>
            <w:r>
              <w:rPr>
                <w:rFonts w:hint="eastAsia" w:ascii="仿宋" w:hAnsi="仿宋" w:eastAsia="仿宋" w:cs="仿宋"/>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440" w:lineRule="exact"/>
              <w:jc w:val="center"/>
              <w:rPr>
                <w:rFonts w:hint="eastAsia" w:ascii="仿宋" w:hAnsi="仿宋" w:eastAsia="仿宋" w:cs="仿宋"/>
                <w:color w:val="auto"/>
                <w:sz w:val="24"/>
                <w:highlight w:val="none"/>
              </w:rPr>
            </w:pPr>
          </w:p>
        </w:tc>
        <w:tc>
          <w:tcPr>
            <w:tcW w:w="822" w:type="dxa"/>
            <w:vMerge w:val="continue"/>
            <w:vAlign w:val="center"/>
          </w:tcPr>
          <w:p>
            <w:pPr>
              <w:snapToGrid w:val="0"/>
              <w:spacing w:line="420" w:lineRule="exact"/>
              <w:rPr>
                <w:rFonts w:hint="eastAsia" w:ascii="仿宋" w:hAnsi="仿宋" w:eastAsia="仿宋" w:cs="仿宋"/>
                <w:b/>
                <w:color w:val="auto"/>
                <w:sz w:val="24"/>
                <w:highlight w:val="none"/>
              </w:rPr>
            </w:pPr>
          </w:p>
        </w:tc>
        <w:tc>
          <w:tcPr>
            <w:tcW w:w="7739" w:type="dxa"/>
            <w:vAlign w:val="center"/>
          </w:tcPr>
          <w:p>
            <w:pPr>
              <w:snapToGrid w:val="0"/>
              <w:spacing w:line="42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440" w:lineRule="exact"/>
              <w:jc w:val="center"/>
              <w:rPr>
                <w:rFonts w:hint="eastAsia" w:ascii="仿宋" w:hAnsi="仿宋" w:eastAsia="仿宋" w:cs="仿宋"/>
                <w:color w:val="auto"/>
                <w:sz w:val="24"/>
                <w:highlight w:val="none"/>
              </w:rPr>
            </w:pPr>
          </w:p>
        </w:tc>
        <w:tc>
          <w:tcPr>
            <w:tcW w:w="822" w:type="dxa"/>
            <w:vMerge w:val="continue"/>
            <w:vAlign w:val="center"/>
          </w:tcPr>
          <w:p>
            <w:pPr>
              <w:snapToGrid w:val="0"/>
              <w:spacing w:line="420" w:lineRule="exact"/>
              <w:rPr>
                <w:rFonts w:hint="eastAsia" w:ascii="仿宋" w:hAnsi="仿宋" w:eastAsia="仿宋" w:cs="仿宋"/>
                <w:b/>
                <w:color w:val="auto"/>
                <w:sz w:val="24"/>
                <w:highlight w:val="none"/>
              </w:rPr>
            </w:pPr>
          </w:p>
        </w:tc>
        <w:tc>
          <w:tcPr>
            <w:tcW w:w="7739" w:type="dxa"/>
            <w:vAlign w:val="center"/>
          </w:tcPr>
          <w:p>
            <w:pPr>
              <w:snapToGrid w:val="0"/>
              <w:spacing w:line="42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61" w:type="dxa"/>
            <w:gridSpan w:val="2"/>
            <w:vAlign w:val="center"/>
          </w:tcPr>
          <w:p>
            <w:pPr>
              <w:snapToGrid w:val="0"/>
              <w:spacing w:line="2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61" w:type="dxa"/>
            <w:gridSpan w:val="2"/>
            <w:vAlign w:val="center"/>
          </w:tcPr>
          <w:p>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w:t>
            </w:r>
            <w:r>
              <w:rPr>
                <w:rFonts w:hint="eastAsia" w:ascii="仿宋" w:hAnsi="仿宋" w:eastAsia="仿宋" w:cs="仿宋"/>
                <w:color w:val="auto"/>
                <w:sz w:val="24"/>
                <w:highlight w:val="none"/>
                <w:lang w:eastAsia="zh-CN"/>
              </w:rPr>
              <w:t>浙江省政府采购网</w:t>
            </w:r>
            <w:r>
              <w:rPr>
                <w:rFonts w:hint="eastAsia" w:ascii="仿宋" w:hAnsi="仿宋" w:eastAsia="仿宋" w:cs="仿宋"/>
                <w:color w:val="auto"/>
                <w:sz w:val="24"/>
                <w:highlight w:val="none"/>
              </w:rPr>
              <w:t>、绍兴市中医院官网查看下载。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61" w:type="dxa"/>
            <w:gridSpan w:val="2"/>
            <w:vAlign w:val="center"/>
          </w:tcPr>
          <w:p>
            <w:pPr>
              <w:snapToGrid w:val="0"/>
              <w:spacing w:line="400" w:lineRule="exac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投标与开标注意事项：</w:t>
            </w:r>
          </w:p>
          <w:p>
            <w:pPr>
              <w:snapToGrid w:val="0"/>
              <w:spacing w:line="400" w:lineRule="exac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本项目采用纸质投标文件。若供应商参与投标，自行承担投标一切费用。投标文件允许投标单位通过邮寄快递方式送达（建议采用EMS或顺丰快递。邮寄送达地址：绍兴市朝皇路58号正大综合楼601泰宇建筑工程技术咨询有限公司招标代理部（泰宇建筑工程技术咨询有限公司，接收人：金锦英，联系方式：13656752180。快递寄出后，请将快递底单照片发送邮件至2429136371@qq.com，邮件名称为公司名称+联系人姓名+手机号，以便及时查收）。同时请充分考虑快递时间，确保在投标截止时间前送达。投标文件递交的时间以招标代理机构签收时间为准，除邮寄外包装外，投标文件仍需要按采购文件要求封包，但在邮寄过程中发生的包封缺损或保管过程中发生的一切事宜均由投标人自行承担。</w:t>
            </w:r>
          </w:p>
          <w:p>
            <w:pPr>
              <w:snapToGrid w:val="0"/>
              <w:spacing w:line="400" w:lineRule="exac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2. 同时允许投标单位现场送达（即交即走）的方式，在投标截止时间前将投标文件递交至绍兴市朝皇路58号正大综合楼601（泰宇建筑工程技术咨询有限公司）会议室。</w:t>
            </w:r>
          </w:p>
          <w:p>
            <w:pPr>
              <w:snapToGrid w:val="0"/>
              <w:spacing w:line="400" w:lineRule="exac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3.投标人的法定代表人或授权代表等均可不参加开标会议。若投标人法定代表人或授权代表不在现场参加开标会议的，取消开标现场的书面签字确认等有关操作要求，投标人需向采购代理机构工作人员告知其联系方式，以备询标等事宜。</w:t>
            </w:r>
          </w:p>
          <w:p>
            <w:pPr>
              <w:snapToGrid w:val="0"/>
              <w:spacing w:line="400" w:lineRule="exact"/>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4.本项目招标文件内对开标现场原件核验不作要求，采购人有权在标后对中标候选人进行原件核验。投标人对所提供的全部资料的真实性承担法律责任。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561" w:type="dxa"/>
            <w:gridSpan w:val="2"/>
            <w:vAlign w:val="center"/>
          </w:tcPr>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参与绍兴市政府采购活动的供应商按照《浙江省政府采购供应商注册和诚信管理暂行办法》要求执行。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561" w:type="dxa"/>
            <w:gridSpan w:val="2"/>
            <w:vAlign w:val="center"/>
          </w:tcPr>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采购代理服务费：</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中标人须向采购代理机构按如下标准和规定交纳代理服务费，并在投标报价中自行考虑：</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以中标通知中确定的中标总金额作为代理服务费的计算基数，具体比例参照《国家计委关于印发&lt;招标代理服务收费管理暂行办法&gt;的通知》（计价格[2002]1980号）规定的标准下浮50%进行收费。服务费不到2000元按照2000元收取。</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（2）代理服务费的交纳方式：</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用银行支票、汇票、电汇、现金等付款方式直接交纳代理服务费。</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公司名称：泰宇建筑工程技术咨询有限公司绍兴分公司</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账号: 85010078801000000518</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开户银行:上海浦东发展银行绍兴分行</w:t>
            </w:r>
          </w:p>
          <w:p>
            <w:pPr>
              <w:numPr>
                <w:ilvl w:val="255"/>
                <w:numId w:val="0"/>
              </w:num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（3）领取中标通知书前交纳。</w:t>
            </w:r>
          </w:p>
          <w:p>
            <w:pPr>
              <w:numPr>
                <w:ilvl w:val="255"/>
                <w:numId w:val="0"/>
              </w:numPr>
              <w:snapToGrid w:val="0"/>
              <w:spacing w:line="440" w:lineRule="exact"/>
              <w:rPr>
                <w:rFonts w:hint="eastAsia" w:ascii="仿宋" w:hAnsi="仿宋" w:eastAsia="仿宋" w:cs="仿宋"/>
                <w:color w:val="auto"/>
                <w:highlight w:val="none"/>
              </w:rPr>
            </w:pPr>
            <w:r>
              <w:rPr>
                <w:rFonts w:hint="eastAsia" w:ascii="仿宋" w:hAnsi="仿宋" w:eastAsia="仿宋" w:cs="仿宋"/>
                <w:color w:val="auto"/>
                <w:sz w:val="24"/>
                <w:highlight w:val="none"/>
              </w:rPr>
              <w:t>（4）招标专家评审费由代理机构垫付，再与招标人进行清算，即专家评审费由招标人承担。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430" w:type="dxa"/>
            <w:gridSpan w:val="3"/>
            <w:vAlign w:val="center"/>
          </w:tcPr>
          <w:p>
            <w:pPr>
              <w:spacing w:line="42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解释：凡涉及本招标文件的解释权属于采购人和采购代理机构。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430" w:type="dxa"/>
            <w:gridSpan w:val="3"/>
            <w:vAlign w:val="center"/>
          </w:tcPr>
          <w:p>
            <w:pPr>
              <w:spacing w:line="42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注：中标人放弃中标资格或因质疑、投诉被取消中标资格或不能履行合同的，本项目重新开展政府采购活动。</w:t>
            </w:r>
          </w:p>
        </w:tc>
      </w:tr>
    </w:tbl>
    <w:p>
      <w:pPr>
        <w:pageBreakBefore/>
        <w:ind w:left="238"/>
        <w:jc w:val="center"/>
        <w:rPr>
          <w:rFonts w:hint="eastAsia" w:ascii="仿宋" w:hAnsi="仿宋" w:eastAsia="仿宋" w:cs="仿宋"/>
          <w:color w:val="auto"/>
          <w:highlight w:val="none"/>
        </w:rPr>
      </w:pPr>
      <w:r>
        <w:rPr>
          <w:rFonts w:hint="eastAsia" w:ascii="仿宋" w:hAnsi="仿宋" w:eastAsia="仿宋" w:cs="仿宋"/>
          <w:b/>
          <w:color w:val="auto"/>
          <w:sz w:val="36"/>
          <w:szCs w:val="36"/>
          <w:highlight w:val="none"/>
        </w:rPr>
        <w:t>一、总则</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 项目说明</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1.1本招标文件适用于该项目的招标、投标、开标、资格审查及信用信息查询、评标、定标、合同、验收等行为（法律、法规另有规定的，从其规定）。</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1.2投标人一旦参与本次招标活动，即被视为接受了本招标文件的所有内容，如有任何异议，均应在法定时间内提出。</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1.4本招标文件所称公章是指单位法定名称章或者冠以法定名称的投标业务专章。</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 定义</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政府采购当事人及监管部门：绍兴市中医院为本项目的采购人（合同中的甲方），泰宇建筑工程技术咨询有限公司为采购代理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 “产品”系指供方按招标文件规定，经合法途径取得的，须向采购人提供的一切产品、保险、税金、安装、施工、调试、备品备件、工具、手册及其它有关技术资料和材料。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 “服务”系指招标文件规定投标人须承担的安装、调试、技术协助、校准、培训、技术指导以及其他类似的义务。</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2.4 “项目”系指投标人按招标文件规定向采购人提供的产品和服务。</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2.5 “授权代表”系指法定代表人的被授权委托人。</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2.6“★”系指实质性指标要求条款，“▲”系指主要性能指标要求条款。如任意一条打“★”的指标出现负偏离视为实质性不响应招标文件要求，作无效投标处理；如任意一条打“▲”的指标出现负偏离按评分标准作扣分处理。</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pPr>
        <w:snapToGrid w:val="0"/>
        <w:spacing w:beforeLines="50" w:afterLines="50"/>
        <w:jc w:val="center"/>
        <w:rPr>
          <w:rFonts w:hint="eastAsia" w:ascii="仿宋" w:hAnsi="仿宋" w:eastAsia="仿宋" w:cs="仿宋"/>
          <w:color w:val="auto"/>
          <w:sz w:val="24"/>
          <w:highlight w:val="none"/>
        </w:rPr>
      </w:pPr>
      <w:r>
        <w:rPr>
          <w:rFonts w:hint="eastAsia" w:ascii="仿宋" w:hAnsi="仿宋" w:eastAsia="仿宋" w:cs="仿宋"/>
          <w:b/>
          <w:color w:val="auto"/>
          <w:sz w:val="36"/>
          <w:szCs w:val="36"/>
          <w:highlight w:val="none"/>
        </w:rPr>
        <w:t>二、招标文件</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w:t>
      </w:r>
      <w:r>
        <w:rPr>
          <w:rFonts w:hint="eastAsia" w:ascii="仿宋" w:hAnsi="仿宋" w:eastAsia="仿宋" w:cs="仿宋"/>
          <w:b/>
          <w:color w:val="auto"/>
          <w:kern w:val="0"/>
          <w:sz w:val="24"/>
          <w:highlight w:val="none"/>
        </w:rPr>
        <w:t>公开招标</w:t>
      </w:r>
      <w:r>
        <w:rPr>
          <w:rFonts w:hint="eastAsia" w:ascii="仿宋" w:hAnsi="仿宋" w:eastAsia="仿宋" w:cs="仿宋"/>
          <w:color w:val="auto"/>
          <w:sz w:val="24"/>
          <w:highlight w:val="none"/>
        </w:rPr>
        <w:t>方式进行。</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 投标委托</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本项目为现场送达（即交即走）的方式递交投标文件，投标人的法定代表人或其授权代表或个体工商户不需要参加现场投标和开标。</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pPr>
        <w:pStyle w:val="13"/>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投标人应自行承担编制投标文件及参加本次投标所涉及的一切费用。不管投标结果如何，招标人对上述费用不负任何责任。</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4.1 </w:t>
      </w:r>
      <w:r>
        <w:rPr>
          <w:rFonts w:hint="eastAsia" w:ascii="仿宋" w:hAnsi="仿宋" w:eastAsia="仿宋" w:cs="仿宋"/>
          <w:bCs/>
          <w:color w:val="auto"/>
          <w:sz w:val="24"/>
          <w:highlight w:val="none"/>
        </w:rPr>
        <w:t>招标文件包括本招标文件及所有的招标答疑记录（澄清、修改）和发出的补充通知</w:t>
      </w:r>
      <w:r>
        <w:rPr>
          <w:rFonts w:hint="eastAsia" w:ascii="仿宋" w:hAnsi="仿宋" w:eastAsia="仿宋" w:cs="仿宋"/>
          <w:color w:val="auto"/>
          <w:sz w:val="24"/>
          <w:highlight w:val="none"/>
        </w:rPr>
        <w:t>。</w:t>
      </w:r>
    </w:p>
    <w:p>
      <w:pPr>
        <w:pStyle w:val="13"/>
        <w:widowControl w:val="0"/>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4.2招标文件的澄清</w:t>
      </w:r>
    </w:p>
    <w:p>
      <w:pPr>
        <w:pStyle w:val="13"/>
        <w:widowControl w:val="0"/>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3"/>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4.3招标文件的修改</w:t>
      </w:r>
    </w:p>
    <w:p>
      <w:pPr>
        <w:pStyle w:val="13"/>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4.3.1在投标截止时间前规定时间内，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pPr>
        <w:snapToGrid w:val="0"/>
        <w:spacing w:line="440" w:lineRule="exact"/>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三、投标文件</w:t>
      </w:r>
    </w:p>
    <w:p>
      <w:pPr>
        <w:numPr>
          <w:ilvl w:val="0"/>
          <w:numId w:val="7"/>
        </w:num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投标文件的语言及计量单位</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 投标文件的组成</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投标文件由“报价文件资料”、“商务技术（资信）文件资料”两部分组成：</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 “报价文件资料”应包含以下内容（正本用原件）：</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2.1.1投标响应函（格式见第六部分附件）；</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2.1.2开标一览表（格式见第六部分附件）；</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2.1.3供应商需要说明的其他文件和说明（格式自拟）。</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以上文件组成“报价文件资料”。投标人在“报价文件资料”中应对招标文件作实质性响应，该项内容将作为评标重要指标。</w:t>
      </w:r>
    </w:p>
    <w:p>
      <w:pPr>
        <w:pStyle w:val="19"/>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 “商务技术（资信）文件资料”应包括以下内容：</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2.2.1法定代表人授权委托书(个体工商户不需要提供，格式见第六部分附件)；</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2.2.2授权代表社保证明（格式见第六部分附件）；</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2.2.3法定代表人身份证明书（格式见第六部分附件）；</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2.2.4 企业法人营业执照副本复印件（加盖单位公章）；</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2.2.5相关资质证明或文件复印件（加盖单位公章）；（均需加盖公章）：</w:t>
      </w:r>
      <w:r>
        <w:rPr>
          <w:rFonts w:hint="eastAsia" w:ascii="仿宋" w:hAnsi="仿宋" w:eastAsia="仿宋" w:cs="仿宋"/>
          <w:color w:val="auto"/>
          <w:kern w:val="0"/>
          <w:sz w:val="24"/>
          <w:highlight w:val="none"/>
        </w:rPr>
        <w:t>证明其符合《中华人民共和国政府采购法》规定的供应商基本条件和采购项目对供应商的特定要求</w:t>
      </w:r>
      <w:r>
        <w:rPr>
          <w:rFonts w:hint="eastAsia" w:ascii="仿宋" w:hAnsi="仿宋" w:eastAsia="仿宋" w:cs="仿宋"/>
          <w:color w:val="auto"/>
          <w:sz w:val="24"/>
          <w:highlight w:val="none"/>
        </w:rPr>
        <w:t>（如果项目要求）</w:t>
      </w:r>
      <w:r>
        <w:rPr>
          <w:rFonts w:hint="eastAsia" w:ascii="仿宋" w:hAnsi="仿宋" w:eastAsia="仿宋" w:cs="仿宋"/>
          <w:color w:val="auto"/>
          <w:kern w:val="0"/>
          <w:sz w:val="24"/>
          <w:highlight w:val="none"/>
        </w:rPr>
        <w:t>的有关资格证明文件。</w:t>
      </w:r>
    </w:p>
    <w:p>
      <w:pPr>
        <w:pStyle w:val="21"/>
        <w:spacing w:line="440" w:lineRule="exact"/>
        <w:ind w:firstLine="480" w:firstLineChars="200"/>
        <w:rPr>
          <w:rFonts w:hint="eastAsia" w:ascii="仿宋" w:hAnsi="仿宋" w:eastAsia="仿宋" w:cs="仿宋"/>
          <w:color w:val="auto"/>
          <w:sz w:val="24"/>
          <w:highlight w:val="none"/>
        </w:rPr>
      </w:pPr>
      <w:bookmarkStart w:id="0" w:name="_Hlt68403820"/>
      <w:bookmarkEnd w:id="0"/>
      <w:bookmarkStart w:id="1" w:name="_Hlt68072998"/>
      <w:bookmarkEnd w:id="1"/>
      <w:bookmarkStart w:id="2" w:name="_Hlt68073093"/>
      <w:bookmarkEnd w:id="2"/>
      <w:r>
        <w:rPr>
          <w:rFonts w:hint="eastAsia" w:ascii="仿宋" w:hAnsi="仿宋" w:eastAsia="仿宋" w:cs="仿宋"/>
          <w:color w:val="auto"/>
          <w:sz w:val="24"/>
          <w:highlight w:val="none"/>
        </w:rPr>
        <w:t>（1）营业执照(或事业法人登记证或其他工商等登记证明材料)复印件、税务登记证(或其它缴纳证明材料)复印件、社保登记证（或其它缴纳证明材料）复印件；实施“五证合一、一照一码”登记制度改革的，只需提供改革后取得的营业执照复印件；</w:t>
      </w:r>
    </w:p>
    <w:p>
      <w:pPr>
        <w:pStyle w:val="21"/>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eastAsia="zh-CN"/>
        </w:rPr>
        <w:t>2021年度资产负债表</w:t>
      </w:r>
      <w:r>
        <w:rPr>
          <w:rFonts w:hint="eastAsia" w:ascii="仿宋" w:hAnsi="仿宋" w:eastAsia="仿宋" w:cs="仿宋"/>
          <w:color w:val="auto"/>
          <w:sz w:val="24"/>
          <w:highlight w:val="none"/>
        </w:rPr>
        <w:t>等财务报表资料文件(新成立的公司，必须提供情况说明)；</w:t>
      </w:r>
    </w:p>
    <w:p>
      <w:pPr>
        <w:pStyle w:val="21"/>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（3）具有履行合同所必需的设备和专业技术能力的承诺函；</w:t>
      </w:r>
    </w:p>
    <w:p>
      <w:pPr>
        <w:spacing w:line="440" w:lineRule="exact"/>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sz w:val="24"/>
          <w:highlight w:val="none"/>
        </w:rPr>
        <w:t>（4）参加本次政府采购活动前三年内，在经营活动中没有重大违法记录的声明（</w:t>
      </w:r>
      <w:r>
        <w:rPr>
          <w:rFonts w:hint="eastAsia" w:ascii="仿宋" w:hAnsi="仿宋" w:eastAsia="仿宋" w:cs="仿宋"/>
          <w:color w:val="auto"/>
          <w:sz w:val="24"/>
          <w:szCs w:val="20"/>
          <w:highlight w:val="none"/>
        </w:rPr>
        <w:t>需要特别声明“没有因违反《浙江省政府采购供应商注册及诚信管理暂行办法》被列入‘黑名单’，在处罚有效期”）；</w:t>
      </w:r>
    </w:p>
    <w:p>
      <w:pPr>
        <w:spacing w:line="440" w:lineRule="exact"/>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pPr>
        <w:spacing w:line="440" w:lineRule="exact"/>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kern w:val="0"/>
          <w:sz w:val="24"/>
          <w:highlight w:val="none"/>
        </w:rPr>
        <w:t>(6</w:t>
      </w:r>
      <w:r>
        <w:rPr>
          <w:rFonts w:hint="eastAsia" w:ascii="仿宋" w:hAnsi="仿宋" w:eastAsia="仿宋" w:cs="仿宋"/>
          <w:color w:val="auto"/>
          <w:sz w:val="24"/>
          <w:highlight w:val="none"/>
        </w:rPr>
        <w:t>)</w:t>
      </w:r>
      <w:r>
        <w:rPr>
          <w:rFonts w:hint="eastAsia" w:ascii="仿宋" w:hAnsi="仿宋" w:eastAsia="仿宋" w:cs="仿宋"/>
          <w:color w:val="auto"/>
          <w:sz w:val="24"/>
          <w:szCs w:val="20"/>
          <w:highlight w:val="none"/>
        </w:rPr>
        <w:t>提供依法缴纳税收和社会保障资金的良好记录证明，税收和社保证明打印时间不得早于投标截止时间前1个月；</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(7</w:t>
      </w:r>
      <w:r>
        <w:rPr>
          <w:rFonts w:hint="eastAsia" w:ascii="仿宋" w:hAnsi="仿宋" w:eastAsia="仿宋" w:cs="仿宋"/>
          <w:color w:val="auto"/>
          <w:sz w:val="24"/>
          <w:highlight w:val="none"/>
        </w:rPr>
        <w:t>)符合特定资格条件（如果项目要求）的有关证明材料（复印件）；</w:t>
      </w:r>
    </w:p>
    <w:p>
      <w:pPr>
        <w:pStyle w:val="21"/>
        <w:snapToGrid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2.2.6</w:t>
      </w:r>
      <w:r>
        <w:rPr>
          <w:rFonts w:hint="eastAsia" w:ascii="仿宋" w:hAnsi="仿宋" w:eastAsia="仿宋" w:cs="仿宋"/>
          <w:color w:val="auto"/>
          <w:sz w:val="24"/>
          <w:highlight w:val="none"/>
          <w:lang w:val="zh-CN"/>
        </w:rPr>
        <w:t>投标人应提供针对项目的完整技术解决方案：</w:t>
      </w:r>
    </w:p>
    <w:p>
      <w:pPr>
        <w:snapToGrid w:val="0"/>
        <w:spacing w:line="440" w:lineRule="exact"/>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如果本项目涉及硬件设备采购，还需提供相关设备完整配置方案（设备名称、品牌、规格型号、数量、主要技术参数等）</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提供主要投标产品的技术参数证明材料（如原厂技术说明、官网截图、产品彩页等），</w:t>
      </w:r>
      <w:r>
        <w:rPr>
          <w:rFonts w:hint="eastAsia" w:ascii="仿宋" w:hAnsi="仿宋" w:eastAsia="仿宋" w:cs="仿宋"/>
          <w:color w:val="auto"/>
          <w:sz w:val="24"/>
          <w:highlight w:val="none"/>
        </w:rPr>
        <w:t>明确表示该项指标所涉及的软硬件是标准配置还是选择配置</w:t>
      </w:r>
      <w:r>
        <w:rPr>
          <w:rFonts w:hint="eastAsia" w:ascii="仿宋" w:hAnsi="仿宋" w:eastAsia="仿宋" w:cs="仿宋"/>
          <w:b/>
          <w:color w:val="auto"/>
          <w:sz w:val="24"/>
          <w:highlight w:val="none"/>
        </w:rPr>
        <w:t>（所有技术指标表述均应采用中文，如当前公布的技术指标只有英文表述的，必须由投标人作出中文注释，否则</w:t>
      </w:r>
      <w:r>
        <w:rPr>
          <w:rFonts w:hint="eastAsia" w:ascii="仿宋" w:hAnsi="仿宋" w:eastAsia="仿宋" w:cs="仿宋"/>
          <w:b/>
          <w:color w:val="auto"/>
          <w:kern w:val="0"/>
          <w:sz w:val="24"/>
          <w:highlight w:val="none"/>
          <w:lang w:val="zh-CN"/>
        </w:rPr>
        <w:t>任何含糊不清的</w:t>
      </w:r>
      <w:r>
        <w:rPr>
          <w:rFonts w:hint="eastAsia" w:ascii="仿宋" w:hAnsi="仿宋" w:eastAsia="仿宋" w:cs="仿宋"/>
          <w:b/>
          <w:color w:val="auto"/>
          <w:sz w:val="24"/>
          <w:highlight w:val="none"/>
        </w:rPr>
        <w:t>表述导致</w:t>
      </w:r>
      <w:r>
        <w:rPr>
          <w:rFonts w:hint="eastAsia" w:ascii="仿宋" w:hAnsi="仿宋" w:eastAsia="仿宋" w:cs="仿宋"/>
          <w:b/>
          <w:color w:val="auto"/>
          <w:kern w:val="0"/>
          <w:sz w:val="24"/>
          <w:highlight w:val="none"/>
          <w:lang w:val="zh-CN"/>
        </w:rPr>
        <w:t>评标委员会技术扣分直至认定为投标无效都将是投标人的责任）</w:t>
      </w:r>
      <w:r>
        <w:rPr>
          <w:rFonts w:hint="eastAsia" w:ascii="仿宋" w:hAnsi="仿宋" w:eastAsia="仿宋" w:cs="仿宋"/>
          <w:color w:val="auto"/>
          <w:sz w:val="24"/>
          <w:highlight w:val="none"/>
        </w:rPr>
        <w:t>。（如有）</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2.2.7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如有）</w:t>
      </w:r>
    </w:p>
    <w:p>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rPr>
        <w:t>2.2.9</w:t>
      </w:r>
      <w:r>
        <w:rPr>
          <w:rFonts w:hint="eastAsia" w:ascii="仿宋" w:hAnsi="仿宋" w:eastAsia="仿宋" w:cs="仿宋"/>
          <w:color w:val="auto"/>
          <w:sz w:val="24"/>
          <w:highlight w:val="none"/>
        </w:rPr>
        <w:t>投标人在投标文件技术偏离说明表中，</w:t>
      </w:r>
      <w:r>
        <w:rPr>
          <w:rFonts w:hint="eastAsia" w:ascii="仿宋" w:hAnsi="仿宋" w:eastAsia="仿宋" w:cs="仿宋"/>
          <w:color w:val="auto"/>
          <w:kern w:val="0"/>
          <w:sz w:val="24"/>
          <w:highlight w:val="none"/>
          <w:lang w:val="zh-CN"/>
        </w:rPr>
        <w:t>应对</w:t>
      </w:r>
      <w:r>
        <w:rPr>
          <w:rFonts w:hint="eastAsia" w:ascii="仿宋" w:hAnsi="仿宋" w:eastAsia="仿宋" w:cs="仿宋"/>
          <w:color w:val="auto"/>
          <w:sz w:val="24"/>
          <w:highlight w:val="none"/>
        </w:rPr>
        <w:t>项目技术规范和服务要求</w:t>
      </w:r>
      <w:r>
        <w:rPr>
          <w:rFonts w:hint="eastAsia" w:ascii="仿宋" w:hAnsi="仿宋" w:eastAsia="仿宋" w:cs="仿宋"/>
          <w:color w:val="auto"/>
          <w:kern w:val="0"/>
          <w:sz w:val="24"/>
          <w:highlight w:val="none"/>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2.2.</w:t>
      </w:r>
      <w:r>
        <w:rPr>
          <w:rFonts w:hint="eastAsia" w:ascii="仿宋" w:hAnsi="仿宋" w:eastAsia="仿宋" w:cs="仿宋"/>
          <w:color w:val="auto"/>
          <w:kern w:val="0"/>
          <w:sz w:val="24"/>
          <w:highlight w:val="none"/>
        </w:rPr>
        <w:t>10</w:t>
      </w:r>
      <w:r>
        <w:rPr>
          <w:rFonts w:hint="eastAsia" w:ascii="仿宋" w:hAnsi="仿宋" w:eastAsia="仿宋" w:cs="仿宋"/>
          <w:color w:val="auto"/>
          <w:kern w:val="0"/>
          <w:sz w:val="24"/>
          <w:highlight w:val="none"/>
          <w:lang w:val="zh-CN"/>
        </w:rPr>
        <w:t>针对本项目建设的详细实施计划。本项目详细工作实施组织方案，包括(但不限于)以下内容：组织机构、工作时间进度表、工作程序和步骤、管理和协调方法、关键步骤的思路和要点。（</w:t>
      </w:r>
      <w:r>
        <w:rPr>
          <w:rFonts w:hint="eastAsia" w:ascii="仿宋" w:hAnsi="仿宋" w:eastAsia="仿宋" w:cs="仿宋"/>
          <w:color w:val="auto"/>
          <w:kern w:val="0"/>
          <w:sz w:val="24"/>
          <w:highlight w:val="none"/>
        </w:rPr>
        <w:t>如有）</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2.2.1</w:t>
      </w: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lang w:val="zh-CN"/>
        </w:rPr>
        <w:t>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r>
        <w:rPr>
          <w:rFonts w:hint="eastAsia" w:ascii="仿宋" w:hAnsi="仿宋" w:eastAsia="仿宋" w:cs="仿宋"/>
          <w:color w:val="auto"/>
          <w:kern w:val="0"/>
          <w:sz w:val="24"/>
          <w:highlight w:val="none"/>
        </w:rPr>
        <w:t>如有）</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2.2.1</w:t>
      </w:r>
      <w:r>
        <w:rPr>
          <w:rFonts w:hint="eastAsia" w:ascii="仿宋" w:hAnsi="仿宋" w:eastAsia="仿宋" w:cs="仿宋"/>
          <w:color w:val="auto"/>
          <w:kern w:val="0"/>
          <w:sz w:val="24"/>
          <w:highlight w:val="none"/>
        </w:rPr>
        <w:t>2</w:t>
      </w:r>
      <w:r>
        <w:rPr>
          <w:rFonts w:hint="eastAsia" w:ascii="仿宋" w:hAnsi="仿宋" w:eastAsia="仿宋" w:cs="仿宋"/>
          <w:color w:val="auto"/>
          <w:kern w:val="0"/>
          <w:sz w:val="24"/>
          <w:highlight w:val="none"/>
          <w:lang w:val="zh-CN"/>
        </w:rPr>
        <w:t>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r>
        <w:rPr>
          <w:rFonts w:hint="eastAsia" w:ascii="仿宋" w:hAnsi="仿宋" w:eastAsia="仿宋" w:cs="仿宋"/>
          <w:color w:val="auto"/>
          <w:kern w:val="0"/>
          <w:sz w:val="24"/>
          <w:highlight w:val="none"/>
        </w:rPr>
        <w:t>如有）</w:t>
      </w:r>
    </w:p>
    <w:p>
      <w:pPr>
        <w:tabs>
          <w:tab w:val="left" w:pos="0"/>
          <w:tab w:val="left" w:pos="840"/>
        </w:tabs>
        <w:autoSpaceDE w:val="0"/>
        <w:autoSpaceDN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w:t>
      </w:r>
      <w:r>
        <w:rPr>
          <w:rFonts w:hint="eastAsia" w:ascii="仿宋" w:hAnsi="仿宋" w:eastAsia="仿宋" w:cs="仿宋"/>
          <w:color w:val="auto"/>
          <w:kern w:val="0"/>
          <w:sz w:val="24"/>
          <w:highlight w:val="none"/>
        </w:rPr>
        <w:t>3</w:t>
      </w:r>
      <w:r>
        <w:rPr>
          <w:rFonts w:hint="eastAsia" w:ascii="仿宋" w:hAnsi="仿宋" w:eastAsia="仿宋" w:cs="仿宋"/>
          <w:color w:val="auto"/>
          <w:kern w:val="0"/>
          <w:sz w:val="24"/>
          <w:highlight w:val="none"/>
          <w:lang w:val="zh-CN"/>
        </w:rPr>
        <w:t>备品备件清单（含随机自带的备品备件和质保期后供采购人选择的备品备件及配套零部件，明细备品备件及价格，且供货价格不高于中标价格；中标货物设备应提供易损部件的备件和整机备品）；（如有）</w:t>
      </w:r>
    </w:p>
    <w:p>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2.2.14</w:t>
      </w:r>
      <w:r>
        <w:rPr>
          <w:rFonts w:hint="eastAsia" w:ascii="仿宋" w:hAnsi="仿宋" w:eastAsia="仿宋" w:cs="仿宋"/>
          <w:color w:val="auto"/>
          <w:kern w:val="0"/>
          <w:sz w:val="24"/>
          <w:highlight w:val="none"/>
          <w:lang w:val="zh-CN"/>
        </w:rPr>
        <w:t>培训计划；（如有）</w:t>
      </w:r>
    </w:p>
    <w:p>
      <w:pPr>
        <w:tabs>
          <w:tab w:val="left" w:pos="0"/>
          <w:tab w:val="left" w:pos="840"/>
        </w:tabs>
        <w:autoSpaceDE w:val="0"/>
        <w:autoSpaceDN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w:t>
      </w:r>
      <w:r>
        <w:rPr>
          <w:rFonts w:hint="eastAsia" w:ascii="仿宋" w:hAnsi="仿宋" w:eastAsia="仿宋" w:cs="仿宋"/>
          <w:color w:val="auto"/>
          <w:kern w:val="0"/>
          <w:sz w:val="24"/>
          <w:highlight w:val="none"/>
        </w:rPr>
        <w:t>5</w:t>
      </w:r>
      <w:r>
        <w:rPr>
          <w:rFonts w:hint="eastAsia" w:ascii="仿宋" w:hAnsi="仿宋" w:eastAsia="仿宋" w:cs="仿宋"/>
          <w:color w:val="auto"/>
          <w:kern w:val="0"/>
          <w:sz w:val="24"/>
          <w:highlight w:val="none"/>
          <w:lang w:val="zh-CN"/>
        </w:rPr>
        <w:t>验收方案；（如有）</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2.2.16</w:t>
      </w:r>
      <w:r>
        <w:rPr>
          <w:rFonts w:hint="eastAsia" w:ascii="仿宋" w:hAnsi="仿宋" w:eastAsia="仿宋" w:cs="仿宋"/>
          <w:snapToGrid w:val="0"/>
          <w:color w:val="auto"/>
          <w:sz w:val="24"/>
          <w:highlight w:val="none"/>
        </w:rPr>
        <w:t>非本地投标人售后服务机构证明材料。非本地投标人</w:t>
      </w:r>
      <w:r>
        <w:rPr>
          <w:rFonts w:hint="eastAsia" w:ascii="仿宋" w:hAnsi="仿宋" w:eastAsia="仿宋" w:cs="仿宋"/>
          <w:color w:val="auto"/>
          <w:sz w:val="24"/>
          <w:highlight w:val="none"/>
          <w:lang w:val="zh-CN"/>
        </w:rPr>
        <w:t>在绍兴的分公司</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lang w:val="zh-CN"/>
        </w:rPr>
        <w:t>需提供本地工商注册</w:t>
      </w:r>
      <w:r>
        <w:rPr>
          <w:rFonts w:hint="eastAsia" w:ascii="仿宋" w:hAnsi="仿宋" w:eastAsia="仿宋" w:cs="仿宋"/>
          <w:color w:val="auto"/>
          <w:sz w:val="24"/>
          <w:highlight w:val="none"/>
        </w:rPr>
        <w:t>登记</w:t>
      </w:r>
      <w:r>
        <w:rPr>
          <w:rFonts w:hint="eastAsia" w:ascii="仿宋" w:hAnsi="仿宋" w:eastAsia="仿宋" w:cs="仿宋"/>
          <w:color w:val="auto"/>
          <w:sz w:val="24"/>
          <w:highlight w:val="none"/>
          <w:lang w:val="zh-CN"/>
        </w:rPr>
        <w:t>资料）或办事处</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lang w:val="zh-CN"/>
        </w:rPr>
        <w:t>需提供本地国内经济合作办注册资料</w:t>
      </w:r>
      <w:r>
        <w:rPr>
          <w:rFonts w:hint="eastAsia" w:ascii="仿宋" w:hAnsi="仿宋" w:eastAsia="仿宋" w:cs="仿宋"/>
          <w:color w:val="auto"/>
          <w:kern w:val="0"/>
          <w:sz w:val="24"/>
          <w:highlight w:val="none"/>
        </w:rPr>
        <w:t>）或符合本项目服务能力并签订合作协议的第三方机构或者在中标（成交）公示后在本地设立售后服务机构作</w:t>
      </w:r>
      <w:r>
        <w:rPr>
          <w:rFonts w:hint="eastAsia" w:ascii="仿宋" w:hAnsi="仿宋" w:eastAsia="仿宋" w:cs="仿宋"/>
          <w:color w:val="auto"/>
          <w:sz w:val="24"/>
          <w:highlight w:val="none"/>
          <w:lang w:val="zh-CN"/>
        </w:rPr>
        <w:t>为常驻服务和技术支持机构；</w:t>
      </w:r>
      <w:r>
        <w:rPr>
          <w:rFonts w:hint="eastAsia" w:ascii="仿宋" w:hAnsi="仿宋" w:eastAsia="仿宋" w:cs="仿宋"/>
          <w:color w:val="auto"/>
          <w:kern w:val="0"/>
          <w:sz w:val="24"/>
          <w:highlight w:val="none"/>
          <w:lang w:val="zh-CN"/>
        </w:rPr>
        <w:t>（如有）</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2.2.17</w:t>
      </w:r>
      <w:r>
        <w:rPr>
          <w:rFonts w:hint="eastAsia" w:ascii="仿宋" w:hAnsi="仿宋" w:eastAsia="仿宋" w:cs="仿宋"/>
          <w:color w:val="auto"/>
          <w:sz w:val="24"/>
          <w:highlight w:val="none"/>
          <w:u w:val="wave"/>
        </w:rPr>
        <w:t>未尽事宜请各投标单位按评分细则和相对应标项相关要求制作(重要)</w:t>
      </w:r>
      <w:r>
        <w:rPr>
          <w:rFonts w:hint="eastAsia" w:ascii="仿宋" w:hAnsi="仿宋" w:eastAsia="仿宋" w:cs="仿宋"/>
          <w:color w:val="auto"/>
          <w:sz w:val="24"/>
          <w:highlight w:val="none"/>
        </w:rPr>
        <w:t>；</w:t>
      </w:r>
    </w:p>
    <w:p>
      <w:pPr>
        <w:pStyle w:val="19"/>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2.2.18投标人需要说明的其他文件和说明（格式自拟）。</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以上文件组成“商务技术（资信）文件资料”。投标人在“商务技术（资信）文件资料”中应对招标文件作实质性响应，该项内容将作为评标重要指标。</w:t>
      </w:r>
    </w:p>
    <w:p>
      <w:pPr>
        <w:pStyle w:val="19"/>
        <w:tabs>
          <w:tab w:val="left" w:pos="1854"/>
          <w:tab w:val="clear" w:pos="482"/>
        </w:tabs>
        <w:spacing w:afterLines="0" w:line="440" w:lineRule="exact"/>
        <w:ind w:left="105" w:right="-78" w:rightChars="-37" w:firstLine="480" w:firstLineChars="200"/>
        <w:rPr>
          <w:rFonts w:hint="eastAsia" w:ascii="仿宋" w:hAnsi="仿宋" w:eastAsia="仿宋" w:cs="仿宋"/>
          <w:b/>
          <w:color w:val="auto"/>
          <w:highlight w:val="none"/>
        </w:rPr>
      </w:pPr>
      <w:r>
        <w:rPr>
          <w:rFonts w:hint="eastAsia" w:ascii="仿宋" w:hAnsi="仿宋" w:eastAsia="仿宋" w:cs="仿宋"/>
          <w:color w:val="auto"/>
          <w:highlight w:val="none"/>
        </w:rPr>
        <w:t>投标人不按招标文件的要求提供的投标文件，可能会被评标委员会视为未实质性响应，其风险应由投标人自行承担。</w:t>
      </w:r>
    </w:p>
    <w:p>
      <w:pPr>
        <w:pStyle w:val="19"/>
        <w:tabs>
          <w:tab w:val="left" w:pos="1854"/>
          <w:tab w:val="clear" w:pos="482"/>
        </w:tabs>
        <w:spacing w:afterLines="0" w:line="440" w:lineRule="exact"/>
        <w:ind w:left="0" w:right="-78" w:rightChars="-37" w:firstLine="482" w:firstLineChars="200"/>
        <w:rPr>
          <w:rFonts w:hint="eastAsia" w:ascii="仿宋" w:hAnsi="仿宋" w:eastAsia="仿宋" w:cs="仿宋"/>
          <w:b/>
          <w:color w:val="auto"/>
          <w:highlight w:val="none"/>
        </w:rPr>
      </w:pPr>
      <w:r>
        <w:rPr>
          <w:rFonts w:hint="eastAsia" w:ascii="仿宋" w:hAnsi="仿宋" w:eastAsia="仿宋" w:cs="仿宋"/>
          <w:b/>
          <w:color w:val="auto"/>
          <w:highlight w:val="none"/>
        </w:rPr>
        <w:t>注：复印件应加盖投标人公章</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投标报价</w:t>
      </w:r>
    </w:p>
    <w:p>
      <w:pPr>
        <w:pStyle w:val="21"/>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3.1投标人应按招标文件中《开标一览表》等附表要求填写。</w:t>
      </w:r>
    </w:p>
    <w:p>
      <w:pPr>
        <w:pStyle w:val="21"/>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3.2报价为采购人可以合格使用产品的价格，包括货款、包装、运输、保险、货到就位以及安装、调试、培训、保修及产品知识产权等一切费用。</w:t>
      </w:r>
    </w:p>
    <w:p>
      <w:pPr>
        <w:pStyle w:val="21"/>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3.3招标文件未列明，而投标人认为必需的费用也需列入报价。</w:t>
      </w:r>
    </w:p>
    <w:p>
      <w:pPr>
        <w:pStyle w:val="21"/>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3.4对于可能有配件、耗材、选件和特殊工具的服务，还应填报投标设备配件、耗材、选件表和备件及特殊工具清单，注明品牌、型号、产地、功能、单价、批量折扣等内容，该表格的格式由投标人自行设计。</w:t>
      </w:r>
    </w:p>
    <w:p>
      <w:pPr>
        <w:tabs>
          <w:tab w:val="left" w:pos="52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3.5</w:t>
      </w:r>
      <w:r>
        <w:rPr>
          <w:rFonts w:hint="eastAsia" w:ascii="仿宋" w:hAnsi="仿宋" w:eastAsia="仿宋" w:cs="仿宋"/>
          <w:b/>
          <w:i/>
          <w:color w:val="auto"/>
          <w:sz w:val="24"/>
          <w:highlight w:val="none"/>
        </w:rPr>
        <w:t>投标报价只允许有一个报价，有选择的报价将不予接受（除指定外）。</w:t>
      </w:r>
    </w:p>
    <w:p>
      <w:pPr>
        <w:pStyle w:val="13"/>
        <w:widowControl w:val="0"/>
        <w:tabs>
          <w:tab w:val="clear" w:pos="454"/>
        </w:tabs>
        <w:spacing w:afterLines="0" w:line="440" w:lineRule="atLeas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4.投标文件的有效期</w:t>
      </w:r>
    </w:p>
    <w:p>
      <w:pPr>
        <w:pStyle w:val="13"/>
        <w:widowControl w:val="0"/>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4.1</w:t>
      </w:r>
      <w:r>
        <w:rPr>
          <w:rFonts w:hint="eastAsia" w:ascii="仿宋" w:hAnsi="仿宋" w:eastAsia="仿宋" w:cs="仿宋"/>
          <w:color w:val="auto"/>
          <w:highlight w:val="none"/>
        </w:rPr>
        <w:t>投标有效期为从提交投标文件的截止之日起90天。</w:t>
      </w:r>
      <w:r>
        <w:rPr>
          <w:rFonts w:hint="eastAsia" w:ascii="仿宋" w:hAnsi="仿宋" w:eastAsia="仿宋" w:cs="仿宋"/>
          <w:b/>
          <w:color w:val="auto"/>
          <w:highlight w:val="none"/>
        </w:rPr>
        <w:t>投标人的投标文件中承</w:t>
      </w:r>
      <w:r>
        <w:rPr>
          <w:rFonts w:hint="eastAsia" w:ascii="仿宋" w:hAnsi="仿宋" w:eastAsia="仿宋" w:cs="仿宋"/>
          <w:b/>
          <w:color w:val="auto"/>
          <w:szCs w:val="21"/>
          <w:highlight w:val="none"/>
        </w:rPr>
        <w:t>诺的投标有效期少于招标文件中载明的投标有效期的，投标无效。</w:t>
      </w:r>
    </w:p>
    <w:p>
      <w:pPr>
        <w:pStyle w:val="13"/>
        <w:widowControl w:val="0"/>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4.2在特殊情况下，招标人可与投标人协商延长投标书的有效期，这种要求和答复均以书面形式进行。</w:t>
      </w:r>
    </w:p>
    <w:p>
      <w:pPr>
        <w:pStyle w:val="13"/>
        <w:widowControl w:val="0"/>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4.3投标人可拒绝接受延期要求而不会导致投标保证金被没收。同意延长有效期的投标人不能修改投标文件。</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5.投标文件的份数和规定</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5.1投标文件的正本需打印或用不褪色的墨水填写，不允许行间插字，并注明“正本”字样，投标文件正本除本招标须知中规定的可提供复印件外均须提供原件。副本为正本的复印件。</w:t>
      </w:r>
    </w:p>
    <w:p>
      <w:pPr>
        <w:pStyle w:val="21"/>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5.2投标文件由“商务技术（资信）文件资料”和“报价文件资料”两部分文件组成，应按统一格式填写，装订成册。并在封面处明确注明“商务技术（资信）文件资料”或“报价文件资料”。</w:t>
      </w:r>
    </w:p>
    <w:p>
      <w:pPr>
        <w:pStyle w:val="21"/>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5.3投标文件一式五份，其中正本一份，副本四份。</w:t>
      </w:r>
    </w:p>
    <w:p>
      <w:pPr>
        <w:pStyle w:val="21"/>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5.4投标文件须由投标人在规定位置盖章并由法定代表人或其授权代表签署，投标人应写全称。</w:t>
      </w:r>
    </w:p>
    <w:p>
      <w:pPr>
        <w:pStyle w:val="21"/>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5.5投标文件不得涂改，若有修改错漏处，须加盖单位公章或者法定代表人或其授权代表签字或盖章。</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5.6投标文件因字迹潦草或表达不清所引起的后果由投标人负责。</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5.7投标人应认真阅读招标文件中所有的内容。如果投标人编制的投标文件实质上不响应招标文件的要求，其投标文件将被招标人拒绝。</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5.8投标文件建议采用A4幅面，按顺序统一编目编码装订成册。</w:t>
      </w:r>
      <w:r>
        <w:rPr>
          <w:rFonts w:hint="eastAsia" w:ascii="仿宋" w:hAnsi="仿宋" w:eastAsia="仿宋" w:cs="仿宋"/>
          <w:b/>
          <w:color w:val="auto"/>
          <w:sz w:val="24"/>
          <w:highlight w:val="none"/>
        </w:rPr>
        <w:t>提倡双面打印</w:t>
      </w:r>
      <w:r>
        <w:rPr>
          <w:rFonts w:hint="eastAsia" w:ascii="仿宋" w:hAnsi="仿宋" w:eastAsia="仿宋" w:cs="仿宋"/>
          <w:color w:val="auto"/>
          <w:sz w:val="24"/>
          <w:highlight w:val="none"/>
        </w:rPr>
        <w:t>。</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 投标文件的密封、盖章和签署</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“商务技术（资信）文件资料”和“报价文件资料”</w:t>
      </w:r>
      <w:r>
        <w:rPr>
          <w:rFonts w:hint="eastAsia" w:ascii="仿宋" w:hAnsi="仿宋" w:eastAsia="仿宋" w:cs="仿宋"/>
          <w:b/>
          <w:color w:val="auto"/>
          <w:sz w:val="24"/>
          <w:highlight w:val="none"/>
        </w:rPr>
        <w:t>应分两部份分别密封封装</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没有密封包装的投标文件，将被拒收。</w:t>
      </w:r>
    </w:p>
    <w:p>
      <w:pPr>
        <w:snapToGrid w:val="0"/>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投标文件的装订采用胶订或线订形式，不采用活页装订方式（胶订或线订以外装订形式视为活页装订）。</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各投标人在编制投标文件时请按照招标文件第六部分规定的格式进行，混乱的编排导致投标文件被误读或评标委员会查找不到有效文件是投标人的风险。并明确注明“商务技术（资信）文件资料或报价文件资料、项目名称、投标人名称”字样，同时封口处加盖骑缝单位公章。</w:t>
      </w:r>
    </w:p>
    <w:p>
      <w:pPr>
        <w:pStyle w:val="148"/>
        <w:spacing w:before="0"/>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7、投标文件的提交</w:t>
      </w:r>
    </w:p>
    <w:p>
      <w:pPr>
        <w:snapToGrid w:val="0"/>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投标人应按“招标公告”规定的时间、地点将投标文件提交给采购机构，</w:t>
      </w:r>
      <w:r>
        <w:rPr>
          <w:rFonts w:hint="eastAsia" w:ascii="仿宋" w:hAnsi="仿宋" w:eastAsia="仿宋" w:cs="仿宋"/>
          <w:b/>
          <w:color w:val="auto"/>
          <w:sz w:val="24"/>
          <w:highlight w:val="none"/>
        </w:rPr>
        <w:t>采购机构将拒绝接受逾期送达的投标文件。</w:t>
      </w:r>
    </w:p>
    <w:p>
      <w:pPr>
        <w:widowControl/>
        <w:snapToGrid w:val="0"/>
        <w:spacing w:line="440" w:lineRule="exact"/>
        <w:rPr>
          <w:rFonts w:hint="eastAsia" w:ascii="仿宋" w:hAnsi="仿宋" w:eastAsia="仿宋" w:cs="仿宋"/>
          <w:b/>
          <w:color w:val="auto"/>
          <w:kern w:val="0"/>
          <w:sz w:val="24"/>
          <w:highlight w:val="none"/>
        </w:rPr>
      </w:pPr>
      <w:r>
        <w:rPr>
          <w:rFonts w:hint="eastAsia" w:ascii="仿宋" w:hAnsi="仿宋" w:eastAsia="仿宋" w:cs="仿宋"/>
          <w:b/>
          <w:color w:val="auto"/>
          <w:sz w:val="24"/>
          <w:highlight w:val="none"/>
        </w:rPr>
        <w:t>8．</w:t>
      </w:r>
      <w:r>
        <w:rPr>
          <w:rFonts w:hint="eastAsia" w:ascii="仿宋" w:hAnsi="仿宋" w:eastAsia="仿宋" w:cs="仿宋"/>
          <w:b/>
          <w:color w:val="auto"/>
          <w:kern w:val="0"/>
          <w:sz w:val="24"/>
          <w:highlight w:val="none"/>
        </w:rPr>
        <w:t>投标文件的补充和修改</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投标截止时间前，投标人可以书面形式向招标人提出对投标文件进行补充和修改，相应部分以最后的补充和修改为准。该书面材料应密封，</w:t>
      </w:r>
      <w:r>
        <w:rPr>
          <w:rFonts w:hint="eastAsia" w:ascii="仿宋" w:hAnsi="仿宋" w:eastAsia="仿宋" w:cs="仿宋"/>
          <w:color w:val="auto"/>
          <w:sz w:val="24"/>
          <w:highlight w:val="none"/>
        </w:rPr>
        <w:t>并明确注明“</w:t>
      </w:r>
      <w:r>
        <w:rPr>
          <w:rFonts w:hint="eastAsia" w:ascii="仿宋" w:hAnsi="仿宋" w:eastAsia="仿宋" w:cs="仿宋"/>
          <w:color w:val="auto"/>
          <w:kern w:val="0"/>
          <w:sz w:val="24"/>
          <w:highlight w:val="none"/>
        </w:rPr>
        <w:t>修改（或补充）商务技术（资信）文件资料或报价文件资料、项目名称、投标人名称</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字样</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同时</w:t>
      </w:r>
      <w:r>
        <w:rPr>
          <w:rFonts w:hint="eastAsia" w:ascii="仿宋" w:hAnsi="仿宋" w:eastAsia="仿宋" w:cs="仿宋"/>
          <w:color w:val="auto"/>
          <w:sz w:val="24"/>
          <w:highlight w:val="none"/>
        </w:rPr>
        <w:t>封口处</w:t>
      </w:r>
      <w:r>
        <w:rPr>
          <w:rFonts w:hint="eastAsia" w:ascii="仿宋" w:hAnsi="仿宋" w:eastAsia="仿宋" w:cs="仿宋"/>
          <w:color w:val="auto"/>
          <w:kern w:val="0"/>
          <w:sz w:val="24"/>
          <w:highlight w:val="none"/>
        </w:rPr>
        <w:t>由</w:t>
      </w:r>
      <w:r>
        <w:rPr>
          <w:rFonts w:hint="eastAsia" w:ascii="仿宋" w:hAnsi="仿宋" w:eastAsia="仿宋" w:cs="仿宋"/>
          <w:color w:val="auto"/>
          <w:sz w:val="24"/>
          <w:highlight w:val="none"/>
        </w:rPr>
        <w:t>法定代表人或其授权代表签字或盖章</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投标人应于投标截止以前将该书面材料以现场送达（即交即走）的方式递交。</w:t>
      </w:r>
    </w:p>
    <w:p>
      <w:pPr>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四、开标和评标</w:t>
      </w:r>
    </w:p>
    <w:p>
      <w:pPr>
        <w:snapToGrid w:val="0"/>
        <w:spacing w:line="48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1．开标大会程序</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1.1主持人宣布开标会开始。</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1.2检查投标文件密封情况。</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1.3启封投标文件商务技术（资信）资料。</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1.4评标委员会对商务技术（资信）文件进行评审。</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1.5主持人宣布商务技术得分及无效（废）投标情形（如有），宣读经商务技术（资信）评审符合招标文件要求的投标人名单及其商务技术得分。</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1.6启封报价文件资料，由唱读人当众宣读投标人名称、投标价格和投标文件的其他内容。未宣读的投标报价和招标文件未允许提供的备选投标方案等实质性内容，评标时不予承认。</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1.7评标委员会对投标文件报价文件资料进行评审，核准投标报价及计算价格分，汇总商务技术分、价格分，根据得分排序确定中标候选人并出具评审报告。</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1.8主持人向投标单位公布评审结果。</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2．评标</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2.1评标委员会由招标采购单位依法组建，负责评标活动。评标委员会遵循公开、公平、公正、科学合理、竞争择优的原则。</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2.2评标委员会由采购人代表和有关方面的专家组成，成员人数为三人以上单数。</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2.3评标委员会负责对投标人资格的最终审定。</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2.4评标委员会可以要求投标人对其投标文件中含义不明确的内容作必要的澄清或者说明，但澄清或者说明不得超过投标文件的范围或者改变投标文件的实质性内容。</w:t>
      </w:r>
    </w:p>
    <w:p>
      <w:pPr>
        <w:widowControl/>
        <w:snapToGrid w:val="0"/>
        <w:spacing w:line="48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2.5</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对投标文件的判定，只依据投标文件和招标文件内容本身，不依据任何外来证明。</w:t>
      </w:r>
    </w:p>
    <w:p>
      <w:pPr>
        <w:widowControl/>
        <w:snapToGrid w:val="0"/>
        <w:spacing w:line="48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2.6评标委员会不向落标方解释落标的原因，不退还投标文件。</w:t>
      </w:r>
    </w:p>
    <w:p>
      <w:pPr>
        <w:snapToGrid w:val="0"/>
        <w:spacing w:line="48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3．投标文件的初审鉴定</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3.1资格性审查</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3.1.1依据法律、法规和招标文件规定，评标委员会对投标人进行资格审查，以确定投标人是否具备投标资格。</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3.2符合性审查</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3.3如果投标文件实质不响应招标文件的各项要求，评标委员会将予以拒绝，并且不允许投标人通过修改或撤销其不符合要求的差异或保留，使之成为具有实质性响应的投标。</w:t>
      </w:r>
    </w:p>
    <w:p>
      <w:pPr>
        <w:spacing w:line="48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4. </w:t>
      </w:r>
      <w:r>
        <w:rPr>
          <w:rFonts w:hint="eastAsia" w:ascii="仿宋" w:hAnsi="仿宋" w:eastAsia="仿宋" w:cs="仿宋"/>
          <w:b/>
          <w:color w:val="auto"/>
          <w:sz w:val="24"/>
          <w:highlight w:val="none"/>
        </w:rPr>
        <w:t>投标文件报价出现前后不一致的，按照下列规定修正：</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4.1投标文件中开标一览表（报价表）内容与投标文件中相应内容不一致的，以开标一览表（报价表）为准；</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4.2大写金额和小写金额不一致的，以大写金额为准；</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4.3单价金额小数点或者百分比有明显错位的，以开标一览表的总价为准，并修改单价；</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4.4总价金额与按单价汇总金额不一致的，以单价金额计算结果为准。</w:t>
      </w:r>
    </w:p>
    <w:p>
      <w:pPr>
        <w:spacing w:line="440" w:lineRule="exact"/>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w:t>
      </w:r>
      <w:r>
        <w:rPr>
          <w:rFonts w:hint="eastAsia" w:ascii="仿宋" w:hAnsi="仿宋" w:eastAsia="仿宋" w:cs="仿宋"/>
          <w:bCs/>
          <w:color w:val="auto"/>
          <w:sz w:val="24"/>
          <w:highlight w:val="none"/>
        </w:rPr>
        <w:t>修正后的报价按照财政部公布第87号令《政府采购货物和服务招标投标管理办法》</w:t>
      </w:r>
      <w:r>
        <w:rPr>
          <w:rFonts w:hint="eastAsia" w:ascii="仿宋" w:hAnsi="仿宋" w:eastAsia="仿宋" w:cs="仿宋"/>
          <w:color w:val="auto"/>
          <w:sz w:val="24"/>
          <w:highlight w:val="none"/>
        </w:rPr>
        <w:t>第五十一条第二款的规定经投标人确认后产生约束力，投标人不确认的，其投标无效。</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5.投标文件的评审、比较和否决</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5.1评标委员会将对在实质上响应招标文件要求的投标文件进行评估和比较。</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5.2在评审过程中，评标委员会可以书面形式要求投标人就投标文件含义不明确的内容进行书面说明并提供相关材料，但不得超过投标文件的范围或者改变投标文件的实质性内容。</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5.3在评标过程中，如发现与招标文件要求相偏离的，评标委员会可对其偏离情形进行必要的核实。</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5.4在评审过程中，如属于实质性偏离或符合无效响应条件的，应当询问相关投标人，并可对其进行书面确认，但不允许对偏离条款进行补充、修正或撤回。</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5.5比较与评价。评标委员会应当按照评标标准，对符合性审查合格的投标文件进行商务和技术评估，综合比较与评价。</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5.6汇总（商务技术得分情况）。评标委员会各成员应当独立对每个投标人的商务技术（资信）文件资料文件进行评价，并汇总商务技术得分情况。</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 报价审核。对符合采购需求且通过商务技术（资信）评审的投标人的报价的合理性、准确性等进行审查核实。</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5.7.1评标委员会认为投标人的报价明显低于其他通过符合性审查投标人的报价，有可能影响产品质量或者不能诚信履约的，应当要求其在评标现场合理的时间内提供书面说明，必要时提交相关证明材料。</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5.7.2根据财政部发布的《政府采购促进中小企业发展暂行办法》规定，对于非专门面向中小企业的项目，对小型和微型企业产品的价格给予一定的扣除，用扣除后的价格参与评审。</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5.7.3如需投标价格修正，按财政部87号令第五十九条的规定对投标价格进行修正。</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5.8评标委员会依据招标文件规定的评标标准和方法，对投标文件进行评审和比较后，向采购代理机构提供书面评标报告，并按得分高低排序推荐中标候选供应商。</w:t>
      </w:r>
    </w:p>
    <w:p>
      <w:pPr>
        <w:pStyle w:val="13"/>
        <w:tabs>
          <w:tab w:val="clear" w:pos="454"/>
        </w:tabs>
        <w:spacing w:afterLines="0" w:line="440" w:lineRule="exact"/>
        <w:ind w:left="0" w:firstLine="0"/>
        <w:rPr>
          <w:rFonts w:hint="eastAsia" w:ascii="仿宋" w:hAnsi="仿宋" w:eastAsia="仿宋" w:cs="仿宋"/>
          <w:b/>
          <w:color w:val="auto"/>
          <w:highlight w:val="none"/>
        </w:rPr>
      </w:pPr>
      <w:r>
        <w:rPr>
          <w:rFonts w:hint="eastAsia" w:ascii="仿宋" w:hAnsi="仿宋" w:eastAsia="仿宋" w:cs="仿宋"/>
          <w:b/>
          <w:color w:val="auto"/>
          <w:highlight w:val="none"/>
        </w:rPr>
        <w:t>6.投标文件的澄清</w:t>
      </w:r>
    </w:p>
    <w:p>
      <w:pPr>
        <w:pStyle w:val="13"/>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要求投标人作书面澄清；投标人的书面澄清，应由法定代表人或授权代表签字，作为投标文件的补充部分，但澄清的内容不得改变投标文件的实质性内容。</w:t>
      </w:r>
    </w:p>
    <w:p>
      <w:pPr>
        <w:pStyle w:val="21"/>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7．无效投标的情形</w:t>
      </w:r>
    </w:p>
    <w:p>
      <w:pPr>
        <w:tabs>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7.1未按照招标文件规定要求密封封装、签署、盖章的；</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7.2单位负责人为同一人或者存在直接控股、管理关系的不同供应商参加同一合同项下的政府采购活动的（均无效）；</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7.3为采购项目提供整体设计、规范编制或者项目管理、监理、检测等服务的供应商再参加该采购项目的其他采购活动的；</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7.4投标人不具备招标文件中规定的资格要求的（投标人未提供有效的资格证明文件的，视为投标人不具备招标文件中规定的资格要求）；</w:t>
      </w:r>
    </w:p>
    <w:p>
      <w:pPr>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sz w:val="24"/>
          <w:highlight w:val="none"/>
        </w:rPr>
        <w:t>7.5</w:t>
      </w:r>
      <w:r>
        <w:rPr>
          <w:rFonts w:hint="eastAsia" w:ascii="仿宋" w:hAnsi="仿宋" w:eastAsia="仿宋" w:cs="仿宋"/>
          <w:b/>
          <w:color w:val="auto"/>
          <w:kern w:val="0"/>
          <w:sz w:val="24"/>
          <w:highlight w:val="none"/>
        </w:rPr>
        <w:t>《法定代表人身份证明书》与提供的身份证复印件信息不符的；《法定代表人授权委托书》与提供的身份证复印件信息不符的；</w:t>
      </w:r>
    </w:p>
    <w:p>
      <w:pPr>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7.6《法定代表人授权委托书》或《法定代表人身份证明书》填写不全、错误、未加盖公章(《法定代表人授权委托书》要求“公章”和“签字或盖章”缺一不可）的；7.7授权代表非投标单位正式职工的（以社保证明为准，如授权代表为离退休返聘人员的，需提供退休证明及单位聘用证明）；</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7.8投标文件中的投标函未加盖投标人的企业公章或填写不全的；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7.9</w:t>
      </w:r>
      <w:r>
        <w:rPr>
          <w:rFonts w:hint="eastAsia" w:ascii="仿宋" w:hAnsi="仿宋" w:eastAsia="仿宋" w:cs="仿宋"/>
          <w:b/>
          <w:color w:val="auto"/>
          <w:sz w:val="24"/>
          <w:highlight w:val="none"/>
        </w:rPr>
        <w:t>投标人递交两份或两份以上内容不同的投标书，且未声明哪一份有效的；</w:t>
      </w:r>
    </w:p>
    <w:p>
      <w:pPr>
        <w:tabs>
          <w:tab w:val="left" w:pos="3870"/>
          <w:tab w:val="left" w:pos="4085"/>
        </w:tabs>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7.10</w:t>
      </w:r>
      <w:r>
        <w:rPr>
          <w:rFonts w:hint="eastAsia" w:ascii="仿宋" w:hAnsi="仿宋" w:eastAsia="仿宋" w:cs="仿宋"/>
          <w:b/>
          <w:color w:val="auto"/>
          <w:sz w:val="24"/>
          <w:highlight w:val="none"/>
        </w:rPr>
        <w:t>报价一经涂改，未在涂改处加盖投标单位公章或者未经法定代表人或其授权代表签字或盖章的；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7.11</w:t>
      </w:r>
      <w:r>
        <w:rPr>
          <w:rFonts w:hint="eastAsia" w:ascii="仿宋" w:hAnsi="仿宋" w:eastAsia="仿宋" w:cs="仿宋"/>
          <w:b/>
          <w:color w:val="auto"/>
          <w:sz w:val="24"/>
          <w:highlight w:val="none"/>
        </w:rPr>
        <w:t>因未按招标文件规定的格式填写，或</w:t>
      </w:r>
      <w:r>
        <w:rPr>
          <w:rFonts w:hint="eastAsia" w:ascii="仿宋" w:hAnsi="仿宋" w:eastAsia="仿宋" w:cs="仿宋"/>
          <w:b/>
          <w:color w:val="auto"/>
          <w:sz w:val="24"/>
          <w:szCs w:val="20"/>
          <w:highlight w:val="none"/>
        </w:rPr>
        <w:t>对招标</w:t>
      </w:r>
      <w:r>
        <w:rPr>
          <w:rFonts w:hint="eastAsia" w:ascii="仿宋" w:hAnsi="仿宋" w:eastAsia="仿宋" w:cs="仿宋"/>
          <w:b/>
          <w:color w:val="auto"/>
          <w:sz w:val="24"/>
          <w:highlight w:val="none"/>
        </w:rPr>
        <w:t>服务或技术或产品等要求</w:t>
      </w:r>
      <w:r>
        <w:rPr>
          <w:rFonts w:hint="eastAsia" w:ascii="仿宋" w:hAnsi="仿宋" w:eastAsia="仿宋" w:cs="仿宋"/>
          <w:b/>
          <w:color w:val="auto"/>
          <w:sz w:val="24"/>
          <w:szCs w:val="20"/>
          <w:highlight w:val="none"/>
        </w:rPr>
        <w:t>未详细应答或应答</w:t>
      </w:r>
      <w:r>
        <w:rPr>
          <w:rFonts w:hint="eastAsia" w:ascii="仿宋" w:hAnsi="仿宋" w:eastAsia="仿宋" w:cs="仿宋"/>
          <w:b/>
          <w:color w:val="auto"/>
          <w:sz w:val="24"/>
          <w:highlight w:val="none"/>
        </w:rPr>
        <w:t>内容不全、有缺失的,经评标委员会认定为无法评审的；</w:t>
      </w:r>
    </w:p>
    <w:p>
      <w:pPr>
        <w:pStyle w:val="21"/>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7.12出现同一标的物或本次招标产品(服务)内的主要产品(重要组成部分)出现</w:t>
      </w:r>
      <w:r>
        <w:rPr>
          <w:rFonts w:hint="eastAsia" w:ascii="仿宋" w:hAnsi="仿宋" w:eastAsia="仿宋" w:cs="仿宋"/>
          <w:b/>
          <w:color w:val="auto"/>
          <w:sz w:val="24"/>
          <w:highlight w:val="none"/>
        </w:rPr>
        <w:t>商务技术（资信）文件资料</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报价文件资料</w:t>
      </w:r>
      <w:r>
        <w:rPr>
          <w:rFonts w:hint="eastAsia" w:ascii="仿宋" w:hAnsi="仿宋" w:eastAsia="仿宋" w:cs="仿宋"/>
          <w:b/>
          <w:color w:val="auto"/>
          <w:sz w:val="24"/>
          <w:szCs w:val="24"/>
          <w:highlight w:val="none"/>
        </w:rPr>
        <w:t>描述不一致或前后描述不一致，经评标委员会认定后为无法评审的；</w:t>
      </w:r>
    </w:p>
    <w:p>
      <w:pPr>
        <w:pStyle w:val="21"/>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7.13《</w:t>
      </w:r>
      <w:r>
        <w:rPr>
          <w:rFonts w:hint="eastAsia" w:ascii="仿宋" w:hAnsi="仿宋" w:eastAsia="仿宋" w:cs="仿宋"/>
          <w:b/>
          <w:color w:val="auto"/>
          <w:sz w:val="24"/>
          <w:highlight w:val="none"/>
        </w:rPr>
        <w:t>技术偏离说明表</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不真实填写或弄虚作假的；</w:t>
      </w:r>
    </w:p>
    <w:p>
      <w:pPr>
        <w:tabs>
          <w:tab w:val="left" w:pos="3870"/>
          <w:tab w:val="left" w:pos="4085"/>
        </w:tabs>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sz w:val="24"/>
          <w:highlight w:val="none"/>
        </w:rPr>
        <w:t>7.14</w:t>
      </w:r>
      <w:r>
        <w:rPr>
          <w:rFonts w:hint="eastAsia" w:ascii="仿宋" w:hAnsi="仿宋" w:eastAsia="仿宋" w:cs="仿宋"/>
          <w:b/>
          <w:color w:val="auto"/>
          <w:kern w:val="0"/>
          <w:sz w:val="24"/>
          <w:highlight w:val="none"/>
        </w:rPr>
        <w:t>投标文件含有采购人不能接受的附加条件；</w:t>
      </w:r>
    </w:p>
    <w:p>
      <w:pPr>
        <w:tabs>
          <w:tab w:val="left" w:pos="3870"/>
          <w:tab w:val="left" w:pos="4085"/>
        </w:tabs>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7.15</w:t>
      </w:r>
      <w:r>
        <w:rPr>
          <w:rFonts w:hint="eastAsia" w:ascii="仿宋" w:hAnsi="仿宋" w:eastAsia="仿宋" w:cs="仿宋"/>
          <w:b/>
          <w:color w:val="auto"/>
          <w:sz w:val="24"/>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7.16报价超过招标文件中规定的预算金额或最高限价的；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7.17投标文件“商务技术（资信）文件资料”部分中出现《开标一览表》相关内容的；</w:t>
      </w:r>
    </w:p>
    <w:p>
      <w:pPr>
        <w:tabs>
          <w:tab w:val="left" w:pos="3870"/>
          <w:tab w:val="left" w:pos="4085"/>
        </w:tabs>
        <w:snapToGrid w:val="0"/>
        <w:spacing w:line="440" w:lineRule="exact"/>
        <w:jc w:val="left"/>
        <w:rPr>
          <w:rFonts w:hint="eastAsia" w:ascii="仿宋" w:hAnsi="仿宋" w:eastAsia="仿宋" w:cs="仿宋"/>
          <w:b/>
          <w:color w:val="auto"/>
          <w:sz w:val="24"/>
          <w:szCs w:val="21"/>
          <w:highlight w:val="none"/>
        </w:rPr>
      </w:pPr>
      <w:r>
        <w:rPr>
          <w:rFonts w:hint="eastAsia" w:ascii="仿宋" w:hAnsi="仿宋" w:eastAsia="仿宋" w:cs="仿宋"/>
          <w:b/>
          <w:color w:val="auto"/>
          <w:sz w:val="24"/>
          <w:szCs w:val="21"/>
          <w:highlight w:val="none"/>
        </w:rPr>
        <w:t>7.18采购人拟采购的产品属于政府强制采购的节能产品品目清单范围的，投标人未按招标文件要求提供国家确定的认证机构出具的、处于有效期之内的节能产品认证证书的；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7.19《开标一览表》填写不完整或字迹不能辨认或有漏项的，经评标委员会认定属于重大偏差的；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7.20投标人对根据修正原则修正后的报价不确认的；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7.21投标人提供虚假材料投标的（包括但不限于以下情节）；</w:t>
      </w:r>
    </w:p>
    <w:p>
      <w:pPr>
        <w:tabs>
          <w:tab w:val="left" w:pos="3870"/>
          <w:tab w:val="left" w:pos="4085"/>
        </w:tabs>
        <w:snapToGrid w:val="0"/>
        <w:spacing w:line="440" w:lineRule="exact"/>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7.21.1使用伪造、变造的许可证件；</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7.21.2提供虚假的财务状况或者业绩；</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7.21.3提供虚假的项目负责人或者主要技术人员简历、劳动关系证明；</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7.21.4提供虚假的信用状况；</w:t>
      </w:r>
    </w:p>
    <w:p>
      <w:pPr>
        <w:tabs>
          <w:tab w:val="left" w:pos="3870"/>
          <w:tab w:val="left" w:pos="4085"/>
        </w:tabs>
        <w:snapToGrid w:val="0"/>
        <w:spacing w:line="440" w:lineRule="exact"/>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7.21.5其他弄虚作假的行为。</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7.22有下列情形之一的，视为投标人串通投标，其投标无效：</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7.22.1不同投标人的投标文件由同一单位或者个人编制；</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7.22.2不同投标人委托同一单位或者个人办理投标事宜；</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7.22.3不同投标人的投标文件载明的项目管理成员或者联系人员为同一人；</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7.22.4不同投标人的投标文件异常一致或者投标报价呈规律性差异；</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7.22.5不同投标人的投标文件相互混装；</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7.23有下列情形之一的，属于恶意串通，其投标无效：</w:t>
      </w:r>
    </w:p>
    <w:p>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7.23.1供应商直接或者间接从采购人或者采购机构处获得其他供应商的相关情况并修改其投标文件或者响应文件；</w:t>
      </w:r>
    </w:p>
    <w:p>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7.23.2供应商按照采购人或者采购机构的授意撤换、修改投标文件或者响应文件；</w:t>
      </w:r>
    </w:p>
    <w:p>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7.23.3供应商之间协商报价、技术方案等投标文件或者响应文件的实质性内容；</w:t>
      </w:r>
    </w:p>
    <w:p>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7.23.4属于同一集团、协会、商会等组织成员的供应商按照该组织要求协同参加政府采购活动；</w:t>
      </w:r>
    </w:p>
    <w:p>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7.23.5供应商之间事先约定由某一特定供应商中标、成交；</w:t>
      </w:r>
    </w:p>
    <w:p>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hint="eastAsia" w:ascii="仿宋" w:hAnsi="仿宋" w:eastAsia="仿宋" w:cs="仿宋"/>
          <w:b/>
          <w:color w:val="auto"/>
          <w:sz w:val="24"/>
          <w:highlight w:val="none"/>
        </w:rPr>
      </w:pPr>
      <w:r>
        <w:rPr>
          <w:rFonts w:hint="eastAsia" w:ascii="仿宋" w:hAnsi="仿宋" w:eastAsia="仿宋" w:cs="仿宋"/>
          <w:color w:val="auto"/>
          <w:sz w:val="24"/>
          <w:szCs w:val="21"/>
          <w:highlight w:val="none"/>
        </w:rPr>
        <w:t>7.23.7供应商与采购人或者采购机构之间、供应商相互之间，为谋求特定供应商中标、成交或者排斥其他供应商的其他串通行为。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szCs w:val="21"/>
          <w:highlight w:val="none"/>
        </w:rPr>
        <w:t>7.24</w:t>
      </w:r>
      <w:r>
        <w:rPr>
          <w:rFonts w:hint="eastAsia" w:ascii="仿宋" w:hAnsi="仿宋" w:eastAsia="仿宋" w:cs="仿宋"/>
          <w:b/>
          <w:color w:val="auto"/>
          <w:sz w:val="24"/>
          <w:highlight w:val="none"/>
        </w:rPr>
        <w:t>评标委员会认定有重大偏差或实质性不响应招标文件要求的；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7.25报价文件中出现2个(含)以上的报价或方案的；</w:t>
      </w:r>
    </w:p>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7.26其他违反法律、法规的情形。</w:t>
      </w:r>
    </w:p>
    <w:p>
      <w:pPr>
        <w:snapToGrid w:val="0"/>
        <w:spacing w:line="440" w:lineRule="exac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8. 评标过程保密</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pPr>
        <w:pStyle w:val="21"/>
        <w:spacing w:line="800" w:lineRule="exact"/>
        <w:ind w:firstLine="726"/>
        <w:jc w:val="center"/>
        <w:rPr>
          <w:rFonts w:hint="eastAsia" w:ascii="仿宋" w:hAnsi="仿宋" w:eastAsia="仿宋" w:cs="仿宋"/>
          <w:b/>
          <w:color w:val="auto"/>
          <w:sz w:val="36"/>
          <w:szCs w:val="36"/>
          <w:highlight w:val="none"/>
        </w:rPr>
      </w:pPr>
      <w:bookmarkStart w:id="3" w:name="_Toc81372953"/>
      <w:bookmarkStart w:id="4" w:name="_Toc84325929"/>
      <w:bookmarkStart w:id="5" w:name="_Toc81372776"/>
      <w:r>
        <w:rPr>
          <w:rFonts w:hint="eastAsia" w:ascii="仿宋" w:hAnsi="仿宋" w:eastAsia="仿宋" w:cs="仿宋"/>
          <w:b/>
          <w:color w:val="auto"/>
          <w:sz w:val="36"/>
          <w:szCs w:val="36"/>
          <w:highlight w:val="none"/>
        </w:rPr>
        <w:t>五、授予合同</w:t>
      </w:r>
    </w:p>
    <w:p>
      <w:pPr>
        <w:pStyle w:val="13"/>
        <w:tabs>
          <w:tab w:val="clear" w:pos="454"/>
        </w:tabs>
        <w:spacing w:afterLines="0" w:line="440" w:lineRule="exac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pPr>
        <w:pStyle w:val="13"/>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1.1投标文件基本符合招标文件要求；</w:t>
      </w:r>
    </w:p>
    <w:p>
      <w:pPr>
        <w:pStyle w:val="13"/>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1.2投标人有很好的执行合同的能力；</w:t>
      </w:r>
    </w:p>
    <w:p>
      <w:pPr>
        <w:pStyle w:val="13"/>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1.3实施方案最合理并对招标人最为有利，最大限度满足招标文件的要求；</w:t>
      </w:r>
    </w:p>
    <w:p>
      <w:pPr>
        <w:pStyle w:val="13"/>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1.4投标人能够提供质量技术、商务经济占综合优势的系统及服务。</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bookmarkEnd w:id="3"/>
    <w:bookmarkEnd w:id="4"/>
    <w:bookmarkEnd w:id="5"/>
    <w:p>
      <w:pPr>
        <w:pStyle w:val="148"/>
        <w:tabs>
          <w:tab w:val="left" w:pos="0"/>
        </w:tabs>
        <w:spacing w:before="0" w:line="440" w:lineRule="exact"/>
        <w:ind w:firstLine="0" w:firstLineChars="0"/>
        <w:rPr>
          <w:rFonts w:hint="eastAsia" w:ascii="仿宋" w:hAnsi="仿宋" w:eastAsia="仿宋" w:cs="仿宋"/>
          <w:color w:val="auto"/>
          <w:szCs w:val="24"/>
          <w:highlight w:val="none"/>
        </w:rPr>
      </w:pPr>
      <w:r>
        <w:rPr>
          <w:rFonts w:hint="eastAsia" w:ascii="仿宋" w:hAnsi="仿宋" w:eastAsia="仿宋" w:cs="仿宋"/>
          <w:color w:val="auto"/>
          <w:szCs w:val="24"/>
          <w:highlight w:val="none"/>
        </w:rPr>
        <w:t>3.1</w:t>
      </w:r>
      <w:r>
        <w:rPr>
          <w:rFonts w:hint="eastAsia" w:ascii="仿宋" w:hAnsi="仿宋" w:eastAsia="仿宋" w:cs="仿宋"/>
          <w:color w:val="auto"/>
          <w:kern w:val="0"/>
          <w:highlight w:val="none"/>
        </w:rPr>
        <w:t>采购代理机构</w:t>
      </w:r>
      <w:r>
        <w:rPr>
          <w:rFonts w:hint="eastAsia" w:ascii="仿宋" w:hAnsi="仿宋" w:eastAsia="仿宋" w:cs="仿宋"/>
          <w:color w:val="auto"/>
          <w:highlight w:val="none"/>
        </w:rPr>
        <w:t>对中标结果在指定媒体</w:t>
      </w:r>
      <w:r>
        <w:rPr>
          <w:rFonts w:hint="eastAsia" w:ascii="仿宋" w:hAnsi="仿宋" w:eastAsia="仿宋" w:cs="仿宋"/>
          <w:color w:val="auto"/>
          <w:kern w:val="0"/>
          <w:highlight w:val="none"/>
        </w:rPr>
        <w:t>发布中标公告，中标公告期限为1个工作日。</w:t>
      </w:r>
    </w:p>
    <w:p>
      <w:pPr>
        <w:tabs>
          <w:tab w:val="left" w:pos="0"/>
        </w:tabs>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3.2采购机构发送纸质中标通知书。在采购代理机构发出中标通知书前，中标供应商如有违反有关法律法规和本项目要求行为的，则取消该投标人的中标资格</w:t>
      </w:r>
      <w:r>
        <w:rPr>
          <w:rFonts w:hint="eastAsia" w:ascii="仿宋" w:hAnsi="仿宋" w:eastAsia="仿宋" w:cs="仿宋"/>
          <w:color w:val="auto"/>
          <w:kern w:val="0"/>
          <w:sz w:val="24"/>
          <w:highlight w:val="none"/>
          <w:lang w:val="zh-CN"/>
        </w:rPr>
        <w:t>。</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4．履约保证金</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采购人在签订合同时，按合同法规定可向中标人收取不高于中标额的5％的履约保证金，采购人不得以供应商事先提交履约保证金作为签订合同的条件。鼓励采购人根据项目特点、供应商诚信等情况免收履约保证金或降低缴纳比例。</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4.2供应商在履行完合同约定事项后，采购人应及时退还履约保证金。</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5．合同备案</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5.1中标人应当在中标通知书发出之日起30天内与采购人签订合同，自采购合同签订之日起</w:t>
      </w:r>
      <w:r>
        <w:rPr>
          <w:rFonts w:hint="eastAsia" w:ascii="仿宋" w:hAnsi="仿宋" w:eastAsia="仿宋" w:cs="仿宋"/>
          <w:b/>
          <w:color w:val="auto"/>
          <w:sz w:val="24"/>
          <w:highlight w:val="none"/>
        </w:rPr>
        <w:t>3个工作日内</w:t>
      </w:r>
      <w:r>
        <w:rPr>
          <w:rFonts w:hint="eastAsia" w:ascii="仿宋" w:hAnsi="仿宋" w:eastAsia="仿宋" w:cs="仿宋"/>
          <w:color w:val="auto"/>
          <w:sz w:val="24"/>
          <w:highlight w:val="none"/>
        </w:rPr>
        <w:t>，将</w:t>
      </w:r>
      <w:r>
        <w:rPr>
          <w:rFonts w:hint="eastAsia" w:ascii="仿宋" w:hAnsi="仿宋" w:eastAsia="仿宋" w:cs="仿宋"/>
          <w:b/>
          <w:color w:val="auto"/>
          <w:sz w:val="24"/>
          <w:highlight w:val="none"/>
        </w:rPr>
        <w:t>采购合同原件</w:t>
      </w:r>
      <w:r>
        <w:rPr>
          <w:rFonts w:hint="eastAsia" w:ascii="仿宋" w:hAnsi="仿宋" w:eastAsia="仿宋" w:cs="仿宋"/>
          <w:color w:val="auto"/>
          <w:sz w:val="24"/>
          <w:highlight w:val="none"/>
        </w:rPr>
        <w:t>报采购代理机构备案。</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5.2未领取中标通知书，采购双方自行签订的合同不予备案。</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6.验收</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 售后服务考核</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800" w:lineRule="exact"/>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六、质疑与投诉</w:t>
      </w:r>
    </w:p>
    <w:p>
      <w:pPr>
        <w:pStyle w:val="21"/>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1.供应商询问</w:t>
      </w:r>
    </w:p>
    <w:p>
      <w:pPr>
        <w:pStyle w:val="21"/>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2.供应商质疑</w:t>
      </w:r>
    </w:p>
    <w:p>
      <w:pPr>
        <w:pStyle w:val="21"/>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2.1供应商认为采购文件、采购过程和成交结果使自己的权益受到损害的，可以在知道或者应知其权益受到损害之日起七个工作日内，以书面形式向采购机构提出质疑，否则，采购机构不予受理：</w:t>
      </w:r>
    </w:p>
    <w:p>
      <w:pPr>
        <w:pStyle w:val="21"/>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对采购文件提出质疑的，质疑期限为供应商获得采购文件之日或者招标公告期限届满之日起计算，但采购文件在招标公告期限届满之日后获得的，应当自招标公告截止之日起计算，且应当在采购响应截止时间之前提出。</w:t>
      </w:r>
    </w:p>
    <w:p>
      <w:pPr>
        <w:pStyle w:val="21"/>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（2）对采购过程提出质疑的，质疑期限为各采购程序环节结束之日起计算。</w:t>
      </w:r>
    </w:p>
    <w:p>
      <w:pPr>
        <w:pStyle w:val="21"/>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（3）对采购结果提出质疑的，质疑期限自采购结果公告（包括公示、预公告、结果变更公告等）期限届满之日起计算。</w:t>
      </w:r>
    </w:p>
    <w:p>
      <w:pPr>
        <w:pStyle w:val="21"/>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（4）供应商应在法定质疑期内一次性提出针对同一采购程序环节的质疑。</w:t>
      </w:r>
    </w:p>
    <w:p>
      <w:pPr>
        <w:pStyle w:val="21"/>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3.供应商提交的质疑书需一式三份，质疑书至少应包括下列主要内容：</w:t>
      </w:r>
    </w:p>
    <w:p>
      <w:pPr>
        <w:pStyle w:val="21"/>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（1）质疑人的名称、地址、邮政编码、联系人、联系电话，以及被质疑人名称及联系方式；</w:t>
      </w:r>
    </w:p>
    <w:p>
      <w:pPr>
        <w:pStyle w:val="21"/>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（2）被质疑采购项目名称、编号及采购内容；</w:t>
      </w:r>
    </w:p>
    <w:p>
      <w:pPr>
        <w:pStyle w:val="21"/>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（3）具体、明确的质疑事项和与质疑事项相关的请求</w:t>
      </w:r>
    </w:p>
    <w:p>
      <w:pPr>
        <w:pStyle w:val="21"/>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（4）事实依据；</w:t>
      </w:r>
    </w:p>
    <w:p>
      <w:pPr>
        <w:pStyle w:val="21"/>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（5）必要的法律依据；</w:t>
      </w:r>
    </w:p>
    <w:p>
      <w:pPr>
        <w:pStyle w:val="21"/>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（6）认为自己合法权益受到损害或可能受到损害的相关证据材料；</w:t>
      </w:r>
    </w:p>
    <w:p>
      <w:pPr>
        <w:pStyle w:val="21"/>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（7）提出质疑的日期。</w:t>
      </w:r>
    </w:p>
    <w:p>
      <w:pPr>
        <w:pStyle w:val="21"/>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（8）质疑书应当署名。质疑人为自然人的，应当由本人签字并附有效身份证明；质疑人为法人或其他组织的，应当由法定代表人或主要负责人签字（或盖章）并加盖单位公章。</w:t>
      </w:r>
    </w:p>
    <w:p>
      <w:pPr>
        <w:pStyle w:val="21"/>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（9）质疑人因故不能自行办理质疑事项的，可以委托代理人办理质疑事宜，但应当向被质疑人提交授权委托书，并载明委托代理的具体权限和事项。</w:t>
      </w:r>
    </w:p>
    <w:p>
      <w:pPr>
        <w:pStyle w:val="21"/>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（10）质疑人提供的相关材料中有外文资料的，应当将与质疑相关的外文资料完整、客观、真实地翻译为中文，并注明翻译人员姓名、工作单位、联系方式等信息。</w:t>
      </w:r>
    </w:p>
    <w:p>
      <w:pPr>
        <w:pStyle w:val="21"/>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4.采购机构应当在收到供应商的书面质疑后七个工作日内作出答复，并以书面形式通知质疑供应商和其他与质疑处理结果有利害关系的政府采购当事人，但答复的内容不得涉及商业秘密。</w:t>
      </w:r>
    </w:p>
    <w:p>
      <w:pPr>
        <w:pStyle w:val="21"/>
        <w:spacing w:line="360" w:lineRule="auto"/>
        <w:ind w:firstLine="480" w:firstLineChars="200"/>
        <w:rPr>
          <w:rFonts w:hint="eastAsia" w:ascii="仿宋" w:hAnsi="仿宋" w:eastAsia="仿宋" w:cs="仿宋"/>
          <w:b/>
          <w:color w:val="auto"/>
          <w:sz w:val="36"/>
          <w:szCs w:val="36"/>
          <w:highlight w:val="none"/>
        </w:rPr>
      </w:pPr>
      <w:r>
        <w:rPr>
          <w:rFonts w:hint="eastAsia" w:ascii="仿宋" w:hAnsi="仿宋" w:eastAsia="仿宋" w:cs="仿宋"/>
          <w:color w:val="auto"/>
          <w:sz w:val="24"/>
          <w:highlight w:val="none"/>
        </w:rPr>
        <w:t>5.询问或者质疑事项可能影响采购结果的，采购人应当暂停签订合同，已经签订合同的，应当中止履行合同。</w:t>
      </w:r>
    </w:p>
    <w:p>
      <w:pPr>
        <w:pageBreakBefore/>
        <w:snapToGrid w:val="0"/>
        <w:spacing w:line="80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第三部分招标项目范围及要求</w:t>
      </w:r>
    </w:p>
    <w:p>
      <w:pPr>
        <w:spacing w:line="288" w:lineRule="auto"/>
        <w:jc w:val="left"/>
        <w:rPr>
          <w:rFonts w:hint="eastAsia" w:ascii="仿宋" w:hAnsi="仿宋" w:eastAsia="仿宋" w:cs="仿宋"/>
          <w:b/>
          <w:color w:val="auto"/>
          <w:sz w:val="24"/>
          <w:highlight w:val="none"/>
        </w:rPr>
      </w:pPr>
      <w:bookmarkStart w:id="6" w:name="_Toc84325981"/>
      <w:bookmarkStart w:id="7" w:name="_Toc81372964"/>
      <w:bookmarkStart w:id="8" w:name="_Toc81372787"/>
      <w:bookmarkStart w:id="9" w:name="_Toc80157775"/>
      <w:r>
        <w:rPr>
          <w:rFonts w:hint="eastAsia" w:ascii="仿宋" w:hAnsi="仿宋" w:eastAsia="仿宋" w:cs="仿宋"/>
          <w:b/>
          <w:color w:val="auto"/>
          <w:sz w:val="24"/>
          <w:highlight w:val="none"/>
        </w:rPr>
        <w:t xml:space="preserve"> </w:t>
      </w:r>
      <w:r>
        <w:rPr>
          <w:rFonts w:hint="eastAsia" w:ascii="仿宋" w:hAnsi="仿宋" w:eastAsia="仿宋" w:cs="仿宋"/>
          <w:b/>
          <w:color w:val="auto"/>
          <w:sz w:val="24"/>
          <w:highlight w:val="none"/>
          <w:lang w:val="en-US" w:eastAsia="zh-CN"/>
        </w:rPr>
        <w:t>1.</w:t>
      </w:r>
      <w:r>
        <w:rPr>
          <w:rFonts w:hint="eastAsia" w:ascii="仿宋" w:hAnsi="仿宋" w:eastAsia="仿宋" w:cs="仿宋"/>
          <w:b/>
          <w:color w:val="auto"/>
          <w:sz w:val="24"/>
          <w:highlight w:val="none"/>
        </w:rPr>
        <w:t>容灾系统升级项目，本项目上限价：</w:t>
      </w:r>
      <w:r>
        <w:rPr>
          <w:rFonts w:hint="eastAsia" w:ascii="仿宋" w:hAnsi="仿宋" w:eastAsia="仿宋" w:cs="仿宋"/>
          <w:b/>
          <w:color w:val="auto"/>
          <w:sz w:val="24"/>
          <w:highlight w:val="none"/>
          <w:lang w:val="en-US" w:eastAsia="zh-CN"/>
        </w:rPr>
        <w:t>30</w:t>
      </w:r>
      <w:r>
        <w:rPr>
          <w:rFonts w:hint="eastAsia" w:ascii="仿宋" w:hAnsi="仿宋" w:eastAsia="仿宋" w:cs="仿宋"/>
          <w:b/>
          <w:color w:val="auto"/>
          <w:sz w:val="24"/>
          <w:highlight w:val="none"/>
        </w:rPr>
        <w:t>万元。</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9"/>
        <w:gridCol w:w="73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spacing w:line="360" w:lineRule="auto"/>
              <w:jc w:val="center"/>
              <w:rPr>
                <w:rFonts w:hint="eastAsia" w:ascii="仿宋" w:hAnsi="仿宋" w:eastAsia="仿宋" w:cs="仿宋"/>
                <w:b/>
                <w:bCs/>
                <w:color w:val="000000"/>
                <w:kern w:val="0"/>
                <w:szCs w:val="21"/>
              </w:rPr>
            </w:pPr>
            <w:r>
              <w:rPr>
                <w:rFonts w:hint="eastAsia" w:ascii="仿宋" w:hAnsi="仿宋" w:eastAsia="仿宋" w:cs="仿宋"/>
                <w:b/>
                <w:bCs/>
                <w:color w:val="000000"/>
                <w:kern w:val="0"/>
                <w:szCs w:val="21"/>
              </w:rPr>
              <w:t>指标项</w:t>
            </w:r>
          </w:p>
        </w:tc>
        <w:tc>
          <w:tcPr>
            <w:tcW w:w="7391"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spacing w:line="360" w:lineRule="auto"/>
              <w:jc w:val="center"/>
              <w:rPr>
                <w:rFonts w:hint="eastAsia" w:ascii="仿宋" w:hAnsi="仿宋" w:eastAsia="仿宋" w:cs="仿宋"/>
                <w:color w:val="000000"/>
                <w:kern w:val="0"/>
                <w:szCs w:val="21"/>
              </w:rPr>
            </w:pPr>
            <w:r>
              <w:rPr>
                <w:rFonts w:hint="eastAsia" w:ascii="仿宋" w:hAnsi="仿宋" w:eastAsia="仿宋" w:cs="仿宋"/>
                <w:b/>
                <w:bCs/>
                <w:color w:val="000000"/>
                <w:kern w:val="0"/>
                <w:szCs w:val="21"/>
              </w:rPr>
              <w:t>详细要求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Merge w:val="restar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spacing w:line="240" w:lineRule="auto"/>
              <w:jc w:val="center"/>
              <w:rPr>
                <w:rFonts w:hint="eastAsia" w:ascii="仿宋" w:hAnsi="仿宋" w:eastAsia="仿宋" w:cs="仿宋"/>
                <w:b/>
                <w:bCs/>
                <w:color w:val="000000"/>
                <w:kern w:val="0"/>
                <w:szCs w:val="21"/>
                <w:lang w:eastAsia="zh-CN"/>
              </w:rPr>
            </w:pPr>
            <w:r>
              <w:rPr>
                <w:rFonts w:hint="eastAsia" w:ascii="仿宋" w:hAnsi="仿宋" w:eastAsia="仿宋" w:cs="仿宋"/>
                <w:b/>
                <w:bCs/>
                <w:color w:val="000000"/>
                <w:kern w:val="0"/>
                <w:szCs w:val="21"/>
                <w:lang w:eastAsia="zh-CN"/>
              </w:rPr>
              <w:t>部署要求</w:t>
            </w:r>
          </w:p>
        </w:tc>
        <w:tc>
          <w:tcPr>
            <w:tcW w:w="7391"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spacing w:line="240" w:lineRule="auto"/>
              <w:rPr>
                <w:rFonts w:hint="eastAsia" w:ascii="仿宋" w:hAnsi="仿宋" w:eastAsia="仿宋" w:cs="仿宋"/>
                <w:color w:val="000000"/>
                <w:kern w:val="0"/>
                <w:szCs w:val="21"/>
              </w:rPr>
            </w:pPr>
            <w:r>
              <w:rPr>
                <w:rFonts w:hint="eastAsia" w:ascii="仿宋" w:hAnsi="仿宋" w:eastAsia="仿宋" w:cs="仿宋"/>
                <w:color w:val="000000"/>
                <w:kern w:val="0"/>
                <w:szCs w:val="21"/>
              </w:rPr>
              <w:t>支持防范因自然灾害、各类软硬件故障、逻辑错误等情况所造成的业务系统不可用，提供应急灾难恢复功能，保障业务连续性；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spacing w:line="240" w:lineRule="auto"/>
              <w:jc w:val="center"/>
              <w:rPr>
                <w:rFonts w:hint="eastAsia" w:ascii="仿宋" w:hAnsi="仿宋" w:eastAsia="仿宋" w:cs="仿宋"/>
                <w:b/>
                <w:bCs/>
                <w:color w:val="000000"/>
                <w:kern w:val="0"/>
                <w:szCs w:val="21"/>
              </w:rPr>
            </w:pPr>
          </w:p>
        </w:tc>
        <w:tc>
          <w:tcPr>
            <w:tcW w:w="7391"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spacing w:line="240" w:lineRule="auto"/>
              <w:rPr>
                <w:rFonts w:hint="eastAsia" w:ascii="仿宋" w:hAnsi="仿宋" w:eastAsia="仿宋" w:cs="仿宋"/>
                <w:color w:val="000000"/>
                <w:kern w:val="0"/>
                <w:szCs w:val="21"/>
              </w:rPr>
            </w:pPr>
            <w:r>
              <w:rPr>
                <w:rFonts w:hint="eastAsia" w:ascii="仿宋" w:hAnsi="仿宋" w:eastAsia="仿宋" w:cs="仿宋"/>
                <w:color w:val="000000"/>
                <w:kern w:val="0"/>
                <w:szCs w:val="21"/>
              </w:rPr>
              <w:t>支持针对数据库、网络等整体或单项按需进行切换恢复；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spacing w:line="240" w:lineRule="auto"/>
              <w:jc w:val="center"/>
              <w:rPr>
                <w:rFonts w:hint="eastAsia" w:ascii="仿宋" w:hAnsi="仿宋" w:eastAsia="仿宋" w:cs="仿宋"/>
                <w:b/>
                <w:bCs/>
                <w:color w:val="000000"/>
                <w:kern w:val="0"/>
                <w:szCs w:val="21"/>
              </w:rPr>
            </w:pPr>
          </w:p>
        </w:tc>
        <w:tc>
          <w:tcPr>
            <w:tcW w:w="7391"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spacing w:line="240" w:lineRule="auto"/>
              <w:rPr>
                <w:rFonts w:hint="eastAsia" w:ascii="仿宋" w:hAnsi="仿宋" w:eastAsia="仿宋" w:cs="仿宋"/>
                <w:color w:val="000000"/>
                <w:kern w:val="0"/>
                <w:szCs w:val="21"/>
              </w:rPr>
            </w:pPr>
            <w:r>
              <w:rPr>
                <w:rFonts w:hint="eastAsia" w:ascii="仿宋" w:hAnsi="仿宋" w:eastAsia="仿宋" w:cs="仿宋"/>
                <w:color w:val="000000"/>
                <w:kern w:val="0"/>
                <w:szCs w:val="21"/>
              </w:rPr>
              <w:t>容灾系统对生产数据库服务器的性能损耗影响不得超过生产数据库服务器总体的性能的5%；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spacing w:line="240" w:lineRule="auto"/>
              <w:jc w:val="center"/>
              <w:rPr>
                <w:rFonts w:hint="eastAsia" w:ascii="仿宋" w:hAnsi="仿宋" w:eastAsia="仿宋" w:cs="仿宋"/>
                <w:b/>
                <w:bCs/>
                <w:color w:val="000000"/>
                <w:kern w:val="0"/>
                <w:szCs w:val="21"/>
              </w:rPr>
            </w:pPr>
          </w:p>
        </w:tc>
        <w:tc>
          <w:tcPr>
            <w:tcW w:w="7391"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spacing w:line="240" w:lineRule="auto"/>
              <w:rPr>
                <w:rFonts w:hint="eastAsia" w:ascii="仿宋" w:hAnsi="仿宋" w:eastAsia="仿宋" w:cs="仿宋"/>
                <w:color w:val="000000"/>
                <w:kern w:val="0"/>
                <w:szCs w:val="21"/>
              </w:rPr>
            </w:pPr>
            <w:r>
              <w:rPr>
                <w:rFonts w:hint="eastAsia" w:ascii="仿宋" w:hAnsi="仿宋" w:eastAsia="仿宋" w:cs="仿宋"/>
                <w:color w:val="000000"/>
                <w:kern w:val="0"/>
                <w:szCs w:val="21"/>
              </w:rPr>
              <w:t>配置3套容灾管理软件许可（3个数据库容灾许可）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spacing w:line="240" w:lineRule="auto"/>
              <w:jc w:val="center"/>
              <w:rPr>
                <w:rFonts w:hint="eastAsia" w:ascii="仿宋" w:hAnsi="仿宋" w:eastAsia="仿宋" w:cs="仿宋"/>
                <w:b/>
                <w:bCs/>
                <w:color w:val="000000"/>
                <w:kern w:val="0"/>
                <w:szCs w:val="21"/>
              </w:rPr>
            </w:pPr>
          </w:p>
        </w:tc>
        <w:tc>
          <w:tcPr>
            <w:tcW w:w="7391"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spacing w:line="240" w:lineRule="auto"/>
              <w:rPr>
                <w:rFonts w:hint="eastAsia" w:ascii="仿宋" w:hAnsi="仿宋" w:eastAsia="仿宋" w:cs="仿宋"/>
                <w:color w:val="000000"/>
                <w:kern w:val="0"/>
                <w:szCs w:val="21"/>
              </w:rPr>
            </w:pPr>
            <w:r>
              <w:rPr>
                <w:rFonts w:hint="eastAsia" w:ascii="仿宋" w:hAnsi="仿宋" w:eastAsia="仿宋" w:cs="仿宋"/>
                <w:color w:val="000000"/>
                <w:kern w:val="0"/>
                <w:szCs w:val="21"/>
              </w:rPr>
              <w:t>支持针对部署在小型机、X86物理服务器、虚拟机和云主机上的数据库系统进行容灾；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spacing w:line="240" w:lineRule="auto"/>
              <w:jc w:val="center"/>
              <w:rPr>
                <w:rFonts w:hint="eastAsia" w:ascii="仿宋" w:hAnsi="仿宋" w:eastAsia="仿宋" w:cs="仿宋"/>
                <w:color w:val="000000"/>
                <w:kern w:val="0"/>
                <w:szCs w:val="21"/>
              </w:rPr>
            </w:pPr>
          </w:p>
        </w:tc>
        <w:tc>
          <w:tcPr>
            <w:tcW w:w="7391"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spacing w:line="240" w:lineRule="auto"/>
              <w:rPr>
                <w:rFonts w:hint="eastAsia" w:ascii="仿宋" w:hAnsi="仿宋" w:eastAsia="仿宋" w:cs="仿宋"/>
                <w:color w:val="000000"/>
                <w:kern w:val="0"/>
                <w:szCs w:val="21"/>
              </w:rPr>
            </w:pPr>
            <w:r>
              <w:rPr>
                <w:rFonts w:hint="eastAsia" w:ascii="仿宋" w:hAnsi="仿宋" w:eastAsia="仿宋" w:cs="仿宋"/>
                <w:color w:val="000000"/>
                <w:kern w:val="0"/>
                <w:szCs w:val="21"/>
              </w:rPr>
              <w:t>支持对部署在AIX、HP-UNIX、Solaris、Windows、RHEL、Centos、Ubuntu、中标麒麟等操作系统下的数据库进行容灾，满足数据库系统复杂性和兼容性需求；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spacing w:line="240" w:lineRule="auto"/>
              <w:jc w:val="center"/>
              <w:rPr>
                <w:rFonts w:hint="eastAsia" w:ascii="仿宋" w:hAnsi="仿宋" w:eastAsia="仿宋" w:cs="仿宋"/>
                <w:color w:val="000000"/>
                <w:kern w:val="0"/>
                <w:szCs w:val="21"/>
              </w:rPr>
            </w:pPr>
          </w:p>
        </w:tc>
        <w:tc>
          <w:tcPr>
            <w:tcW w:w="7391"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spacing w:line="240" w:lineRule="auto"/>
              <w:rPr>
                <w:rFonts w:hint="eastAsia" w:ascii="仿宋" w:hAnsi="仿宋" w:eastAsia="仿宋" w:cs="仿宋"/>
                <w:color w:val="000000"/>
                <w:kern w:val="0"/>
                <w:szCs w:val="21"/>
              </w:rPr>
            </w:pPr>
            <w:r>
              <w:rPr>
                <w:rFonts w:hint="eastAsia" w:ascii="仿宋" w:hAnsi="仿宋" w:eastAsia="仿宋" w:cs="仿宋"/>
                <w:color w:val="000000"/>
                <w:kern w:val="0"/>
                <w:szCs w:val="21"/>
              </w:rPr>
              <w:t>支持对Oracle（含RAC）、SQL Server、MySQL、Cache和达梦等数据库进行容灾；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09" w:type="dxa"/>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spacing w:line="240" w:lineRule="auto"/>
              <w:jc w:val="center"/>
              <w:rPr>
                <w:rFonts w:hint="eastAsia" w:ascii="仿宋" w:hAnsi="仿宋" w:eastAsia="仿宋" w:cs="仿宋"/>
                <w:b/>
                <w:bCs/>
                <w:color w:val="000000"/>
                <w:kern w:val="0"/>
                <w:szCs w:val="21"/>
              </w:rPr>
            </w:pPr>
          </w:p>
        </w:tc>
        <w:tc>
          <w:tcPr>
            <w:tcW w:w="7391"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widowControl/>
              <w:spacing w:after="62" w:afterLines="20" w:line="240" w:lineRule="auto"/>
              <w:rPr>
                <w:rFonts w:hint="eastAsia" w:ascii="仿宋" w:hAnsi="仿宋" w:eastAsia="仿宋" w:cs="仿宋"/>
                <w:color w:val="000000"/>
                <w:kern w:val="0"/>
                <w:szCs w:val="21"/>
              </w:rPr>
            </w:pPr>
            <w:r>
              <w:rPr>
                <w:rFonts w:hint="eastAsia" w:ascii="仿宋" w:hAnsi="仿宋" w:eastAsia="仿宋" w:cs="仿宋"/>
                <w:color w:val="000000"/>
                <w:kern w:val="0"/>
                <w:szCs w:val="21"/>
              </w:rPr>
              <w:t>要求容灾软件安装过程中，无需改造生产主机上的文件系统，无需更改系统卷配置；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309" w:type="dxa"/>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spacing w:line="240" w:lineRule="auto"/>
              <w:jc w:val="center"/>
              <w:rPr>
                <w:rFonts w:hint="eastAsia" w:ascii="仿宋" w:hAnsi="仿宋" w:eastAsia="仿宋" w:cs="仿宋"/>
                <w:b/>
                <w:bCs/>
                <w:color w:val="000000"/>
                <w:kern w:val="0"/>
                <w:szCs w:val="21"/>
              </w:rPr>
            </w:pPr>
          </w:p>
        </w:tc>
        <w:tc>
          <w:tcPr>
            <w:tcW w:w="7391"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widowControl/>
              <w:spacing w:after="62" w:afterLines="20" w:line="240" w:lineRule="auto"/>
              <w:rPr>
                <w:rFonts w:hint="eastAsia" w:ascii="仿宋" w:hAnsi="仿宋" w:eastAsia="仿宋" w:cs="仿宋"/>
                <w:color w:val="000000"/>
                <w:kern w:val="0"/>
                <w:szCs w:val="21"/>
              </w:rPr>
            </w:pPr>
            <w:r>
              <w:rPr>
                <w:rFonts w:hint="eastAsia" w:ascii="仿宋" w:hAnsi="仿宋" w:eastAsia="仿宋" w:cs="仿宋"/>
                <w:color w:val="000000"/>
                <w:kern w:val="0"/>
                <w:szCs w:val="21"/>
              </w:rPr>
              <w:t>要求数据库内不允许嵌入任何程序，不修改生产数据库配置参数,不增加数据库内的表格或其他对象；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spacing w:line="240" w:lineRule="auto"/>
              <w:jc w:val="center"/>
              <w:rPr>
                <w:rFonts w:hint="eastAsia" w:ascii="仿宋" w:hAnsi="仿宋" w:eastAsia="仿宋" w:cs="仿宋"/>
                <w:b/>
                <w:bCs/>
                <w:color w:val="000000"/>
                <w:kern w:val="0"/>
                <w:szCs w:val="21"/>
              </w:rPr>
            </w:pPr>
          </w:p>
        </w:tc>
        <w:tc>
          <w:tcPr>
            <w:tcW w:w="7391"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widowControl/>
              <w:spacing w:after="62" w:afterLines="20" w:line="240" w:lineRule="auto"/>
              <w:rPr>
                <w:rFonts w:hint="eastAsia" w:ascii="仿宋" w:hAnsi="仿宋" w:eastAsia="仿宋" w:cs="仿宋"/>
                <w:color w:val="000000"/>
                <w:kern w:val="0"/>
                <w:szCs w:val="21"/>
              </w:rPr>
            </w:pPr>
            <w:r>
              <w:rPr>
                <w:rFonts w:hint="eastAsia" w:ascii="仿宋" w:hAnsi="仿宋" w:eastAsia="仿宋" w:cs="仿宋"/>
                <w:color w:val="000000"/>
                <w:kern w:val="0"/>
                <w:szCs w:val="21"/>
              </w:rPr>
              <w:t>软件部署完后，无需重启或中断业务即可生效；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spacing w:line="240" w:lineRule="auto"/>
              <w:jc w:val="center"/>
              <w:rPr>
                <w:rFonts w:hint="eastAsia" w:ascii="仿宋" w:hAnsi="仿宋" w:eastAsia="仿宋" w:cs="仿宋"/>
                <w:b/>
                <w:bCs/>
                <w:color w:val="000000"/>
                <w:kern w:val="0"/>
                <w:szCs w:val="21"/>
              </w:rPr>
            </w:pPr>
          </w:p>
        </w:tc>
        <w:tc>
          <w:tcPr>
            <w:tcW w:w="7391"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widowControl/>
              <w:spacing w:after="62" w:afterLines="20" w:line="240" w:lineRule="auto"/>
              <w:rPr>
                <w:rFonts w:hint="eastAsia" w:ascii="仿宋" w:hAnsi="仿宋" w:eastAsia="仿宋" w:cs="仿宋"/>
                <w:color w:val="000000"/>
                <w:kern w:val="0"/>
                <w:szCs w:val="21"/>
              </w:rPr>
            </w:pPr>
            <w:r>
              <w:rPr>
                <w:rFonts w:hint="eastAsia" w:ascii="仿宋" w:hAnsi="仿宋" w:eastAsia="仿宋" w:cs="仿宋"/>
                <w:color w:val="000000"/>
                <w:kern w:val="0"/>
                <w:szCs w:val="21"/>
              </w:rPr>
              <w:t>支持容灾端数据库初始化自动化，无需重新配置；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Merge w:val="restar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spacing w:line="240" w:lineRule="auto"/>
              <w:jc w:val="center"/>
              <w:rPr>
                <w:rFonts w:hint="eastAsia" w:ascii="仿宋" w:hAnsi="仿宋" w:eastAsia="仿宋" w:cs="仿宋"/>
                <w:b/>
                <w:bCs/>
                <w:color w:val="000000"/>
                <w:kern w:val="0"/>
                <w:szCs w:val="21"/>
              </w:rPr>
            </w:pPr>
            <w:r>
              <w:rPr>
                <w:rFonts w:hint="eastAsia" w:ascii="仿宋" w:hAnsi="仿宋" w:eastAsia="仿宋" w:cs="仿宋"/>
                <w:b/>
                <w:bCs/>
                <w:color w:val="000000"/>
                <w:kern w:val="0"/>
                <w:szCs w:val="21"/>
              </w:rPr>
              <w:t>数据同步</w:t>
            </w:r>
          </w:p>
        </w:tc>
        <w:tc>
          <w:tcPr>
            <w:tcW w:w="7391"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widowControl/>
              <w:spacing w:after="62" w:afterLines="20" w:line="240" w:lineRule="auto"/>
              <w:rPr>
                <w:rFonts w:hint="eastAsia" w:ascii="仿宋" w:hAnsi="仿宋" w:eastAsia="仿宋" w:cs="仿宋"/>
                <w:color w:val="000000"/>
                <w:kern w:val="0"/>
                <w:szCs w:val="21"/>
              </w:rPr>
            </w:pPr>
            <w:r>
              <w:rPr>
                <w:rFonts w:hint="eastAsia" w:ascii="仿宋" w:hAnsi="仿宋" w:eastAsia="仿宋" w:cs="仿宋"/>
                <w:color w:val="000000"/>
                <w:kern w:val="0"/>
                <w:szCs w:val="21"/>
              </w:rPr>
              <w:t>支持含小型机、物理机、虚拟化和云计算等平台下的数据库同步；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spacing w:line="240" w:lineRule="auto"/>
              <w:jc w:val="center"/>
              <w:rPr>
                <w:rFonts w:hint="eastAsia" w:ascii="仿宋" w:hAnsi="仿宋" w:eastAsia="仿宋" w:cs="仿宋"/>
                <w:b/>
                <w:bCs/>
                <w:color w:val="000000"/>
                <w:kern w:val="0"/>
                <w:szCs w:val="21"/>
              </w:rPr>
            </w:pPr>
          </w:p>
        </w:tc>
        <w:tc>
          <w:tcPr>
            <w:tcW w:w="7391"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widowControl/>
              <w:spacing w:after="62" w:afterLines="20" w:line="240" w:lineRule="auto"/>
              <w:rPr>
                <w:rFonts w:hint="eastAsia" w:ascii="仿宋" w:hAnsi="仿宋" w:eastAsia="仿宋" w:cs="仿宋"/>
                <w:color w:val="000000"/>
                <w:kern w:val="0"/>
                <w:szCs w:val="21"/>
              </w:rPr>
            </w:pPr>
            <w:r>
              <w:rPr>
                <w:rFonts w:hint="eastAsia" w:ascii="仿宋" w:hAnsi="仿宋" w:eastAsia="仿宋" w:cs="仿宋"/>
                <w:color w:val="000000"/>
                <w:kern w:val="0"/>
                <w:szCs w:val="21"/>
              </w:rPr>
              <w:t>数据同步支持多节点同步，如主主、主备、一对多、级联等同步模式；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spacing w:line="240" w:lineRule="auto"/>
              <w:jc w:val="center"/>
              <w:rPr>
                <w:rFonts w:hint="eastAsia" w:ascii="仿宋" w:hAnsi="仿宋" w:eastAsia="仿宋" w:cs="仿宋"/>
                <w:color w:val="000000"/>
                <w:kern w:val="0"/>
                <w:szCs w:val="21"/>
              </w:rPr>
            </w:pPr>
          </w:p>
        </w:tc>
        <w:tc>
          <w:tcPr>
            <w:tcW w:w="7391"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spacing w:line="240" w:lineRule="auto"/>
              <w:rPr>
                <w:rFonts w:hint="eastAsia" w:ascii="仿宋" w:hAnsi="仿宋" w:eastAsia="仿宋" w:cs="仿宋"/>
                <w:color w:val="000000"/>
                <w:kern w:val="0"/>
                <w:szCs w:val="21"/>
              </w:rPr>
            </w:pPr>
            <w:r>
              <w:rPr>
                <w:rFonts w:hint="eastAsia" w:ascii="仿宋" w:hAnsi="仿宋" w:eastAsia="仿宋" w:cs="仿宋"/>
                <w:color w:val="000000"/>
                <w:kern w:val="0"/>
                <w:szCs w:val="21"/>
              </w:rPr>
              <w:t>支持包括 Weblogic,Websphere,Tomcat等中间件数据同步；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spacing w:line="240" w:lineRule="auto"/>
              <w:jc w:val="center"/>
              <w:rPr>
                <w:rFonts w:hint="eastAsia" w:ascii="仿宋" w:hAnsi="仿宋" w:eastAsia="仿宋" w:cs="仿宋"/>
                <w:b/>
                <w:bCs/>
                <w:color w:val="000000"/>
                <w:kern w:val="0"/>
                <w:szCs w:val="21"/>
              </w:rPr>
            </w:pPr>
          </w:p>
        </w:tc>
        <w:tc>
          <w:tcPr>
            <w:tcW w:w="7391"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spacing w:line="240" w:lineRule="auto"/>
              <w:rPr>
                <w:rFonts w:hint="eastAsia" w:ascii="仿宋" w:hAnsi="仿宋" w:eastAsia="仿宋" w:cs="仿宋"/>
                <w:color w:val="000000"/>
                <w:kern w:val="0"/>
                <w:szCs w:val="21"/>
              </w:rPr>
            </w:pPr>
            <w:r>
              <w:rPr>
                <w:rFonts w:hint="eastAsia" w:ascii="仿宋" w:hAnsi="仿宋" w:eastAsia="仿宋" w:cs="仿宋"/>
                <w:color w:val="000000"/>
                <w:kern w:val="0"/>
                <w:szCs w:val="21"/>
              </w:rPr>
              <w:t>数据库同步采用物理同步方式，支持数据库中所有对象的同步，支持所有DDL、DML等语句的复制。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Merge w:val="restar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spacing w:line="240" w:lineRule="auto"/>
              <w:jc w:val="center"/>
              <w:rPr>
                <w:rFonts w:hint="eastAsia" w:ascii="仿宋" w:hAnsi="仿宋" w:eastAsia="仿宋" w:cs="仿宋"/>
                <w:b/>
                <w:bCs/>
                <w:color w:val="000000"/>
                <w:kern w:val="0"/>
                <w:szCs w:val="21"/>
              </w:rPr>
            </w:pPr>
            <w:r>
              <w:rPr>
                <w:rFonts w:hint="eastAsia" w:ascii="仿宋" w:hAnsi="仿宋" w:eastAsia="仿宋" w:cs="仿宋"/>
                <w:b/>
                <w:bCs/>
                <w:color w:val="000000"/>
                <w:kern w:val="0"/>
                <w:szCs w:val="21"/>
              </w:rPr>
              <w:t>基本要求</w:t>
            </w:r>
          </w:p>
        </w:tc>
        <w:tc>
          <w:tcPr>
            <w:tcW w:w="7391"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spacing w:line="240" w:lineRule="auto"/>
              <w:rPr>
                <w:rFonts w:hint="eastAsia" w:ascii="仿宋" w:hAnsi="仿宋" w:eastAsia="仿宋" w:cs="仿宋"/>
                <w:color w:val="000000"/>
                <w:kern w:val="0"/>
                <w:szCs w:val="21"/>
              </w:rPr>
            </w:pPr>
            <w:r>
              <w:rPr>
                <w:rFonts w:hint="eastAsia" w:ascii="仿宋" w:hAnsi="仿宋" w:eastAsia="仿宋" w:cs="仿宋"/>
                <w:color w:val="000000"/>
                <w:kern w:val="0"/>
                <w:szCs w:val="21"/>
              </w:rPr>
              <w:t>要求具备实时监测数据传输状态的功能，并且当链路故障恢复后可自动执行断点续传。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spacing w:line="240" w:lineRule="auto"/>
              <w:jc w:val="center"/>
              <w:rPr>
                <w:rFonts w:hint="eastAsia" w:ascii="仿宋" w:hAnsi="仿宋" w:eastAsia="仿宋" w:cs="仿宋"/>
                <w:b/>
                <w:bCs/>
                <w:color w:val="000000"/>
                <w:kern w:val="0"/>
                <w:szCs w:val="21"/>
              </w:rPr>
            </w:pPr>
          </w:p>
        </w:tc>
        <w:tc>
          <w:tcPr>
            <w:tcW w:w="7391"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spacing w:line="240" w:lineRule="auto"/>
              <w:rPr>
                <w:rFonts w:hint="eastAsia" w:ascii="仿宋" w:hAnsi="仿宋" w:eastAsia="仿宋" w:cs="仿宋"/>
                <w:color w:val="000000"/>
                <w:kern w:val="0"/>
                <w:szCs w:val="21"/>
              </w:rPr>
            </w:pPr>
            <w:r>
              <w:rPr>
                <w:rFonts w:hint="eastAsia" w:ascii="仿宋" w:hAnsi="仿宋" w:eastAsia="仿宋" w:cs="仿宋"/>
                <w:color w:val="000000"/>
                <w:kern w:val="0"/>
                <w:szCs w:val="21"/>
              </w:rPr>
              <w:t>要求灾备系统具有数据压缩功能，对容灾数据进行压缩，适应在窄带宽传输的要求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spacing w:line="240" w:lineRule="auto"/>
              <w:jc w:val="center"/>
              <w:rPr>
                <w:rFonts w:hint="eastAsia" w:ascii="仿宋" w:hAnsi="仿宋" w:eastAsia="仿宋" w:cs="仿宋"/>
                <w:b/>
                <w:bCs/>
                <w:color w:val="000000"/>
                <w:kern w:val="0"/>
                <w:szCs w:val="21"/>
              </w:rPr>
            </w:pPr>
          </w:p>
        </w:tc>
        <w:tc>
          <w:tcPr>
            <w:tcW w:w="7391"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spacing w:line="240" w:lineRule="auto"/>
              <w:rPr>
                <w:rFonts w:hint="eastAsia" w:ascii="仿宋" w:hAnsi="仿宋" w:eastAsia="仿宋" w:cs="仿宋"/>
                <w:color w:val="000000"/>
                <w:kern w:val="0"/>
                <w:szCs w:val="21"/>
              </w:rPr>
            </w:pPr>
            <w:r>
              <w:rPr>
                <w:rFonts w:hint="eastAsia" w:ascii="仿宋" w:hAnsi="仿宋" w:eastAsia="仿宋" w:cs="仿宋"/>
                <w:color w:val="000000"/>
                <w:kern w:val="0"/>
                <w:szCs w:val="21"/>
              </w:rPr>
              <w:t>支持利用多块网卡或多条链路实现链路容错,当某一链路出现故障、暂停或时断时续的现象时，灾备系统可以实现切换，不影响灾备系统的运行。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spacing w:line="240" w:lineRule="auto"/>
              <w:jc w:val="center"/>
              <w:rPr>
                <w:rFonts w:hint="eastAsia" w:ascii="仿宋" w:hAnsi="仿宋" w:eastAsia="仿宋" w:cs="仿宋"/>
                <w:b/>
                <w:bCs/>
                <w:color w:val="000000"/>
                <w:kern w:val="0"/>
                <w:szCs w:val="21"/>
              </w:rPr>
            </w:pPr>
          </w:p>
        </w:tc>
        <w:tc>
          <w:tcPr>
            <w:tcW w:w="7391"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spacing w:line="240" w:lineRule="auto"/>
              <w:rPr>
                <w:rFonts w:hint="eastAsia" w:ascii="仿宋" w:hAnsi="仿宋" w:eastAsia="仿宋" w:cs="仿宋"/>
                <w:color w:val="000000"/>
                <w:kern w:val="0"/>
                <w:szCs w:val="21"/>
              </w:rPr>
            </w:pPr>
            <w:r>
              <w:rPr>
                <w:rFonts w:hint="eastAsia" w:ascii="仿宋" w:hAnsi="仿宋" w:eastAsia="仿宋" w:cs="仿宋"/>
                <w:color w:val="000000"/>
                <w:kern w:val="0"/>
                <w:szCs w:val="21"/>
              </w:rPr>
              <w:t>针对Oracle数据库，要求支持实现对数据库的所有对象和数据操作复制，且实现生产和灾备站点之间的数据库对象完全一致；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spacing w:line="240" w:lineRule="auto"/>
              <w:jc w:val="center"/>
              <w:rPr>
                <w:rFonts w:hint="eastAsia" w:ascii="仿宋" w:hAnsi="仿宋" w:eastAsia="仿宋" w:cs="仿宋"/>
                <w:b/>
                <w:bCs/>
                <w:color w:val="000000"/>
                <w:kern w:val="0"/>
                <w:szCs w:val="21"/>
              </w:rPr>
            </w:pPr>
          </w:p>
        </w:tc>
        <w:tc>
          <w:tcPr>
            <w:tcW w:w="7391"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spacing w:line="240" w:lineRule="auto"/>
              <w:rPr>
                <w:rFonts w:hint="eastAsia" w:ascii="仿宋" w:hAnsi="仿宋" w:eastAsia="仿宋" w:cs="仿宋"/>
                <w:color w:val="000000"/>
                <w:kern w:val="0"/>
                <w:szCs w:val="21"/>
              </w:rPr>
            </w:pPr>
            <w:r>
              <w:rPr>
                <w:rFonts w:hint="eastAsia" w:ascii="仿宋" w:hAnsi="仿宋" w:eastAsia="仿宋" w:cs="仿宋"/>
                <w:color w:val="000000"/>
                <w:kern w:val="0"/>
                <w:szCs w:val="21"/>
              </w:rPr>
              <w:t>支持同步和异步模式，同步模式下要求实现数据零丢失；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spacing w:line="240" w:lineRule="auto"/>
              <w:jc w:val="center"/>
              <w:rPr>
                <w:rFonts w:hint="eastAsia" w:ascii="仿宋" w:hAnsi="仿宋" w:eastAsia="仿宋" w:cs="仿宋"/>
                <w:b/>
                <w:bCs/>
                <w:color w:val="000000"/>
                <w:kern w:val="0"/>
                <w:szCs w:val="21"/>
              </w:rPr>
            </w:pPr>
          </w:p>
        </w:tc>
        <w:tc>
          <w:tcPr>
            <w:tcW w:w="7391"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spacing w:line="240" w:lineRule="auto"/>
              <w:rPr>
                <w:rFonts w:hint="eastAsia" w:ascii="仿宋" w:hAnsi="仿宋" w:eastAsia="仿宋" w:cs="仿宋"/>
                <w:color w:val="000000"/>
                <w:kern w:val="0"/>
                <w:szCs w:val="21"/>
              </w:rPr>
            </w:pPr>
            <w:r>
              <w:rPr>
                <w:rFonts w:hint="eastAsia" w:ascii="仿宋" w:hAnsi="仿宋" w:eastAsia="仿宋" w:cs="仿宋"/>
                <w:color w:val="000000"/>
                <w:kern w:val="0"/>
                <w:szCs w:val="21"/>
              </w:rPr>
              <w:t>支持监测RPO时间指标、预估RTO时间指标并可在监控视图和大屏视图上进行展示</w:t>
            </w:r>
            <w:r>
              <w:rPr>
                <w:rFonts w:hint="eastAsia" w:ascii="仿宋" w:hAnsi="仿宋" w:eastAsia="仿宋" w:cs="仿宋"/>
                <w:b/>
                <w:bCs/>
                <w:color w:val="000000"/>
                <w:kern w:val="0"/>
                <w:szCs w:val="21"/>
              </w:rPr>
              <w:t>（投标时提供功能截图）；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spacing w:line="240" w:lineRule="auto"/>
              <w:jc w:val="center"/>
              <w:rPr>
                <w:rFonts w:hint="eastAsia" w:ascii="仿宋" w:hAnsi="仿宋" w:eastAsia="仿宋" w:cs="仿宋"/>
                <w:b/>
                <w:bCs/>
                <w:color w:val="000000"/>
                <w:kern w:val="0"/>
                <w:szCs w:val="21"/>
              </w:rPr>
            </w:pPr>
          </w:p>
        </w:tc>
        <w:tc>
          <w:tcPr>
            <w:tcW w:w="7391"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spacing w:line="240" w:lineRule="auto"/>
              <w:rPr>
                <w:rFonts w:hint="eastAsia" w:ascii="仿宋" w:hAnsi="仿宋" w:eastAsia="仿宋" w:cs="仿宋"/>
                <w:color w:val="000000"/>
                <w:kern w:val="0"/>
                <w:szCs w:val="21"/>
              </w:rPr>
            </w:pPr>
            <w:r>
              <w:rPr>
                <w:rFonts w:hint="eastAsia" w:ascii="仿宋" w:hAnsi="仿宋" w:eastAsia="仿宋" w:cs="仿宋"/>
                <w:color w:val="000000"/>
                <w:kern w:val="0"/>
                <w:szCs w:val="21"/>
              </w:rPr>
              <w:t>在启动容灾切换后，切换时间小于5分钟；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Merge w:val="restar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spacing w:line="240" w:lineRule="auto"/>
              <w:jc w:val="center"/>
              <w:rPr>
                <w:rFonts w:hint="eastAsia" w:ascii="仿宋" w:hAnsi="仿宋" w:eastAsia="仿宋" w:cs="仿宋"/>
                <w:b/>
                <w:bCs/>
                <w:color w:val="000000"/>
                <w:kern w:val="0"/>
                <w:szCs w:val="21"/>
              </w:rPr>
            </w:pPr>
            <w:r>
              <w:rPr>
                <w:rFonts w:hint="eastAsia" w:ascii="仿宋" w:hAnsi="仿宋" w:eastAsia="仿宋" w:cs="仿宋"/>
                <w:b/>
                <w:bCs/>
                <w:color w:val="000000"/>
                <w:kern w:val="0"/>
                <w:szCs w:val="21"/>
              </w:rPr>
              <w:t>功能要求</w:t>
            </w:r>
          </w:p>
        </w:tc>
        <w:tc>
          <w:tcPr>
            <w:tcW w:w="7391"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spacing w:line="240" w:lineRule="auto"/>
              <w:rPr>
                <w:rFonts w:hint="eastAsia" w:ascii="仿宋" w:hAnsi="仿宋" w:eastAsia="仿宋" w:cs="仿宋"/>
                <w:color w:val="000000"/>
                <w:kern w:val="0"/>
                <w:szCs w:val="21"/>
              </w:rPr>
            </w:pPr>
            <w:r>
              <w:rPr>
                <w:rFonts w:hint="eastAsia" w:ascii="仿宋" w:hAnsi="仿宋" w:eastAsia="仿宋" w:cs="仿宋"/>
                <w:color w:val="000000"/>
                <w:kern w:val="0"/>
                <w:szCs w:val="21"/>
              </w:rPr>
              <w:t>提供直观的简体中文图形化WEB操作控制台，可以在一个WEB图形界面里管理所有业务系统的容灾系统管理, 要求所有容灾功能统一在WEB界面上操作。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spacing w:line="240" w:lineRule="auto"/>
              <w:jc w:val="center"/>
              <w:rPr>
                <w:rFonts w:hint="eastAsia" w:ascii="仿宋" w:hAnsi="仿宋" w:eastAsia="仿宋" w:cs="仿宋"/>
                <w:b/>
                <w:bCs/>
                <w:color w:val="000000"/>
                <w:kern w:val="0"/>
                <w:szCs w:val="21"/>
              </w:rPr>
            </w:pPr>
          </w:p>
        </w:tc>
        <w:tc>
          <w:tcPr>
            <w:tcW w:w="7391"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spacing w:line="240" w:lineRule="auto"/>
              <w:rPr>
                <w:rFonts w:hint="eastAsia" w:ascii="仿宋" w:hAnsi="仿宋" w:eastAsia="仿宋" w:cs="仿宋"/>
                <w:color w:val="000000"/>
                <w:kern w:val="0"/>
                <w:szCs w:val="21"/>
              </w:rPr>
            </w:pPr>
            <w:r>
              <w:rPr>
                <w:rFonts w:hint="eastAsia" w:ascii="仿宋" w:hAnsi="仿宋" w:eastAsia="仿宋" w:cs="仿宋"/>
                <w:color w:val="000000"/>
                <w:kern w:val="0"/>
                <w:szCs w:val="21"/>
              </w:rPr>
              <w:t>支持对网络和数据库容灾对象进行资源化定义和管理；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spacing w:line="240" w:lineRule="auto"/>
              <w:jc w:val="center"/>
              <w:rPr>
                <w:rFonts w:hint="eastAsia" w:ascii="仿宋" w:hAnsi="仿宋" w:eastAsia="仿宋" w:cs="仿宋"/>
                <w:b/>
                <w:bCs/>
                <w:color w:val="000000"/>
                <w:kern w:val="0"/>
                <w:szCs w:val="21"/>
              </w:rPr>
            </w:pPr>
          </w:p>
        </w:tc>
        <w:tc>
          <w:tcPr>
            <w:tcW w:w="7391"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spacing w:line="240" w:lineRule="auto"/>
              <w:rPr>
                <w:rFonts w:hint="eastAsia" w:ascii="仿宋" w:hAnsi="仿宋" w:eastAsia="仿宋" w:cs="仿宋"/>
                <w:color w:val="000000"/>
                <w:kern w:val="0"/>
                <w:szCs w:val="21"/>
              </w:rPr>
            </w:pPr>
            <w:r>
              <w:rPr>
                <w:rFonts w:hint="eastAsia" w:ascii="仿宋" w:hAnsi="仿宋" w:eastAsia="仿宋" w:cs="仿宋"/>
                <w:color w:val="000000"/>
                <w:kern w:val="0"/>
                <w:szCs w:val="21"/>
              </w:rPr>
              <w:t>支持从数据业务视角监测各主从资源状态及指标详情，支持按分钟、小时、日、周、月等时间维度进行自由切换并即时生产图表信息；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spacing w:line="240" w:lineRule="auto"/>
              <w:jc w:val="center"/>
              <w:rPr>
                <w:rFonts w:hint="eastAsia" w:ascii="仿宋" w:hAnsi="仿宋" w:eastAsia="仿宋" w:cs="仿宋"/>
                <w:b/>
                <w:bCs/>
                <w:color w:val="000000"/>
                <w:kern w:val="0"/>
                <w:szCs w:val="21"/>
              </w:rPr>
            </w:pPr>
          </w:p>
        </w:tc>
        <w:tc>
          <w:tcPr>
            <w:tcW w:w="7391"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spacing w:line="240" w:lineRule="auto"/>
              <w:rPr>
                <w:rFonts w:hint="eastAsia" w:ascii="仿宋" w:hAnsi="仿宋" w:eastAsia="仿宋" w:cs="仿宋"/>
                <w:color w:val="000000"/>
                <w:kern w:val="0"/>
                <w:szCs w:val="21"/>
              </w:rPr>
            </w:pPr>
            <w:r>
              <w:rPr>
                <w:rFonts w:hint="eastAsia" w:ascii="仿宋" w:hAnsi="仿宋" w:eastAsia="仿宋" w:cs="仿宋"/>
                <w:color w:val="000000"/>
                <w:kern w:val="0"/>
                <w:szCs w:val="21"/>
              </w:rPr>
              <w:t xml:space="preserve">支持通过拖拽资源图标并点选连线后即可自动完成编排，建立切换关系及流程；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spacing w:line="240" w:lineRule="auto"/>
              <w:jc w:val="center"/>
              <w:rPr>
                <w:rFonts w:hint="eastAsia" w:ascii="仿宋" w:hAnsi="仿宋" w:eastAsia="仿宋" w:cs="仿宋"/>
                <w:b/>
                <w:bCs/>
                <w:color w:val="000000"/>
                <w:kern w:val="0"/>
                <w:szCs w:val="21"/>
              </w:rPr>
            </w:pPr>
          </w:p>
        </w:tc>
        <w:tc>
          <w:tcPr>
            <w:tcW w:w="7391"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spacing w:line="240" w:lineRule="auto"/>
              <w:rPr>
                <w:rFonts w:hint="eastAsia" w:ascii="仿宋" w:hAnsi="仿宋" w:eastAsia="仿宋" w:cs="仿宋"/>
                <w:color w:val="000000"/>
                <w:kern w:val="0"/>
                <w:szCs w:val="21"/>
              </w:rPr>
            </w:pPr>
            <w:r>
              <w:rPr>
                <w:rFonts w:hint="eastAsia" w:ascii="仿宋" w:hAnsi="仿宋" w:eastAsia="仿宋" w:cs="仿宋"/>
                <w:color w:val="000000"/>
                <w:kern w:val="0"/>
                <w:szCs w:val="21"/>
              </w:rPr>
              <w:t xml:space="preserve">提供一键健康状态检查功能，启动后将自动检查切换流程中的每一个环节的健康状态，并给出相关提示；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spacing w:line="240" w:lineRule="auto"/>
              <w:jc w:val="center"/>
              <w:rPr>
                <w:rFonts w:hint="eastAsia" w:ascii="仿宋" w:hAnsi="仿宋" w:eastAsia="仿宋" w:cs="仿宋"/>
                <w:b/>
                <w:bCs/>
                <w:color w:val="000000"/>
                <w:kern w:val="0"/>
                <w:szCs w:val="21"/>
              </w:rPr>
            </w:pPr>
          </w:p>
        </w:tc>
        <w:tc>
          <w:tcPr>
            <w:tcW w:w="7391"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spacing w:line="240" w:lineRule="auto"/>
              <w:rPr>
                <w:rFonts w:hint="eastAsia" w:ascii="仿宋" w:hAnsi="仿宋" w:eastAsia="仿宋" w:cs="仿宋"/>
                <w:color w:val="000000"/>
                <w:kern w:val="0"/>
                <w:szCs w:val="21"/>
              </w:rPr>
            </w:pPr>
            <w:r>
              <w:rPr>
                <w:rFonts w:hint="eastAsia" w:ascii="仿宋" w:hAnsi="仿宋" w:eastAsia="仿宋" w:cs="仿宋"/>
                <w:b/>
                <w:bCs/>
                <w:color w:val="000000"/>
                <w:szCs w:val="21"/>
              </w:rPr>
              <w:t>▲</w:t>
            </w:r>
            <w:r>
              <w:rPr>
                <w:rFonts w:hint="eastAsia" w:ascii="仿宋" w:hAnsi="仿宋" w:eastAsia="仿宋" w:cs="仿宋"/>
                <w:color w:val="000000"/>
                <w:kern w:val="0"/>
                <w:szCs w:val="21"/>
              </w:rPr>
              <w:t>提供容灾切换和计划维护切换等各类场景下的一键容灾切换功能，无需其他操作即可完成切换；</w:t>
            </w:r>
            <w:r>
              <w:rPr>
                <w:rFonts w:hint="eastAsia" w:ascii="仿宋" w:hAnsi="仿宋" w:eastAsia="仿宋" w:cs="仿宋"/>
                <w:b/>
                <w:bCs/>
                <w:color w:val="000000"/>
                <w:kern w:val="0"/>
                <w:szCs w:val="21"/>
              </w:rPr>
              <w:t>（投标时提供功能截图）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spacing w:line="240" w:lineRule="auto"/>
              <w:jc w:val="center"/>
              <w:rPr>
                <w:rFonts w:hint="eastAsia" w:ascii="仿宋" w:hAnsi="仿宋" w:eastAsia="仿宋" w:cs="仿宋"/>
                <w:b/>
                <w:bCs/>
                <w:color w:val="000000"/>
                <w:kern w:val="0"/>
                <w:szCs w:val="21"/>
              </w:rPr>
            </w:pPr>
          </w:p>
        </w:tc>
        <w:tc>
          <w:tcPr>
            <w:tcW w:w="7391"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spacing w:line="240" w:lineRule="auto"/>
              <w:rPr>
                <w:rFonts w:hint="eastAsia" w:ascii="仿宋" w:hAnsi="仿宋" w:eastAsia="仿宋" w:cs="仿宋"/>
                <w:color w:val="000000"/>
                <w:kern w:val="0"/>
                <w:szCs w:val="21"/>
              </w:rPr>
            </w:pPr>
            <w:r>
              <w:rPr>
                <w:rFonts w:hint="eastAsia" w:ascii="仿宋" w:hAnsi="仿宋" w:eastAsia="仿宋" w:cs="仿宋"/>
                <w:color w:val="000000"/>
                <w:kern w:val="0"/>
                <w:szCs w:val="21"/>
              </w:rPr>
              <w:t>切换过程进度可视，并支持呈现切换过程中每个步骤的状态检视，并可通过切换日志流查看详细情况；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spacing w:line="240" w:lineRule="auto"/>
              <w:jc w:val="center"/>
              <w:rPr>
                <w:rFonts w:hint="eastAsia" w:ascii="仿宋" w:hAnsi="仿宋" w:eastAsia="仿宋" w:cs="仿宋"/>
                <w:b/>
                <w:bCs/>
                <w:color w:val="000000"/>
                <w:kern w:val="0"/>
                <w:szCs w:val="21"/>
              </w:rPr>
            </w:pPr>
          </w:p>
        </w:tc>
        <w:tc>
          <w:tcPr>
            <w:tcW w:w="7391"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spacing w:line="240" w:lineRule="auto"/>
              <w:rPr>
                <w:rFonts w:hint="eastAsia" w:ascii="仿宋" w:hAnsi="仿宋" w:eastAsia="仿宋" w:cs="仿宋"/>
                <w:color w:val="000000"/>
                <w:kern w:val="0"/>
                <w:szCs w:val="21"/>
              </w:rPr>
            </w:pPr>
            <w:r>
              <w:rPr>
                <w:rFonts w:hint="eastAsia" w:ascii="仿宋" w:hAnsi="仿宋" w:eastAsia="仿宋" w:cs="仿宋"/>
                <w:color w:val="000000"/>
                <w:kern w:val="0"/>
                <w:szCs w:val="21"/>
              </w:rPr>
              <w:t>支持针对每个资源添加停止、强制切换、暂停等异常控制策略，遇到异常支持断点续切，人工干预后可继续切换；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spacing w:line="240" w:lineRule="auto"/>
              <w:jc w:val="center"/>
              <w:rPr>
                <w:rFonts w:hint="eastAsia" w:ascii="仿宋" w:hAnsi="仿宋" w:eastAsia="仿宋" w:cs="仿宋"/>
                <w:b/>
                <w:bCs/>
                <w:color w:val="000000"/>
                <w:kern w:val="0"/>
                <w:szCs w:val="21"/>
              </w:rPr>
            </w:pPr>
          </w:p>
        </w:tc>
        <w:tc>
          <w:tcPr>
            <w:tcW w:w="7391"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spacing w:line="240" w:lineRule="auto"/>
              <w:rPr>
                <w:rFonts w:hint="eastAsia" w:ascii="仿宋" w:hAnsi="仿宋" w:eastAsia="仿宋" w:cs="仿宋"/>
                <w:color w:val="000000"/>
                <w:kern w:val="0"/>
                <w:szCs w:val="21"/>
              </w:rPr>
            </w:pPr>
            <w:r>
              <w:rPr>
                <w:rFonts w:hint="eastAsia" w:ascii="仿宋" w:hAnsi="仿宋" w:eastAsia="仿宋" w:cs="仿宋"/>
                <w:b/>
                <w:bCs/>
                <w:color w:val="000000"/>
                <w:szCs w:val="21"/>
              </w:rPr>
              <w:t>▲</w:t>
            </w:r>
            <w:r>
              <w:rPr>
                <w:rFonts w:hint="eastAsia" w:ascii="仿宋" w:hAnsi="仿宋" w:eastAsia="仿宋" w:cs="仿宋"/>
                <w:color w:val="000000"/>
                <w:kern w:val="0"/>
                <w:szCs w:val="21"/>
              </w:rPr>
              <w:t>支持切换流程一键转化为回切流程，并自动执行生产端初始化；支持通过一键切换功能执行站点回切；</w:t>
            </w:r>
            <w:r>
              <w:rPr>
                <w:rFonts w:hint="eastAsia" w:ascii="仿宋" w:hAnsi="仿宋" w:eastAsia="仿宋" w:cs="仿宋"/>
                <w:b/>
                <w:bCs/>
                <w:kern w:val="0"/>
                <w:szCs w:val="21"/>
              </w:rPr>
              <w:t>（投标时提供功能截图）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spacing w:line="240" w:lineRule="auto"/>
              <w:jc w:val="center"/>
              <w:rPr>
                <w:rFonts w:hint="eastAsia" w:ascii="仿宋" w:hAnsi="仿宋" w:eastAsia="仿宋" w:cs="仿宋"/>
                <w:b/>
                <w:bCs/>
                <w:color w:val="000000"/>
                <w:kern w:val="0"/>
                <w:szCs w:val="21"/>
              </w:rPr>
            </w:pPr>
          </w:p>
        </w:tc>
        <w:tc>
          <w:tcPr>
            <w:tcW w:w="7391"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spacing w:line="240" w:lineRule="auto"/>
              <w:rPr>
                <w:rFonts w:hint="eastAsia" w:ascii="仿宋" w:hAnsi="仿宋" w:eastAsia="仿宋" w:cs="仿宋"/>
                <w:color w:val="000000"/>
                <w:kern w:val="0"/>
                <w:szCs w:val="21"/>
              </w:rPr>
            </w:pPr>
            <w:r>
              <w:rPr>
                <w:rFonts w:hint="eastAsia" w:ascii="仿宋" w:hAnsi="仿宋" w:eastAsia="仿宋" w:cs="仿宋"/>
                <w:color w:val="000000"/>
                <w:kern w:val="0"/>
                <w:szCs w:val="21"/>
              </w:rPr>
              <w:t>对于灾难引起的数据库自身故障，如数据文件损坏等情况。不需要依赖容灾切换，仅通过对损坏数据文件的即时恢复，提供秒级恢复功能。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spacing w:line="240" w:lineRule="auto"/>
              <w:jc w:val="center"/>
              <w:rPr>
                <w:rFonts w:hint="eastAsia" w:ascii="仿宋" w:hAnsi="仿宋" w:eastAsia="仿宋" w:cs="仿宋"/>
                <w:b/>
                <w:bCs/>
                <w:color w:val="000000"/>
                <w:kern w:val="0"/>
                <w:szCs w:val="21"/>
              </w:rPr>
            </w:pPr>
          </w:p>
        </w:tc>
        <w:tc>
          <w:tcPr>
            <w:tcW w:w="7391"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spacing w:line="240" w:lineRule="auto"/>
              <w:rPr>
                <w:rFonts w:hint="eastAsia" w:ascii="仿宋" w:hAnsi="仿宋" w:eastAsia="仿宋" w:cs="仿宋"/>
                <w:color w:val="000000"/>
                <w:kern w:val="0"/>
                <w:szCs w:val="21"/>
              </w:rPr>
            </w:pPr>
            <w:r>
              <w:rPr>
                <w:rFonts w:hint="eastAsia" w:ascii="仿宋" w:hAnsi="仿宋" w:eastAsia="仿宋" w:cs="仿宋"/>
                <w:b/>
                <w:bCs/>
                <w:color w:val="000000"/>
                <w:szCs w:val="21"/>
              </w:rPr>
              <w:t>▲</w:t>
            </w:r>
            <w:r>
              <w:rPr>
                <w:rFonts w:hint="eastAsia" w:ascii="仿宋" w:hAnsi="仿宋" w:eastAsia="仿宋" w:cs="仿宋"/>
                <w:color w:val="000000"/>
                <w:kern w:val="0"/>
                <w:szCs w:val="21"/>
              </w:rPr>
              <w:t>要求支持桌面级模拟演练，并提供一键演练，可随时对灾备站点应用进行可用性验证；</w:t>
            </w:r>
            <w:r>
              <w:rPr>
                <w:rFonts w:hint="eastAsia" w:ascii="仿宋" w:hAnsi="仿宋" w:eastAsia="仿宋" w:cs="仿宋"/>
                <w:b/>
                <w:bCs/>
                <w:color w:val="000000"/>
                <w:kern w:val="0"/>
                <w:szCs w:val="21"/>
              </w:rPr>
              <w:t>（投标时提供功能截图）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spacing w:line="240" w:lineRule="auto"/>
              <w:jc w:val="center"/>
              <w:rPr>
                <w:rFonts w:hint="eastAsia" w:ascii="仿宋" w:hAnsi="仿宋" w:eastAsia="仿宋" w:cs="仿宋"/>
                <w:b/>
                <w:bCs/>
                <w:color w:val="000000"/>
                <w:kern w:val="0"/>
                <w:szCs w:val="21"/>
              </w:rPr>
            </w:pPr>
          </w:p>
        </w:tc>
        <w:tc>
          <w:tcPr>
            <w:tcW w:w="7391"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spacing w:line="240" w:lineRule="auto"/>
              <w:rPr>
                <w:rFonts w:hint="eastAsia" w:ascii="仿宋" w:hAnsi="仿宋" w:eastAsia="仿宋" w:cs="仿宋"/>
                <w:color w:val="000000"/>
                <w:kern w:val="0"/>
                <w:szCs w:val="21"/>
              </w:rPr>
            </w:pPr>
            <w:r>
              <w:rPr>
                <w:rFonts w:hint="eastAsia" w:ascii="仿宋" w:hAnsi="仿宋" w:eastAsia="仿宋" w:cs="仿宋"/>
                <w:color w:val="000000"/>
                <w:kern w:val="0"/>
                <w:szCs w:val="21"/>
              </w:rPr>
              <w:t>要求容灾站点实现边同步边查询的能力，活动数据库提供活动数据而不是静态数据，随时跟踪生产站点数据库，差异性间隔时间：0至5分钟。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spacing w:line="240" w:lineRule="auto"/>
              <w:jc w:val="center"/>
              <w:rPr>
                <w:rFonts w:hint="eastAsia" w:ascii="仿宋" w:hAnsi="仿宋" w:eastAsia="仿宋" w:cs="仿宋"/>
                <w:b/>
                <w:bCs/>
                <w:color w:val="000000"/>
                <w:kern w:val="0"/>
                <w:szCs w:val="21"/>
              </w:rPr>
            </w:pPr>
          </w:p>
        </w:tc>
        <w:tc>
          <w:tcPr>
            <w:tcW w:w="7391"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spacing w:line="240" w:lineRule="auto"/>
              <w:rPr>
                <w:rFonts w:hint="eastAsia" w:ascii="仿宋" w:hAnsi="仿宋" w:eastAsia="仿宋" w:cs="仿宋"/>
                <w:color w:val="000000"/>
                <w:kern w:val="0"/>
                <w:szCs w:val="21"/>
              </w:rPr>
            </w:pPr>
            <w:r>
              <w:rPr>
                <w:rFonts w:hint="eastAsia" w:ascii="仿宋" w:hAnsi="仿宋" w:eastAsia="仿宋" w:cs="仿宋"/>
                <w:color w:val="000000"/>
                <w:kern w:val="0"/>
                <w:szCs w:val="21"/>
              </w:rPr>
              <w:t>要求容灾端数据库可支持在线作为逻辑备份、数据仓库等源数据，被应用程序或ETL工具所使用。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spacing w:line="240" w:lineRule="auto"/>
              <w:jc w:val="center"/>
              <w:rPr>
                <w:rFonts w:hint="eastAsia" w:ascii="仿宋" w:hAnsi="仿宋" w:eastAsia="仿宋" w:cs="仿宋"/>
                <w:b/>
                <w:bCs/>
                <w:color w:val="000000"/>
                <w:kern w:val="0"/>
                <w:szCs w:val="21"/>
              </w:rPr>
            </w:pPr>
          </w:p>
        </w:tc>
        <w:tc>
          <w:tcPr>
            <w:tcW w:w="7391"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widowControl/>
              <w:spacing w:after="62" w:afterLines="20" w:line="240" w:lineRule="auto"/>
              <w:rPr>
                <w:rFonts w:hint="eastAsia" w:ascii="仿宋" w:hAnsi="仿宋" w:eastAsia="仿宋" w:cs="仿宋"/>
                <w:color w:val="000000"/>
                <w:kern w:val="0"/>
                <w:szCs w:val="21"/>
              </w:rPr>
            </w:pPr>
            <w:r>
              <w:rPr>
                <w:rFonts w:hint="eastAsia" w:ascii="仿宋" w:hAnsi="仿宋" w:eastAsia="仿宋" w:cs="仿宋"/>
                <w:b/>
                <w:bCs/>
                <w:color w:val="000000"/>
                <w:szCs w:val="21"/>
              </w:rPr>
              <w:t>▲</w:t>
            </w:r>
            <w:r>
              <w:rPr>
                <w:rFonts w:hint="eastAsia" w:ascii="仿宋" w:hAnsi="仿宋" w:eastAsia="仿宋" w:cs="仿宋"/>
                <w:color w:val="000000"/>
                <w:kern w:val="0"/>
                <w:szCs w:val="21"/>
              </w:rPr>
              <w:t>对于程序错误、误操作以及入侵破坏等操作，要求提供快速的恢复能力，防止人为误操作导致的数据丢失。</w:t>
            </w:r>
            <w:r>
              <w:rPr>
                <w:rFonts w:hint="eastAsia" w:ascii="仿宋" w:hAnsi="仿宋" w:eastAsia="仿宋" w:cs="仿宋"/>
                <w:b/>
                <w:bCs/>
                <w:color w:val="000000"/>
                <w:kern w:val="0"/>
                <w:szCs w:val="21"/>
              </w:rPr>
              <w:t>（投标时提供功能截图）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spacing w:line="240" w:lineRule="auto"/>
              <w:jc w:val="center"/>
              <w:rPr>
                <w:rFonts w:hint="eastAsia" w:ascii="仿宋" w:hAnsi="仿宋" w:eastAsia="仿宋" w:cs="仿宋"/>
                <w:b/>
                <w:bCs/>
                <w:color w:val="000000"/>
                <w:kern w:val="0"/>
                <w:szCs w:val="21"/>
              </w:rPr>
            </w:pPr>
          </w:p>
        </w:tc>
        <w:tc>
          <w:tcPr>
            <w:tcW w:w="7391"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spacing w:line="240" w:lineRule="auto"/>
              <w:rPr>
                <w:rFonts w:hint="eastAsia" w:ascii="仿宋" w:hAnsi="仿宋" w:eastAsia="仿宋" w:cs="仿宋"/>
                <w:color w:val="000000"/>
                <w:kern w:val="0"/>
                <w:szCs w:val="21"/>
              </w:rPr>
            </w:pPr>
            <w:r>
              <w:rPr>
                <w:rFonts w:hint="eastAsia" w:ascii="仿宋" w:hAnsi="仿宋" w:eastAsia="仿宋" w:cs="仿宋"/>
                <w:color w:val="000000"/>
                <w:kern w:val="0"/>
                <w:szCs w:val="21"/>
              </w:rPr>
              <w:t>要求容灾软件支持大屏显示功能，软件无需任何配置即可投放显示；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spacing w:line="240" w:lineRule="auto"/>
              <w:jc w:val="center"/>
              <w:rPr>
                <w:rFonts w:hint="eastAsia" w:ascii="仿宋" w:hAnsi="仿宋" w:eastAsia="仿宋" w:cs="仿宋"/>
                <w:b/>
                <w:bCs/>
                <w:color w:val="000000"/>
                <w:kern w:val="0"/>
                <w:szCs w:val="21"/>
              </w:rPr>
            </w:pPr>
          </w:p>
        </w:tc>
        <w:tc>
          <w:tcPr>
            <w:tcW w:w="7391"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spacing w:line="240" w:lineRule="auto"/>
              <w:rPr>
                <w:rFonts w:hint="eastAsia" w:ascii="仿宋" w:hAnsi="仿宋" w:eastAsia="仿宋" w:cs="仿宋"/>
                <w:color w:val="000000"/>
                <w:kern w:val="0"/>
                <w:szCs w:val="21"/>
              </w:rPr>
            </w:pPr>
            <w:r>
              <w:rPr>
                <w:rFonts w:hint="eastAsia" w:ascii="仿宋" w:hAnsi="仿宋" w:eastAsia="仿宋" w:cs="仿宋"/>
                <w:color w:val="000000"/>
                <w:kern w:val="0"/>
                <w:szCs w:val="21"/>
              </w:rPr>
              <w:t>指挥大屏显示内容须包含部署位置图、网络流量、业务系统列表、总体和各业务RTO和RPO指标、容灾切换进度、业务系统验证进度等指标；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spacing w:line="240" w:lineRule="auto"/>
              <w:jc w:val="center"/>
              <w:rPr>
                <w:rFonts w:hint="eastAsia" w:ascii="仿宋" w:hAnsi="仿宋" w:eastAsia="仿宋" w:cs="仿宋"/>
                <w:b/>
                <w:bCs/>
                <w:color w:val="000000"/>
                <w:kern w:val="0"/>
                <w:szCs w:val="21"/>
              </w:rPr>
            </w:pPr>
          </w:p>
        </w:tc>
        <w:tc>
          <w:tcPr>
            <w:tcW w:w="7391"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spacing w:line="240" w:lineRule="auto"/>
              <w:rPr>
                <w:rFonts w:hint="eastAsia" w:ascii="仿宋" w:hAnsi="仿宋" w:eastAsia="仿宋" w:cs="仿宋"/>
                <w:color w:val="000000"/>
                <w:kern w:val="0"/>
                <w:szCs w:val="21"/>
              </w:rPr>
            </w:pPr>
            <w:r>
              <w:rPr>
                <w:rFonts w:hint="eastAsia" w:ascii="仿宋" w:hAnsi="仿宋" w:eastAsia="仿宋" w:cs="仿宋"/>
                <w:color w:val="000000"/>
                <w:kern w:val="0"/>
                <w:szCs w:val="21"/>
              </w:rPr>
              <w:t>支持指挥大屏显示内容及风格可根据实际需求进行个性化定制；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spacing w:line="240" w:lineRule="auto"/>
              <w:jc w:val="center"/>
              <w:rPr>
                <w:rFonts w:hint="eastAsia" w:ascii="仿宋" w:hAnsi="仿宋" w:eastAsia="仿宋" w:cs="仿宋"/>
                <w:b/>
                <w:bCs/>
                <w:color w:val="000000"/>
                <w:kern w:val="0"/>
                <w:szCs w:val="21"/>
              </w:rPr>
            </w:pPr>
          </w:p>
        </w:tc>
        <w:tc>
          <w:tcPr>
            <w:tcW w:w="7391"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spacing w:line="240" w:lineRule="auto"/>
              <w:rPr>
                <w:rFonts w:hint="eastAsia" w:ascii="仿宋" w:hAnsi="仿宋" w:eastAsia="仿宋" w:cs="仿宋"/>
                <w:color w:val="000000"/>
                <w:kern w:val="0"/>
                <w:szCs w:val="21"/>
              </w:rPr>
            </w:pPr>
            <w:r>
              <w:rPr>
                <w:rFonts w:hint="eastAsia" w:ascii="仿宋" w:hAnsi="仿宋" w:eastAsia="仿宋" w:cs="仿宋"/>
                <w:color w:val="000000"/>
                <w:kern w:val="0"/>
                <w:szCs w:val="21"/>
              </w:rPr>
              <w:t>支持数据库同步过程的暂停以及恢复同步操作；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spacing w:line="240" w:lineRule="auto"/>
              <w:jc w:val="center"/>
              <w:rPr>
                <w:rFonts w:hint="eastAsia" w:ascii="仿宋" w:hAnsi="仿宋" w:eastAsia="仿宋" w:cs="仿宋"/>
                <w:b/>
                <w:bCs/>
                <w:color w:val="000000"/>
                <w:kern w:val="0"/>
                <w:szCs w:val="21"/>
              </w:rPr>
            </w:pPr>
          </w:p>
        </w:tc>
        <w:tc>
          <w:tcPr>
            <w:tcW w:w="7391"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spacing w:line="240" w:lineRule="auto"/>
              <w:rPr>
                <w:rFonts w:hint="eastAsia" w:ascii="仿宋" w:hAnsi="仿宋" w:eastAsia="仿宋" w:cs="仿宋"/>
                <w:color w:val="000000"/>
                <w:kern w:val="0"/>
                <w:szCs w:val="21"/>
              </w:rPr>
            </w:pPr>
            <w:r>
              <w:rPr>
                <w:rFonts w:hint="eastAsia" w:ascii="仿宋" w:hAnsi="仿宋" w:eastAsia="仿宋" w:cs="仿宋"/>
                <w:color w:val="000000"/>
                <w:kern w:val="0"/>
                <w:szCs w:val="21"/>
              </w:rPr>
              <w:t>要求支持对网络、数据库对象进行自定义模板告警设置，并支持通过web首页、短信、微信、邮件及其它方式进行告警通知；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spacing w:line="240" w:lineRule="auto"/>
              <w:jc w:val="center"/>
              <w:rPr>
                <w:rFonts w:hint="eastAsia" w:ascii="仿宋" w:hAnsi="仿宋" w:eastAsia="仿宋" w:cs="仿宋"/>
                <w:b/>
                <w:bCs/>
                <w:color w:val="000000"/>
                <w:kern w:val="0"/>
                <w:szCs w:val="21"/>
              </w:rPr>
            </w:pPr>
          </w:p>
        </w:tc>
        <w:tc>
          <w:tcPr>
            <w:tcW w:w="7391"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spacing w:line="240" w:lineRule="auto"/>
              <w:rPr>
                <w:rFonts w:hint="eastAsia" w:ascii="仿宋" w:hAnsi="仿宋" w:eastAsia="仿宋" w:cs="仿宋"/>
                <w:color w:val="000000"/>
                <w:kern w:val="0"/>
                <w:szCs w:val="21"/>
              </w:rPr>
            </w:pPr>
            <w:r>
              <w:rPr>
                <w:rFonts w:hint="eastAsia" w:ascii="仿宋" w:hAnsi="仿宋" w:eastAsia="仿宋" w:cs="仿宋"/>
                <w:color w:val="000000"/>
                <w:kern w:val="0"/>
                <w:szCs w:val="21"/>
              </w:rPr>
              <w:t>具备告警信息统计功能，并支持告警信息支持去重，同一天内未经处理的相同告警信息只保留一条记录；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spacing w:line="240" w:lineRule="auto"/>
              <w:jc w:val="center"/>
              <w:rPr>
                <w:rFonts w:hint="eastAsia" w:ascii="仿宋" w:hAnsi="仿宋" w:eastAsia="仿宋" w:cs="仿宋"/>
                <w:b/>
                <w:bCs/>
                <w:color w:val="000000"/>
                <w:kern w:val="0"/>
                <w:szCs w:val="21"/>
              </w:rPr>
            </w:pPr>
          </w:p>
        </w:tc>
        <w:tc>
          <w:tcPr>
            <w:tcW w:w="7391"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spacing w:line="240" w:lineRule="auto"/>
              <w:rPr>
                <w:rFonts w:hint="eastAsia" w:ascii="仿宋" w:hAnsi="仿宋" w:eastAsia="仿宋" w:cs="仿宋"/>
                <w:color w:val="000000"/>
                <w:kern w:val="0"/>
                <w:szCs w:val="21"/>
              </w:rPr>
            </w:pPr>
            <w:r>
              <w:rPr>
                <w:rFonts w:hint="eastAsia" w:ascii="仿宋" w:hAnsi="仿宋" w:eastAsia="仿宋" w:cs="仿宋"/>
                <w:color w:val="000000"/>
                <w:kern w:val="0"/>
                <w:szCs w:val="21"/>
              </w:rPr>
              <w:t>支持数据库同步过程中设置定时同步时间；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Merge w:val="restar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spacing w:line="240" w:lineRule="auto"/>
              <w:rPr>
                <w:rFonts w:hint="eastAsia" w:ascii="仿宋" w:hAnsi="仿宋" w:eastAsia="仿宋" w:cs="仿宋"/>
                <w:b/>
                <w:bCs/>
                <w:color w:val="000000"/>
                <w:kern w:val="0"/>
                <w:szCs w:val="21"/>
              </w:rPr>
            </w:pPr>
            <w:r>
              <w:rPr>
                <w:rFonts w:hint="eastAsia" w:ascii="仿宋" w:hAnsi="仿宋" w:eastAsia="仿宋" w:cs="仿宋"/>
                <w:b/>
                <w:bCs/>
                <w:color w:val="000000"/>
                <w:kern w:val="0"/>
                <w:szCs w:val="21"/>
              </w:rPr>
              <w:t>运行监控工具</w:t>
            </w:r>
          </w:p>
        </w:tc>
        <w:tc>
          <w:tcPr>
            <w:tcW w:w="7391"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spacing w:line="240" w:lineRule="auto"/>
              <w:rPr>
                <w:rFonts w:hint="eastAsia" w:ascii="仿宋" w:hAnsi="仿宋" w:eastAsia="仿宋" w:cs="仿宋"/>
                <w:color w:val="000000"/>
                <w:kern w:val="0"/>
                <w:szCs w:val="21"/>
              </w:rPr>
            </w:pPr>
            <w:r>
              <w:rPr>
                <w:rFonts w:hint="eastAsia" w:ascii="仿宋" w:hAnsi="仿宋" w:eastAsia="仿宋" w:cs="仿宋"/>
                <w:color w:val="000000"/>
                <w:kern w:val="0"/>
                <w:szCs w:val="21"/>
              </w:rPr>
              <w:t>为及时了解知悉医院数据库运行状态和健康程度，要求提供数据库运行监控功能，运行监控内容至少包括：</w:t>
            </w:r>
          </w:p>
          <w:p>
            <w:pPr>
              <w:spacing w:line="240" w:lineRule="auto"/>
              <w:rPr>
                <w:rFonts w:hint="eastAsia" w:ascii="仿宋" w:hAnsi="仿宋" w:eastAsia="仿宋" w:cs="仿宋"/>
                <w:color w:val="000000"/>
                <w:kern w:val="0"/>
                <w:szCs w:val="21"/>
              </w:rPr>
            </w:pPr>
            <w:r>
              <w:rPr>
                <w:rFonts w:hint="eastAsia" w:ascii="仿宋" w:hAnsi="仿宋" w:eastAsia="仿宋" w:cs="仿宋"/>
                <w:color w:val="000000"/>
                <w:kern w:val="0"/>
                <w:szCs w:val="21"/>
              </w:rPr>
              <w:t>1.数据库连接、监听、实例状态，数据库启停状态。</w:t>
            </w:r>
          </w:p>
          <w:p>
            <w:pPr>
              <w:spacing w:line="240" w:lineRule="auto"/>
              <w:rPr>
                <w:rFonts w:hint="eastAsia" w:ascii="仿宋" w:hAnsi="仿宋" w:eastAsia="仿宋" w:cs="仿宋"/>
                <w:color w:val="000000"/>
                <w:kern w:val="0"/>
                <w:szCs w:val="21"/>
              </w:rPr>
            </w:pPr>
            <w:r>
              <w:rPr>
                <w:rFonts w:hint="eastAsia" w:ascii="仿宋" w:hAnsi="仿宋" w:eastAsia="仿宋" w:cs="仿宋"/>
                <w:color w:val="000000"/>
                <w:kern w:val="0"/>
                <w:szCs w:val="21"/>
              </w:rPr>
              <w:t>2.表空间、ASM磁盘组、归档日志、闪回空间、数据文件、文件系统状态和变化。</w:t>
            </w:r>
          </w:p>
          <w:p>
            <w:pPr>
              <w:spacing w:line="240" w:lineRule="auto"/>
              <w:rPr>
                <w:rFonts w:hint="eastAsia" w:ascii="仿宋" w:hAnsi="仿宋" w:eastAsia="仿宋" w:cs="仿宋"/>
                <w:color w:val="000000"/>
                <w:kern w:val="0"/>
                <w:szCs w:val="21"/>
              </w:rPr>
            </w:pPr>
            <w:r>
              <w:rPr>
                <w:rFonts w:hint="eastAsia" w:ascii="仿宋" w:hAnsi="仿宋" w:eastAsia="仿宋" w:cs="仿宋"/>
                <w:color w:val="000000"/>
                <w:kern w:val="0"/>
                <w:szCs w:val="21"/>
              </w:rPr>
              <w:t>3.Oracle RAC/DG/OGG、SQL Server Always on、MySQL Cluster/主从/主主等集群和容灾状态。</w:t>
            </w:r>
          </w:p>
          <w:p>
            <w:pPr>
              <w:spacing w:line="240" w:lineRule="auto"/>
              <w:rPr>
                <w:rFonts w:hint="eastAsia" w:ascii="仿宋" w:hAnsi="仿宋" w:eastAsia="仿宋" w:cs="仿宋"/>
                <w:color w:val="000000"/>
                <w:kern w:val="0"/>
                <w:szCs w:val="21"/>
              </w:rPr>
            </w:pPr>
            <w:r>
              <w:rPr>
                <w:rFonts w:hint="eastAsia" w:ascii="仿宋" w:hAnsi="仿宋" w:eastAsia="仿宋" w:cs="仿宋"/>
                <w:color w:val="000000"/>
                <w:kern w:val="0"/>
                <w:szCs w:val="21"/>
              </w:rPr>
              <w:t>4.长事务、大事务运行状态。</w:t>
            </w:r>
          </w:p>
          <w:p>
            <w:pPr>
              <w:spacing w:line="240" w:lineRule="auto"/>
              <w:rPr>
                <w:rFonts w:hint="eastAsia" w:ascii="仿宋" w:hAnsi="仿宋" w:eastAsia="仿宋" w:cs="仿宋"/>
                <w:color w:val="000000"/>
                <w:kern w:val="0"/>
                <w:szCs w:val="21"/>
              </w:rPr>
            </w:pPr>
            <w:r>
              <w:rPr>
                <w:rFonts w:hint="eastAsia" w:ascii="仿宋" w:hAnsi="仿宋" w:eastAsia="仿宋" w:cs="仿宋"/>
                <w:color w:val="000000"/>
                <w:kern w:val="0"/>
                <w:szCs w:val="21"/>
              </w:rPr>
              <w:t>5.数据库登录、数据库连接、SQL解析、SQL执行、SQL提交状态。</w:t>
            </w:r>
          </w:p>
          <w:p>
            <w:pPr>
              <w:spacing w:line="240" w:lineRule="auto"/>
              <w:rPr>
                <w:rFonts w:hint="eastAsia" w:ascii="仿宋" w:hAnsi="仿宋" w:eastAsia="仿宋" w:cs="仿宋"/>
                <w:color w:val="000000"/>
                <w:kern w:val="0"/>
                <w:szCs w:val="21"/>
              </w:rPr>
            </w:pPr>
            <w:r>
              <w:rPr>
                <w:rFonts w:hint="eastAsia" w:ascii="仿宋" w:hAnsi="仿宋" w:eastAsia="仿宋" w:cs="仿宋"/>
                <w:color w:val="000000"/>
                <w:kern w:val="0"/>
                <w:szCs w:val="21"/>
              </w:rPr>
              <w:t>6.Processes、Sessions、DB files、Jobs等数据库资源使用状态。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spacing w:line="240" w:lineRule="auto"/>
              <w:jc w:val="center"/>
              <w:rPr>
                <w:rFonts w:hint="eastAsia" w:ascii="仿宋" w:hAnsi="仿宋" w:eastAsia="仿宋" w:cs="仿宋"/>
                <w:b/>
                <w:bCs/>
                <w:color w:val="000000"/>
                <w:kern w:val="0"/>
                <w:szCs w:val="21"/>
              </w:rPr>
            </w:pPr>
          </w:p>
        </w:tc>
        <w:tc>
          <w:tcPr>
            <w:tcW w:w="7391"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spacing w:line="240" w:lineRule="auto"/>
              <w:rPr>
                <w:rFonts w:hint="eastAsia" w:ascii="仿宋" w:hAnsi="仿宋" w:eastAsia="仿宋" w:cs="仿宋"/>
                <w:color w:val="000000"/>
                <w:kern w:val="0"/>
                <w:szCs w:val="21"/>
              </w:rPr>
            </w:pPr>
            <w:r>
              <w:rPr>
                <w:rFonts w:hint="eastAsia" w:ascii="仿宋" w:hAnsi="仿宋" w:eastAsia="仿宋" w:cs="仿宋"/>
                <w:color w:val="000000"/>
                <w:kern w:val="0"/>
                <w:szCs w:val="21"/>
              </w:rPr>
              <w:t>全面深度巡检，至少包含以下内容：</w:t>
            </w:r>
          </w:p>
          <w:p>
            <w:pPr>
              <w:spacing w:line="240" w:lineRule="auto"/>
              <w:rPr>
                <w:rFonts w:hint="eastAsia" w:ascii="仿宋" w:hAnsi="仿宋" w:eastAsia="仿宋" w:cs="仿宋"/>
                <w:color w:val="000000"/>
                <w:kern w:val="0"/>
                <w:szCs w:val="21"/>
              </w:rPr>
            </w:pPr>
            <w:r>
              <w:rPr>
                <w:rFonts w:hint="eastAsia" w:ascii="仿宋" w:hAnsi="仿宋" w:eastAsia="仿宋" w:cs="仿宋"/>
                <w:color w:val="000000"/>
                <w:kern w:val="0"/>
                <w:szCs w:val="21"/>
              </w:rPr>
              <w:t>1.支持自动和手动两种方式实深度巡检，支持批量巡检。</w:t>
            </w:r>
          </w:p>
          <w:p>
            <w:pPr>
              <w:spacing w:line="240" w:lineRule="auto"/>
              <w:rPr>
                <w:rFonts w:hint="eastAsia" w:ascii="仿宋" w:hAnsi="仿宋" w:eastAsia="仿宋" w:cs="仿宋"/>
                <w:color w:val="000000"/>
                <w:kern w:val="0"/>
                <w:szCs w:val="21"/>
              </w:rPr>
            </w:pPr>
            <w:r>
              <w:rPr>
                <w:rFonts w:hint="eastAsia" w:ascii="仿宋" w:hAnsi="仿宋" w:eastAsia="仿宋" w:cs="仿宋"/>
                <w:color w:val="000000"/>
                <w:kern w:val="0"/>
                <w:szCs w:val="21"/>
              </w:rPr>
              <w:t>2.从数据库可用性、空间管理、安全性、可靠性、性能、错误、主机资源、数据库资源、数据库软件、数据库参数、系统参数等维度，完成对数据库资产的全面深度检查。</w:t>
            </w:r>
          </w:p>
          <w:p>
            <w:pPr>
              <w:spacing w:line="240" w:lineRule="auto"/>
              <w:rPr>
                <w:rFonts w:hint="eastAsia" w:ascii="仿宋" w:hAnsi="仿宋" w:eastAsia="仿宋" w:cs="仿宋"/>
                <w:color w:val="000000"/>
                <w:kern w:val="0"/>
                <w:szCs w:val="21"/>
              </w:rPr>
            </w:pPr>
            <w:r>
              <w:rPr>
                <w:rFonts w:hint="eastAsia" w:ascii="仿宋" w:hAnsi="仿宋" w:eastAsia="仿宋" w:cs="仿宋"/>
                <w:color w:val="000000"/>
                <w:kern w:val="0"/>
                <w:szCs w:val="21"/>
              </w:rPr>
              <w:t>3.巡检结果提供异常告警项汇总页，可查看近期巡检的异常告警项数量分布图，并支持查看当前巡检的异常告警项具体内容。</w:t>
            </w:r>
          </w:p>
          <w:p>
            <w:pPr>
              <w:spacing w:line="240" w:lineRule="auto"/>
              <w:rPr>
                <w:rFonts w:hint="eastAsia" w:ascii="仿宋" w:hAnsi="仿宋" w:eastAsia="仿宋" w:cs="仿宋"/>
                <w:color w:val="000000"/>
                <w:kern w:val="0"/>
                <w:szCs w:val="21"/>
              </w:rPr>
            </w:pPr>
            <w:r>
              <w:rPr>
                <w:rFonts w:hint="eastAsia" w:ascii="仿宋" w:hAnsi="仿宋" w:eastAsia="仿宋" w:cs="仿宋"/>
                <w:color w:val="000000"/>
                <w:kern w:val="0"/>
                <w:szCs w:val="21"/>
              </w:rPr>
              <w:t>4.可通过巡检报告对数据库可能存在的故障和问题进行快速定位，对每个异常指标提供专业解读和建议。</w:t>
            </w:r>
          </w:p>
          <w:p>
            <w:pPr>
              <w:spacing w:line="240" w:lineRule="auto"/>
              <w:rPr>
                <w:rFonts w:hint="eastAsia" w:ascii="仿宋" w:hAnsi="仿宋" w:eastAsia="仿宋" w:cs="仿宋"/>
                <w:strike/>
                <w:color w:val="FF0000"/>
                <w:kern w:val="0"/>
                <w:szCs w:val="21"/>
              </w:rPr>
            </w:pPr>
            <w:r>
              <w:rPr>
                <w:rFonts w:hint="eastAsia" w:ascii="仿宋" w:hAnsi="仿宋" w:eastAsia="仿宋" w:cs="仿宋"/>
                <w:color w:val="000000"/>
                <w:kern w:val="0"/>
                <w:szCs w:val="21"/>
              </w:rPr>
              <w:t>5.支持WORD和PDF文档两种方式下载巡检报告。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spacing w:line="240" w:lineRule="auto"/>
              <w:jc w:val="center"/>
              <w:rPr>
                <w:rFonts w:hint="eastAsia" w:ascii="仿宋" w:hAnsi="仿宋" w:eastAsia="仿宋" w:cs="仿宋"/>
                <w:b/>
                <w:bCs/>
                <w:color w:val="000000"/>
                <w:kern w:val="0"/>
                <w:szCs w:val="21"/>
              </w:rPr>
            </w:pPr>
          </w:p>
        </w:tc>
        <w:tc>
          <w:tcPr>
            <w:tcW w:w="7391"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spacing w:line="240" w:lineRule="auto"/>
              <w:rPr>
                <w:rFonts w:hint="eastAsia" w:ascii="仿宋" w:hAnsi="仿宋" w:eastAsia="仿宋" w:cs="仿宋"/>
                <w:color w:val="000000"/>
                <w:kern w:val="0"/>
                <w:szCs w:val="21"/>
              </w:rPr>
            </w:pPr>
            <w:r>
              <w:rPr>
                <w:rFonts w:hint="eastAsia" w:ascii="仿宋" w:hAnsi="仿宋" w:eastAsia="仿宋" w:cs="仿宋"/>
                <w:color w:val="000000"/>
                <w:kern w:val="0"/>
                <w:szCs w:val="21"/>
              </w:rPr>
              <w:t>1.</w:t>
            </w:r>
            <w:r>
              <w:rPr>
                <w:rFonts w:hint="eastAsia" w:ascii="仿宋" w:hAnsi="仿宋" w:eastAsia="仿宋" w:cs="仿宋"/>
                <w:b/>
                <w:bCs/>
                <w:color w:val="000000"/>
                <w:szCs w:val="21"/>
              </w:rPr>
              <w:t>▲</w:t>
            </w:r>
            <w:r>
              <w:rPr>
                <w:rFonts w:hint="eastAsia" w:ascii="仿宋" w:hAnsi="仿宋" w:eastAsia="仿宋" w:cs="仿宋"/>
                <w:color w:val="000000"/>
                <w:kern w:val="0"/>
                <w:szCs w:val="21"/>
              </w:rPr>
              <w:t>应用上线后，可自动获取指定时间窗口的Top SQL，并对SQL语句提供在线诊断，输出诊断报告，诊断报告内容至少包括：SQL ID、SQL文本、SQL执行计划和SQL优化建议。（</w:t>
            </w:r>
            <w:r>
              <w:rPr>
                <w:rFonts w:hint="eastAsia" w:ascii="仿宋" w:hAnsi="仿宋" w:eastAsia="仿宋" w:cs="仿宋"/>
                <w:b/>
                <w:bCs/>
                <w:color w:val="000000"/>
                <w:kern w:val="0"/>
                <w:szCs w:val="21"/>
              </w:rPr>
              <w:t>投标时提供SQL诊断报告功能截图</w:t>
            </w:r>
            <w:r>
              <w:rPr>
                <w:rFonts w:hint="eastAsia" w:ascii="仿宋" w:hAnsi="仿宋" w:eastAsia="仿宋" w:cs="仿宋"/>
                <w:color w:val="000000"/>
                <w:kern w:val="0"/>
                <w:szCs w:val="21"/>
              </w:rPr>
              <w:t>）</w:t>
            </w:r>
            <w:r>
              <w:rPr>
                <w:rFonts w:hint="eastAsia" w:ascii="仿宋" w:hAnsi="仿宋" w:eastAsia="仿宋" w:cs="仿宋"/>
                <w:b/>
                <w:bCs/>
                <w:color w:val="000000"/>
                <w:kern w:val="0"/>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5" w:hRule="atLeast"/>
        </w:trPr>
        <w:tc>
          <w:tcPr>
            <w:tcW w:w="1309" w:type="dxa"/>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spacing w:line="240" w:lineRule="auto"/>
              <w:jc w:val="center"/>
              <w:rPr>
                <w:rFonts w:hint="eastAsia" w:ascii="仿宋" w:hAnsi="仿宋" w:eastAsia="仿宋" w:cs="仿宋"/>
                <w:b/>
                <w:bCs/>
                <w:color w:val="000000"/>
                <w:kern w:val="0"/>
                <w:szCs w:val="21"/>
              </w:rPr>
            </w:pPr>
          </w:p>
        </w:tc>
        <w:tc>
          <w:tcPr>
            <w:tcW w:w="7391"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pStyle w:val="168"/>
              <w:spacing w:before="0" w:beforeAutospacing="0" w:after="0" w:afterAutospacing="0" w:line="240" w:lineRule="auto"/>
              <w:rPr>
                <w:rFonts w:hint="eastAsia" w:ascii="仿宋" w:hAnsi="仿宋" w:eastAsia="仿宋" w:cs="仿宋"/>
                <w:color w:val="000000"/>
                <w:sz w:val="21"/>
                <w:szCs w:val="21"/>
              </w:rPr>
            </w:pPr>
            <w:r>
              <w:rPr>
                <w:rFonts w:hint="eastAsia" w:ascii="仿宋" w:hAnsi="仿宋" w:eastAsia="仿宋" w:cs="仿宋"/>
                <w:color w:val="000000"/>
                <w:sz w:val="21"/>
                <w:szCs w:val="21"/>
              </w:rPr>
              <w:t>提供自动锁处理工具：</w:t>
            </w:r>
          </w:p>
          <w:p>
            <w:pPr>
              <w:spacing w:line="240" w:lineRule="auto"/>
              <w:rPr>
                <w:rFonts w:hint="eastAsia" w:ascii="仿宋" w:hAnsi="仿宋" w:eastAsia="仿宋" w:cs="仿宋"/>
                <w:color w:val="000000"/>
                <w:kern w:val="0"/>
                <w:szCs w:val="21"/>
              </w:rPr>
            </w:pPr>
            <w:r>
              <w:rPr>
                <w:rFonts w:hint="eastAsia" w:ascii="仿宋" w:hAnsi="仿宋" w:eastAsia="仿宋" w:cs="仿宋"/>
                <w:color w:val="000000"/>
                <w:kern w:val="0"/>
                <w:szCs w:val="21"/>
              </w:rPr>
              <w:t>1.支持自动定位锁源及被锁源阻塞的会话，支持SQL锁源现场保留，支持一键杀锁操作。</w:t>
            </w:r>
          </w:p>
          <w:p>
            <w:pPr>
              <w:spacing w:line="240" w:lineRule="auto"/>
              <w:rPr>
                <w:rFonts w:hint="eastAsia" w:ascii="仿宋" w:hAnsi="仿宋" w:eastAsia="仿宋" w:cs="仿宋"/>
                <w:color w:val="000000"/>
                <w:kern w:val="0"/>
                <w:szCs w:val="21"/>
              </w:rPr>
            </w:pPr>
            <w:r>
              <w:rPr>
                <w:rFonts w:hint="eastAsia" w:ascii="仿宋" w:hAnsi="仿宋" w:eastAsia="仿宋" w:cs="仿宋"/>
                <w:color w:val="000000"/>
                <w:kern w:val="0"/>
                <w:szCs w:val="21"/>
              </w:rPr>
              <w:t>2.</w:t>
            </w:r>
            <w:r>
              <w:rPr>
                <w:rFonts w:hint="eastAsia" w:ascii="仿宋" w:hAnsi="仿宋" w:eastAsia="仿宋" w:cs="仿宋"/>
                <w:b/>
                <w:bCs/>
                <w:color w:val="000000"/>
                <w:szCs w:val="21"/>
              </w:rPr>
              <w:t xml:space="preserve"> ★</w:t>
            </w:r>
            <w:r>
              <w:rPr>
                <w:rFonts w:hint="eastAsia" w:ascii="仿宋" w:hAnsi="仿宋" w:eastAsia="仿宋" w:cs="仿宋"/>
                <w:color w:val="000000"/>
                <w:kern w:val="0"/>
                <w:szCs w:val="21"/>
              </w:rPr>
              <w:t>提供DB-LINK分析工具：自动检测资产DB-LINK关系，提供拓扑图和表格形式展示。（</w:t>
            </w:r>
            <w:r>
              <w:rPr>
                <w:rFonts w:hint="eastAsia" w:ascii="仿宋" w:hAnsi="仿宋" w:eastAsia="仿宋" w:cs="仿宋"/>
                <w:b/>
                <w:bCs/>
                <w:color w:val="000000"/>
                <w:kern w:val="0"/>
                <w:szCs w:val="21"/>
              </w:rPr>
              <w:t>投标时提供DB-link拓扑功能截图</w:t>
            </w:r>
            <w:r>
              <w:rPr>
                <w:rFonts w:hint="eastAsia" w:ascii="仿宋" w:hAnsi="仿宋" w:eastAsia="仿宋" w:cs="仿宋"/>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Merge w:val="restar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spacing w:line="240" w:lineRule="auto"/>
              <w:jc w:val="center"/>
              <w:rPr>
                <w:rFonts w:hint="eastAsia" w:ascii="仿宋" w:hAnsi="仿宋" w:eastAsia="仿宋" w:cs="仿宋"/>
                <w:b/>
                <w:bCs/>
                <w:color w:val="000000"/>
                <w:kern w:val="0"/>
                <w:szCs w:val="21"/>
              </w:rPr>
            </w:pPr>
            <w:r>
              <w:rPr>
                <w:rFonts w:hint="eastAsia" w:ascii="仿宋" w:hAnsi="仿宋" w:eastAsia="仿宋" w:cs="仿宋"/>
                <w:b/>
                <w:bCs/>
                <w:color w:val="000000"/>
                <w:kern w:val="0"/>
                <w:szCs w:val="21"/>
              </w:rPr>
              <w:t>安全与升级拓展</w:t>
            </w:r>
          </w:p>
        </w:tc>
        <w:tc>
          <w:tcPr>
            <w:tcW w:w="7391"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spacing w:line="240" w:lineRule="auto"/>
              <w:rPr>
                <w:rFonts w:hint="eastAsia" w:ascii="仿宋" w:hAnsi="仿宋" w:eastAsia="仿宋" w:cs="仿宋"/>
                <w:color w:val="000000"/>
                <w:kern w:val="0"/>
                <w:szCs w:val="21"/>
                <w:lang w:val="zh-CN"/>
              </w:rPr>
            </w:pPr>
            <w:r>
              <w:rPr>
                <w:rFonts w:hint="eastAsia" w:ascii="仿宋" w:hAnsi="仿宋" w:eastAsia="仿宋" w:cs="仿宋"/>
                <w:color w:val="000000"/>
                <w:kern w:val="0"/>
                <w:szCs w:val="21"/>
              </w:rPr>
              <w:t>要求容灾软件及其所属服务器自身不得存储任何生产业务相关数据。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spacing w:line="240" w:lineRule="auto"/>
              <w:jc w:val="center"/>
              <w:rPr>
                <w:rFonts w:hint="eastAsia" w:ascii="仿宋" w:hAnsi="仿宋" w:eastAsia="仿宋" w:cs="仿宋"/>
                <w:b/>
                <w:bCs/>
                <w:color w:val="000000"/>
                <w:kern w:val="0"/>
                <w:szCs w:val="21"/>
              </w:rPr>
            </w:pPr>
          </w:p>
        </w:tc>
        <w:tc>
          <w:tcPr>
            <w:tcW w:w="7391"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spacing w:line="240" w:lineRule="auto"/>
              <w:rPr>
                <w:rFonts w:hint="eastAsia" w:ascii="仿宋" w:hAnsi="仿宋" w:eastAsia="仿宋" w:cs="仿宋"/>
                <w:color w:val="000000"/>
                <w:kern w:val="0"/>
                <w:szCs w:val="21"/>
              </w:rPr>
            </w:pPr>
            <w:r>
              <w:rPr>
                <w:rFonts w:hint="eastAsia" w:ascii="仿宋" w:hAnsi="仿宋" w:eastAsia="仿宋" w:cs="仿宋"/>
                <w:color w:val="000000"/>
                <w:kern w:val="0"/>
                <w:szCs w:val="21"/>
              </w:rPr>
              <w:t>对容灾平台进行软件升级安装时，无需停止容灾平台，不中断容灾业务系统的运行。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spacing w:line="240" w:lineRule="auto"/>
              <w:jc w:val="center"/>
              <w:rPr>
                <w:rFonts w:hint="eastAsia" w:ascii="仿宋" w:hAnsi="仿宋" w:eastAsia="仿宋" w:cs="仿宋"/>
                <w:b/>
                <w:bCs/>
                <w:color w:val="000000"/>
                <w:kern w:val="0"/>
                <w:szCs w:val="21"/>
              </w:rPr>
            </w:pPr>
          </w:p>
        </w:tc>
        <w:tc>
          <w:tcPr>
            <w:tcW w:w="7391"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spacing w:line="240" w:lineRule="auto"/>
              <w:rPr>
                <w:rFonts w:hint="eastAsia" w:ascii="仿宋" w:hAnsi="仿宋" w:eastAsia="仿宋" w:cs="仿宋"/>
                <w:color w:val="000000"/>
                <w:kern w:val="0"/>
                <w:szCs w:val="21"/>
              </w:rPr>
            </w:pPr>
            <w:r>
              <w:rPr>
                <w:rFonts w:hint="eastAsia" w:ascii="仿宋" w:hAnsi="仿宋" w:eastAsia="仿宋" w:cs="仿宋"/>
                <w:color w:val="000000"/>
                <w:kern w:val="0"/>
                <w:szCs w:val="21"/>
              </w:rPr>
              <w:t>要求容灾软件提供API接口,具备二次开发能力，支持定制部分容灾平台功能。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spacing w:line="240" w:lineRule="auto"/>
              <w:jc w:val="center"/>
              <w:rPr>
                <w:rFonts w:hint="eastAsia" w:ascii="仿宋" w:hAnsi="仿宋" w:eastAsia="仿宋" w:cs="仿宋"/>
                <w:b/>
                <w:bCs/>
                <w:color w:val="000000"/>
                <w:kern w:val="0"/>
                <w:szCs w:val="21"/>
              </w:rPr>
            </w:pPr>
            <w:r>
              <w:rPr>
                <w:rFonts w:hint="eastAsia" w:ascii="仿宋" w:hAnsi="仿宋" w:eastAsia="仿宋" w:cs="仿宋"/>
                <w:b/>
                <w:bCs/>
                <w:color w:val="000000"/>
                <w:kern w:val="0"/>
                <w:szCs w:val="21"/>
              </w:rPr>
              <w:t>功能验证</w:t>
            </w:r>
          </w:p>
        </w:tc>
        <w:tc>
          <w:tcPr>
            <w:tcW w:w="7391"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spacing w:line="240" w:lineRule="auto"/>
              <w:rPr>
                <w:rFonts w:hint="eastAsia" w:ascii="仿宋" w:hAnsi="仿宋" w:eastAsia="仿宋" w:cs="仿宋"/>
                <w:color w:val="000000"/>
                <w:kern w:val="0"/>
                <w:szCs w:val="21"/>
              </w:rPr>
            </w:pPr>
            <w:r>
              <w:rPr>
                <w:rFonts w:hint="eastAsia" w:ascii="仿宋" w:hAnsi="仿宋" w:eastAsia="仿宋" w:cs="仿宋"/>
                <w:color w:val="000000"/>
                <w:kern w:val="0"/>
                <w:szCs w:val="21"/>
              </w:rPr>
              <w:t>中标后，招标人有权要求中标方提供产品进行相关功能验证，如存在虚假应标行为，将废除中标资格，并依法追究相关法律责任。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tcBorders>
              <w:left w:val="single" w:color="000000" w:sz="8" w:space="0"/>
              <w:bottom w:val="single" w:color="000000" w:sz="8" w:space="0"/>
              <w:right w:val="single" w:color="000000" w:sz="8" w:space="0"/>
            </w:tcBorders>
            <w:shd w:val="clear" w:color="auto" w:fill="FFFFFF"/>
            <w:noWrap w:val="0"/>
            <w:vAlign w:val="center"/>
          </w:tcPr>
          <w:p>
            <w:pPr>
              <w:spacing w:line="240" w:lineRule="auto"/>
              <w:jc w:val="center"/>
              <w:rPr>
                <w:rFonts w:hint="eastAsia" w:ascii="仿宋" w:hAnsi="仿宋" w:eastAsia="仿宋" w:cs="仿宋"/>
                <w:b/>
                <w:bCs/>
                <w:color w:val="000000"/>
                <w:kern w:val="0"/>
                <w:szCs w:val="21"/>
              </w:rPr>
            </w:pPr>
            <w:r>
              <w:rPr>
                <w:rFonts w:hint="eastAsia" w:ascii="仿宋" w:hAnsi="仿宋" w:eastAsia="仿宋" w:cs="仿宋"/>
                <w:b/>
                <w:bCs/>
                <w:color w:val="000000"/>
                <w:kern w:val="0"/>
                <w:szCs w:val="21"/>
              </w:rPr>
              <w:t>付款方式</w:t>
            </w:r>
          </w:p>
        </w:tc>
        <w:tc>
          <w:tcPr>
            <w:tcW w:w="7391"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spacing w:line="240" w:lineRule="auto"/>
              <w:rPr>
                <w:rFonts w:hint="eastAsia" w:ascii="仿宋" w:hAnsi="仿宋" w:eastAsia="仿宋" w:cs="仿宋"/>
              </w:rPr>
            </w:pPr>
            <w:r>
              <w:rPr>
                <w:rFonts w:hint="eastAsia" w:ascii="仿宋" w:hAnsi="仿宋" w:eastAsia="仿宋" w:cs="仿宋"/>
                <w:szCs w:val="21"/>
              </w:rPr>
              <w:t>抗疫期间，按浙财采监〔2020〕3号和浙财采监〔2022〕3号文件要求执行，具体付款方式由双方协商后在合同中明确。</w:t>
            </w:r>
          </w:p>
        </w:tc>
      </w:tr>
    </w:tbl>
    <w:p>
      <w:pPr>
        <w:spacing w:line="360" w:lineRule="auto"/>
        <w:rPr>
          <w:rFonts w:hint="eastAsia" w:ascii="仿宋" w:hAnsi="仿宋" w:eastAsia="仿宋" w:cs="仿宋"/>
          <w:b/>
          <w:bCs/>
          <w:szCs w:val="21"/>
        </w:rPr>
      </w:pPr>
      <w:r>
        <w:rPr>
          <w:rFonts w:hint="eastAsia" w:ascii="仿宋" w:hAnsi="仿宋" w:eastAsia="仿宋" w:cs="仿宋"/>
          <w:b/>
          <w:bCs/>
          <w:szCs w:val="21"/>
          <w:lang w:val="en-US" w:eastAsia="zh-CN"/>
        </w:rPr>
        <w:t>2.</w:t>
      </w:r>
      <w:r>
        <w:rPr>
          <w:rFonts w:hint="eastAsia" w:ascii="仿宋" w:hAnsi="仿宋" w:eastAsia="仿宋" w:cs="仿宋"/>
          <w:b/>
          <w:bCs/>
          <w:szCs w:val="21"/>
        </w:rPr>
        <w:t>其他要求：</w:t>
      </w:r>
    </w:p>
    <w:p>
      <w:pPr>
        <w:spacing w:line="360" w:lineRule="auto"/>
        <w:ind w:firstLine="420" w:firstLineChars="200"/>
        <w:rPr>
          <w:rFonts w:hint="eastAsia" w:ascii="仿宋" w:hAnsi="仿宋" w:eastAsia="仿宋" w:cs="仿宋"/>
          <w:szCs w:val="21"/>
        </w:rPr>
      </w:pPr>
      <w:r>
        <w:rPr>
          <w:rFonts w:hint="eastAsia" w:ascii="仿宋" w:hAnsi="仿宋" w:eastAsia="仿宋" w:cs="仿宋"/>
          <w:szCs w:val="21"/>
          <w:lang w:eastAsia="en-US"/>
        </w:rPr>
        <w:t xml:space="preserve"> </w:t>
      </w:r>
      <w:r>
        <w:rPr>
          <w:rFonts w:hint="eastAsia" w:ascii="仿宋" w:hAnsi="仿宋" w:eastAsia="仿宋" w:cs="仿宋"/>
          <w:szCs w:val="21"/>
        </w:rPr>
        <w:t>1、支持达到互联互通四级甲等及五级乙等信息建设要求，须每年提供相关操作文档包括开发文档及数据采集相关材料。</w:t>
      </w:r>
    </w:p>
    <w:p>
      <w:pPr>
        <w:spacing w:line="360" w:lineRule="auto"/>
        <w:ind w:firstLine="420" w:firstLineChars="200"/>
        <w:rPr>
          <w:rFonts w:hint="eastAsia" w:ascii="仿宋" w:hAnsi="仿宋" w:eastAsia="仿宋" w:cs="仿宋"/>
          <w:szCs w:val="21"/>
        </w:rPr>
      </w:pPr>
      <w:r>
        <w:rPr>
          <w:rFonts w:hint="eastAsia" w:ascii="仿宋" w:hAnsi="仿宋" w:eastAsia="仿宋" w:cs="仿宋"/>
          <w:szCs w:val="21"/>
        </w:rPr>
        <w:t>2、维保期内未涉及产品框架改造，中标方应按医院业务需求修改，不收取任何费用。</w:t>
      </w:r>
    </w:p>
    <w:p>
      <w:pPr>
        <w:spacing w:line="360" w:lineRule="auto"/>
        <w:ind w:firstLine="420" w:firstLineChars="200"/>
        <w:rPr>
          <w:rFonts w:hint="eastAsia" w:ascii="仿宋" w:hAnsi="仿宋" w:eastAsia="仿宋" w:cs="仿宋"/>
          <w:szCs w:val="21"/>
        </w:rPr>
      </w:pPr>
      <w:r>
        <w:rPr>
          <w:rFonts w:hint="eastAsia" w:ascii="仿宋" w:hAnsi="仿宋" w:eastAsia="仿宋" w:cs="仿宋"/>
          <w:szCs w:val="21"/>
        </w:rPr>
        <w:t>3、该系统免费开放接口供其它系统使用及认证。</w:t>
      </w:r>
    </w:p>
    <w:p>
      <w:pPr>
        <w:spacing w:line="360" w:lineRule="auto"/>
        <w:ind w:firstLine="420" w:firstLineChars="200"/>
        <w:rPr>
          <w:rFonts w:hint="eastAsia" w:ascii="仿宋" w:hAnsi="仿宋" w:eastAsia="仿宋" w:cs="仿宋"/>
          <w:szCs w:val="21"/>
        </w:rPr>
      </w:pPr>
      <w:r>
        <w:rPr>
          <w:rFonts w:hint="eastAsia" w:ascii="仿宋" w:hAnsi="仿宋" w:eastAsia="仿宋" w:cs="仿宋"/>
          <w:szCs w:val="21"/>
        </w:rPr>
        <w:t>4、系统应符合应用系统等保要求。</w:t>
      </w:r>
    </w:p>
    <w:p>
      <w:pPr>
        <w:spacing w:line="360" w:lineRule="auto"/>
        <w:ind w:firstLine="420" w:firstLineChars="200"/>
        <w:rPr>
          <w:rFonts w:hint="eastAsia" w:ascii="仿宋" w:hAnsi="仿宋" w:eastAsia="仿宋" w:cs="仿宋"/>
          <w:szCs w:val="21"/>
        </w:rPr>
      </w:pPr>
      <w:r>
        <w:rPr>
          <w:rFonts w:hint="eastAsia" w:ascii="仿宋" w:hAnsi="仿宋" w:eastAsia="仿宋" w:cs="仿宋"/>
          <w:szCs w:val="21"/>
        </w:rPr>
        <w:t>5、此项目实施过程中所产生的一切实施费用均由中标方承担。</w:t>
      </w:r>
    </w:p>
    <w:p>
      <w:pPr>
        <w:spacing w:line="360" w:lineRule="auto"/>
        <w:ind w:firstLine="420" w:firstLineChars="200"/>
        <w:rPr>
          <w:rFonts w:hint="eastAsia" w:ascii="仿宋" w:hAnsi="仿宋" w:eastAsia="仿宋" w:cs="仿宋"/>
          <w:szCs w:val="21"/>
        </w:rPr>
      </w:pPr>
      <w:r>
        <w:rPr>
          <w:rFonts w:hint="eastAsia" w:ascii="仿宋" w:hAnsi="仿宋" w:eastAsia="仿宋" w:cs="仿宋"/>
          <w:szCs w:val="21"/>
        </w:rPr>
        <w:t>6、针对与集成平台对接应承诺不收取任何费用。</w:t>
      </w:r>
    </w:p>
    <w:p>
      <w:pPr>
        <w:spacing w:line="360" w:lineRule="auto"/>
        <w:ind w:firstLine="420" w:firstLineChars="200"/>
        <w:rPr>
          <w:rFonts w:hint="eastAsia" w:ascii="仿宋" w:hAnsi="仿宋" w:eastAsia="仿宋" w:cs="仿宋"/>
          <w:szCs w:val="21"/>
        </w:rPr>
      </w:pPr>
      <w:r>
        <w:rPr>
          <w:rFonts w:hint="eastAsia" w:ascii="仿宋" w:hAnsi="仿宋" w:eastAsia="仿宋" w:cs="仿宋"/>
          <w:szCs w:val="21"/>
        </w:rPr>
        <w:t>7、中标方提供免费接口供其它系统使用及认证并承担与本软件相关的</w:t>
      </w:r>
      <w:r>
        <w:rPr>
          <w:rFonts w:hint="eastAsia" w:ascii="仿宋" w:hAnsi="仿宋" w:eastAsia="仿宋" w:cs="仿宋"/>
          <w:szCs w:val="21"/>
          <w:lang w:eastAsia="en-US"/>
        </w:rPr>
        <w:t>His</w:t>
      </w:r>
      <w:r>
        <w:rPr>
          <w:rFonts w:hint="eastAsia" w:ascii="仿宋" w:hAnsi="仿宋" w:eastAsia="仿宋" w:cs="仿宋"/>
          <w:szCs w:val="21"/>
        </w:rPr>
        <w:t>等相关医院信息系统接口费用。</w:t>
      </w:r>
    </w:p>
    <w:p>
      <w:pPr>
        <w:pStyle w:val="21"/>
        <w:pageBreakBefore/>
        <w:spacing w:line="800" w:lineRule="exact"/>
        <w:ind w:firstLine="726"/>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第四部分合同主要条款</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1.合同</w:t>
      </w:r>
      <w:bookmarkStart w:id="10" w:name="OLE_LINK1"/>
      <w:r>
        <w:rPr>
          <w:rFonts w:hint="eastAsia" w:ascii="仿宋" w:hAnsi="仿宋" w:eastAsia="仿宋" w:cs="仿宋"/>
          <w:b/>
          <w:color w:val="auto"/>
          <w:sz w:val="24"/>
          <w:highlight w:val="none"/>
        </w:rPr>
        <w:t>范围</w:t>
      </w:r>
      <w:bookmarkEnd w:id="10"/>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本合同条款适用与本次采购活动。项目实施范围详见附件——招标文件和投标文件及补充文件、采购设计图、承诺书等。</w:t>
      </w:r>
    </w:p>
    <w:p>
      <w:pPr>
        <w:pStyle w:val="55"/>
        <w:spacing w:line="440" w:lineRule="exac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2.合同的签订</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2.1中标人须在中标通知书发出30日内按招标文件和中标供应商投标文件的约定，凭中标通知书和采购人在约定的时间、地点，由法定代表人或其授权代表与采购人签订书面合同。</w:t>
      </w:r>
    </w:p>
    <w:p>
      <w:pPr>
        <w:pStyle w:val="12"/>
        <w:widowControl w:val="0"/>
        <w:tabs>
          <w:tab w:val="clear" w:pos="1697"/>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2.1.1交货地点：用户指定地点。</w:t>
      </w:r>
    </w:p>
    <w:p>
      <w:pPr>
        <w:pStyle w:val="12"/>
        <w:widowControl w:val="0"/>
        <w:tabs>
          <w:tab w:val="clear" w:pos="1697"/>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szCs w:val="24"/>
          <w:highlight w:val="none"/>
        </w:rPr>
        <w:t>2.1.2</w:t>
      </w:r>
      <w:r>
        <w:rPr>
          <w:rFonts w:hint="eastAsia" w:ascii="仿宋" w:hAnsi="仿宋" w:eastAsia="仿宋" w:cs="仿宋"/>
          <w:color w:val="auto"/>
          <w:highlight w:val="none"/>
        </w:rPr>
        <w:t>到货期：按标项内具体要求执行。</w:t>
      </w:r>
    </w:p>
    <w:p>
      <w:pPr>
        <w:pStyle w:val="12"/>
        <w:widowControl w:val="0"/>
        <w:tabs>
          <w:tab w:val="clear" w:pos="1697"/>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2.2交货方式：中标人负责运至现场安装调试，在整个设备安装调试验收合格前的所有设备材料的运输、保管、保险均由中标人负责。</w:t>
      </w:r>
    </w:p>
    <w:p>
      <w:pPr>
        <w:pStyle w:val="12"/>
        <w:widowControl w:val="0"/>
        <w:tabs>
          <w:tab w:val="clear" w:pos="1697"/>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b/>
          <w:color w:val="auto"/>
          <w:szCs w:val="24"/>
          <w:highlight w:val="none"/>
        </w:rPr>
        <w:t>3.付款方式：</w:t>
      </w:r>
      <w:r>
        <w:rPr>
          <w:rFonts w:hint="eastAsia" w:ascii="仿宋" w:hAnsi="仿宋" w:eastAsia="仿宋" w:cs="仿宋"/>
          <w:color w:val="auto"/>
          <w:highlight w:val="none"/>
        </w:rPr>
        <w:t>按标项内具体要求执行。</w:t>
      </w:r>
    </w:p>
    <w:p>
      <w:pPr>
        <w:tabs>
          <w:tab w:val="left" w:pos="7950"/>
        </w:tabs>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4.合同修改</w:t>
      </w:r>
    </w:p>
    <w:p>
      <w:pPr>
        <w:pStyle w:val="12"/>
        <w:widowControl w:val="0"/>
        <w:tabs>
          <w:tab w:val="clear" w:pos="1697"/>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4.1双方的任何一方对合同内容提出修改，均应以书面形式通知对方，并达成由双方签署的合同修改书，须报政府采购管理部门批准。</w:t>
      </w:r>
    </w:p>
    <w:p>
      <w:pPr>
        <w:pStyle w:val="12"/>
        <w:widowControl w:val="0"/>
        <w:tabs>
          <w:tab w:val="clear" w:pos="1697"/>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4.2除非招标人对产品的品牌、型号规格和涉及价格因素的技术参数提出修改，中标人不得对合同价格提出修改要求。</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 质量标准和验收</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5.1中标人提供的产品及服务必须是经合法途径取得的。</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5.2中标人应按现行的国家或行业技术及验收标准和招标文件的规定提供工程、货物或服务，因中标人提供的工程、货物或服务达不到约定的质量标准，中标人承担违约责任。</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5.3验收由使用单位按规定组织相关人员或专家进行。</w:t>
      </w:r>
    </w:p>
    <w:p>
      <w:pPr>
        <w:spacing w:line="440" w:lineRule="exact"/>
        <w:ind w:hanging="2"/>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5.4双方对工程、货物或服务的质量有争议的，由双方同意的专业检测机构鉴定，所需费及因此造成的损失由责任方承担，双方均有责任的，双方根据其责任分别承担。</w:t>
      </w:r>
    </w:p>
    <w:p>
      <w:pPr>
        <w:spacing w:line="440" w:lineRule="exact"/>
        <w:ind w:hanging="2"/>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6.违约责任</w:t>
      </w:r>
    </w:p>
    <w:p>
      <w:pPr>
        <w:pStyle w:val="19"/>
        <w:widowControl w:val="0"/>
        <w:tabs>
          <w:tab w:val="left" w:pos="1540"/>
          <w:tab w:val="clear" w:pos="482"/>
        </w:tabs>
        <w:spacing w:afterLines="0" w:line="440" w:lineRule="exact"/>
        <w:ind w:left="-2" w:leftChars="-1"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6.1提供的货物和服务质量必须达到合格，凡安装调试、设备试运转过程中发现的设备质量问题，中标人必须无偿返工直至符合质量要求，承担返工所发生的一切费用和招标人的直接经济损失。</w:t>
      </w:r>
    </w:p>
    <w:p>
      <w:pPr>
        <w:pStyle w:val="19"/>
        <w:widowControl w:val="0"/>
        <w:tabs>
          <w:tab w:val="left" w:pos="1540"/>
          <w:tab w:val="clear" w:pos="482"/>
        </w:tabs>
        <w:spacing w:afterLines="0" w:line="440" w:lineRule="exact"/>
        <w:ind w:left="-2" w:leftChars="-1"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6.2由于招标人保管不善或使用不当造成设备短缺、故障或损坏，中标人协助招标人及时给予补齐或修复。</w:t>
      </w:r>
    </w:p>
    <w:p>
      <w:pPr>
        <w:pStyle w:val="12"/>
        <w:widowControl w:val="0"/>
        <w:tabs>
          <w:tab w:val="left" w:pos="1560"/>
          <w:tab w:val="clear" w:pos="1697"/>
        </w:tabs>
        <w:spacing w:afterLines="0" w:line="440" w:lineRule="exact"/>
        <w:ind w:left="-2" w:leftChars="-1"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7．违约赔偿</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7.1除不可抗力外，如中标人发生不能按期完成供货任务，招标人发生中途变更等情况，应及时以书面形式通知对方。双方应本着友好的态度进行协商，妥善解决。如协商无效，按规定处以违约金。</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 xml:space="preserve">7.2 </w:t>
      </w:r>
      <w:r>
        <w:rPr>
          <w:rFonts w:hint="eastAsia" w:ascii="仿宋" w:hAnsi="仿宋" w:eastAsia="仿宋" w:cs="仿宋"/>
          <w:color w:val="auto"/>
          <w:sz w:val="24"/>
          <w:highlight w:val="none"/>
        </w:rPr>
        <w:t>中标人和采购人签订合同，按合同规定的供货时间供货并安装调试完毕。逾期每推迟一天，扣中标价0.1%的滞纳金给采购人。</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7.3招标人在规定时间无正当理由拒签合同者，以招标违约处理，并赔偿中标人由此造成的直接经济损失。</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8.不可抗力</w:t>
      </w:r>
    </w:p>
    <w:p>
      <w:pPr>
        <w:pStyle w:val="12"/>
        <w:widowControl w:val="0"/>
        <w:tabs>
          <w:tab w:val="clear" w:pos="1697"/>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8.1如果双方中任何一方由于战争、严重火灾、水灾、台风和地震以及其它经双方同意属于不可抗力的事故，致使合同履行受阻时，履行合同的期限应予延长，延长的期限应相当于事故所影响的时间。</w:t>
      </w:r>
    </w:p>
    <w:p>
      <w:pPr>
        <w:pStyle w:val="12"/>
        <w:widowControl w:val="0"/>
        <w:tabs>
          <w:tab w:val="clear" w:pos="1697"/>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8.2受事故影响的一方应在不可抗力的事故发生后尽快以电报或电传通知另一方，并在事故发生后14天内，将有关部门出具的证明文件用挂号信航寄给或送给另一方。如果不可抗力影响时间延续120天以上的，双方应通过友好协商在合理的时间内达成进一步履行合同的协议。</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9.解决合同纠纷的方式</w:t>
      </w:r>
    </w:p>
    <w:p>
      <w:pPr>
        <w:pStyle w:val="12"/>
        <w:widowControl w:val="0"/>
        <w:tabs>
          <w:tab w:val="clear" w:pos="1697"/>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9.1凡有关本合同或与本合同中发生的争端，双方应通过友好协商，妥善解决。如通过协商仍不能解决时，可向当地的仲裁机构申请仲裁或人民法院起诉。</w:t>
      </w:r>
    </w:p>
    <w:p>
      <w:pPr>
        <w:pStyle w:val="12"/>
        <w:widowControl w:val="0"/>
        <w:tabs>
          <w:tab w:val="clear" w:pos="1697"/>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9.2仲裁和诉讼费用除仲裁机构和人民法院另有裁决外，由败诉方承担。</w:t>
      </w:r>
    </w:p>
    <w:p>
      <w:pPr>
        <w:pStyle w:val="12"/>
        <w:widowControl w:val="0"/>
        <w:tabs>
          <w:tab w:val="clear" w:pos="1697"/>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9.3在仲裁和诉讼期间，除正在进行裁定的部分外，本合同其他部分应继续执行。</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9.4合同应在双方签字盖章后开始生效。</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（注：在正式签约时，根据上述精神应拟就更为详尽的合同书）</w:t>
      </w:r>
    </w:p>
    <w:p>
      <w:pPr>
        <w:pStyle w:val="21"/>
        <w:spacing w:line="800" w:lineRule="exact"/>
        <w:ind w:firstLine="723"/>
        <w:jc w:val="center"/>
        <w:rPr>
          <w:rFonts w:hint="eastAsia" w:ascii="仿宋" w:hAnsi="仿宋" w:eastAsia="仿宋" w:cs="仿宋"/>
          <w:b/>
          <w:color w:val="auto"/>
          <w:sz w:val="36"/>
          <w:szCs w:val="36"/>
          <w:highlight w:val="none"/>
        </w:rPr>
      </w:pPr>
    </w:p>
    <w:p>
      <w:pPr>
        <w:pStyle w:val="21"/>
        <w:spacing w:line="800" w:lineRule="exact"/>
        <w:ind w:firstLine="723"/>
        <w:jc w:val="center"/>
        <w:rPr>
          <w:rFonts w:hint="eastAsia" w:ascii="仿宋" w:hAnsi="仿宋" w:eastAsia="仿宋" w:cs="仿宋"/>
          <w:b/>
          <w:color w:val="auto"/>
          <w:sz w:val="36"/>
          <w:szCs w:val="36"/>
          <w:highlight w:val="none"/>
        </w:rPr>
      </w:pPr>
    </w:p>
    <w:p>
      <w:pPr>
        <w:pStyle w:val="21"/>
        <w:spacing w:line="800" w:lineRule="exact"/>
        <w:rPr>
          <w:rFonts w:hint="eastAsia" w:ascii="仿宋" w:hAnsi="仿宋" w:eastAsia="仿宋" w:cs="仿宋"/>
          <w:b/>
          <w:color w:val="auto"/>
          <w:sz w:val="36"/>
          <w:szCs w:val="36"/>
          <w:highlight w:val="none"/>
        </w:rPr>
      </w:pPr>
    </w:p>
    <w:p>
      <w:pP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br w:type="page"/>
      </w:r>
    </w:p>
    <w:p>
      <w:pPr>
        <w:pStyle w:val="21"/>
        <w:pageBreakBefore/>
        <w:spacing w:line="800" w:lineRule="exact"/>
        <w:ind w:firstLine="726"/>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第五部分评标方法及标准</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pPr>
        <w:spacing w:line="440" w:lineRule="exact"/>
        <w:ind w:firstLine="472" w:firstLineChars="196"/>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共100分，其中商务技术分70分，价格分30分。评分依下述所列为评标打分依据，分值如下（计算分值时，按其算术平均值保留小数2位）。</w:t>
      </w:r>
    </w:p>
    <w:p>
      <w:pPr>
        <w:rPr>
          <w:rFonts w:hint="eastAsia" w:ascii="仿宋" w:hAnsi="仿宋" w:eastAsia="仿宋" w:cs="仿宋"/>
          <w:b/>
          <w:bCs/>
          <w:color w:val="auto"/>
          <w:kern w:val="0"/>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color w:val="auto"/>
          <w:kern w:val="0"/>
          <w:sz w:val="24"/>
          <w:highlight w:val="none"/>
        </w:rPr>
        <w:t>：70分</w:t>
      </w:r>
    </w:p>
    <w:tbl>
      <w:tblPr>
        <w:tblStyle w:val="39"/>
        <w:tblW w:w="5160" w:type="pct"/>
        <w:tblInd w:w="-19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6"/>
        <w:gridCol w:w="1319"/>
        <w:gridCol w:w="6441"/>
        <w:gridCol w:w="7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398" w:type="pct"/>
            <w:noWrap w:val="0"/>
            <w:vAlign w:val="center"/>
          </w:tcPr>
          <w:p>
            <w:pPr>
              <w:widowControl/>
              <w:jc w:val="center"/>
              <w:rPr>
                <w:rFonts w:hint="eastAsia" w:ascii="仿宋" w:hAnsi="仿宋" w:eastAsia="仿宋" w:cs="仿宋"/>
                <w:bCs/>
                <w:kern w:val="0"/>
                <w:szCs w:val="21"/>
              </w:rPr>
            </w:pPr>
            <w:r>
              <w:rPr>
                <w:rFonts w:hint="eastAsia" w:ascii="仿宋" w:hAnsi="仿宋" w:eastAsia="仿宋" w:cs="仿宋"/>
                <w:bCs/>
                <w:kern w:val="0"/>
                <w:szCs w:val="21"/>
              </w:rPr>
              <w:t>序号</w:t>
            </w:r>
          </w:p>
        </w:tc>
        <w:tc>
          <w:tcPr>
            <w:tcW w:w="713" w:type="pct"/>
            <w:noWrap w:val="0"/>
            <w:vAlign w:val="center"/>
          </w:tcPr>
          <w:p>
            <w:pPr>
              <w:widowControl/>
              <w:jc w:val="center"/>
              <w:rPr>
                <w:rFonts w:hint="eastAsia" w:ascii="仿宋" w:hAnsi="仿宋" w:eastAsia="仿宋" w:cs="仿宋"/>
                <w:bCs/>
                <w:kern w:val="0"/>
                <w:szCs w:val="21"/>
              </w:rPr>
            </w:pPr>
            <w:r>
              <w:rPr>
                <w:rFonts w:hint="eastAsia" w:ascii="仿宋" w:hAnsi="仿宋" w:eastAsia="仿宋" w:cs="仿宋"/>
                <w:bCs/>
                <w:kern w:val="0"/>
                <w:szCs w:val="21"/>
              </w:rPr>
              <w:t>评分内容</w:t>
            </w:r>
          </w:p>
        </w:tc>
        <w:tc>
          <w:tcPr>
            <w:tcW w:w="3482" w:type="pct"/>
            <w:noWrap w:val="0"/>
            <w:vAlign w:val="center"/>
          </w:tcPr>
          <w:p>
            <w:pPr>
              <w:widowControl/>
              <w:jc w:val="center"/>
              <w:rPr>
                <w:rFonts w:hint="eastAsia" w:ascii="仿宋" w:hAnsi="仿宋" w:eastAsia="仿宋" w:cs="仿宋"/>
                <w:bCs/>
                <w:kern w:val="0"/>
                <w:szCs w:val="21"/>
              </w:rPr>
            </w:pPr>
            <w:r>
              <w:rPr>
                <w:rFonts w:hint="eastAsia" w:ascii="仿宋" w:hAnsi="仿宋" w:eastAsia="仿宋" w:cs="仿宋"/>
                <w:bCs/>
                <w:kern w:val="0"/>
                <w:szCs w:val="21"/>
              </w:rPr>
              <w:t>评审细则</w:t>
            </w:r>
          </w:p>
        </w:tc>
        <w:tc>
          <w:tcPr>
            <w:tcW w:w="405" w:type="pct"/>
            <w:noWrap w:val="0"/>
            <w:vAlign w:val="center"/>
          </w:tcPr>
          <w:p>
            <w:pPr>
              <w:widowControl/>
              <w:jc w:val="center"/>
              <w:rPr>
                <w:rFonts w:hint="eastAsia" w:ascii="仿宋" w:hAnsi="仿宋" w:eastAsia="仿宋" w:cs="仿宋"/>
                <w:bCs/>
                <w:kern w:val="0"/>
                <w:szCs w:val="21"/>
              </w:rPr>
            </w:pPr>
            <w:r>
              <w:rPr>
                <w:rFonts w:hint="eastAsia" w:ascii="仿宋" w:hAnsi="仿宋" w:eastAsia="仿宋" w:cs="仿宋"/>
                <w:bCs/>
                <w:kern w:val="0"/>
                <w:szCs w:val="21"/>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398" w:type="pct"/>
            <w:vMerge w:val="restart"/>
            <w:noWrap w:val="0"/>
            <w:vAlign w:val="center"/>
          </w:tcPr>
          <w:p>
            <w:pPr>
              <w:pStyle w:val="96"/>
              <w:adjustRightInd/>
              <w:jc w:val="center"/>
              <w:rPr>
                <w:rFonts w:hint="eastAsia" w:ascii="仿宋" w:hAnsi="仿宋" w:eastAsia="仿宋" w:cs="仿宋"/>
                <w:color w:val="auto"/>
                <w:sz w:val="21"/>
                <w:szCs w:val="21"/>
              </w:rPr>
            </w:pPr>
            <w:r>
              <w:rPr>
                <w:rFonts w:hint="eastAsia" w:ascii="仿宋" w:hAnsi="仿宋" w:eastAsia="仿宋" w:cs="仿宋"/>
                <w:color w:val="auto"/>
                <w:sz w:val="21"/>
                <w:szCs w:val="21"/>
              </w:rPr>
              <w:t>1</w:t>
            </w:r>
          </w:p>
        </w:tc>
        <w:tc>
          <w:tcPr>
            <w:tcW w:w="713" w:type="pct"/>
            <w:vMerge w:val="restart"/>
            <w:noWrap w:val="0"/>
            <w:vAlign w:val="center"/>
          </w:tcPr>
          <w:p>
            <w:pPr>
              <w:pStyle w:val="96"/>
              <w:adjustRightInd/>
              <w:jc w:val="center"/>
              <w:rPr>
                <w:rFonts w:hint="eastAsia" w:ascii="仿宋" w:hAnsi="仿宋" w:eastAsia="仿宋" w:cs="仿宋"/>
                <w:color w:val="auto"/>
                <w:sz w:val="21"/>
                <w:szCs w:val="21"/>
              </w:rPr>
            </w:pPr>
            <w:r>
              <w:rPr>
                <w:rFonts w:hint="eastAsia" w:ascii="仿宋" w:hAnsi="仿宋" w:eastAsia="仿宋" w:cs="仿宋"/>
                <w:color w:val="auto"/>
                <w:sz w:val="21"/>
                <w:szCs w:val="21"/>
                <w:lang w:eastAsia="zh-CN"/>
              </w:rPr>
              <w:t>投标人</w:t>
            </w:r>
            <w:r>
              <w:rPr>
                <w:rFonts w:hint="eastAsia" w:ascii="仿宋" w:hAnsi="仿宋" w:eastAsia="仿宋" w:cs="仿宋"/>
                <w:color w:val="auto"/>
                <w:sz w:val="21"/>
                <w:szCs w:val="21"/>
              </w:rPr>
              <w:t>资质</w:t>
            </w:r>
          </w:p>
        </w:tc>
        <w:tc>
          <w:tcPr>
            <w:tcW w:w="3482" w:type="pct"/>
            <w:noWrap w:val="0"/>
            <w:vAlign w:val="top"/>
          </w:tcPr>
          <w:p>
            <w:pPr>
              <w:pStyle w:val="96"/>
              <w:adjustRightInd/>
              <w:rPr>
                <w:rFonts w:hint="eastAsia" w:ascii="仿宋" w:hAnsi="仿宋" w:eastAsia="仿宋" w:cs="仿宋"/>
                <w:strike/>
                <w:color w:val="FF0000"/>
                <w:sz w:val="21"/>
                <w:szCs w:val="21"/>
              </w:rPr>
            </w:pPr>
            <w:r>
              <w:rPr>
                <w:rFonts w:hint="eastAsia" w:ascii="仿宋" w:hAnsi="仿宋" w:eastAsia="仿宋" w:cs="仿宋"/>
                <w:color w:val="auto"/>
                <w:sz w:val="21"/>
                <w:szCs w:val="21"/>
                <w:lang w:eastAsia="zh-CN"/>
              </w:rPr>
              <w:t>投标人</w:t>
            </w:r>
            <w:r>
              <w:rPr>
                <w:rFonts w:hint="eastAsia" w:ascii="仿宋" w:hAnsi="仿宋" w:eastAsia="仿宋" w:cs="仿宋"/>
                <w:color w:val="auto"/>
                <w:sz w:val="21"/>
                <w:szCs w:val="21"/>
              </w:rPr>
              <w:t>同时具有CCRC信息安全服务资质（信息系统安全集成）、CCRC信息安全服务资质（信息系统安全运维）、CCRC信息安全服务资质（信息安全风险评估）和CCRC信息安全服务资质（信息安全应急处理）认证证书的得2分，提供</w:t>
            </w:r>
            <w:r>
              <w:rPr>
                <w:rFonts w:hint="eastAsia" w:ascii="仿宋" w:hAnsi="仿宋" w:eastAsia="仿宋" w:cs="仿宋"/>
                <w:color w:val="auto"/>
                <w:sz w:val="21"/>
                <w:szCs w:val="21"/>
                <w:lang w:eastAsia="zh-CN"/>
              </w:rPr>
              <w:t>相关证书复印件加盖投标人公章，未提供</w:t>
            </w:r>
            <w:r>
              <w:rPr>
                <w:rFonts w:hint="eastAsia" w:ascii="仿宋" w:hAnsi="仿宋" w:eastAsia="仿宋" w:cs="仿宋"/>
                <w:color w:val="auto"/>
                <w:sz w:val="21"/>
                <w:szCs w:val="21"/>
              </w:rPr>
              <w:t>不得分</w:t>
            </w:r>
            <w:r>
              <w:rPr>
                <w:rFonts w:hint="eastAsia" w:ascii="仿宋" w:hAnsi="仿宋" w:eastAsia="仿宋" w:cs="仿宋"/>
                <w:color w:val="auto"/>
                <w:sz w:val="21"/>
                <w:szCs w:val="21"/>
                <w:lang w:eastAsia="zh-CN"/>
              </w:rPr>
              <w:t>。</w:t>
            </w:r>
          </w:p>
        </w:tc>
        <w:tc>
          <w:tcPr>
            <w:tcW w:w="405" w:type="pct"/>
            <w:noWrap w:val="0"/>
            <w:vAlign w:val="center"/>
          </w:tcPr>
          <w:p>
            <w:pPr>
              <w:pStyle w:val="96"/>
              <w:adjustRightInd/>
              <w:jc w:val="center"/>
              <w:rPr>
                <w:rFonts w:hint="eastAsia" w:ascii="仿宋" w:hAnsi="仿宋" w:eastAsia="仿宋" w:cs="仿宋"/>
                <w:color w:val="auto"/>
                <w:sz w:val="21"/>
                <w:szCs w:val="21"/>
              </w:rPr>
            </w:pPr>
            <w:r>
              <w:rPr>
                <w:rFonts w:hint="eastAsia" w:ascii="仿宋" w:hAnsi="仿宋" w:eastAsia="仿宋" w:cs="仿宋"/>
                <w:color w:val="auto"/>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398" w:type="pct"/>
            <w:vMerge w:val="continue"/>
            <w:noWrap w:val="0"/>
            <w:vAlign w:val="center"/>
          </w:tcPr>
          <w:p>
            <w:pPr>
              <w:pStyle w:val="96"/>
              <w:adjustRightInd/>
              <w:jc w:val="center"/>
              <w:rPr>
                <w:rFonts w:hint="eastAsia" w:ascii="仿宋" w:hAnsi="仿宋" w:eastAsia="仿宋" w:cs="仿宋"/>
                <w:color w:val="auto"/>
                <w:sz w:val="21"/>
                <w:szCs w:val="21"/>
              </w:rPr>
            </w:pPr>
          </w:p>
        </w:tc>
        <w:tc>
          <w:tcPr>
            <w:tcW w:w="713" w:type="pct"/>
            <w:vMerge w:val="continue"/>
            <w:noWrap w:val="0"/>
            <w:vAlign w:val="center"/>
          </w:tcPr>
          <w:p>
            <w:pPr>
              <w:pStyle w:val="96"/>
              <w:adjustRightInd/>
              <w:jc w:val="center"/>
              <w:rPr>
                <w:rFonts w:hint="eastAsia" w:ascii="仿宋" w:hAnsi="仿宋" w:eastAsia="仿宋" w:cs="仿宋"/>
                <w:color w:val="auto"/>
                <w:sz w:val="21"/>
                <w:szCs w:val="21"/>
              </w:rPr>
            </w:pPr>
          </w:p>
        </w:tc>
        <w:tc>
          <w:tcPr>
            <w:tcW w:w="3482" w:type="pct"/>
            <w:noWrap w:val="0"/>
            <w:vAlign w:val="top"/>
          </w:tcPr>
          <w:p>
            <w:pPr>
              <w:pStyle w:val="96"/>
              <w:adjustRightInd/>
              <w:rPr>
                <w:rFonts w:hint="eastAsia" w:ascii="仿宋" w:hAnsi="仿宋" w:eastAsia="仿宋" w:cs="仿宋"/>
                <w:color w:val="auto"/>
                <w:sz w:val="21"/>
                <w:szCs w:val="21"/>
              </w:rPr>
            </w:pPr>
            <w:r>
              <w:rPr>
                <w:rFonts w:hint="eastAsia" w:ascii="仿宋" w:hAnsi="仿宋" w:eastAsia="仿宋" w:cs="仿宋"/>
                <w:color w:val="auto"/>
                <w:sz w:val="21"/>
                <w:szCs w:val="21"/>
                <w:lang w:eastAsia="zh-CN"/>
              </w:rPr>
              <w:t>投标人</w:t>
            </w:r>
            <w:r>
              <w:rPr>
                <w:rFonts w:hint="eastAsia" w:ascii="仿宋" w:hAnsi="仿宋" w:eastAsia="仿宋" w:cs="仿宋"/>
                <w:color w:val="auto"/>
                <w:sz w:val="21"/>
                <w:szCs w:val="21"/>
              </w:rPr>
              <w:t>同时具有有效期内的ISO-9001质量管理体系认证证书、ISO-14001环境管理体系认证证书、ISO-20000信息技术服务管理体系认证证书、ISO-27001信息安全管理体系认证证书的得2分，提供</w:t>
            </w:r>
            <w:r>
              <w:rPr>
                <w:rFonts w:hint="eastAsia" w:ascii="仿宋" w:hAnsi="仿宋" w:eastAsia="仿宋" w:cs="仿宋"/>
                <w:color w:val="auto"/>
                <w:sz w:val="21"/>
                <w:szCs w:val="21"/>
                <w:lang w:eastAsia="zh-CN"/>
              </w:rPr>
              <w:t>相关证书复印件加盖投标人公章，未提供</w:t>
            </w:r>
            <w:r>
              <w:rPr>
                <w:rFonts w:hint="eastAsia" w:ascii="仿宋" w:hAnsi="仿宋" w:eastAsia="仿宋" w:cs="仿宋"/>
                <w:color w:val="auto"/>
                <w:sz w:val="21"/>
                <w:szCs w:val="21"/>
              </w:rPr>
              <w:t>不得分</w:t>
            </w:r>
            <w:r>
              <w:rPr>
                <w:rFonts w:hint="eastAsia" w:ascii="仿宋" w:hAnsi="仿宋" w:eastAsia="仿宋" w:cs="仿宋"/>
                <w:color w:val="auto"/>
                <w:sz w:val="21"/>
                <w:szCs w:val="21"/>
                <w:lang w:eastAsia="zh-CN"/>
              </w:rPr>
              <w:t>。</w:t>
            </w:r>
          </w:p>
        </w:tc>
        <w:tc>
          <w:tcPr>
            <w:tcW w:w="405" w:type="pct"/>
            <w:noWrap w:val="0"/>
            <w:vAlign w:val="center"/>
          </w:tcPr>
          <w:p>
            <w:pPr>
              <w:pStyle w:val="96"/>
              <w:adjustRightInd/>
              <w:jc w:val="center"/>
              <w:rPr>
                <w:rFonts w:hint="eastAsia" w:ascii="仿宋" w:hAnsi="仿宋" w:eastAsia="仿宋" w:cs="仿宋"/>
                <w:color w:val="auto"/>
                <w:sz w:val="21"/>
                <w:szCs w:val="21"/>
              </w:rPr>
            </w:pPr>
            <w:r>
              <w:rPr>
                <w:rFonts w:hint="eastAsia" w:ascii="仿宋" w:hAnsi="仿宋" w:eastAsia="仿宋" w:cs="仿宋"/>
                <w:color w:val="auto"/>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398" w:type="pct"/>
            <w:vMerge w:val="continue"/>
            <w:noWrap w:val="0"/>
            <w:vAlign w:val="center"/>
          </w:tcPr>
          <w:p>
            <w:pPr>
              <w:pStyle w:val="96"/>
              <w:adjustRightInd/>
              <w:jc w:val="center"/>
              <w:rPr>
                <w:rFonts w:hint="eastAsia" w:ascii="仿宋" w:hAnsi="仿宋" w:eastAsia="仿宋" w:cs="仿宋"/>
                <w:color w:val="auto"/>
                <w:sz w:val="21"/>
                <w:szCs w:val="21"/>
              </w:rPr>
            </w:pPr>
          </w:p>
        </w:tc>
        <w:tc>
          <w:tcPr>
            <w:tcW w:w="713" w:type="pct"/>
            <w:vMerge w:val="continue"/>
            <w:noWrap w:val="0"/>
            <w:vAlign w:val="center"/>
          </w:tcPr>
          <w:p>
            <w:pPr>
              <w:pStyle w:val="96"/>
              <w:adjustRightInd/>
              <w:jc w:val="center"/>
              <w:rPr>
                <w:rFonts w:hint="eastAsia" w:ascii="仿宋" w:hAnsi="仿宋" w:eastAsia="仿宋" w:cs="仿宋"/>
                <w:color w:val="auto"/>
                <w:sz w:val="21"/>
                <w:szCs w:val="21"/>
              </w:rPr>
            </w:pPr>
          </w:p>
        </w:tc>
        <w:tc>
          <w:tcPr>
            <w:tcW w:w="3482" w:type="pct"/>
            <w:noWrap w:val="0"/>
            <w:vAlign w:val="top"/>
          </w:tcPr>
          <w:p>
            <w:pPr>
              <w:pStyle w:val="96"/>
              <w:adjustRightInd/>
              <w:rPr>
                <w:rFonts w:hint="eastAsia" w:ascii="仿宋" w:hAnsi="仿宋" w:eastAsia="仿宋" w:cs="仿宋"/>
                <w:strike/>
                <w:color w:val="FF0000"/>
                <w:sz w:val="21"/>
                <w:szCs w:val="21"/>
              </w:rPr>
            </w:pPr>
            <w:r>
              <w:rPr>
                <w:rFonts w:hint="eastAsia" w:ascii="仿宋" w:hAnsi="仿宋" w:eastAsia="仿宋" w:cs="仿宋"/>
                <w:color w:val="auto"/>
                <w:sz w:val="21"/>
                <w:szCs w:val="21"/>
                <w:lang w:eastAsia="zh-CN"/>
              </w:rPr>
              <w:t>投标人</w:t>
            </w:r>
            <w:r>
              <w:rPr>
                <w:rFonts w:hint="eastAsia" w:ascii="仿宋" w:hAnsi="仿宋" w:eastAsia="仿宋" w:cs="仿宋"/>
                <w:color w:val="auto"/>
                <w:sz w:val="21"/>
                <w:szCs w:val="21"/>
              </w:rPr>
              <w:t>同时具有ORACLE OPN（金牌合作伙伴）认证和数据库升级迁移割接能力专利证书的得2分，提供</w:t>
            </w:r>
            <w:r>
              <w:rPr>
                <w:rFonts w:hint="eastAsia" w:ascii="仿宋" w:hAnsi="仿宋" w:eastAsia="仿宋" w:cs="仿宋"/>
                <w:color w:val="auto"/>
                <w:sz w:val="21"/>
                <w:szCs w:val="21"/>
                <w:lang w:eastAsia="zh-CN"/>
              </w:rPr>
              <w:t>相关证书复印件加盖投标人公章，未提供</w:t>
            </w:r>
            <w:r>
              <w:rPr>
                <w:rFonts w:hint="eastAsia" w:ascii="仿宋" w:hAnsi="仿宋" w:eastAsia="仿宋" w:cs="仿宋"/>
                <w:color w:val="auto"/>
                <w:sz w:val="21"/>
                <w:szCs w:val="21"/>
              </w:rPr>
              <w:t>不得分</w:t>
            </w:r>
            <w:r>
              <w:rPr>
                <w:rFonts w:hint="eastAsia" w:ascii="仿宋" w:hAnsi="仿宋" w:eastAsia="仿宋" w:cs="仿宋"/>
                <w:color w:val="auto"/>
                <w:sz w:val="21"/>
                <w:szCs w:val="21"/>
                <w:lang w:eastAsia="zh-CN"/>
              </w:rPr>
              <w:t>。</w:t>
            </w:r>
          </w:p>
        </w:tc>
        <w:tc>
          <w:tcPr>
            <w:tcW w:w="405" w:type="pct"/>
            <w:noWrap w:val="0"/>
            <w:vAlign w:val="center"/>
          </w:tcPr>
          <w:p>
            <w:pPr>
              <w:pStyle w:val="96"/>
              <w:adjustRightInd/>
              <w:jc w:val="center"/>
              <w:rPr>
                <w:rFonts w:hint="eastAsia" w:ascii="仿宋" w:hAnsi="仿宋" w:eastAsia="仿宋" w:cs="仿宋"/>
                <w:color w:val="auto"/>
                <w:sz w:val="21"/>
                <w:szCs w:val="21"/>
              </w:rPr>
            </w:pPr>
            <w:r>
              <w:rPr>
                <w:rFonts w:hint="eastAsia" w:ascii="仿宋" w:hAnsi="仿宋" w:eastAsia="仿宋" w:cs="仿宋"/>
                <w:color w:val="auto"/>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398" w:type="pct"/>
            <w:vMerge w:val="continue"/>
            <w:noWrap w:val="0"/>
            <w:vAlign w:val="center"/>
          </w:tcPr>
          <w:p>
            <w:pPr>
              <w:pStyle w:val="96"/>
              <w:adjustRightInd/>
              <w:jc w:val="center"/>
              <w:rPr>
                <w:rFonts w:hint="eastAsia" w:ascii="仿宋" w:hAnsi="仿宋" w:eastAsia="仿宋" w:cs="仿宋"/>
                <w:color w:val="auto"/>
                <w:sz w:val="21"/>
                <w:szCs w:val="21"/>
              </w:rPr>
            </w:pPr>
          </w:p>
        </w:tc>
        <w:tc>
          <w:tcPr>
            <w:tcW w:w="713" w:type="pct"/>
            <w:vMerge w:val="continue"/>
            <w:noWrap w:val="0"/>
            <w:vAlign w:val="center"/>
          </w:tcPr>
          <w:p>
            <w:pPr>
              <w:pStyle w:val="96"/>
              <w:adjustRightInd/>
              <w:jc w:val="center"/>
              <w:rPr>
                <w:rFonts w:hint="eastAsia" w:ascii="仿宋" w:hAnsi="仿宋" w:eastAsia="仿宋" w:cs="仿宋"/>
                <w:color w:val="auto"/>
                <w:sz w:val="21"/>
                <w:szCs w:val="21"/>
              </w:rPr>
            </w:pPr>
          </w:p>
        </w:tc>
        <w:tc>
          <w:tcPr>
            <w:tcW w:w="3482" w:type="pct"/>
            <w:noWrap w:val="0"/>
            <w:vAlign w:val="top"/>
          </w:tcPr>
          <w:p>
            <w:pPr>
              <w:pStyle w:val="96"/>
              <w:adjustRightInd/>
              <w:rPr>
                <w:rFonts w:hint="eastAsia" w:ascii="仿宋" w:hAnsi="仿宋" w:eastAsia="仿宋" w:cs="仿宋"/>
                <w:strike/>
                <w:color w:val="auto"/>
                <w:sz w:val="21"/>
                <w:szCs w:val="21"/>
              </w:rPr>
            </w:pPr>
            <w:r>
              <w:rPr>
                <w:rFonts w:hint="eastAsia" w:ascii="仿宋" w:hAnsi="仿宋" w:eastAsia="仿宋" w:cs="仿宋"/>
                <w:color w:val="auto"/>
                <w:sz w:val="21"/>
                <w:szCs w:val="21"/>
                <w:lang w:eastAsia="zh-CN"/>
              </w:rPr>
              <w:t>投标人</w:t>
            </w:r>
            <w:r>
              <w:rPr>
                <w:rFonts w:hint="eastAsia" w:ascii="仿宋" w:hAnsi="仿宋" w:eastAsia="仿宋" w:cs="仿宋"/>
                <w:color w:val="auto"/>
                <w:sz w:val="21"/>
                <w:szCs w:val="21"/>
              </w:rPr>
              <w:t>同时具有CMMI认证(3级及以上)和ITSS信息技术服务标准（三级）证书的得2分，提供</w:t>
            </w:r>
            <w:r>
              <w:rPr>
                <w:rFonts w:hint="eastAsia" w:ascii="仿宋" w:hAnsi="仿宋" w:eastAsia="仿宋" w:cs="仿宋"/>
                <w:color w:val="auto"/>
                <w:sz w:val="21"/>
                <w:szCs w:val="21"/>
                <w:lang w:eastAsia="zh-CN"/>
              </w:rPr>
              <w:t>相关证书复印件加盖投标人公章，未提供</w:t>
            </w:r>
            <w:r>
              <w:rPr>
                <w:rFonts w:hint="eastAsia" w:ascii="仿宋" w:hAnsi="仿宋" w:eastAsia="仿宋" w:cs="仿宋"/>
                <w:color w:val="auto"/>
                <w:sz w:val="21"/>
                <w:szCs w:val="21"/>
              </w:rPr>
              <w:t>不得分</w:t>
            </w:r>
            <w:r>
              <w:rPr>
                <w:rFonts w:hint="eastAsia" w:ascii="仿宋" w:hAnsi="仿宋" w:eastAsia="仿宋" w:cs="仿宋"/>
                <w:color w:val="auto"/>
                <w:sz w:val="21"/>
                <w:szCs w:val="21"/>
                <w:lang w:eastAsia="zh-CN"/>
              </w:rPr>
              <w:t>。</w:t>
            </w:r>
          </w:p>
        </w:tc>
        <w:tc>
          <w:tcPr>
            <w:tcW w:w="405" w:type="pct"/>
            <w:noWrap w:val="0"/>
            <w:vAlign w:val="center"/>
          </w:tcPr>
          <w:p>
            <w:pPr>
              <w:pStyle w:val="96"/>
              <w:adjustRightInd/>
              <w:jc w:val="center"/>
              <w:rPr>
                <w:rFonts w:hint="eastAsia" w:ascii="仿宋" w:hAnsi="仿宋" w:eastAsia="仿宋" w:cs="仿宋"/>
                <w:color w:val="auto"/>
                <w:sz w:val="21"/>
                <w:szCs w:val="21"/>
              </w:rPr>
            </w:pPr>
            <w:r>
              <w:rPr>
                <w:rFonts w:hint="eastAsia" w:ascii="仿宋" w:hAnsi="仿宋" w:eastAsia="仿宋" w:cs="仿宋"/>
                <w:color w:val="auto"/>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trPr>
        <w:tc>
          <w:tcPr>
            <w:tcW w:w="398" w:type="pct"/>
            <w:noWrap w:val="0"/>
            <w:vAlign w:val="center"/>
          </w:tcPr>
          <w:p>
            <w:pPr>
              <w:pStyle w:val="96"/>
              <w:adjustRightInd/>
              <w:jc w:val="center"/>
              <w:rPr>
                <w:rFonts w:hint="eastAsia" w:ascii="仿宋" w:hAnsi="仿宋" w:eastAsia="仿宋" w:cs="仿宋"/>
                <w:color w:val="auto"/>
                <w:sz w:val="21"/>
                <w:szCs w:val="21"/>
              </w:rPr>
            </w:pPr>
            <w:r>
              <w:rPr>
                <w:rFonts w:hint="eastAsia" w:ascii="仿宋" w:hAnsi="仿宋" w:eastAsia="仿宋" w:cs="仿宋"/>
                <w:color w:val="auto"/>
                <w:sz w:val="21"/>
                <w:szCs w:val="21"/>
              </w:rPr>
              <w:t>2</w:t>
            </w:r>
          </w:p>
        </w:tc>
        <w:tc>
          <w:tcPr>
            <w:tcW w:w="713" w:type="pct"/>
            <w:noWrap w:val="0"/>
            <w:vAlign w:val="center"/>
          </w:tcPr>
          <w:p>
            <w:pPr>
              <w:pStyle w:val="96"/>
              <w:adjustRightInd/>
              <w:jc w:val="center"/>
              <w:rPr>
                <w:rFonts w:hint="eastAsia" w:ascii="仿宋" w:hAnsi="仿宋" w:eastAsia="仿宋" w:cs="仿宋"/>
                <w:color w:val="auto"/>
                <w:sz w:val="21"/>
                <w:szCs w:val="21"/>
              </w:rPr>
            </w:pPr>
            <w:r>
              <w:rPr>
                <w:rFonts w:hint="eastAsia" w:ascii="仿宋" w:hAnsi="仿宋" w:eastAsia="仿宋" w:cs="仿宋"/>
                <w:color w:val="auto"/>
                <w:sz w:val="21"/>
                <w:szCs w:val="21"/>
              </w:rPr>
              <w:t>业绩证明</w:t>
            </w:r>
          </w:p>
        </w:tc>
        <w:tc>
          <w:tcPr>
            <w:tcW w:w="3482" w:type="pct"/>
            <w:noWrap w:val="0"/>
            <w:vAlign w:val="top"/>
          </w:tcPr>
          <w:p>
            <w:pPr>
              <w:pStyle w:val="96"/>
              <w:adjustRightInd/>
              <w:rPr>
                <w:rFonts w:hint="eastAsia" w:ascii="仿宋" w:hAnsi="仿宋" w:eastAsia="仿宋" w:cs="仿宋"/>
                <w:color w:val="auto"/>
                <w:sz w:val="21"/>
                <w:szCs w:val="21"/>
              </w:rPr>
            </w:pPr>
            <w:r>
              <w:rPr>
                <w:rFonts w:hint="eastAsia" w:ascii="仿宋" w:hAnsi="仿宋" w:eastAsia="仿宋" w:cs="仿宋"/>
                <w:color w:val="auto"/>
                <w:sz w:val="21"/>
                <w:szCs w:val="21"/>
                <w:lang w:eastAsia="zh-CN"/>
              </w:rPr>
              <w:t>投标人提供</w:t>
            </w:r>
            <w:r>
              <w:rPr>
                <w:rFonts w:hint="eastAsia" w:ascii="仿宋" w:hAnsi="仿宋" w:eastAsia="仿宋" w:cs="仿宋"/>
                <w:color w:val="auto"/>
                <w:sz w:val="21"/>
                <w:szCs w:val="21"/>
              </w:rPr>
              <w:t>自</w:t>
            </w:r>
            <w:r>
              <w:rPr>
                <w:rFonts w:hint="eastAsia" w:ascii="仿宋" w:hAnsi="仿宋" w:eastAsia="仿宋" w:cs="仿宋"/>
                <w:b/>
                <w:bCs/>
                <w:color w:val="auto"/>
                <w:sz w:val="21"/>
                <w:szCs w:val="21"/>
              </w:rPr>
              <w:t>2019年1月1日</w:t>
            </w:r>
            <w:r>
              <w:rPr>
                <w:rFonts w:hint="eastAsia" w:ascii="仿宋" w:hAnsi="仿宋" w:eastAsia="仿宋" w:cs="仿宋"/>
                <w:color w:val="auto"/>
                <w:sz w:val="21"/>
                <w:szCs w:val="21"/>
              </w:rPr>
              <w:t>以来</w:t>
            </w:r>
            <w:r>
              <w:rPr>
                <w:rFonts w:hint="eastAsia" w:ascii="仿宋" w:hAnsi="仿宋" w:eastAsia="仿宋" w:cs="仿宋"/>
                <w:color w:val="auto"/>
                <w:sz w:val="21"/>
                <w:szCs w:val="21"/>
                <w:lang w:eastAsia="zh-CN"/>
              </w:rPr>
              <w:t>（以合同签订时间为准）</w:t>
            </w:r>
            <w:r>
              <w:rPr>
                <w:rFonts w:hint="eastAsia" w:ascii="仿宋" w:hAnsi="仿宋" w:eastAsia="仿宋" w:cs="仿宋"/>
                <w:color w:val="auto"/>
                <w:sz w:val="21"/>
                <w:szCs w:val="21"/>
              </w:rPr>
              <w:t>具有三级甲等综合性医院数据库容灾项目业绩的,每</w:t>
            </w:r>
            <w:r>
              <w:rPr>
                <w:rFonts w:hint="eastAsia" w:ascii="仿宋" w:hAnsi="仿宋" w:eastAsia="仿宋" w:cs="仿宋"/>
                <w:color w:val="auto"/>
                <w:sz w:val="21"/>
                <w:szCs w:val="21"/>
                <w:lang w:eastAsia="zh-CN"/>
              </w:rPr>
              <w:t>提供一份</w:t>
            </w:r>
            <w:r>
              <w:rPr>
                <w:rFonts w:hint="eastAsia" w:ascii="仿宋" w:hAnsi="仿宋" w:eastAsia="仿宋" w:cs="仿宋"/>
                <w:color w:val="auto"/>
                <w:sz w:val="21"/>
                <w:szCs w:val="21"/>
              </w:rPr>
              <w:t>得0.5分,最高不超过3分</w:t>
            </w:r>
            <w:r>
              <w:rPr>
                <w:rFonts w:hint="eastAsia" w:ascii="仿宋" w:hAnsi="仿宋" w:eastAsia="仿宋" w:cs="仿宋"/>
                <w:color w:val="auto"/>
                <w:sz w:val="21"/>
                <w:szCs w:val="21"/>
                <w:lang w:eastAsia="zh-CN"/>
              </w:rPr>
              <w:t>，需</w:t>
            </w:r>
            <w:r>
              <w:rPr>
                <w:rFonts w:hint="eastAsia" w:ascii="仿宋" w:hAnsi="仿宋" w:eastAsia="仿宋" w:cs="仿宋"/>
                <w:color w:val="auto"/>
                <w:sz w:val="21"/>
                <w:szCs w:val="21"/>
              </w:rPr>
              <w:t>提供合同复印件并加盖投标</w:t>
            </w:r>
            <w:r>
              <w:rPr>
                <w:rFonts w:hint="eastAsia" w:ascii="仿宋" w:hAnsi="仿宋" w:eastAsia="仿宋" w:cs="仿宋"/>
                <w:color w:val="auto"/>
                <w:sz w:val="21"/>
                <w:szCs w:val="21"/>
                <w:lang w:eastAsia="zh-CN"/>
              </w:rPr>
              <w:t>人</w:t>
            </w:r>
            <w:r>
              <w:rPr>
                <w:rFonts w:hint="eastAsia" w:ascii="仿宋" w:hAnsi="仿宋" w:eastAsia="仿宋" w:cs="仿宋"/>
                <w:color w:val="auto"/>
                <w:sz w:val="21"/>
                <w:szCs w:val="21"/>
              </w:rPr>
              <w:t>公章</w:t>
            </w:r>
            <w:r>
              <w:rPr>
                <w:rFonts w:hint="eastAsia" w:ascii="仿宋" w:hAnsi="仿宋" w:eastAsia="仿宋" w:cs="仿宋"/>
                <w:color w:val="auto"/>
                <w:sz w:val="21"/>
                <w:szCs w:val="21"/>
                <w:lang w:eastAsia="zh-CN"/>
              </w:rPr>
              <w:t>，未提供不得分。</w:t>
            </w:r>
          </w:p>
        </w:tc>
        <w:tc>
          <w:tcPr>
            <w:tcW w:w="405" w:type="pct"/>
            <w:noWrap w:val="0"/>
            <w:vAlign w:val="center"/>
          </w:tcPr>
          <w:p>
            <w:pPr>
              <w:pStyle w:val="96"/>
              <w:adjustRightInd/>
              <w:jc w:val="center"/>
              <w:rPr>
                <w:rFonts w:hint="eastAsia" w:ascii="仿宋" w:hAnsi="仿宋" w:eastAsia="仿宋" w:cs="仿宋"/>
                <w:color w:val="auto"/>
                <w:sz w:val="21"/>
                <w:szCs w:val="21"/>
              </w:rPr>
            </w:pPr>
            <w:r>
              <w:rPr>
                <w:rFonts w:hint="eastAsia" w:ascii="仿宋" w:hAnsi="仿宋" w:eastAsia="仿宋" w:cs="仿宋"/>
                <w:color w:val="auto"/>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398" w:type="pct"/>
            <w:noWrap w:val="0"/>
            <w:vAlign w:val="center"/>
          </w:tcPr>
          <w:p>
            <w:pPr>
              <w:pStyle w:val="96"/>
              <w:adjustRightInd/>
              <w:jc w:val="center"/>
              <w:rPr>
                <w:rFonts w:hint="eastAsia" w:ascii="仿宋" w:hAnsi="仿宋" w:eastAsia="仿宋" w:cs="仿宋"/>
                <w:color w:val="auto"/>
                <w:sz w:val="21"/>
                <w:szCs w:val="21"/>
              </w:rPr>
            </w:pPr>
            <w:r>
              <w:rPr>
                <w:rFonts w:hint="eastAsia" w:ascii="仿宋" w:hAnsi="仿宋" w:eastAsia="仿宋" w:cs="仿宋"/>
                <w:color w:val="auto"/>
                <w:sz w:val="21"/>
                <w:szCs w:val="21"/>
              </w:rPr>
              <w:t>3</w:t>
            </w:r>
          </w:p>
        </w:tc>
        <w:tc>
          <w:tcPr>
            <w:tcW w:w="713" w:type="pct"/>
            <w:noWrap w:val="0"/>
            <w:vAlign w:val="center"/>
          </w:tcPr>
          <w:p>
            <w:pPr>
              <w:pStyle w:val="96"/>
              <w:adjustRightInd/>
              <w:jc w:val="center"/>
              <w:rPr>
                <w:rFonts w:hint="eastAsia" w:ascii="仿宋" w:hAnsi="仿宋" w:eastAsia="仿宋" w:cs="仿宋"/>
                <w:color w:val="auto"/>
                <w:sz w:val="21"/>
                <w:szCs w:val="21"/>
              </w:rPr>
            </w:pPr>
            <w:r>
              <w:rPr>
                <w:rFonts w:hint="eastAsia" w:ascii="仿宋" w:hAnsi="仿宋" w:eastAsia="仿宋" w:cs="仿宋"/>
                <w:sz w:val="21"/>
                <w:szCs w:val="21"/>
              </w:rPr>
              <w:t>对项目的了解和调研</w:t>
            </w:r>
          </w:p>
        </w:tc>
        <w:tc>
          <w:tcPr>
            <w:tcW w:w="3482" w:type="pct"/>
            <w:noWrap w:val="0"/>
            <w:vAlign w:val="top"/>
          </w:tcPr>
          <w:p>
            <w:pPr>
              <w:pStyle w:val="96"/>
              <w:adjustRightInd/>
              <w:rPr>
                <w:rFonts w:hint="eastAsia" w:ascii="仿宋" w:hAnsi="仿宋" w:eastAsia="仿宋" w:cs="仿宋"/>
                <w:strike/>
                <w:color w:val="FF0000"/>
                <w:sz w:val="21"/>
                <w:szCs w:val="21"/>
              </w:rPr>
            </w:pPr>
            <w:r>
              <w:rPr>
                <w:rFonts w:hint="eastAsia" w:ascii="仿宋" w:hAnsi="仿宋" w:eastAsia="仿宋" w:cs="仿宋"/>
                <w:sz w:val="21"/>
                <w:szCs w:val="21"/>
              </w:rPr>
              <w:t>根据</w:t>
            </w:r>
            <w:r>
              <w:rPr>
                <w:rFonts w:hint="eastAsia" w:ascii="仿宋" w:hAnsi="仿宋" w:eastAsia="仿宋" w:cs="仿宋"/>
                <w:sz w:val="21"/>
                <w:szCs w:val="21"/>
                <w:lang w:eastAsia="zh-CN"/>
              </w:rPr>
              <w:t>投标人</w:t>
            </w:r>
            <w:r>
              <w:rPr>
                <w:rFonts w:hint="eastAsia" w:ascii="仿宋" w:hAnsi="仿宋" w:eastAsia="仿宋" w:cs="仿宋"/>
                <w:sz w:val="21"/>
                <w:szCs w:val="21"/>
              </w:rPr>
              <w:t>对本项目情况的了解和调研，对本项目业务需求的了解程度进行评审，优秀的得2-3分，较好的得1-1.9分，一般得0.1-0.9分。</w:t>
            </w:r>
          </w:p>
        </w:tc>
        <w:tc>
          <w:tcPr>
            <w:tcW w:w="405" w:type="pct"/>
            <w:noWrap w:val="0"/>
            <w:vAlign w:val="center"/>
          </w:tcPr>
          <w:p>
            <w:pPr>
              <w:jc w:val="center"/>
              <w:rPr>
                <w:rFonts w:hint="eastAsia" w:ascii="仿宋" w:hAnsi="仿宋" w:eastAsia="仿宋" w:cs="仿宋"/>
                <w:color w:val="000000"/>
              </w:rPr>
            </w:pPr>
            <w:r>
              <w:rPr>
                <w:rFonts w:hint="eastAsia" w:ascii="仿宋" w:hAnsi="仿宋" w:eastAsia="仿宋" w:cs="仿宋"/>
                <w:color w:val="00000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398" w:type="pct"/>
            <w:noWrap w:val="0"/>
            <w:vAlign w:val="center"/>
          </w:tcPr>
          <w:p>
            <w:pPr>
              <w:pStyle w:val="96"/>
              <w:adjustRightInd/>
              <w:jc w:val="center"/>
              <w:rPr>
                <w:rFonts w:hint="eastAsia" w:ascii="仿宋" w:hAnsi="仿宋" w:eastAsia="仿宋" w:cs="仿宋"/>
                <w:color w:val="auto"/>
                <w:sz w:val="21"/>
                <w:szCs w:val="21"/>
              </w:rPr>
            </w:pPr>
            <w:r>
              <w:rPr>
                <w:rFonts w:hint="eastAsia" w:ascii="仿宋" w:hAnsi="仿宋" w:eastAsia="仿宋" w:cs="仿宋"/>
                <w:color w:val="auto"/>
                <w:sz w:val="21"/>
                <w:szCs w:val="21"/>
              </w:rPr>
              <w:t>4</w:t>
            </w:r>
          </w:p>
        </w:tc>
        <w:tc>
          <w:tcPr>
            <w:tcW w:w="713" w:type="pct"/>
            <w:noWrap w:val="0"/>
            <w:vAlign w:val="center"/>
          </w:tcPr>
          <w:p>
            <w:pPr>
              <w:widowControl/>
              <w:adjustRightInd w:val="0"/>
              <w:snapToGrid w:val="0"/>
              <w:spacing w:line="400" w:lineRule="exact"/>
              <w:jc w:val="center"/>
              <w:rPr>
                <w:rFonts w:hint="eastAsia" w:ascii="仿宋" w:hAnsi="仿宋" w:eastAsia="仿宋" w:cs="仿宋"/>
                <w:kern w:val="0"/>
                <w:szCs w:val="21"/>
              </w:rPr>
            </w:pPr>
            <w:r>
              <w:rPr>
                <w:rFonts w:hint="eastAsia" w:ascii="仿宋" w:hAnsi="仿宋" w:eastAsia="仿宋" w:cs="仿宋"/>
                <w:kern w:val="0"/>
                <w:szCs w:val="21"/>
              </w:rPr>
              <w:t>技术性能指标响应性</w:t>
            </w:r>
          </w:p>
        </w:tc>
        <w:tc>
          <w:tcPr>
            <w:tcW w:w="3482" w:type="pct"/>
            <w:noWrap w:val="0"/>
            <w:vAlign w:val="top"/>
          </w:tcPr>
          <w:p>
            <w:pPr>
              <w:pStyle w:val="96"/>
              <w:adjustRightInd/>
              <w:rPr>
                <w:rFonts w:hint="eastAsia" w:ascii="仿宋" w:hAnsi="仿宋" w:eastAsia="仿宋" w:cs="仿宋"/>
                <w:color w:val="auto"/>
                <w:sz w:val="21"/>
                <w:szCs w:val="21"/>
              </w:rPr>
            </w:pPr>
            <w:r>
              <w:rPr>
                <w:rFonts w:hint="eastAsia" w:ascii="仿宋" w:hAnsi="仿宋" w:eastAsia="仿宋" w:cs="仿宋"/>
                <w:color w:val="auto"/>
                <w:sz w:val="21"/>
                <w:szCs w:val="21"/>
              </w:rPr>
              <w:t>完全满足标文技术参数配置要求得</w:t>
            </w:r>
            <w:r>
              <w:rPr>
                <w:rFonts w:hint="eastAsia" w:ascii="仿宋" w:hAnsi="仿宋" w:eastAsia="仿宋" w:cs="仿宋"/>
                <w:color w:val="auto"/>
                <w:sz w:val="21"/>
                <w:szCs w:val="21"/>
                <w:lang w:eastAsia="zh-CN"/>
              </w:rPr>
              <w:t>满</w:t>
            </w:r>
            <w:r>
              <w:rPr>
                <w:rFonts w:hint="eastAsia" w:ascii="仿宋" w:hAnsi="仿宋" w:eastAsia="仿宋" w:cs="仿宋"/>
                <w:color w:val="auto"/>
                <w:sz w:val="21"/>
                <w:szCs w:val="21"/>
              </w:rPr>
              <w:t>分27分，技术指标含“▲”出现负偏离</w:t>
            </w:r>
            <w:r>
              <w:rPr>
                <w:rFonts w:hint="eastAsia" w:ascii="仿宋" w:hAnsi="仿宋" w:eastAsia="仿宋" w:cs="仿宋"/>
                <w:color w:val="auto"/>
                <w:sz w:val="21"/>
                <w:szCs w:val="21"/>
                <w:lang w:eastAsia="zh-CN"/>
              </w:rPr>
              <w:t>，</w:t>
            </w:r>
            <w:r>
              <w:rPr>
                <w:rFonts w:hint="eastAsia" w:ascii="仿宋" w:hAnsi="仿宋" w:eastAsia="仿宋" w:cs="仿宋"/>
                <w:color w:val="auto"/>
                <w:sz w:val="21"/>
                <w:szCs w:val="21"/>
              </w:rPr>
              <w:t>每</w:t>
            </w:r>
            <w:r>
              <w:rPr>
                <w:rFonts w:hint="eastAsia" w:ascii="仿宋" w:hAnsi="仿宋" w:eastAsia="仿宋" w:cs="仿宋"/>
                <w:color w:val="auto"/>
                <w:sz w:val="21"/>
                <w:szCs w:val="21"/>
                <w:lang w:eastAsia="zh-CN"/>
              </w:rPr>
              <w:t>偏离</w:t>
            </w:r>
            <w:r>
              <w:rPr>
                <w:rFonts w:hint="eastAsia" w:ascii="仿宋" w:hAnsi="仿宋" w:eastAsia="仿宋" w:cs="仿宋"/>
                <w:color w:val="auto"/>
                <w:sz w:val="21"/>
                <w:szCs w:val="21"/>
              </w:rPr>
              <w:t>一项扣3分,其他项每</w:t>
            </w:r>
            <w:r>
              <w:rPr>
                <w:rFonts w:hint="eastAsia" w:ascii="仿宋" w:hAnsi="仿宋" w:eastAsia="仿宋" w:cs="仿宋"/>
                <w:color w:val="auto"/>
                <w:sz w:val="21"/>
                <w:szCs w:val="21"/>
                <w:lang w:eastAsia="zh-CN"/>
              </w:rPr>
              <w:t>偏离一项</w:t>
            </w:r>
            <w:r>
              <w:rPr>
                <w:rFonts w:hint="eastAsia" w:ascii="仿宋" w:hAnsi="仿宋" w:eastAsia="仿宋" w:cs="仿宋"/>
                <w:color w:val="auto"/>
                <w:sz w:val="21"/>
                <w:szCs w:val="21"/>
              </w:rPr>
              <w:t>项扣1分,扣完为止。含“★”为必须项,如有负偏离,则做无效投标处理。</w:t>
            </w:r>
          </w:p>
        </w:tc>
        <w:tc>
          <w:tcPr>
            <w:tcW w:w="405" w:type="pct"/>
            <w:noWrap w:val="0"/>
            <w:vAlign w:val="center"/>
          </w:tcPr>
          <w:p>
            <w:pPr>
              <w:pStyle w:val="96"/>
              <w:adjustRightInd/>
              <w:jc w:val="center"/>
              <w:rPr>
                <w:rFonts w:hint="eastAsia" w:ascii="仿宋" w:hAnsi="仿宋" w:eastAsia="仿宋" w:cs="仿宋"/>
                <w:color w:val="auto"/>
                <w:sz w:val="21"/>
                <w:szCs w:val="21"/>
              </w:rPr>
            </w:pPr>
            <w:r>
              <w:rPr>
                <w:rFonts w:hint="eastAsia" w:ascii="仿宋" w:hAnsi="仿宋" w:eastAsia="仿宋" w:cs="仿宋"/>
                <w:color w:val="auto"/>
                <w:sz w:val="21"/>
                <w:szCs w:val="21"/>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398" w:type="pct"/>
            <w:noWrap w:val="0"/>
            <w:vAlign w:val="center"/>
          </w:tcPr>
          <w:p>
            <w:pPr>
              <w:pStyle w:val="96"/>
              <w:adjustRightInd/>
              <w:jc w:val="center"/>
              <w:rPr>
                <w:rFonts w:hint="eastAsia" w:ascii="仿宋" w:hAnsi="仿宋" w:eastAsia="仿宋" w:cs="仿宋"/>
                <w:color w:val="auto"/>
                <w:sz w:val="21"/>
                <w:szCs w:val="21"/>
              </w:rPr>
            </w:pPr>
            <w:r>
              <w:rPr>
                <w:rFonts w:hint="eastAsia" w:ascii="仿宋" w:hAnsi="仿宋" w:eastAsia="仿宋" w:cs="仿宋"/>
                <w:color w:val="auto"/>
                <w:sz w:val="21"/>
                <w:szCs w:val="21"/>
              </w:rPr>
              <w:t>5</w:t>
            </w:r>
          </w:p>
        </w:tc>
        <w:tc>
          <w:tcPr>
            <w:tcW w:w="713" w:type="pct"/>
            <w:noWrap w:val="0"/>
            <w:vAlign w:val="center"/>
          </w:tcPr>
          <w:p>
            <w:pPr>
              <w:pStyle w:val="96"/>
              <w:adjustRightInd/>
              <w:jc w:val="center"/>
              <w:rPr>
                <w:rFonts w:hint="eastAsia" w:ascii="仿宋" w:hAnsi="仿宋" w:eastAsia="仿宋" w:cs="仿宋"/>
                <w:sz w:val="21"/>
                <w:szCs w:val="21"/>
              </w:rPr>
            </w:pPr>
            <w:r>
              <w:rPr>
                <w:rFonts w:hint="eastAsia" w:ascii="仿宋" w:hAnsi="仿宋" w:eastAsia="仿宋" w:cs="仿宋"/>
                <w:sz w:val="21"/>
                <w:szCs w:val="21"/>
              </w:rPr>
              <w:t>产品资质</w:t>
            </w:r>
          </w:p>
        </w:tc>
        <w:tc>
          <w:tcPr>
            <w:tcW w:w="3482" w:type="pct"/>
            <w:noWrap w:val="0"/>
            <w:vAlign w:val="top"/>
          </w:tcPr>
          <w:p>
            <w:pPr>
              <w:pStyle w:val="96"/>
              <w:adjustRightInd/>
              <w:rPr>
                <w:rFonts w:hint="eastAsia" w:ascii="仿宋" w:hAnsi="仿宋" w:eastAsia="仿宋" w:cs="仿宋"/>
                <w:color w:val="auto"/>
                <w:sz w:val="21"/>
                <w:szCs w:val="21"/>
              </w:rPr>
            </w:pPr>
            <w:r>
              <w:rPr>
                <w:rFonts w:hint="eastAsia" w:ascii="仿宋" w:hAnsi="仿宋" w:eastAsia="仿宋" w:cs="仿宋"/>
                <w:color w:val="auto"/>
                <w:sz w:val="21"/>
                <w:szCs w:val="21"/>
              </w:rPr>
              <w:t>为保证投标容灾产品的成熟稳定性，要求具备国家版权局颁发的《计算机软件著作权登记证书》、ISCCC颁发的《中国国家信息安全产品认证证书》、公安部颁发的《计算机信息系统安全专用产品销售许可证》证书。每提供1项证书得1分，最高得3分</w:t>
            </w:r>
            <w:r>
              <w:rPr>
                <w:rFonts w:hint="eastAsia" w:ascii="仿宋" w:hAnsi="仿宋" w:eastAsia="仿宋" w:cs="仿宋"/>
                <w:color w:val="auto"/>
                <w:sz w:val="21"/>
                <w:szCs w:val="21"/>
                <w:lang w:eastAsia="zh-CN"/>
              </w:rPr>
              <w:t>，需</w:t>
            </w:r>
            <w:r>
              <w:rPr>
                <w:rFonts w:hint="eastAsia" w:ascii="仿宋" w:hAnsi="仿宋" w:eastAsia="仿宋" w:cs="仿宋"/>
                <w:color w:val="auto"/>
                <w:sz w:val="21"/>
                <w:szCs w:val="21"/>
              </w:rPr>
              <w:t>提供</w:t>
            </w:r>
            <w:r>
              <w:rPr>
                <w:rFonts w:hint="eastAsia" w:ascii="仿宋" w:hAnsi="仿宋" w:eastAsia="仿宋" w:cs="仿宋"/>
                <w:color w:val="auto"/>
                <w:sz w:val="21"/>
                <w:szCs w:val="21"/>
                <w:lang w:eastAsia="zh-CN"/>
              </w:rPr>
              <w:t>相关</w:t>
            </w:r>
            <w:r>
              <w:rPr>
                <w:rFonts w:hint="eastAsia" w:ascii="仿宋" w:hAnsi="仿宋" w:eastAsia="仿宋" w:cs="仿宋"/>
                <w:color w:val="auto"/>
                <w:sz w:val="21"/>
                <w:szCs w:val="21"/>
              </w:rPr>
              <w:t>证书复印件并加盖所投产品原厂公章</w:t>
            </w:r>
            <w:r>
              <w:rPr>
                <w:rFonts w:hint="eastAsia" w:ascii="仿宋" w:hAnsi="仿宋" w:eastAsia="仿宋" w:cs="仿宋"/>
                <w:color w:val="auto"/>
                <w:sz w:val="21"/>
                <w:szCs w:val="21"/>
                <w:lang w:eastAsia="zh-CN"/>
              </w:rPr>
              <w:t>，未提供不得分。</w:t>
            </w:r>
          </w:p>
        </w:tc>
        <w:tc>
          <w:tcPr>
            <w:tcW w:w="405" w:type="pct"/>
            <w:noWrap w:val="0"/>
            <w:vAlign w:val="center"/>
          </w:tcPr>
          <w:p>
            <w:pPr>
              <w:pStyle w:val="96"/>
              <w:adjustRightInd/>
              <w:jc w:val="center"/>
              <w:rPr>
                <w:rFonts w:hint="eastAsia" w:ascii="仿宋" w:hAnsi="仿宋" w:eastAsia="仿宋" w:cs="仿宋"/>
                <w:color w:val="auto"/>
                <w:sz w:val="21"/>
                <w:szCs w:val="21"/>
              </w:rPr>
            </w:pPr>
            <w:r>
              <w:rPr>
                <w:rFonts w:hint="eastAsia" w:ascii="仿宋" w:hAnsi="仿宋" w:eastAsia="仿宋" w:cs="仿宋"/>
                <w:color w:val="auto"/>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398" w:type="pct"/>
            <w:noWrap w:val="0"/>
            <w:vAlign w:val="center"/>
          </w:tcPr>
          <w:p>
            <w:pPr>
              <w:pStyle w:val="96"/>
              <w:adjustRightInd/>
              <w:jc w:val="center"/>
              <w:rPr>
                <w:rFonts w:hint="eastAsia" w:ascii="仿宋" w:hAnsi="仿宋" w:eastAsia="仿宋" w:cs="仿宋"/>
                <w:color w:val="auto"/>
                <w:sz w:val="21"/>
                <w:szCs w:val="21"/>
              </w:rPr>
            </w:pPr>
            <w:r>
              <w:rPr>
                <w:rFonts w:hint="eastAsia" w:ascii="仿宋" w:hAnsi="仿宋" w:eastAsia="仿宋" w:cs="仿宋"/>
                <w:color w:val="auto"/>
                <w:sz w:val="21"/>
                <w:szCs w:val="21"/>
              </w:rPr>
              <w:t>6</w:t>
            </w:r>
          </w:p>
        </w:tc>
        <w:tc>
          <w:tcPr>
            <w:tcW w:w="713" w:type="pct"/>
            <w:noWrap w:val="0"/>
            <w:vAlign w:val="center"/>
          </w:tcPr>
          <w:p>
            <w:pPr>
              <w:pStyle w:val="96"/>
              <w:adjustRightInd/>
              <w:jc w:val="center"/>
              <w:rPr>
                <w:rFonts w:hint="eastAsia" w:ascii="仿宋" w:hAnsi="仿宋" w:eastAsia="仿宋" w:cs="仿宋"/>
                <w:color w:val="auto"/>
                <w:sz w:val="21"/>
                <w:szCs w:val="21"/>
              </w:rPr>
            </w:pPr>
            <w:r>
              <w:rPr>
                <w:rFonts w:hint="eastAsia" w:ascii="仿宋" w:hAnsi="仿宋" w:eastAsia="仿宋" w:cs="仿宋"/>
                <w:color w:val="auto"/>
                <w:sz w:val="21"/>
                <w:szCs w:val="21"/>
              </w:rPr>
              <w:t>国产化兼容</w:t>
            </w:r>
          </w:p>
        </w:tc>
        <w:tc>
          <w:tcPr>
            <w:tcW w:w="3482" w:type="pct"/>
            <w:noWrap w:val="0"/>
            <w:vAlign w:val="top"/>
          </w:tcPr>
          <w:p>
            <w:pPr>
              <w:pStyle w:val="96"/>
              <w:adjustRightInd/>
              <w:rPr>
                <w:rFonts w:hint="eastAsia" w:ascii="仿宋" w:hAnsi="仿宋" w:eastAsia="仿宋" w:cs="仿宋"/>
                <w:color w:val="auto"/>
                <w:sz w:val="21"/>
                <w:szCs w:val="21"/>
              </w:rPr>
            </w:pPr>
            <w:r>
              <w:rPr>
                <w:rFonts w:hint="eastAsia" w:ascii="仿宋" w:hAnsi="仿宋" w:eastAsia="仿宋" w:cs="仿宋"/>
                <w:color w:val="auto"/>
                <w:sz w:val="21"/>
                <w:szCs w:val="21"/>
              </w:rPr>
              <w:t>为响应国家信创发展，遵循“数字中国”的建设战略，实现自主可控，要求投标人所投容灾产品至少支持4种国产化数据库，满足得4分，</w:t>
            </w:r>
            <w:r>
              <w:rPr>
                <w:rFonts w:hint="eastAsia" w:ascii="仿宋" w:hAnsi="仿宋" w:eastAsia="仿宋" w:cs="仿宋"/>
                <w:color w:val="auto"/>
                <w:sz w:val="21"/>
                <w:szCs w:val="21"/>
                <w:lang w:eastAsia="zh-CN"/>
              </w:rPr>
              <w:t>需</w:t>
            </w:r>
            <w:r>
              <w:rPr>
                <w:rFonts w:hint="eastAsia" w:ascii="仿宋" w:hAnsi="仿宋" w:eastAsia="仿宋" w:cs="仿宋"/>
                <w:color w:val="auto"/>
                <w:sz w:val="21"/>
                <w:szCs w:val="21"/>
              </w:rPr>
              <w:t>提供所投容灾产品与国产化数据库厂商的产品兼容互认证证书复印件并加盖所投产品原厂公章</w:t>
            </w:r>
            <w:r>
              <w:rPr>
                <w:rFonts w:hint="eastAsia" w:ascii="仿宋" w:hAnsi="仿宋" w:eastAsia="仿宋" w:cs="仿宋"/>
                <w:color w:val="auto"/>
                <w:sz w:val="21"/>
                <w:szCs w:val="21"/>
                <w:lang w:eastAsia="zh-CN"/>
              </w:rPr>
              <w:t>，</w:t>
            </w:r>
            <w:r>
              <w:rPr>
                <w:rFonts w:hint="eastAsia" w:ascii="仿宋" w:hAnsi="仿宋" w:eastAsia="仿宋" w:cs="仿宋"/>
                <w:color w:val="auto"/>
                <w:sz w:val="21"/>
                <w:szCs w:val="21"/>
              </w:rPr>
              <w:t>否则不得分。</w:t>
            </w:r>
          </w:p>
        </w:tc>
        <w:tc>
          <w:tcPr>
            <w:tcW w:w="405" w:type="pct"/>
            <w:noWrap w:val="0"/>
            <w:vAlign w:val="center"/>
          </w:tcPr>
          <w:p>
            <w:pPr>
              <w:pStyle w:val="96"/>
              <w:adjustRightInd/>
              <w:jc w:val="center"/>
              <w:rPr>
                <w:rFonts w:hint="eastAsia" w:ascii="仿宋" w:hAnsi="仿宋" w:eastAsia="仿宋" w:cs="仿宋"/>
                <w:color w:val="auto"/>
                <w:sz w:val="21"/>
                <w:szCs w:val="21"/>
              </w:rPr>
            </w:pPr>
            <w:r>
              <w:rPr>
                <w:rFonts w:hint="eastAsia" w:ascii="仿宋" w:hAnsi="仿宋" w:eastAsia="仿宋" w:cs="仿宋"/>
                <w:color w:val="auto"/>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398" w:type="pct"/>
            <w:noWrap w:val="0"/>
            <w:vAlign w:val="center"/>
          </w:tcPr>
          <w:p>
            <w:pPr>
              <w:pStyle w:val="96"/>
              <w:adjustRightInd/>
              <w:jc w:val="center"/>
              <w:rPr>
                <w:rFonts w:hint="eastAsia" w:ascii="仿宋" w:hAnsi="仿宋" w:eastAsia="仿宋" w:cs="仿宋"/>
                <w:color w:val="auto"/>
                <w:sz w:val="21"/>
                <w:szCs w:val="21"/>
              </w:rPr>
            </w:pPr>
            <w:r>
              <w:rPr>
                <w:rFonts w:hint="eastAsia" w:ascii="仿宋" w:hAnsi="仿宋" w:eastAsia="仿宋" w:cs="仿宋"/>
                <w:color w:val="auto"/>
                <w:sz w:val="21"/>
                <w:szCs w:val="21"/>
              </w:rPr>
              <w:t>7</w:t>
            </w:r>
          </w:p>
        </w:tc>
        <w:tc>
          <w:tcPr>
            <w:tcW w:w="713" w:type="pct"/>
            <w:noWrap w:val="0"/>
            <w:vAlign w:val="center"/>
          </w:tcPr>
          <w:p>
            <w:pPr>
              <w:widowControl/>
              <w:adjustRightInd w:val="0"/>
              <w:snapToGrid w:val="0"/>
              <w:spacing w:line="400" w:lineRule="exact"/>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容灾系统升级方案</w:t>
            </w:r>
          </w:p>
        </w:tc>
        <w:tc>
          <w:tcPr>
            <w:tcW w:w="3482" w:type="pct"/>
            <w:noWrap w:val="0"/>
            <w:vAlign w:val="top"/>
          </w:tcPr>
          <w:p>
            <w:pPr>
              <w:pStyle w:val="96"/>
              <w:adjustRightInd/>
              <w:rPr>
                <w:rFonts w:hint="eastAsia" w:ascii="仿宋" w:hAnsi="仿宋" w:eastAsia="仿宋" w:cs="仿宋"/>
                <w:sz w:val="21"/>
                <w:szCs w:val="21"/>
              </w:rPr>
            </w:pPr>
            <w:r>
              <w:rPr>
                <w:rFonts w:hint="eastAsia" w:ascii="仿宋" w:hAnsi="仿宋" w:eastAsia="仿宋" w:cs="仿宋"/>
                <w:sz w:val="21"/>
                <w:szCs w:val="21"/>
              </w:rPr>
              <w:t>根据投标人容灾系统升级方案所包含的服务：7*24小时应急现场响应支持服务能力和程度；灾难性故障应急支持能力和程度；生产和灾备端数据库实时监控能力和程度；数据库日常巡检服务能力和程度；技术培训能力和程度等方面</w:t>
            </w:r>
            <w:r>
              <w:rPr>
                <w:rFonts w:hint="eastAsia" w:ascii="仿宋" w:hAnsi="仿宋" w:eastAsia="仿宋" w:cs="仿宋"/>
                <w:sz w:val="21"/>
                <w:szCs w:val="21"/>
                <w:lang w:eastAsia="zh-CN"/>
              </w:rPr>
              <w:t>进行综合评审</w:t>
            </w:r>
            <w:r>
              <w:rPr>
                <w:rFonts w:hint="eastAsia" w:ascii="仿宋" w:hAnsi="仿宋" w:eastAsia="仿宋" w:cs="仿宋"/>
                <w:sz w:val="21"/>
                <w:szCs w:val="21"/>
              </w:rPr>
              <w:t>。</w:t>
            </w:r>
            <w:r>
              <w:rPr>
                <w:rFonts w:hint="eastAsia" w:ascii="仿宋" w:hAnsi="仿宋" w:eastAsia="仿宋" w:cs="仿宋"/>
                <w:sz w:val="21"/>
                <w:szCs w:val="21"/>
                <w:lang w:eastAsia="zh-CN"/>
              </w:rPr>
              <w:t>优</w:t>
            </w:r>
            <w:r>
              <w:rPr>
                <w:rFonts w:hint="eastAsia" w:ascii="仿宋" w:hAnsi="仿宋" w:eastAsia="仿宋" w:cs="仿宋"/>
                <w:sz w:val="21"/>
                <w:szCs w:val="21"/>
              </w:rPr>
              <w:t>得4</w:t>
            </w:r>
            <w:r>
              <w:rPr>
                <w:rFonts w:hint="eastAsia" w:ascii="仿宋" w:hAnsi="仿宋" w:eastAsia="仿宋" w:cs="仿宋"/>
                <w:sz w:val="21"/>
                <w:szCs w:val="21"/>
                <w:lang w:val="en-US" w:eastAsia="zh-CN"/>
              </w:rPr>
              <w:t>.0</w:t>
            </w:r>
            <w:r>
              <w:rPr>
                <w:rFonts w:hint="eastAsia" w:ascii="仿宋" w:hAnsi="仿宋" w:eastAsia="仿宋" w:cs="仿宋"/>
                <w:sz w:val="21"/>
                <w:szCs w:val="21"/>
              </w:rPr>
              <w:t>-5</w:t>
            </w:r>
            <w:r>
              <w:rPr>
                <w:rFonts w:hint="eastAsia" w:ascii="仿宋" w:hAnsi="仿宋" w:eastAsia="仿宋" w:cs="仿宋"/>
                <w:sz w:val="21"/>
                <w:szCs w:val="21"/>
                <w:lang w:val="en-US" w:eastAsia="zh-CN"/>
              </w:rPr>
              <w:t>.0</w:t>
            </w:r>
            <w:r>
              <w:rPr>
                <w:rFonts w:hint="eastAsia" w:ascii="仿宋" w:hAnsi="仿宋" w:eastAsia="仿宋" w:cs="仿宋"/>
                <w:sz w:val="21"/>
                <w:szCs w:val="21"/>
              </w:rPr>
              <w:t>分，</w:t>
            </w:r>
            <w:r>
              <w:rPr>
                <w:rFonts w:hint="eastAsia" w:ascii="仿宋" w:hAnsi="仿宋" w:eastAsia="仿宋" w:cs="仿宋"/>
                <w:sz w:val="21"/>
                <w:szCs w:val="21"/>
                <w:lang w:eastAsia="zh-CN"/>
              </w:rPr>
              <w:t>良</w:t>
            </w:r>
            <w:r>
              <w:rPr>
                <w:rFonts w:hint="eastAsia" w:ascii="仿宋" w:hAnsi="仿宋" w:eastAsia="仿宋" w:cs="仿宋"/>
                <w:sz w:val="21"/>
                <w:szCs w:val="21"/>
              </w:rPr>
              <w:t>得2-3.9分，</w:t>
            </w:r>
            <w:r>
              <w:rPr>
                <w:rFonts w:hint="eastAsia" w:ascii="仿宋" w:hAnsi="仿宋" w:eastAsia="仿宋" w:cs="仿宋"/>
                <w:sz w:val="21"/>
                <w:szCs w:val="21"/>
                <w:lang w:eastAsia="zh-CN"/>
              </w:rPr>
              <w:t>一般</w:t>
            </w:r>
            <w:r>
              <w:rPr>
                <w:rFonts w:hint="eastAsia" w:ascii="仿宋" w:hAnsi="仿宋" w:eastAsia="仿宋" w:cs="仿宋"/>
                <w:sz w:val="21"/>
                <w:szCs w:val="21"/>
              </w:rPr>
              <w:t>得0.1-1.9分，未提供不得分；</w:t>
            </w:r>
          </w:p>
        </w:tc>
        <w:tc>
          <w:tcPr>
            <w:tcW w:w="405" w:type="pct"/>
            <w:noWrap w:val="0"/>
            <w:vAlign w:val="center"/>
          </w:tcPr>
          <w:p>
            <w:pPr>
              <w:pStyle w:val="96"/>
              <w:adjustRightInd/>
              <w:jc w:val="center"/>
              <w:rPr>
                <w:rFonts w:hint="eastAsia" w:ascii="仿宋" w:hAnsi="仿宋" w:eastAsia="仿宋" w:cs="仿宋"/>
                <w:color w:val="auto"/>
                <w:sz w:val="21"/>
                <w:szCs w:val="21"/>
              </w:rPr>
            </w:pPr>
            <w:r>
              <w:rPr>
                <w:rFonts w:hint="eastAsia" w:ascii="仿宋" w:hAnsi="仿宋" w:eastAsia="仿宋" w:cs="仿宋"/>
                <w:color w:val="auto"/>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398" w:type="pct"/>
            <w:noWrap w:val="0"/>
            <w:vAlign w:val="center"/>
          </w:tcPr>
          <w:p>
            <w:pPr>
              <w:pStyle w:val="96"/>
              <w:adjustRightInd/>
              <w:jc w:val="center"/>
              <w:rPr>
                <w:rFonts w:hint="eastAsia" w:ascii="仿宋" w:hAnsi="仿宋" w:eastAsia="仿宋" w:cs="仿宋"/>
                <w:color w:val="auto"/>
                <w:sz w:val="21"/>
                <w:szCs w:val="21"/>
              </w:rPr>
            </w:pPr>
            <w:r>
              <w:rPr>
                <w:rFonts w:hint="eastAsia" w:ascii="仿宋" w:hAnsi="仿宋" w:eastAsia="仿宋" w:cs="仿宋"/>
                <w:color w:val="auto"/>
                <w:sz w:val="21"/>
                <w:szCs w:val="21"/>
              </w:rPr>
              <w:t>8</w:t>
            </w:r>
          </w:p>
        </w:tc>
        <w:tc>
          <w:tcPr>
            <w:tcW w:w="713" w:type="pct"/>
            <w:noWrap w:val="0"/>
            <w:vAlign w:val="center"/>
          </w:tcPr>
          <w:p>
            <w:pPr>
              <w:widowControl/>
              <w:adjustRightInd w:val="0"/>
              <w:snapToGrid w:val="0"/>
              <w:spacing w:line="400" w:lineRule="exact"/>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项目实施方案</w:t>
            </w:r>
          </w:p>
        </w:tc>
        <w:tc>
          <w:tcPr>
            <w:tcW w:w="3482" w:type="pct"/>
            <w:noWrap w:val="0"/>
            <w:vAlign w:val="top"/>
          </w:tcPr>
          <w:p>
            <w:pPr>
              <w:pStyle w:val="96"/>
              <w:adjustRightInd/>
              <w:rPr>
                <w:rFonts w:hint="eastAsia" w:ascii="仿宋" w:hAnsi="仿宋" w:eastAsia="仿宋" w:cs="仿宋"/>
                <w:color w:val="auto"/>
                <w:sz w:val="21"/>
                <w:szCs w:val="21"/>
              </w:rPr>
            </w:pPr>
            <w:r>
              <w:rPr>
                <w:rFonts w:hint="eastAsia" w:ascii="仿宋" w:hAnsi="仿宋" w:eastAsia="仿宋" w:cs="仿宋"/>
                <w:sz w:val="21"/>
                <w:szCs w:val="21"/>
              </w:rPr>
              <w:t>根据</w:t>
            </w:r>
            <w:r>
              <w:rPr>
                <w:rFonts w:hint="eastAsia" w:ascii="仿宋" w:hAnsi="仿宋" w:eastAsia="仿宋" w:cs="仿宋"/>
                <w:sz w:val="21"/>
                <w:szCs w:val="21"/>
                <w:lang w:eastAsia="zh-CN"/>
              </w:rPr>
              <w:t>投标人提供</w:t>
            </w:r>
            <w:r>
              <w:rPr>
                <w:rFonts w:hint="eastAsia" w:ascii="仿宋" w:hAnsi="仿宋" w:eastAsia="仿宋" w:cs="仿宋"/>
                <w:sz w:val="21"/>
                <w:szCs w:val="21"/>
              </w:rPr>
              <w:t>的项目管理目标、管理措施；项目实施的组织结构、协调方法；实施流程、实施进度和实施内容进行评</w:t>
            </w:r>
            <w:r>
              <w:rPr>
                <w:rFonts w:hint="eastAsia" w:ascii="仿宋" w:hAnsi="仿宋" w:eastAsia="仿宋" w:cs="仿宋"/>
                <w:sz w:val="21"/>
                <w:szCs w:val="21"/>
                <w:lang w:eastAsia="zh-CN"/>
              </w:rPr>
              <w:t>审</w:t>
            </w:r>
            <w:r>
              <w:rPr>
                <w:rFonts w:hint="eastAsia" w:ascii="仿宋" w:hAnsi="仿宋" w:eastAsia="仿宋" w:cs="仿宋"/>
                <w:sz w:val="21"/>
                <w:szCs w:val="21"/>
              </w:rPr>
              <w:t>，优秀的得2-3分，较好的得1-1.9分，一般得0.1-0.9分；</w:t>
            </w:r>
          </w:p>
        </w:tc>
        <w:tc>
          <w:tcPr>
            <w:tcW w:w="405" w:type="pct"/>
            <w:noWrap w:val="0"/>
            <w:vAlign w:val="center"/>
          </w:tcPr>
          <w:p>
            <w:pPr>
              <w:pStyle w:val="96"/>
              <w:adjustRightInd/>
              <w:jc w:val="center"/>
              <w:rPr>
                <w:rFonts w:hint="eastAsia" w:ascii="仿宋" w:hAnsi="仿宋" w:eastAsia="仿宋" w:cs="仿宋"/>
                <w:color w:val="auto"/>
                <w:sz w:val="21"/>
                <w:szCs w:val="21"/>
              </w:rPr>
            </w:pPr>
            <w:r>
              <w:rPr>
                <w:rFonts w:hint="eastAsia" w:ascii="仿宋" w:hAnsi="仿宋" w:eastAsia="仿宋" w:cs="仿宋"/>
                <w:color w:val="auto"/>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398" w:type="pct"/>
            <w:noWrap w:val="0"/>
            <w:vAlign w:val="center"/>
          </w:tcPr>
          <w:p>
            <w:pPr>
              <w:pStyle w:val="96"/>
              <w:adjustRightInd/>
              <w:jc w:val="center"/>
              <w:rPr>
                <w:rFonts w:hint="eastAsia" w:ascii="仿宋" w:hAnsi="仿宋" w:eastAsia="仿宋" w:cs="仿宋"/>
                <w:color w:val="auto"/>
                <w:sz w:val="21"/>
                <w:szCs w:val="21"/>
              </w:rPr>
            </w:pPr>
            <w:r>
              <w:rPr>
                <w:rFonts w:hint="eastAsia" w:ascii="仿宋" w:hAnsi="仿宋" w:eastAsia="仿宋" w:cs="仿宋"/>
                <w:color w:val="auto"/>
                <w:sz w:val="21"/>
                <w:szCs w:val="21"/>
              </w:rPr>
              <w:t>9</w:t>
            </w:r>
          </w:p>
        </w:tc>
        <w:tc>
          <w:tcPr>
            <w:tcW w:w="713" w:type="pct"/>
            <w:noWrap w:val="0"/>
            <w:vAlign w:val="center"/>
          </w:tcPr>
          <w:p>
            <w:pPr>
              <w:widowControl/>
              <w:adjustRightInd w:val="0"/>
              <w:snapToGrid w:val="0"/>
              <w:spacing w:line="400" w:lineRule="exact"/>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售后服务方案</w:t>
            </w:r>
          </w:p>
        </w:tc>
        <w:tc>
          <w:tcPr>
            <w:tcW w:w="3482" w:type="pct"/>
            <w:noWrap w:val="0"/>
            <w:vAlign w:val="top"/>
          </w:tcPr>
          <w:p>
            <w:pPr>
              <w:pStyle w:val="96"/>
              <w:adjustRightInd/>
              <w:rPr>
                <w:rFonts w:hint="eastAsia" w:ascii="仿宋" w:hAnsi="仿宋" w:eastAsia="仿宋" w:cs="仿宋"/>
                <w:color w:val="auto"/>
                <w:sz w:val="21"/>
                <w:szCs w:val="21"/>
              </w:rPr>
            </w:pPr>
            <w:r>
              <w:rPr>
                <w:rFonts w:hint="eastAsia" w:ascii="仿宋" w:hAnsi="仿宋" w:eastAsia="仿宋" w:cs="仿宋"/>
                <w:sz w:val="21"/>
                <w:szCs w:val="21"/>
              </w:rPr>
              <w:t>根据</w:t>
            </w:r>
            <w:r>
              <w:rPr>
                <w:rFonts w:hint="eastAsia" w:ascii="仿宋" w:hAnsi="仿宋" w:eastAsia="仿宋" w:cs="仿宋"/>
                <w:sz w:val="21"/>
                <w:szCs w:val="21"/>
                <w:lang w:eastAsia="zh-CN"/>
              </w:rPr>
              <w:t>投标人提供</w:t>
            </w:r>
            <w:r>
              <w:rPr>
                <w:rFonts w:hint="eastAsia" w:ascii="仿宋" w:hAnsi="仿宋" w:eastAsia="仿宋" w:cs="仿宋"/>
                <w:sz w:val="21"/>
                <w:szCs w:val="21"/>
              </w:rPr>
              <w:t>的售后服务响应时间、售后服务；售后服务便捷性、服务体系及技术力量支撑情况内容进行评</w:t>
            </w:r>
            <w:r>
              <w:rPr>
                <w:rFonts w:hint="eastAsia" w:ascii="仿宋" w:hAnsi="仿宋" w:eastAsia="仿宋" w:cs="仿宋"/>
                <w:sz w:val="21"/>
                <w:szCs w:val="21"/>
                <w:lang w:eastAsia="zh-CN"/>
              </w:rPr>
              <w:t>审</w:t>
            </w:r>
            <w:r>
              <w:rPr>
                <w:rFonts w:hint="eastAsia" w:ascii="仿宋" w:hAnsi="仿宋" w:eastAsia="仿宋" w:cs="仿宋"/>
                <w:sz w:val="21"/>
                <w:szCs w:val="21"/>
              </w:rPr>
              <w:t>，优秀的得3-4分，较好的得2-2.9分，一般得0.1-1.9分；</w:t>
            </w:r>
            <w:r>
              <w:rPr>
                <w:rFonts w:hint="eastAsia" w:ascii="仿宋" w:hAnsi="仿宋" w:eastAsia="仿宋" w:cs="仿宋"/>
                <w:color w:val="auto"/>
                <w:sz w:val="21"/>
                <w:szCs w:val="21"/>
              </w:rPr>
              <w:t xml:space="preserve"> </w:t>
            </w:r>
          </w:p>
        </w:tc>
        <w:tc>
          <w:tcPr>
            <w:tcW w:w="405" w:type="pct"/>
            <w:noWrap w:val="0"/>
            <w:vAlign w:val="center"/>
          </w:tcPr>
          <w:p>
            <w:pPr>
              <w:pStyle w:val="96"/>
              <w:adjustRightInd/>
              <w:jc w:val="center"/>
              <w:rPr>
                <w:rFonts w:hint="eastAsia" w:ascii="仿宋" w:hAnsi="仿宋" w:eastAsia="仿宋" w:cs="仿宋"/>
                <w:color w:val="auto"/>
                <w:sz w:val="21"/>
                <w:szCs w:val="21"/>
              </w:rPr>
            </w:pPr>
            <w:r>
              <w:rPr>
                <w:rFonts w:hint="eastAsia" w:ascii="仿宋" w:hAnsi="仿宋" w:eastAsia="仿宋" w:cs="仿宋"/>
                <w:color w:val="auto"/>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398" w:type="pct"/>
            <w:vMerge w:val="restart"/>
            <w:noWrap w:val="0"/>
            <w:vAlign w:val="center"/>
          </w:tcPr>
          <w:p>
            <w:pPr>
              <w:pStyle w:val="96"/>
              <w:adjustRightInd/>
              <w:jc w:val="center"/>
              <w:rPr>
                <w:rFonts w:hint="eastAsia" w:ascii="仿宋" w:hAnsi="仿宋" w:eastAsia="仿宋" w:cs="仿宋"/>
                <w:color w:val="auto"/>
                <w:sz w:val="21"/>
                <w:szCs w:val="21"/>
              </w:rPr>
            </w:pPr>
            <w:r>
              <w:rPr>
                <w:rFonts w:hint="eastAsia" w:ascii="仿宋" w:hAnsi="仿宋" w:eastAsia="仿宋" w:cs="仿宋"/>
                <w:color w:val="auto"/>
                <w:sz w:val="21"/>
                <w:szCs w:val="21"/>
              </w:rPr>
              <w:t>10</w:t>
            </w:r>
          </w:p>
        </w:tc>
        <w:tc>
          <w:tcPr>
            <w:tcW w:w="713" w:type="pct"/>
            <w:vMerge w:val="restart"/>
            <w:noWrap w:val="0"/>
            <w:vAlign w:val="center"/>
          </w:tcPr>
          <w:p>
            <w:pPr>
              <w:pStyle w:val="96"/>
              <w:adjustRightInd/>
              <w:jc w:val="center"/>
              <w:rPr>
                <w:rFonts w:hint="eastAsia" w:ascii="仿宋" w:hAnsi="仿宋" w:eastAsia="仿宋" w:cs="仿宋"/>
                <w:color w:val="auto"/>
                <w:sz w:val="21"/>
                <w:szCs w:val="21"/>
              </w:rPr>
            </w:pPr>
            <w:r>
              <w:rPr>
                <w:rFonts w:hint="eastAsia" w:ascii="仿宋" w:hAnsi="仿宋" w:eastAsia="仿宋" w:cs="仿宋"/>
                <w:color w:val="auto"/>
                <w:sz w:val="21"/>
                <w:szCs w:val="21"/>
              </w:rPr>
              <w:t>项目服务工程师支持情况</w:t>
            </w:r>
          </w:p>
        </w:tc>
        <w:tc>
          <w:tcPr>
            <w:tcW w:w="3482" w:type="pct"/>
            <w:noWrap w:val="0"/>
            <w:vAlign w:val="top"/>
          </w:tcPr>
          <w:p>
            <w:pPr>
              <w:adjustRightInd/>
              <w:rPr>
                <w:rFonts w:hint="eastAsia" w:ascii="仿宋" w:hAnsi="仿宋" w:eastAsia="仿宋" w:cs="仿宋"/>
                <w:color w:val="auto"/>
                <w:sz w:val="21"/>
                <w:szCs w:val="21"/>
              </w:rPr>
            </w:pPr>
            <w:r>
              <w:rPr>
                <w:rFonts w:hint="eastAsia" w:ascii="仿宋" w:hAnsi="仿宋" w:eastAsia="仿宋" w:cs="仿宋"/>
                <w:kern w:val="0"/>
                <w:szCs w:val="21"/>
              </w:rPr>
              <w:t>项目经理同时具有Oracle OCM、MySQL、DB2、PMP项目管理专业人士资格认证和工信部颁发的高级数据库管理工程师认证证书的得2分，</w:t>
            </w:r>
            <w:r>
              <w:rPr>
                <w:rFonts w:hint="eastAsia" w:ascii="仿宋" w:hAnsi="仿宋" w:eastAsia="仿宋" w:cs="仿宋"/>
                <w:kern w:val="0"/>
                <w:szCs w:val="21"/>
                <w:lang w:eastAsia="zh-CN"/>
              </w:rPr>
              <w:t>需提供</w:t>
            </w:r>
            <w:r>
              <w:rPr>
                <w:rFonts w:hint="eastAsia" w:ascii="仿宋" w:hAnsi="仿宋" w:eastAsia="仿宋" w:cs="仿宋"/>
                <w:color w:val="auto"/>
                <w:sz w:val="21"/>
                <w:szCs w:val="21"/>
              </w:rPr>
              <w:t>相关工程师证书复印件及近三个月社保缴纳证明</w:t>
            </w:r>
            <w:r>
              <w:rPr>
                <w:rFonts w:hint="eastAsia" w:ascii="仿宋" w:hAnsi="仿宋" w:eastAsia="仿宋" w:cs="仿宋"/>
                <w:color w:val="auto"/>
                <w:sz w:val="21"/>
                <w:szCs w:val="21"/>
                <w:lang w:eastAsia="zh-CN"/>
              </w:rPr>
              <w:t>均</w:t>
            </w:r>
            <w:r>
              <w:rPr>
                <w:rFonts w:hint="eastAsia" w:ascii="仿宋" w:hAnsi="仿宋" w:eastAsia="仿宋" w:cs="仿宋"/>
                <w:color w:val="auto"/>
                <w:sz w:val="21"/>
                <w:szCs w:val="21"/>
              </w:rPr>
              <w:t>加盖投标</w:t>
            </w:r>
            <w:r>
              <w:rPr>
                <w:rFonts w:hint="eastAsia" w:ascii="仿宋" w:hAnsi="仿宋" w:eastAsia="仿宋" w:cs="仿宋"/>
                <w:color w:val="auto"/>
                <w:sz w:val="21"/>
                <w:szCs w:val="21"/>
                <w:lang w:eastAsia="zh-CN"/>
              </w:rPr>
              <w:t>人</w:t>
            </w:r>
            <w:r>
              <w:rPr>
                <w:rFonts w:hint="eastAsia" w:ascii="仿宋" w:hAnsi="仿宋" w:eastAsia="仿宋" w:cs="仿宋"/>
                <w:color w:val="auto"/>
                <w:sz w:val="21"/>
                <w:szCs w:val="21"/>
              </w:rPr>
              <w:t>公章</w:t>
            </w:r>
            <w:r>
              <w:rPr>
                <w:rFonts w:hint="eastAsia" w:ascii="仿宋" w:hAnsi="仿宋" w:eastAsia="仿宋" w:cs="仿宋"/>
                <w:color w:val="auto"/>
                <w:sz w:val="21"/>
                <w:szCs w:val="21"/>
                <w:lang w:eastAsia="zh-CN"/>
              </w:rPr>
              <w:t>，</w:t>
            </w:r>
            <w:r>
              <w:rPr>
                <w:rFonts w:hint="eastAsia" w:ascii="仿宋" w:hAnsi="仿宋" w:eastAsia="仿宋" w:cs="仿宋"/>
                <w:kern w:val="0"/>
                <w:szCs w:val="21"/>
                <w:lang w:eastAsia="zh-CN"/>
              </w:rPr>
              <w:t>未提供</w:t>
            </w:r>
            <w:r>
              <w:rPr>
                <w:rFonts w:hint="eastAsia" w:ascii="仿宋" w:hAnsi="仿宋" w:eastAsia="仿宋" w:cs="仿宋"/>
                <w:kern w:val="0"/>
                <w:szCs w:val="21"/>
              </w:rPr>
              <w:t>不得分；</w:t>
            </w:r>
          </w:p>
        </w:tc>
        <w:tc>
          <w:tcPr>
            <w:tcW w:w="405" w:type="pct"/>
            <w:noWrap w:val="0"/>
            <w:vAlign w:val="center"/>
          </w:tcPr>
          <w:p>
            <w:pPr>
              <w:pStyle w:val="96"/>
              <w:adjustRightInd/>
              <w:jc w:val="center"/>
              <w:rPr>
                <w:rFonts w:hint="eastAsia" w:ascii="仿宋" w:hAnsi="仿宋" w:eastAsia="仿宋" w:cs="仿宋"/>
                <w:color w:val="auto"/>
                <w:sz w:val="21"/>
                <w:szCs w:val="21"/>
              </w:rPr>
            </w:pPr>
            <w:r>
              <w:rPr>
                <w:rFonts w:hint="eastAsia" w:ascii="仿宋" w:hAnsi="仿宋" w:eastAsia="仿宋" w:cs="仿宋"/>
                <w:color w:val="auto"/>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398" w:type="pct"/>
            <w:vMerge w:val="continue"/>
            <w:noWrap w:val="0"/>
            <w:vAlign w:val="top"/>
          </w:tcPr>
          <w:p>
            <w:pPr>
              <w:pStyle w:val="96"/>
              <w:adjustRightInd/>
              <w:rPr>
                <w:rFonts w:hint="eastAsia" w:ascii="仿宋" w:hAnsi="仿宋" w:eastAsia="仿宋" w:cs="仿宋"/>
                <w:color w:val="auto"/>
                <w:sz w:val="21"/>
                <w:szCs w:val="21"/>
              </w:rPr>
            </w:pPr>
          </w:p>
        </w:tc>
        <w:tc>
          <w:tcPr>
            <w:tcW w:w="713" w:type="pct"/>
            <w:vMerge w:val="continue"/>
            <w:noWrap w:val="0"/>
            <w:vAlign w:val="top"/>
          </w:tcPr>
          <w:p>
            <w:pPr>
              <w:pStyle w:val="96"/>
              <w:adjustRightInd/>
              <w:rPr>
                <w:rFonts w:hint="eastAsia" w:ascii="仿宋" w:hAnsi="仿宋" w:eastAsia="仿宋" w:cs="仿宋"/>
                <w:color w:val="auto"/>
                <w:sz w:val="21"/>
                <w:szCs w:val="21"/>
              </w:rPr>
            </w:pPr>
          </w:p>
        </w:tc>
        <w:tc>
          <w:tcPr>
            <w:tcW w:w="3482" w:type="pct"/>
            <w:noWrap w:val="0"/>
            <w:vAlign w:val="top"/>
          </w:tcPr>
          <w:p>
            <w:pPr>
              <w:pStyle w:val="96"/>
              <w:adjustRightInd/>
              <w:rPr>
                <w:rFonts w:hint="eastAsia" w:ascii="仿宋" w:hAnsi="仿宋" w:eastAsia="仿宋" w:cs="仿宋"/>
                <w:color w:val="auto"/>
                <w:sz w:val="21"/>
                <w:szCs w:val="21"/>
              </w:rPr>
            </w:pPr>
            <w:r>
              <w:rPr>
                <w:rFonts w:hint="eastAsia" w:ascii="仿宋" w:hAnsi="仿宋" w:eastAsia="仿宋" w:cs="仿宋"/>
                <w:color w:val="auto"/>
                <w:sz w:val="21"/>
                <w:szCs w:val="21"/>
              </w:rPr>
              <w:t>项目实施团队成员同时具有Oracle ACE Pro和PostgreSQL ACE称号的得2分，相关证书复印件及近三个月社保缴纳证明</w:t>
            </w:r>
            <w:r>
              <w:rPr>
                <w:rFonts w:hint="eastAsia" w:ascii="仿宋" w:hAnsi="仿宋" w:eastAsia="仿宋" w:cs="仿宋"/>
                <w:color w:val="auto"/>
                <w:sz w:val="21"/>
                <w:szCs w:val="21"/>
                <w:lang w:eastAsia="zh-CN"/>
              </w:rPr>
              <w:t>均</w:t>
            </w:r>
            <w:r>
              <w:rPr>
                <w:rFonts w:hint="eastAsia" w:ascii="仿宋" w:hAnsi="仿宋" w:eastAsia="仿宋" w:cs="仿宋"/>
                <w:color w:val="auto"/>
                <w:sz w:val="21"/>
                <w:szCs w:val="21"/>
              </w:rPr>
              <w:t>加盖投标</w:t>
            </w:r>
            <w:r>
              <w:rPr>
                <w:rFonts w:hint="eastAsia" w:ascii="仿宋" w:hAnsi="仿宋" w:eastAsia="仿宋" w:cs="仿宋"/>
                <w:color w:val="auto"/>
                <w:sz w:val="21"/>
                <w:szCs w:val="21"/>
                <w:lang w:eastAsia="zh-CN"/>
              </w:rPr>
              <w:t>人</w:t>
            </w:r>
            <w:r>
              <w:rPr>
                <w:rFonts w:hint="eastAsia" w:ascii="仿宋" w:hAnsi="仿宋" w:eastAsia="仿宋" w:cs="仿宋"/>
                <w:color w:val="auto"/>
                <w:sz w:val="21"/>
                <w:szCs w:val="21"/>
              </w:rPr>
              <w:t>公章</w:t>
            </w:r>
            <w:r>
              <w:rPr>
                <w:rFonts w:hint="eastAsia" w:ascii="仿宋" w:hAnsi="仿宋" w:eastAsia="仿宋" w:cs="仿宋"/>
                <w:color w:val="auto"/>
                <w:sz w:val="21"/>
                <w:szCs w:val="21"/>
                <w:lang w:eastAsia="zh-CN"/>
              </w:rPr>
              <w:t>，</w:t>
            </w:r>
            <w:r>
              <w:rPr>
                <w:rFonts w:hint="eastAsia" w:ascii="仿宋" w:hAnsi="仿宋" w:eastAsia="仿宋" w:cs="仿宋"/>
                <w:color w:val="auto"/>
                <w:kern w:val="0"/>
                <w:sz w:val="21"/>
                <w:szCs w:val="21"/>
                <w:lang w:eastAsia="zh-CN"/>
              </w:rPr>
              <w:t>未提供</w:t>
            </w:r>
            <w:r>
              <w:rPr>
                <w:rFonts w:hint="eastAsia" w:ascii="仿宋" w:hAnsi="仿宋" w:eastAsia="仿宋" w:cs="仿宋"/>
                <w:color w:val="auto"/>
                <w:kern w:val="0"/>
                <w:sz w:val="21"/>
                <w:szCs w:val="21"/>
              </w:rPr>
              <w:t>不得分；</w:t>
            </w:r>
          </w:p>
        </w:tc>
        <w:tc>
          <w:tcPr>
            <w:tcW w:w="405" w:type="pct"/>
            <w:noWrap w:val="0"/>
            <w:vAlign w:val="center"/>
          </w:tcPr>
          <w:p>
            <w:pPr>
              <w:pStyle w:val="96"/>
              <w:adjustRightInd/>
              <w:jc w:val="center"/>
              <w:rPr>
                <w:rFonts w:hint="eastAsia" w:ascii="仿宋" w:hAnsi="仿宋" w:eastAsia="仿宋" w:cs="仿宋"/>
                <w:color w:val="auto"/>
                <w:sz w:val="21"/>
                <w:szCs w:val="21"/>
              </w:rPr>
            </w:pPr>
            <w:r>
              <w:rPr>
                <w:rFonts w:hint="eastAsia" w:ascii="仿宋" w:hAnsi="仿宋" w:eastAsia="仿宋" w:cs="仿宋"/>
                <w:color w:val="auto"/>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398" w:type="pct"/>
            <w:vMerge w:val="continue"/>
            <w:noWrap w:val="0"/>
            <w:vAlign w:val="top"/>
          </w:tcPr>
          <w:p>
            <w:pPr>
              <w:pStyle w:val="96"/>
              <w:adjustRightInd/>
              <w:rPr>
                <w:rFonts w:hint="eastAsia" w:ascii="仿宋" w:hAnsi="仿宋" w:eastAsia="仿宋" w:cs="仿宋"/>
                <w:color w:val="auto"/>
                <w:sz w:val="21"/>
                <w:szCs w:val="21"/>
              </w:rPr>
            </w:pPr>
          </w:p>
        </w:tc>
        <w:tc>
          <w:tcPr>
            <w:tcW w:w="713" w:type="pct"/>
            <w:vMerge w:val="continue"/>
            <w:noWrap w:val="0"/>
            <w:vAlign w:val="top"/>
          </w:tcPr>
          <w:p>
            <w:pPr>
              <w:pStyle w:val="96"/>
              <w:adjustRightInd/>
              <w:rPr>
                <w:rFonts w:hint="eastAsia" w:ascii="仿宋" w:hAnsi="仿宋" w:eastAsia="仿宋" w:cs="仿宋"/>
                <w:color w:val="auto"/>
                <w:sz w:val="21"/>
                <w:szCs w:val="21"/>
              </w:rPr>
            </w:pPr>
          </w:p>
        </w:tc>
        <w:tc>
          <w:tcPr>
            <w:tcW w:w="3482" w:type="pct"/>
            <w:noWrap w:val="0"/>
            <w:vAlign w:val="top"/>
          </w:tcPr>
          <w:p>
            <w:pPr>
              <w:pStyle w:val="96"/>
              <w:adjustRightInd/>
              <w:rPr>
                <w:rFonts w:hint="eastAsia" w:ascii="仿宋" w:hAnsi="仿宋" w:eastAsia="仿宋" w:cs="仿宋"/>
                <w:color w:val="auto"/>
                <w:sz w:val="21"/>
                <w:szCs w:val="21"/>
              </w:rPr>
            </w:pPr>
            <w:r>
              <w:rPr>
                <w:rFonts w:hint="eastAsia" w:ascii="仿宋" w:hAnsi="仿宋" w:eastAsia="仿宋" w:cs="仿宋"/>
                <w:color w:val="auto"/>
                <w:sz w:val="21"/>
                <w:szCs w:val="21"/>
              </w:rPr>
              <w:t>项目实施团队成员同时具有Oracle OCM、Linux RHCE和WebLogic认证证书的得2分</w:t>
            </w:r>
            <w:r>
              <w:rPr>
                <w:rFonts w:hint="eastAsia" w:ascii="仿宋" w:hAnsi="仿宋" w:eastAsia="仿宋" w:cs="仿宋"/>
                <w:sz w:val="21"/>
                <w:szCs w:val="21"/>
              </w:rPr>
              <w:t>，</w:t>
            </w:r>
            <w:r>
              <w:rPr>
                <w:rFonts w:hint="eastAsia" w:ascii="仿宋" w:hAnsi="仿宋" w:eastAsia="仿宋" w:cs="仿宋"/>
                <w:color w:val="auto"/>
                <w:sz w:val="21"/>
                <w:szCs w:val="21"/>
              </w:rPr>
              <w:t>相关证书复印件及近三个月社保缴纳证明</w:t>
            </w:r>
            <w:r>
              <w:rPr>
                <w:rFonts w:hint="eastAsia" w:ascii="仿宋" w:hAnsi="仿宋" w:eastAsia="仿宋" w:cs="仿宋"/>
                <w:color w:val="auto"/>
                <w:sz w:val="21"/>
                <w:szCs w:val="21"/>
                <w:lang w:eastAsia="zh-CN"/>
              </w:rPr>
              <w:t>均</w:t>
            </w:r>
            <w:r>
              <w:rPr>
                <w:rFonts w:hint="eastAsia" w:ascii="仿宋" w:hAnsi="仿宋" w:eastAsia="仿宋" w:cs="仿宋"/>
                <w:color w:val="auto"/>
                <w:sz w:val="21"/>
                <w:szCs w:val="21"/>
              </w:rPr>
              <w:t>加盖投标</w:t>
            </w:r>
            <w:r>
              <w:rPr>
                <w:rFonts w:hint="eastAsia" w:ascii="仿宋" w:hAnsi="仿宋" w:eastAsia="仿宋" w:cs="仿宋"/>
                <w:color w:val="auto"/>
                <w:sz w:val="21"/>
                <w:szCs w:val="21"/>
                <w:lang w:eastAsia="zh-CN"/>
              </w:rPr>
              <w:t>人</w:t>
            </w:r>
            <w:r>
              <w:rPr>
                <w:rFonts w:hint="eastAsia" w:ascii="仿宋" w:hAnsi="仿宋" w:eastAsia="仿宋" w:cs="仿宋"/>
                <w:color w:val="auto"/>
                <w:sz w:val="21"/>
                <w:szCs w:val="21"/>
              </w:rPr>
              <w:t>公章</w:t>
            </w:r>
            <w:r>
              <w:rPr>
                <w:rFonts w:hint="eastAsia" w:ascii="仿宋" w:hAnsi="仿宋" w:eastAsia="仿宋" w:cs="仿宋"/>
                <w:color w:val="auto"/>
                <w:sz w:val="21"/>
                <w:szCs w:val="21"/>
                <w:lang w:eastAsia="zh-CN"/>
              </w:rPr>
              <w:t>，</w:t>
            </w:r>
            <w:r>
              <w:rPr>
                <w:rFonts w:hint="eastAsia" w:ascii="仿宋" w:hAnsi="仿宋" w:eastAsia="仿宋" w:cs="仿宋"/>
                <w:color w:val="auto"/>
                <w:kern w:val="0"/>
                <w:sz w:val="21"/>
                <w:szCs w:val="21"/>
                <w:lang w:eastAsia="zh-CN"/>
              </w:rPr>
              <w:t>未提供</w:t>
            </w:r>
            <w:r>
              <w:rPr>
                <w:rFonts w:hint="eastAsia" w:ascii="仿宋" w:hAnsi="仿宋" w:eastAsia="仿宋" w:cs="仿宋"/>
                <w:color w:val="auto"/>
                <w:kern w:val="0"/>
                <w:sz w:val="21"/>
                <w:szCs w:val="21"/>
              </w:rPr>
              <w:t>不得分；</w:t>
            </w:r>
          </w:p>
        </w:tc>
        <w:tc>
          <w:tcPr>
            <w:tcW w:w="405" w:type="pct"/>
            <w:noWrap w:val="0"/>
            <w:vAlign w:val="center"/>
          </w:tcPr>
          <w:p>
            <w:pPr>
              <w:pStyle w:val="96"/>
              <w:adjustRightInd/>
              <w:jc w:val="center"/>
              <w:rPr>
                <w:rFonts w:hint="eastAsia" w:ascii="仿宋" w:hAnsi="仿宋" w:eastAsia="仿宋" w:cs="仿宋"/>
                <w:color w:val="auto"/>
                <w:sz w:val="21"/>
                <w:szCs w:val="21"/>
              </w:rPr>
            </w:pPr>
            <w:r>
              <w:rPr>
                <w:rFonts w:hint="eastAsia" w:ascii="仿宋" w:hAnsi="仿宋" w:eastAsia="仿宋" w:cs="仿宋"/>
                <w:color w:val="auto"/>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398" w:type="pct"/>
            <w:vMerge w:val="continue"/>
            <w:noWrap w:val="0"/>
            <w:vAlign w:val="top"/>
          </w:tcPr>
          <w:p>
            <w:pPr>
              <w:pStyle w:val="96"/>
              <w:adjustRightInd/>
              <w:rPr>
                <w:rFonts w:hint="eastAsia" w:ascii="仿宋" w:hAnsi="仿宋" w:eastAsia="仿宋" w:cs="仿宋"/>
                <w:color w:val="auto"/>
                <w:sz w:val="21"/>
                <w:szCs w:val="21"/>
              </w:rPr>
            </w:pPr>
          </w:p>
        </w:tc>
        <w:tc>
          <w:tcPr>
            <w:tcW w:w="713" w:type="pct"/>
            <w:vMerge w:val="continue"/>
            <w:noWrap w:val="0"/>
            <w:vAlign w:val="top"/>
          </w:tcPr>
          <w:p>
            <w:pPr>
              <w:pStyle w:val="96"/>
              <w:adjustRightInd/>
              <w:rPr>
                <w:rFonts w:hint="eastAsia" w:ascii="仿宋" w:hAnsi="仿宋" w:eastAsia="仿宋" w:cs="仿宋"/>
                <w:color w:val="auto"/>
                <w:sz w:val="21"/>
                <w:szCs w:val="21"/>
              </w:rPr>
            </w:pPr>
          </w:p>
        </w:tc>
        <w:tc>
          <w:tcPr>
            <w:tcW w:w="3482" w:type="pct"/>
            <w:noWrap w:val="0"/>
            <w:vAlign w:val="top"/>
          </w:tcPr>
          <w:p>
            <w:pPr>
              <w:pStyle w:val="96"/>
              <w:adjustRightInd/>
              <w:rPr>
                <w:rFonts w:hint="eastAsia" w:ascii="仿宋" w:hAnsi="仿宋" w:eastAsia="仿宋" w:cs="仿宋"/>
                <w:color w:val="auto"/>
                <w:sz w:val="21"/>
                <w:szCs w:val="21"/>
              </w:rPr>
            </w:pPr>
            <w:r>
              <w:rPr>
                <w:rFonts w:hint="eastAsia" w:ascii="仿宋" w:hAnsi="仿宋" w:eastAsia="仿宋" w:cs="仿宋"/>
                <w:color w:val="auto"/>
                <w:sz w:val="21"/>
                <w:szCs w:val="21"/>
              </w:rPr>
              <w:t>项目实施团队成员同时具有MySQL认证证书和Oracle OCM认证证书的得</w:t>
            </w:r>
            <w:r>
              <w:rPr>
                <w:rFonts w:hint="eastAsia" w:ascii="仿宋" w:hAnsi="仿宋" w:eastAsia="仿宋" w:cs="仿宋"/>
                <w:sz w:val="21"/>
                <w:szCs w:val="21"/>
              </w:rPr>
              <w:t>1分，</w:t>
            </w:r>
            <w:r>
              <w:rPr>
                <w:rFonts w:hint="eastAsia" w:ascii="仿宋" w:hAnsi="仿宋" w:eastAsia="仿宋" w:cs="仿宋"/>
                <w:color w:val="auto"/>
                <w:sz w:val="21"/>
                <w:szCs w:val="21"/>
              </w:rPr>
              <w:t>相关证书复印件及近三个月社保缴纳证明</w:t>
            </w:r>
            <w:r>
              <w:rPr>
                <w:rFonts w:hint="eastAsia" w:ascii="仿宋" w:hAnsi="仿宋" w:eastAsia="仿宋" w:cs="仿宋"/>
                <w:color w:val="auto"/>
                <w:sz w:val="21"/>
                <w:szCs w:val="21"/>
                <w:lang w:eastAsia="zh-CN"/>
              </w:rPr>
              <w:t>均</w:t>
            </w:r>
            <w:r>
              <w:rPr>
                <w:rFonts w:hint="eastAsia" w:ascii="仿宋" w:hAnsi="仿宋" w:eastAsia="仿宋" w:cs="仿宋"/>
                <w:color w:val="auto"/>
                <w:sz w:val="21"/>
                <w:szCs w:val="21"/>
              </w:rPr>
              <w:t>加盖投标</w:t>
            </w:r>
            <w:r>
              <w:rPr>
                <w:rFonts w:hint="eastAsia" w:ascii="仿宋" w:hAnsi="仿宋" w:eastAsia="仿宋" w:cs="仿宋"/>
                <w:color w:val="auto"/>
                <w:sz w:val="21"/>
                <w:szCs w:val="21"/>
                <w:lang w:eastAsia="zh-CN"/>
              </w:rPr>
              <w:t>人</w:t>
            </w:r>
            <w:r>
              <w:rPr>
                <w:rFonts w:hint="eastAsia" w:ascii="仿宋" w:hAnsi="仿宋" w:eastAsia="仿宋" w:cs="仿宋"/>
                <w:color w:val="auto"/>
                <w:sz w:val="21"/>
                <w:szCs w:val="21"/>
              </w:rPr>
              <w:t>公章</w:t>
            </w:r>
            <w:r>
              <w:rPr>
                <w:rFonts w:hint="eastAsia" w:ascii="仿宋" w:hAnsi="仿宋" w:eastAsia="仿宋" w:cs="仿宋"/>
                <w:color w:val="auto"/>
                <w:sz w:val="21"/>
                <w:szCs w:val="21"/>
                <w:lang w:eastAsia="zh-CN"/>
              </w:rPr>
              <w:t>，</w:t>
            </w:r>
            <w:r>
              <w:rPr>
                <w:rFonts w:hint="eastAsia" w:ascii="仿宋" w:hAnsi="仿宋" w:eastAsia="仿宋" w:cs="仿宋"/>
                <w:color w:val="auto"/>
                <w:kern w:val="0"/>
                <w:sz w:val="21"/>
                <w:szCs w:val="21"/>
                <w:lang w:eastAsia="zh-CN"/>
              </w:rPr>
              <w:t>未提供</w:t>
            </w:r>
            <w:r>
              <w:rPr>
                <w:rFonts w:hint="eastAsia" w:ascii="仿宋" w:hAnsi="仿宋" w:eastAsia="仿宋" w:cs="仿宋"/>
                <w:color w:val="auto"/>
                <w:kern w:val="0"/>
                <w:sz w:val="21"/>
                <w:szCs w:val="21"/>
              </w:rPr>
              <w:t>不得分；</w:t>
            </w:r>
          </w:p>
        </w:tc>
        <w:tc>
          <w:tcPr>
            <w:tcW w:w="405" w:type="pct"/>
            <w:noWrap w:val="0"/>
            <w:vAlign w:val="center"/>
          </w:tcPr>
          <w:p>
            <w:pPr>
              <w:pStyle w:val="96"/>
              <w:adjustRightInd/>
              <w:jc w:val="center"/>
              <w:rPr>
                <w:rFonts w:hint="eastAsia" w:ascii="仿宋" w:hAnsi="仿宋" w:eastAsia="仿宋" w:cs="仿宋"/>
                <w:color w:val="auto"/>
                <w:sz w:val="21"/>
                <w:szCs w:val="21"/>
              </w:rPr>
            </w:pPr>
            <w:r>
              <w:rPr>
                <w:rFonts w:hint="eastAsia" w:ascii="仿宋" w:hAnsi="仿宋" w:eastAsia="仿宋" w:cs="仿宋"/>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398" w:type="pct"/>
            <w:vMerge w:val="continue"/>
            <w:noWrap w:val="0"/>
            <w:vAlign w:val="top"/>
          </w:tcPr>
          <w:p>
            <w:pPr>
              <w:pStyle w:val="96"/>
              <w:adjustRightInd/>
              <w:rPr>
                <w:rFonts w:hint="eastAsia" w:ascii="仿宋" w:hAnsi="仿宋" w:eastAsia="仿宋" w:cs="仿宋"/>
                <w:color w:val="auto"/>
                <w:sz w:val="21"/>
                <w:szCs w:val="21"/>
              </w:rPr>
            </w:pPr>
          </w:p>
        </w:tc>
        <w:tc>
          <w:tcPr>
            <w:tcW w:w="713" w:type="pct"/>
            <w:vMerge w:val="continue"/>
            <w:noWrap w:val="0"/>
            <w:vAlign w:val="top"/>
          </w:tcPr>
          <w:p>
            <w:pPr>
              <w:pStyle w:val="96"/>
              <w:adjustRightInd/>
              <w:rPr>
                <w:rFonts w:hint="eastAsia" w:ascii="仿宋" w:hAnsi="仿宋" w:eastAsia="仿宋" w:cs="仿宋"/>
                <w:color w:val="auto"/>
                <w:sz w:val="21"/>
                <w:szCs w:val="21"/>
              </w:rPr>
            </w:pPr>
          </w:p>
        </w:tc>
        <w:tc>
          <w:tcPr>
            <w:tcW w:w="3482" w:type="pct"/>
            <w:noWrap w:val="0"/>
            <w:vAlign w:val="top"/>
          </w:tcPr>
          <w:p>
            <w:pPr>
              <w:pStyle w:val="96"/>
              <w:adjustRightInd/>
              <w:rPr>
                <w:rFonts w:hint="eastAsia" w:ascii="仿宋" w:hAnsi="仿宋" w:eastAsia="仿宋" w:cs="仿宋"/>
                <w:strike/>
                <w:color w:val="FF0000"/>
                <w:sz w:val="21"/>
                <w:szCs w:val="21"/>
              </w:rPr>
            </w:pPr>
            <w:r>
              <w:rPr>
                <w:rFonts w:hint="eastAsia" w:ascii="仿宋" w:hAnsi="仿宋" w:eastAsia="仿宋" w:cs="仿宋"/>
                <w:color w:val="auto"/>
                <w:sz w:val="21"/>
                <w:szCs w:val="21"/>
              </w:rPr>
              <w:t>项目实施团队成员同时具有</w:t>
            </w:r>
            <w:r>
              <w:rPr>
                <w:rFonts w:hint="eastAsia" w:ascii="仿宋" w:hAnsi="仿宋" w:eastAsia="仿宋" w:cs="仿宋"/>
                <w:color w:val="auto"/>
                <w:sz w:val="21"/>
              </w:rPr>
              <w:t>超过十年以上的Oracle OCM认证证书的，得1分，</w:t>
            </w:r>
            <w:r>
              <w:rPr>
                <w:rFonts w:hint="eastAsia" w:ascii="仿宋" w:hAnsi="仿宋" w:eastAsia="仿宋" w:cs="仿宋"/>
                <w:color w:val="auto"/>
                <w:sz w:val="21"/>
                <w:szCs w:val="21"/>
              </w:rPr>
              <w:t>相关证书复印件及近三个月社保缴纳证明</w:t>
            </w:r>
            <w:r>
              <w:rPr>
                <w:rFonts w:hint="eastAsia" w:ascii="仿宋" w:hAnsi="仿宋" w:eastAsia="仿宋" w:cs="仿宋"/>
                <w:color w:val="auto"/>
                <w:sz w:val="21"/>
                <w:szCs w:val="21"/>
                <w:lang w:eastAsia="zh-CN"/>
              </w:rPr>
              <w:t>均</w:t>
            </w:r>
            <w:r>
              <w:rPr>
                <w:rFonts w:hint="eastAsia" w:ascii="仿宋" w:hAnsi="仿宋" w:eastAsia="仿宋" w:cs="仿宋"/>
                <w:color w:val="auto"/>
                <w:sz w:val="21"/>
                <w:szCs w:val="21"/>
              </w:rPr>
              <w:t>加盖投标</w:t>
            </w:r>
            <w:r>
              <w:rPr>
                <w:rFonts w:hint="eastAsia" w:ascii="仿宋" w:hAnsi="仿宋" w:eastAsia="仿宋" w:cs="仿宋"/>
                <w:color w:val="auto"/>
                <w:sz w:val="21"/>
                <w:szCs w:val="21"/>
                <w:lang w:eastAsia="zh-CN"/>
              </w:rPr>
              <w:t>人</w:t>
            </w:r>
            <w:r>
              <w:rPr>
                <w:rFonts w:hint="eastAsia" w:ascii="仿宋" w:hAnsi="仿宋" w:eastAsia="仿宋" w:cs="仿宋"/>
                <w:color w:val="auto"/>
                <w:sz w:val="21"/>
                <w:szCs w:val="21"/>
              </w:rPr>
              <w:t>公章</w:t>
            </w:r>
            <w:r>
              <w:rPr>
                <w:rFonts w:hint="eastAsia" w:ascii="仿宋" w:hAnsi="仿宋" w:eastAsia="仿宋" w:cs="仿宋"/>
                <w:color w:val="auto"/>
                <w:sz w:val="21"/>
                <w:szCs w:val="21"/>
                <w:lang w:eastAsia="zh-CN"/>
              </w:rPr>
              <w:t>，</w:t>
            </w:r>
            <w:r>
              <w:rPr>
                <w:rFonts w:hint="eastAsia" w:ascii="仿宋" w:hAnsi="仿宋" w:eastAsia="仿宋" w:cs="仿宋"/>
                <w:color w:val="auto"/>
                <w:kern w:val="0"/>
                <w:sz w:val="21"/>
                <w:szCs w:val="21"/>
                <w:lang w:eastAsia="zh-CN"/>
              </w:rPr>
              <w:t>未提供</w:t>
            </w:r>
            <w:r>
              <w:rPr>
                <w:rFonts w:hint="eastAsia" w:ascii="仿宋" w:hAnsi="仿宋" w:eastAsia="仿宋" w:cs="仿宋"/>
                <w:color w:val="auto"/>
                <w:kern w:val="0"/>
                <w:sz w:val="21"/>
                <w:szCs w:val="21"/>
              </w:rPr>
              <w:t>不得分；</w:t>
            </w:r>
          </w:p>
        </w:tc>
        <w:tc>
          <w:tcPr>
            <w:tcW w:w="405" w:type="pct"/>
            <w:noWrap w:val="0"/>
            <w:vAlign w:val="center"/>
          </w:tcPr>
          <w:p>
            <w:pPr>
              <w:pStyle w:val="96"/>
              <w:adjustRightInd/>
              <w:jc w:val="center"/>
              <w:rPr>
                <w:rFonts w:hint="eastAsia" w:ascii="仿宋" w:hAnsi="仿宋" w:eastAsia="仿宋" w:cs="仿宋"/>
                <w:color w:val="auto"/>
                <w:sz w:val="21"/>
                <w:szCs w:val="21"/>
              </w:rPr>
            </w:pPr>
            <w:r>
              <w:rPr>
                <w:rFonts w:hint="eastAsia" w:ascii="仿宋" w:hAnsi="仿宋" w:eastAsia="仿宋" w:cs="仿宋"/>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398" w:type="pct"/>
            <w:vMerge w:val="continue"/>
            <w:noWrap w:val="0"/>
            <w:vAlign w:val="top"/>
          </w:tcPr>
          <w:p>
            <w:pPr>
              <w:pStyle w:val="96"/>
              <w:adjustRightInd/>
              <w:rPr>
                <w:rFonts w:hint="eastAsia" w:ascii="仿宋" w:hAnsi="仿宋" w:eastAsia="仿宋" w:cs="仿宋"/>
                <w:color w:val="auto"/>
                <w:sz w:val="21"/>
                <w:szCs w:val="21"/>
              </w:rPr>
            </w:pPr>
          </w:p>
        </w:tc>
        <w:tc>
          <w:tcPr>
            <w:tcW w:w="713" w:type="pct"/>
            <w:vMerge w:val="continue"/>
            <w:noWrap w:val="0"/>
            <w:vAlign w:val="top"/>
          </w:tcPr>
          <w:p>
            <w:pPr>
              <w:pStyle w:val="96"/>
              <w:adjustRightInd/>
              <w:rPr>
                <w:rFonts w:hint="eastAsia" w:ascii="仿宋" w:hAnsi="仿宋" w:eastAsia="仿宋" w:cs="仿宋"/>
                <w:color w:val="auto"/>
                <w:sz w:val="21"/>
                <w:szCs w:val="21"/>
              </w:rPr>
            </w:pPr>
          </w:p>
        </w:tc>
        <w:tc>
          <w:tcPr>
            <w:tcW w:w="3482" w:type="pct"/>
            <w:noWrap w:val="0"/>
            <w:vAlign w:val="top"/>
          </w:tcPr>
          <w:p>
            <w:pPr>
              <w:pStyle w:val="96"/>
              <w:adjustRightInd/>
              <w:rPr>
                <w:rFonts w:hint="eastAsia" w:ascii="仿宋" w:hAnsi="仿宋" w:eastAsia="仿宋" w:cs="仿宋"/>
                <w:color w:val="auto"/>
                <w:sz w:val="21"/>
                <w:szCs w:val="21"/>
              </w:rPr>
            </w:pPr>
            <w:r>
              <w:rPr>
                <w:rFonts w:hint="eastAsia" w:ascii="仿宋" w:hAnsi="仿宋" w:eastAsia="仿宋" w:cs="仿宋"/>
                <w:color w:val="auto"/>
                <w:sz w:val="21"/>
                <w:szCs w:val="21"/>
              </w:rPr>
              <w:t>项目实施团队提供至少4名</w:t>
            </w:r>
            <w:r>
              <w:rPr>
                <w:rFonts w:hint="eastAsia" w:ascii="仿宋" w:hAnsi="仿宋" w:eastAsia="仿宋" w:cs="仿宋"/>
                <w:color w:val="auto"/>
                <w:sz w:val="21"/>
              </w:rPr>
              <w:t>具有Oracle OCM认证证书工程师的</w:t>
            </w:r>
            <w:r>
              <w:rPr>
                <w:rFonts w:hint="eastAsia" w:ascii="仿宋" w:hAnsi="仿宋" w:eastAsia="仿宋" w:cs="仿宋"/>
                <w:sz w:val="21"/>
              </w:rPr>
              <w:t>得2分，</w:t>
            </w:r>
            <w:r>
              <w:rPr>
                <w:rFonts w:hint="eastAsia" w:ascii="仿宋" w:hAnsi="仿宋" w:eastAsia="仿宋" w:cs="仿宋"/>
                <w:color w:val="auto"/>
                <w:sz w:val="21"/>
                <w:szCs w:val="21"/>
              </w:rPr>
              <w:t>相关证书复印件及近三个月社保缴纳证明</w:t>
            </w:r>
            <w:r>
              <w:rPr>
                <w:rFonts w:hint="eastAsia" w:ascii="仿宋" w:hAnsi="仿宋" w:eastAsia="仿宋" w:cs="仿宋"/>
                <w:color w:val="auto"/>
                <w:sz w:val="21"/>
                <w:szCs w:val="21"/>
                <w:lang w:eastAsia="zh-CN"/>
              </w:rPr>
              <w:t>均</w:t>
            </w:r>
            <w:r>
              <w:rPr>
                <w:rFonts w:hint="eastAsia" w:ascii="仿宋" w:hAnsi="仿宋" w:eastAsia="仿宋" w:cs="仿宋"/>
                <w:color w:val="auto"/>
                <w:sz w:val="21"/>
                <w:szCs w:val="21"/>
              </w:rPr>
              <w:t>加盖投标</w:t>
            </w:r>
            <w:r>
              <w:rPr>
                <w:rFonts w:hint="eastAsia" w:ascii="仿宋" w:hAnsi="仿宋" w:eastAsia="仿宋" w:cs="仿宋"/>
                <w:color w:val="auto"/>
                <w:sz w:val="21"/>
                <w:szCs w:val="21"/>
                <w:lang w:eastAsia="zh-CN"/>
              </w:rPr>
              <w:t>人</w:t>
            </w:r>
            <w:r>
              <w:rPr>
                <w:rFonts w:hint="eastAsia" w:ascii="仿宋" w:hAnsi="仿宋" w:eastAsia="仿宋" w:cs="仿宋"/>
                <w:color w:val="auto"/>
                <w:sz w:val="21"/>
                <w:szCs w:val="21"/>
              </w:rPr>
              <w:t>公章</w:t>
            </w:r>
            <w:r>
              <w:rPr>
                <w:rFonts w:hint="eastAsia" w:ascii="仿宋" w:hAnsi="仿宋" w:eastAsia="仿宋" w:cs="仿宋"/>
                <w:color w:val="auto"/>
                <w:sz w:val="21"/>
                <w:szCs w:val="21"/>
                <w:lang w:eastAsia="zh-CN"/>
              </w:rPr>
              <w:t>，</w:t>
            </w:r>
            <w:r>
              <w:rPr>
                <w:rFonts w:hint="eastAsia" w:ascii="仿宋" w:hAnsi="仿宋" w:eastAsia="仿宋" w:cs="仿宋"/>
                <w:color w:val="auto"/>
                <w:kern w:val="0"/>
                <w:sz w:val="21"/>
                <w:szCs w:val="21"/>
                <w:lang w:eastAsia="zh-CN"/>
              </w:rPr>
              <w:t>未提供</w:t>
            </w:r>
            <w:r>
              <w:rPr>
                <w:rFonts w:hint="eastAsia" w:ascii="仿宋" w:hAnsi="仿宋" w:eastAsia="仿宋" w:cs="仿宋"/>
                <w:color w:val="auto"/>
                <w:kern w:val="0"/>
                <w:sz w:val="21"/>
                <w:szCs w:val="21"/>
              </w:rPr>
              <w:t>不得分；</w:t>
            </w:r>
          </w:p>
        </w:tc>
        <w:tc>
          <w:tcPr>
            <w:tcW w:w="405" w:type="pct"/>
            <w:noWrap w:val="0"/>
            <w:vAlign w:val="center"/>
          </w:tcPr>
          <w:p>
            <w:pPr>
              <w:pStyle w:val="96"/>
              <w:adjustRightInd/>
              <w:jc w:val="center"/>
              <w:rPr>
                <w:rFonts w:hint="eastAsia" w:ascii="仿宋" w:hAnsi="仿宋" w:eastAsia="仿宋" w:cs="仿宋"/>
                <w:color w:val="auto"/>
                <w:sz w:val="21"/>
                <w:szCs w:val="21"/>
              </w:rPr>
            </w:pPr>
            <w:r>
              <w:rPr>
                <w:rFonts w:hint="eastAsia" w:ascii="仿宋" w:hAnsi="仿宋" w:eastAsia="仿宋" w:cs="仿宋"/>
                <w:color w:val="auto"/>
                <w:sz w:val="21"/>
                <w:szCs w:val="21"/>
              </w:rPr>
              <w:t>2</w:t>
            </w:r>
          </w:p>
        </w:tc>
      </w:tr>
    </w:tbl>
    <w:p>
      <w:pPr>
        <w:spacing w:line="440" w:lineRule="exact"/>
        <w:rPr>
          <w:rFonts w:hint="eastAsia" w:ascii="仿宋" w:hAnsi="仿宋" w:eastAsia="仿宋" w:cs="仿宋"/>
          <w:color w:val="auto"/>
          <w:szCs w:val="21"/>
          <w:highlight w:val="none"/>
        </w:rPr>
      </w:pPr>
      <w:r>
        <w:rPr>
          <w:rFonts w:hint="eastAsia" w:ascii="仿宋" w:hAnsi="仿宋" w:eastAsia="仿宋" w:cs="仿宋"/>
          <w:b/>
          <w:bCs/>
          <w:iCs/>
          <w:color w:val="auto"/>
          <w:sz w:val="24"/>
          <w:highlight w:val="none"/>
        </w:rPr>
        <w:t>2.2价格分：30分</w:t>
      </w:r>
    </w:p>
    <w:p>
      <w:pPr>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pPr>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r>
        <w:rPr>
          <w:rFonts w:hint="eastAsia" w:ascii="仿宋" w:hAnsi="仿宋" w:eastAsia="仿宋" w:cs="仿宋"/>
          <w:color w:val="auto"/>
          <w:sz w:val="24"/>
          <w:highlight w:val="none"/>
        </w:rPr>
        <w:t>保留小数2位</w:t>
      </w:r>
      <w:r>
        <w:rPr>
          <w:rFonts w:hint="eastAsia" w:ascii="仿宋" w:hAnsi="仿宋" w:eastAsia="仿宋" w:cs="仿宋"/>
          <w:bCs/>
          <w:iCs/>
          <w:color w:val="auto"/>
          <w:sz w:val="24"/>
          <w:highlight w:val="none"/>
        </w:rPr>
        <w:t>)：</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pPr>
        <w:snapToGrid w:val="0"/>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即：投标报价得分=(评标基准价／投标报价)×30</w:t>
      </w:r>
    </w:p>
    <w:p>
      <w:pPr>
        <w:widowControl/>
        <w:snapToGrid w:val="0"/>
        <w:spacing w:line="480" w:lineRule="exact"/>
        <w:rPr>
          <w:rFonts w:hint="eastAsia" w:ascii="仿宋" w:hAnsi="仿宋" w:eastAsia="仿宋" w:cs="仿宋"/>
          <w:bCs/>
          <w:iCs/>
          <w:color w:val="auto"/>
          <w:sz w:val="24"/>
          <w:highlight w:val="none"/>
          <w:u w:val="single"/>
        </w:rPr>
      </w:pPr>
    </w:p>
    <w:bookmarkEnd w:id="6"/>
    <w:bookmarkEnd w:id="7"/>
    <w:bookmarkEnd w:id="8"/>
    <w:bookmarkEnd w:id="9"/>
    <w:p>
      <w:pPr>
        <w:pageBreakBefore/>
        <w:snapToGrid w:val="0"/>
        <w:spacing w:line="360" w:lineRule="auto"/>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r>
        <w:rPr>
          <w:rFonts w:hint="eastAsia" w:ascii="仿宋" w:hAnsi="仿宋" w:eastAsia="仿宋" w:cs="仿宋"/>
          <w:b/>
          <w:color w:val="auto"/>
          <w:sz w:val="36"/>
          <w:szCs w:val="36"/>
          <w:highlight w:val="none"/>
        </w:rPr>
        <w:t>投标文件</w:t>
      </w:r>
      <w:r>
        <w:rPr>
          <w:rFonts w:hint="eastAsia" w:ascii="仿宋" w:hAnsi="仿宋" w:eastAsia="仿宋" w:cs="仿宋"/>
          <w:b/>
          <w:color w:val="auto"/>
          <w:sz w:val="36"/>
          <w:szCs w:val="20"/>
          <w:highlight w:val="none"/>
        </w:rPr>
        <w:t>应提交的有关格式范例</w:t>
      </w:r>
    </w:p>
    <w:p>
      <w:pPr>
        <w:spacing w:line="360" w:lineRule="auto"/>
        <w:ind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投标人按照以下格式编制投标文件，并将报价文件、商务技术（资信）文件分别装订成册。</w:t>
      </w:r>
    </w:p>
    <w:p>
      <w:pPr>
        <w:spacing w:line="360" w:lineRule="auto"/>
        <w:ind w:firstLine="480" w:firstLineChars="200"/>
        <w:outlineLvl w:val="0"/>
        <w:rPr>
          <w:rFonts w:hint="eastAsia" w:ascii="仿宋" w:hAnsi="仿宋" w:eastAsia="仿宋" w:cs="仿宋"/>
          <w:color w:val="auto"/>
          <w:sz w:val="24"/>
          <w:highlight w:val="none"/>
        </w:rPr>
      </w:pPr>
    </w:p>
    <w:p>
      <w:pPr>
        <w:spacing w:line="360" w:lineRule="auto"/>
        <w:ind w:firstLine="480" w:firstLineChars="200"/>
        <w:outlineLvl w:val="0"/>
        <w:rPr>
          <w:rFonts w:hint="eastAsia" w:ascii="仿宋" w:hAnsi="仿宋" w:eastAsia="仿宋" w:cs="仿宋"/>
          <w:color w:val="auto"/>
          <w:sz w:val="24"/>
          <w:highlight w:val="none"/>
        </w:rPr>
      </w:pPr>
    </w:p>
    <w:p>
      <w:pPr>
        <w:spacing w:line="360" w:lineRule="auto"/>
        <w:ind w:firstLine="480" w:firstLineChars="200"/>
        <w:outlineLvl w:val="0"/>
        <w:rPr>
          <w:rFonts w:hint="eastAsia" w:ascii="仿宋" w:hAnsi="仿宋" w:eastAsia="仿宋" w:cs="仿宋"/>
          <w:color w:val="auto"/>
          <w:sz w:val="24"/>
          <w:highlight w:val="none"/>
        </w:rPr>
      </w:pPr>
    </w:p>
    <w:p>
      <w:pPr>
        <w:spacing w:line="360" w:lineRule="auto"/>
        <w:ind w:firstLine="480" w:firstLineChars="200"/>
        <w:outlineLvl w:val="0"/>
        <w:rPr>
          <w:rFonts w:hint="eastAsia" w:ascii="仿宋" w:hAnsi="仿宋" w:eastAsia="仿宋" w:cs="仿宋"/>
          <w:color w:val="auto"/>
          <w:sz w:val="24"/>
          <w:highlight w:val="none"/>
        </w:rPr>
      </w:pPr>
    </w:p>
    <w:p>
      <w:pPr>
        <w:spacing w:line="360" w:lineRule="auto"/>
        <w:ind w:firstLine="480" w:firstLineChars="200"/>
        <w:outlineLvl w:val="0"/>
        <w:rPr>
          <w:rFonts w:hint="eastAsia" w:ascii="仿宋" w:hAnsi="仿宋" w:eastAsia="仿宋" w:cs="仿宋"/>
          <w:color w:val="auto"/>
          <w:sz w:val="24"/>
          <w:highlight w:val="none"/>
        </w:rPr>
      </w:pPr>
    </w:p>
    <w:p>
      <w:pPr>
        <w:snapToGrid w:val="0"/>
        <w:spacing w:line="360" w:lineRule="auto"/>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pPr>
        <w:spacing w:line="360" w:lineRule="auto"/>
        <w:jc w:val="center"/>
        <w:outlineLvl w:val="0"/>
        <w:rPr>
          <w:rFonts w:hint="eastAsia" w:ascii="仿宋" w:hAnsi="仿宋" w:eastAsia="仿宋" w:cs="仿宋"/>
          <w:b/>
          <w:color w:val="auto"/>
          <w:kern w:val="0"/>
          <w:sz w:val="24"/>
          <w:highlight w:val="none"/>
        </w:rPr>
      </w:pP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（1）投标响应函……………………………………………………（页码）</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（2）开标一览表……………………………………………………（页码）</w:t>
      </w:r>
    </w:p>
    <w:p>
      <w:pPr>
        <w:spacing w:line="360" w:lineRule="auto"/>
        <w:ind w:left="2" w:firstLine="480" w:firstLineChars="200"/>
        <w:rPr>
          <w:rFonts w:hint="eastAsia" w:ascii="仿宋" w:hAnsi="仿宋" w:eastAsia="仿宋" w:cs="仿宋"/>
          <w:color w:val="auto"/>
          <w:kern w:val="0"/>
          <w:sz w:val="24"/>
          <w:highlight w:val="none"/>
        </w:rPr>
      </w:pPr>
    </w:p>
    <w:p>
      <w:pPr>
        <w:spacing w:line="360" w:lineRule="auto"/>
        <w:ind w:left="2" w:firstLine="480" w:firstLineChars="200"/>
        <w:rPr>
          <w:rFonts w:hint="eastAsia" w:ascii="仿宋" w:hAnsi="仿宋" w:eastAsia="仿宋" w:cs="仿宋"/>
          <w:color w:val="auto"/>
          <w:kern w:val="0"/>
          <w:sz w:val="24"/>
          <w:highlight w:val="none"/>
        </w:rPr>
      </w:pPr>
    </w:p>
    <w:p>
      <w:pPr>
        <w:spacing w:line="360" w:lineRule="auto"/>
        <w:ind w:left="2" w:firstLine="480" w:firstLineChars="200"/>
        <w:rPr>
          <w:rFonts w:hint="eastAsia" w:ascii="仿宋" w:hAnsi="仿宋" w:eastAsia="仿宋" w:cs="仿宋"/>
          <w:color w:val="auto"/>
          <w:kern w:val="0"/>
          <w:sz w:val="24"/>
          <w:highlight w:val="none"/>
        </w:rPr>
      </w:pPr>
    </w:p>
    <w:p>
      <w:pPr>
        <w:spacing w:line="360" w:lineRule="auto"/>
        <w:ind w:left="2" w:firstLine="480" w:firstLineChars="200"/>
        <w:rPr>
          <w:rFonts w:hint="eastAsia" w:ascii="仿宋" w:hAnsi="仿宋" w:eastAsia="仿宋" w:cs="仿宋"/>
          <w:color w:val="auto"/>
          <w:sz w:val="24"/>
          <w:highlight w:val="none"/>
        </w:rPr>
      </w:pPr>
    </w:p>
    <w:p>
      <w:pPr>
        <w:pStyle w:val="18"/>
        <w:spacing w:line="800" w:lineRule="atLeast"/>
        <w:ind w:left="0" w:leftChars="0"/>
        <w:rPr>
          <w:rFonts w:hint="eastAsia" w:ascii="仿宋" w:hAnsi="仿宋" w:eastAsia="仿宋" w:cs="仿宋"/>
          <w:b/>
          <w:color w:val="auto"/>
          <w:sz w:val="36"/>
          <w:szCs w:val="36"/>
          <w:highlight w:val="none"/>
        </w:rPr>
      </w:pPr>
    </w:p>
    <w:p>
      <w:pPr>
        <w:pStyle w:val="18"/>
        <w:spacing w:line="800" w:lineRule="atLeast"/>
        <w:ind w:left="0" w:leftChars="0"/>
        <w:rPr>
          <w:rFonts w:hint="eastAsia" w:ascii="仿宋" w:hAnsi="仿宋" w:eastAsia="仿宋" w:cs="仿宋"/>
          <w:b/>
          <w:color w:val="auto"/>
          <w:sz w:val="36"/>
          <w:szCs w:val="36"/>
          <w:highlight w:val="none"/>
        </w:rPr>
      </w:pPr>
    </w:p>
    <w:p>
      <w:pPr>
        <w:pStyle w:val="18"/>
        <w:spacing w:line="800" w:lineRule="atLeast"/>
        <w:ind w:left="0" w:leftChars="0"/>
        <w:rPr>
          <w:rFonts w:hint="eastAsia" w:ascii="仿宋" w:hAnsi="仿宋" w:eastAsia="仿宋" w:cs="仿宋"/>
          <w:b/>
          <w:color w:val="auto"/>
          <w:sz w:val="36"/>
          <w:szCs w:val="36"/>
          <w:highlight w:val="none"/>
        </w:rPr>
      </w:pPr>
    </w:p>
    <w:p>
      <w:pPr>
        <w:pStyle w:val="18"/>
        <w:spacing w:line="800" w:lineRule="atLeast"/>
        <w:ind w:left="0" w:leftChars="0"/>
        <w:rPr>
          <w:rFonts w:hint="eastAsia" w:ascii="仿宋" w:hAnsi="仿宋" w:eastAsia="仿宋" w:cs="仿宋"/>
          <w:b/>
          <w:color w:val="auto"/>
          <w:sz w:val="36"/>
          <w:szCs w:val="36"/>
          <w:highlight w:val="none"/>
        </w:rPr>
      </w:pPr>
    </w:p>
    <w:p>
      <w:pPr>
        <w:rPr>
          <w:rFonts w:hint="eastAsia" w:ascii="仿宋" w:hAnsi="仿宋" w:eastAsia="仿宋" w:cs="仿宋"/>
          <w:b/>
          <w:color w:val="auto"/>
          <w:sz w:val="30"/>
          <w:szCs w:val="30"/>
          <w:highlight w:val="none"/>
        </w:rPr>
      </w:pPr>
    </w:p>
    <w:p>
      <w:pPr>
        <w:pageBreakBefore/>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1、投标响应函（格式）</w:t>
      </w:r>
    </w:p>
    <w:p>
      <w:pPr>
        <w:pStyle w:val="56"/>
        <w:spacing w:afterLines="0" w:line="440" w:lineRule="exact"/>
        <w:ind w:firstLine="0" w:firstLineChars="0"/>
        <w:rPr>
          <w:rFonts w:hint="eastAsia" w:ascii="仿宋" w:hAnsi="仿宋" w:eastAsia="仿宋" w:cs="仿宋"/>
          <w:color w:val="auto"/>
          <w:szCs w:val="24"/>
          <w:highlight w:val="none"/>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rPr>
        <w:t>绍兴市中医院、泰宇建筑工程技术咨询有限公司</w:t>
      </w:r>
    </w:p>
    <w:p>
      <w:pPr>
        <w:pStyle w:val="56"/>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）的要求，正式授权下述签字人</w:t>
      </w:r>
      <w:r>
        <w:rPr>
          <w:rFonts w:hint="eastAsia" w:ascii="仿宋" w:hAnsi="仿宋" w:eastAsia="仿宋" w:cs="仿宋"/>
          <w:b/>
          <w:color w:val="auto"/>
          <w:szCs w:val="24"/>
          <w:highlight w:val="none"/>
          <w:u w:val="single"/>
        </w:rPr>
        <w:t>（填写姓名、单位、职务）</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填写单位、地址</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pPr>
        <w:pStyle w:val="56"/>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pPr>
        <w:pStyle w:val="12"/>
        <w:tabs>
          <w:tab w:val="clear" w:pos="1697"/>
        </w:tabs>
        <w:spacing w:afterLines="0" w:line="440" w:lineRule="exact"/>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1.</w:t>
      </w:r>
      <w:r>
        <w:rPr>
          <w:rFonts w:hint="eastAsia" w:ascii="仿宋" w:hAnsi="仿宋" w:eastAsia="仿宋" w:cs="仿宋"/>
          <w:color w:val="auto"/>
          <w:highlight w:val="none"/>
        </w:rPr>
        <w:t>我方同意在投标人</w:t>
      </w:r>
      <w:r>
        <w:rPr>
          <w:rFonts w:hint="eastAsia" w:ascii="仿宋" w:hAnsi="仿宋" w:eastAsia="仿宋" w:cs="仿宋"/>
          <w:color w:val="auto"/>
          <w:kern w:val="44"/>
          <w:highlight w:val="none"/>
        </w:rPr>
        <w:t>须知</w:t>
      </w:r>
      <w:r>
        <w:rPr>
          <w:rFonts w:hint="eastAsia" w:ascii="仿宋" w:hAnsi="仿宋" w:eastAsia="仿宋" w:cs="仿宋"/>
          <w:color w:val="auto"/>
          <w:highlight w:val="none"/>
        </w:rPr>
        <w:t>规定的开标日期起遵守本投标文件中的承诺且在投标有效期满之前均具有约束力</w:t>
      </w:r>
      <w:r>
        <w:rPr>
          <w:rFonts w:hint="eastAsia" w:ascii="仿宋" w:hAnsi="仿宋" w:eastAsia="仿宋" w:cs="仿宋"/>
          <w:color w:val="auto"/>
          <w:szCs w:val="24"/>
          <w:highlight w:val="none"/>
        </w:rPr>
        <w:t>。</w:t>
      </w:r>
    </w:p>
    <w:p>
      <w:pPr>
        <w:pStyle w:val="56"/>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pPr>
        <w:pStyle w:val="56"/>
        <w:spacing w:afterLines="0" w:line="440" w:lineRule="exact"/>
        <w:ind w:firstLine="480"/>
        <w:rPr>
          <w:rFonts w:hint="eastAsia" w:ascii="仿宋" w:hAnsi="仿宋" w:eastAsia="仿宋" w:cs="仿宋"/>
          <w:color w:val="auto"/>
          <w:highlight w:val="none"/>
        </w:rPr>
      </w:pPr>
      <w:r>
        <w:rPr>
          <w:rFonts w:hint="eastAsia" w:ascii="仿宋" w:hAnsi="仿宋" w:eastAsia="仿宋" w:cs="仿宋"/>
          <w:color w:val="auto"/>
          <w:szCs w:val="24"/>
          <w:highlight w:val="none"/>
        </w:rPr>
        <w:t>3.</w:t>
      </w:r>
      <w:r>
        <w:rPr>
          <w:rFonts w:hint="eastAsia" w:ascii="仿宋" w:hAnsi="仿宋" w:eastAsia="仿宋" w:cs="仿宋"/>
          <w:color w:val="auto"/>
          <w:highlight w:val="none"/>
        </w:rPr>
        <w:t>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56"/>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pPr>
        <w:pStyle w:val="12"/>
        <w:tabs>
          <w:tab w:val="clear" w:pos="1697"/>
        </w:tabs>
        <w:spacing w:afterLines="0" w:line="440" w:lineRule="exact"/>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highlight w:val="none"/>
        </w:rPr>
        <w:t>5.</w:t>
      </w:r>
      <w:r>
        <w:rPr>
          <w:rFonts w:hint="eastAsia" w:ascii="仿宋" w:hAnsi="仿宋" w:eastAsia="仿宋" w:cs="仿宋"/>
          <w:color w:val="auto"/>
          <w:szCs w:val="24"/>
          <w:highlight w:val="none"/>
        </w:rPr>
        <w:t>本投标自开标之日（投标截止之日）起90天内有效。</w:t>
      </w:r>
    </w:p>
    <w:p>
      <w:pPr>
        <w:pStyle w:val="56"/>
        <w:spacing w:afterLines="0" w:line="440" w:lineRule="exact"/>
        <w:ind w:firstLine="480"/>
        <w:rPr>
          <w:rFonts w:hint="eastAsia" w:ascii="仿宋" w:hAnsi="仿宋" w:eastAsia="仿宋" w:cs="仿宋"/>
          <w:color w:val="auto"/>
          <w:highlight w:val="none"/>
        </w:rPr>
      </w:pPr>
      <w:r>
        <w:rPr>
          <w:rFonts w:hint="eastAsia" w:ascii="仿宋" w:hAnsi="仿宋" w:eastAsia="仿宋" w:cs="仿宋"/>
          <w:color w:val="auto"/>
          <w:szCs w:val="24"/>
          <w:highlight w:val="none"/>
        </w:rPr>
        <w:t>6</w:t>
      </w:r>
      <w:r>
        <w:rPr>
          <w:rFonts w:hint="eastAsia" w:ascii="仿宋" w:hAnsi="仿宋" w:eastAsia="仿宋" w:cs="仿宋"/>
          <w:color w:val="auto"/>
          <w:highlight w:val="none"/>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pPr>
        <w:snapToGrid w:val="0"/>
        <w:spacing w:line="44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供应商有前款第a)至e)项情形之一的，中标、成交无效。</w:t>
      </w:r>
    </w:p>
    <w:p>
      <w:pPr>
        <w:pStyle w:val="56"/>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pPr>
        <w:pStyle w:val="56"/>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电话：传真：</w:t>
      </w:r>
    </w:p>
    <w:p>
      <w:pPr>
        <w:pStyle w:val="56"/>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开户银行：帐号：</w:t>
      </w:r>
    </w:p>
    <w:p>
      <w:pPr>
        <w:pStyle w:val="56"/>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法定代表人或其授权代表(签字或签章)：</w:t>
      </w:r>
    </w:p>
    <w:p>
      <w:pPr>
        <w:pStyle w:val="56"/>
        <w:spacing w:afterLines="0" w:line="440" w:lineRule="exact"/>
        <w:ind w:firstLine="480"/>
        <w:rPr>
          <w:rFonts w:hint="eastAsia" w:ascii="仿宋" w:hAnsi="仿宋" w:eastAsia="仿宋" w:cs="仿宋"/>
          <w:color w:val="auto"/>
          <w:highlight w:val="none"/>
        </w:rPr>
      </w:pPr>
      <w:r>
        <w:rPr>
          <w:rFonts w:hint="eastAsia" w:ascii="仿宋" w:hAnsi="仿宋" w:eastAsia="仿宋" w:cs="仿宋"/>
          <w:color w:val="auto"/>
          <w:szCs w:val="24"/>
          <w:highlight w:val="none"/>
        </w:rPr>
        <w:t>投标人(盖章)：　　　　　　　　　　　　　　　　　　　　日期：</w:t>
      </w:r>
    </w:p>
    <w:p>
      <w:pPr>
        <w:rPr>
          <w:rFonts w:hint="eastAsia" w:ascii="仿宋" w:hAnsi="仿宋" w:eastAsia="仿宋" w:cs="仿宋"/>
          <w:color w:val="auto"/>
          <w:highlight w:val="none"/>
        </w:rPr>
      </w:pPr>
    </w:p>
    <w:p>
      <w:pPr>
        <w:rPr>
          <w:rFonts w:hint="eastAsia" w:ascii="仿宋" w:hAnsi="仿宋" w:eastAsia="仿宋" w:cs="仿宋"/>
          <w:color w:val="auto"/>
          <w:highlight w:val="none"/>
        </w:rPr>
        <w:sectPr>
          <w:footerReference r:id="rId5" w:type="first"/>
          <w:headerReference r:id="rId3" w:type="default"/>
          <w:footerReference r:id="rId4" w:type="default"/>
          <w:type w:val="continuous"/>
          <w:pgSz w:w="11906" w:h="16838"/>
          <w:pgMar w:top="1440" w:right="1406" w:bottom="1246" w:left="1758" w:header="1021" w:footer="902" w:gutter="0"/>
          <w:cols w:space="425" w:num="1"/>
          <w:titlePg/>
          <w:docGrid w:type="lines" w:linePitch="312" w:charSpace="0"/>
        </w:sectPr>
      </w:pPr>
    </w:p>
    <w:p>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2、开标一览表（格式）</w:t>
      </w:r>
    </w:p>
    <w:p>
      <w:pPr>
        <w:spacing w:line="400" w:lineRule="exact"/>
        <w:rPr>
          <w:rFonts w:hint="eastAsia" w:ascii="仿宋" w:hAnsi="仿宋" w:eastAsia="仿宋" w:cs="仿宋"/>
          <w:color w:val="auto"/>
          <w:sz w:val="24"/>
          <w:highlight w:val="none"/>
        </w:rPr>
      </w:pPr>
    </w:p>
    <w:p>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w:t>
      </w:r>
    </w:p>
    <w:p>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标    项：</w:t>
      </w:r>
    </w:p>
    <w:p>
      <w:pPr>
        <w:snapToGrid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招标编号：</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单位：元</w:t>
      </w:r>
    </w:p>
    <w:tbl>
      <w:tblPr>
        <w:tblStyle w:val="39"/>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tabs>
                <w:tab w:val="left" w:pos="540"/>
              </w:tabs>
              <w:adjustRightInd w:val="0"/>
              <w:snapToGrid w:val="0"/>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序号</w:t>
            </w:r>
          </w:p>
        </w:tc>
        <w:tc>
          <w:tcPr>
            <w:tcW w:w="1080" w:type="dxa"/>
            <w:tcBorders>
              <w:right w:val="single" w:color="auto" w:sz="4" w:space="0"/>
            </w:tcBorders>
            <w:vAlign w:val="center"/>
          </w:tcPr>
          <w:p>
            <w:pPr>
              <w:adjustRightInd w:val="0"/>
              <w:snapToGrid w:val="0"/>
              <w:ind w:left="-107" w:leftChars="-51" w:right="-107" w:rightChars="-51" w:firstLine="2"/>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名称</w:t>
            </w:r>
          </w:p>
        </w:tc>
        <w:tc>
          <w:tcPr>
            <w:tcW w:w="1261" w:type="dxa"/>
            <w:tcBorders>
              <w:left w:val="single" w:color="auto" w:sz="4" w:space="0"/>
            </w:tcBorders>
            <w:vAlign w:val="center"/>
          </w:tcPr>
          <w:p>
            <w:pPr>
              <w:adjustRightInd w:val="0"/>
              <w:snapToGrid w:val="0"/>
              <w:ind w:left="-107" w:leftChars="-51" w:right="-107" w:rightChars="-51"/>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货物的制造商或服务的提供商</w:t>
            </w:r>
          </w:p>
        </w:tc>
        <w:tc>
          <w:tcPr>
            <w:tcW w:w="900" w:type="dxa"/>
            <w:vAlign w:val="center"/>
          </w:tcPr>
          <w:p>
            <w:pPr>
              <w:adjustRightInd w:val="0"/>
              <w:snapToGrid w:val="0"/>
              <w:ind w:left="-107" w:leftChars="-51" w:right="-107" w:rightChars="-51" w:firstLine="1"/>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品牌（如有）</w:t>
            </w:r>
          </w:p>
        </w:tc>
        <w:tc>
          <w:tcPr>
            <w:tcW w:w="720" w:type="dxa"/>
            <w:vAlign w:val="center"/>
          </w:tcPr>
          <w:p>
            <w:pPr>
              <w:adjustRightInd w:val="0"/>
              <w:snapToGrid w:val="0"/>
              <w:ind w:left="-107" w:leftChars="-51" w:right="-107" w:rightChars="-51"/>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数量</w:t>
            </w:r>
          </w:p>
        </w:tc>
        <w:tc>
          <w:tcPr>
            <w:tcW w:w="1440" w:type="dxa"/>
            <w:vAlign w:val="center"/>
          </w:tcPr>
          <w:p>
            <w:pPr>
              <w:adjustRightInd w:val="0"/>
              <w:snapToGrid w:val="0"/>
              <w:ind w:left="-107" w:leftChars="-51" w:right="-107" w:rightChars="-51" w:firstLine="1"/>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型号和规格</w:t>
            </w:r>
            <w:r>
              <w:rPr>
                <w:rFonts w:hint="eastAsia" w:ascii="仿宋" w:hAnsi="仿宋" w:eastAsia="仿宋" w:cs="仿宋"/>
                <w:b/>
                <w:color w:val="auto"/>
                <w:sz w:val="18"/>
                <w:szCs w:val="18"/>
                <w:highlight w:val="none"/>
              </w:rPr>
              <w:t>（或具体服务）</w:t>
            </w:r>
          </w:p>
        </w:tc>
        <w:tc>
          <w:tcPr>
            <w:tcW w:w="540" w:type="dxa"/>
            <w:tcBorders>
              <w:right w:val="single" w:color="auto" w:sz="4" w:space="0"/>
            </w:tcBorders>
            <w:vAlign w:val="center"/>
          </w:tcPr>
          <w:p>
            <w:pPr>
              <w:adjustRightInd w:val="0"/>
              <w:snapToGrid w:val="0"/>
              <w:ind w:left="-107" w:leftChars="-51" w:right="-107" w:rightChars="-51" w:firstLine="1"/>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单价</w:t>
            </w:r>
          </w:p>
        </w:tc>
        <w:tc>
          <w:tcPr>
            <w:tcW w:w="540" w:type="dxa"/>
            <w:tcBorders>
              <w:left w:val="single" w:color="auto" w:sz="4" w:space="0"/>
            </w:tcBorders>
            <w:vAlign w:val="center"/>
          </w:tcPr>
          <w:p>
            <w:pPr>
              <w:adjustRightInd w:val="0"/>
              <w:snapToGrid w:val="0"/>
              <w:ind w:left="-107" w:leftChars="-51" w:right="-107" w:rightChars="-51" w:firstLine="1"/>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总价</w:t>
            </w:r>
          </w:p>
        </w:tc>
        <w:tc>
          <w:tcPr>
            <w:tcW w:w="720" w:type="dxa"/>
            <w:vAlign w:val="center"/>
          </w:tcPr>
          <w:p>
            <w:pPr>
              <w:adjustRightInd w:val="0"/>
              <w:snapToGrid w:val="0"/>
              <w:ind w:left="0" w:leftChars="-51" w:right="-107" w:rightChars="-51" w:hanging="107" w:hangingChars="49"/>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交货期</w:t>
            </w:r>
          </w:p>
        </w:tc>
        <w:tc>
          <w:tcPr>
            <w:tcW w:w="1078" w:type="dxa"/>
            <w:vAlign w:val="center"/>
          </w:tcPr>
          <w:p>
            <w:pPr>
              <w:tabs>
                <w:tab w:val="left" w:pos="1224"/>
              </w:tabs>
              <w:adjustRightInd w:val="0"/>
              <w:snapToGrid w:val="0"/>
              <w:ind w:right="-107" w:rightChars="-51"/>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1</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90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44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078" w:type="dxa"/>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2</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90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078" w:type="dxa"/>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3</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90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078" w:type="dxa"/>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4</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90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078" w:type="dxa"/>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adjustRightInd w:val="0"/>
              <w:snapToGrid w:val="0"/>
              <w:ind w:right="172" w:rightChars="82" w:firstLine="444" w:firstLineChars="202"/>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投标总价</w:t>
            </w:r>
          </w:p>
        </w:tc>
        <w:tc>
          <w:tcPr>
            <w:tcW w:w="7199" w:type="dxa"/>
            <w:gridSpan w:val="8"/>
            <w:tcBorders>
              <w:left w:val="single" w:color="auto" w:sz="4" w:space="0"/>
              <w:bottom w:val="single" w:color="auto" w:sz="4" w:space="0"/>
            </w:tcBorders>
            <w:vAlign w:val="center"/>
          </w:tcPr>
          <w:p>
            <w:pPr>
              <w:adjustRightInd w:val="0"/>
              <w:snapToGrid w:val="0"/>
              <w:ind w:right="172" w:rightChars="82"/>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adjustRightInd w:val="0"/>
              <w:snapToGrid w:val="0"/>
              <w:ind w:right="172" w:rightChars="82" w:firstLine="444" w:firstLineChars="202"/>
              <w:jc w:val="center"/>
              <w:rPr>
                <w:rFonts w:hint="eastAsia" w:ascii="仿宋" w:hAnsi="仿宋" w:eastAsia="仿宋" w:cs="仿宋"/>
                <w:color w:val="auto"/>
                <w:spacing w:val="20"/>
                <w:sz w:val="18"/>
                <w:szCs w:val="18"/>
                <w:highlight w:val="none"/>
              </w:rPr>
            </w:pPr>
          </w:p>
        </w:tc>
        <w:tc>
          <w:tcPr>
            <w:tcW w:w="7199" w:type="dxa"/>
            <w:gridSpan w:val="8"/>
            <w:tcBorders>
              <w:top w:val="single" w:color="auto" w:sz="4" w:space="0"/>
              <w:left w:val="single" w:color="auto" w:sz="4" w:space="0"/>
            </w:tcBorders>
            <w:vAlign w:val="center"/>
          </w:tcPr>
          <w:p>
            <w:pPr>
              <w:adjustRightInd w:val="0"/>
              <w:snapToGrid w:val="0"/>
              <w:ind w:right="172" w:rightChars="82"/>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大写：</w:t>
            </w:r>
          </w:p>
        </w:tc>
      </w:tr>
    </w:tbl>
    <w:p>
      <w:pPr>
        <w:snapToGrid w:val="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 1.报价一经涂改，应在涂改处加盖单位公章或者由法定代表人或其授权代表签字或盖章，否则其投标作无效投标处理。</w:t>
      </w:r>
    </w:p>
    <w:p>
      <w:pPr>
        <w:snapToGrid w:val="0"/>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2.招标人不接受某一标项中有2个(含)以上的报价或方案，若投标人在此表中有2个（含）以上的报价或方案，其投标作无效投标处理。</w:t>
      </w:r>
    </w:p>
    <w:p>
      <w:pPr>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3.投标人需按本表格式填写，如无对应内容，则填写：“无或/”。</w:t>
      </w:r>
    </w:p>
    <w:p>
      <w:pPr>
        <w:snapToGrid w:val="0"/>
        <w:ind w:left="48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4.有关本项目实施所涉及的一切费用均计入报价。</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日期：年月日</w:t>
      </w:r>
    </w:p>
    <w:p>
      <w:pPr>
        <w:ind w:firstLine="420" w:firstLineChars="200"/>
        <w:rPr>
          <w:rFonts w:hint="eastAsia" w:ascii="仿宋" w:hAnsi="仿宋" w:eastAsia="仿宋" w:cs="仿宋"/>
          <w:color w:val="auto"/>
          <w:highlight w:val="none"/>
        </w:rPr>
      </w:pPr>
    </w:p>
    <w:p>
      <w:pPr>
        <w:pageBreakBefore/>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商务技术（资信）文件部分</w:t>
      </w:r>
    </w:p>
    <w:p>
      <w:pPr>
        <w:spacing w:line="360" w:lineRule="auto"/>
        <w:jc w:val="center"/>
        <w:outlineLvl w:val="0"/>
        <w:rPr>
          <w:rFonts w:hint="eastAsia" w:ascii="仿宋" w:hAnsi="仿宋" w:eastAsia="仿宋" w:cs="仿宋"/>
          <w:b/>
          <w:color w:val="auto"/>
          <w:kern w:val="0"/>
          <w:sz w:val="24"/>
          <w:highlight w:val="none"/>
        </w:rPr>
      </w:pPr>
    </w:p>
    <w:p>
      <w:pPr>
        <w:spacing w:line="360"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pPr>
        <w:pStyle w:val="154"/>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（1）法定代表人授权书…………………………………………………………（页码）</w:t>
      </w:r>
    </w:p>
    <w:p>
      <w:pPr>
        <w:pStyle w:val="154"/>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（2）授权代表社保证明（复印件）………………………………………………（页码）</w:t>
      </w:r>
    </w:p>
    <w:p>
      <w:pPr>
        <w:pStyle w:val="154"/>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（3）法定代表人及其授权代表的身份证（复印件）……………………………（页码）（4）法定代表人身份证明书………………………………………………………（页码）</w:t>
      </w:r>
    </w:p>
    <w:p>
      <w:pPr>
        <w:spacing w:line="360" w:lineRule="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（5）营业执照(或事业法人登记证或其他登记证明材料)复印件</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r>
        <w:rPr>
          <w:rFonts w:hint="eastAsia" w:ascii="仿宋" w:hAnsi="仿宋" w:eastAsia="仿宋" w:cs="仿宋"/>
          <w:color w:val="auto"/>
          <w:sz w:val="24"/>
          <w:highlight w:val="none"/>
          <w:lang w:eastAsia="zh-CN"/>
        </w:rPr>
        <w:t>2021年度资产负债表</w:t>
      </w:r>
      <w:r>
        <w:rPr>
          <w:rFonts w:hint="eastAsia" w:ascii="仿宋" w:hAnsi="仿宋" w:eastAsia="仿宋" w:cs="仿宋"/>
          <w:color w:val="auto"/>
          <w:sz w:val="24"/>
          <w:highlight w:val="none"/>
        </w:rPr>
        <w:t>等财务报表资料文件(新成立的公司，提供情况说明)</w:t>
      </w:r>
      <w:r>
        <w:rPr>
          <w:rFonts w:hint="eastAsia" w:ascii="仿宋" w:hAnsi="仿宋" w:eastAsia="仿宋" w:cs="仿宋"/>
          <w:color w:val="auto"/>
          <w:kern w:val="0"/>
          <w:sz w:val="24"/>
          <w:highlight w:val="none"/>
        </w:rPr>
        <w:t>…页码）</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（7）具有履</w:t>
      </w:r>
      <w:r>
        <w:rPr>
          <w:rFonts w:hint="eastAsia" w:ascii="仿宋" w:hAnsi="仿宋" w:eastAsia="仿宋" w:cs="仿宋"/>
          <w:color w:val="auto"/>
          <w:kern w:val="0"/>
          <w:sz w:val="24"/>
          <w:highlight w:val="none"/>
        </w:rPr>
        <w:t>行合同所必需的设备和专业技术能力的承诺函……………………（页码）</w:t>
      </w:r>
    </w:p>
    <w:p>
      <w:pPr>
        <w:pStyle w:val="154"/>
        <w:spacing w:line="360" w:lineRule="auto"/>
        <w:ind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（8）重大违法记录的声明</w:t>
      </w:r>
      <w:r>
        <w:rPr>
          <w:rFonts w:hint="eastAsia" w:ascii="仿宋" w:hAnsi="仿宋" w:eastAsia="仿宋" w:cs="仿宋"/>
          <w:color w:val="auto"/>
          <w:kern w:val="0"/>
          <w:highlight w:val="none"/>
        </w:rPr>
        <w:t>…</w:t>
      </w:r>
      <w:r>
        <w:rPr>
          <w:rFonts w:hint="eastAsia" w:ascii="仿宋" w:hAnsi="仿宋" w:eastAsia="仿宋" w:cs="仿宋"/>
          <w:color w:val="auto"/>
          <w:highlight w:val="none"/>
        </w:rPr>
        <w:t>……………………………………………………</w:t>
      </w:r>
      <w:r>
        <w:rPr>
          <w:rFonts w:hint="eastAsia" w:ascii="仿宋" w:hAnsi="仿宋" w:eastAsia="仿宋" w:cs="仿宋"/>
          <w:color w:val="auto"/>
          <w:kern w:val="0"/>
          <w:highlight w:val="none"/>
        </w:rPr>
        <w:t>（页码）</w:t>
      </w:r>
      <w:r>
        <w:rPr>
          <w:rFonts w:hint="eastAsia" w:ascii="仿宋" w:hAnsi="仿宋" w:eastAsia="仿宋" w:cs="仿宋"/>
          <w:color w:val="auto"/>
          <w:highlight w:val="none"/>
        </w:rPr>
        <w:t>（9）符合特定资格条件（如果项目要求）的有关证明材料（复印件）………（页码）</w:t>
      </w:r>
    </w:p>
    <w:p>
      <w:pPr>
        <w:pStyle w:val="154"/>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（10）</w:t>
      </w:r>
      <w:r>
        <w:rPr>
          <w:rFonts w:hint="eastAsia" w:ascii="仿宋" w:hAnsi="仿宋" w:eastAsia="仿宋" w:cs="仿宋"/>
          <w:snapToGrid w:val="0"/>
          <w:color w:val="auto"/>
          <w:highlight w:val="none"/>
        </w:rPr>
        <w:t>非本地投标人售后服务机构证明材料</w:t>
      </w:r>
      <w:r>
        <w:rPr>
          <w:rFonts w:hint="eastAsia" w:ascii="仿宋" w:hAnsi="仿宋" w:eastAsia="仿宋" w:cs="仿宋"/>
          <w:color w:val="auto"/>
          <w:highlight w:val="none"/>
        </w:rPr>
        <w:t>……………………………………（页码）</w:t>
      </w:r>
    </w:p>
    <w:p>
      <w:pPr>
        <w:pStyle w:val="154"/>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（11）所有与符合性审查有关的资信文件（复印件）………………………（页码）</w:t>
      </w:r>
    </w:p>
    <w:p>
      <w:pPr>
        <w:pStyle w:val="154"/>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（12）</w:t>
      </w:r>
      <w:r>
        <w:rPr>
          <w:rFonts w:hint="eastAsia" w:ascii="仿宋" w:hAnsi="仿宋" w:eastAsia="仿宋" w:cs="仿宋"/>
          <w:color w:val="auto"/>
          <w:highlight w:val="none"/>
          <w:lang w:val="zh-CN"/>
        </w:rPr>
        <w:t>主要业绩证明…………………………………………………</w:t>
      </w:r>
      <w:r>
        <w:rPr>
          <w:rFonts w:hint="eastAsia" w:ascii="仿宋" w:hAnsi="仿宋" w:eastAsia="仿宋" w:cs="仿宋"/>
          <w:color w:val="auto"/>
          <w:highlight w:val="none"/>
        </w:rPr>
        <w:t>…………</w:t>
      </w:r>
      <w:r>
        <w:rPr>
          <w:rFonts w:hint="eastAsia" w:ascii="仿宋" w:hAnsi="仿宋" w:eastAsia="仿宋" w:cs="仿宋"/>
          <w:color w:val="auto"/>
          <w:highlight w:val="none"/>
          <w:lang w:val="zh-CN"/>
        </w:rPr>
        <w:t>…</w:t>
      </w:r>
      <w:r>
        <w:rPr>
          <w:rFonts w:hint="eastAsia" w:ascii="仿宋" w:hAnsi="仿宋" w:eastAsia="仿宋" w:cs="仿宋"/>
          <w:color w:val="auto"/>
          <w:highlight w:val="none"/>
        </w:rPr>
        <w:t>（页码）</w:t>
      </w:r>
    </w:p>
    <w:p>
      <w:pPr>
        <w:pStyle w:val="154"/>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（13）廉政承诺书…………………………………………………………………（页码）</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（15）技术偏离说明表………………………………………………</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（16）组织实施方案……………………………………………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（17）售后服务方案……………………………………………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（18）项目小组人员名单………………………………………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（19）</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rPr>
        <w:t>（21）</w:t>
      </w:r>
      <w:r>
        <w:rPr>
          <w:rFonts w:hint="eastAsia" w:ascii="仿宋" w:hAnsi="仿宋" w:eastAsia="仿宋" w:cs="仿宋"/>
          <w:color w:val="auto"/>
          <w:kern w:val="0"/>
          <w:sz w:val="24"/>
          <w:highlight w:val="none"/>
          <w:lang w:val="zh-CN"/>
        </w:rPr>
        <w:t>消耗品、维修零配件购买价格清单…………………………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（22）培训计划………………………………………………………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（23）</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（24）</w:t>
      </w:r>
      <w:r>
        <w:rPr>
          <w:rFonts w:hint="eastAsia" w:ascii="仿宋" w:hAnsi="仿宋" w:eastAsia="仿宋" w:cs="仿宋"/>
          <w:color w:val="auto"/>
          <w:kern w:val="0"/>
          <w:sz w:val="24"/>
          <w:highlight w:val="none"/>
          <w:lang w:val="zh-CN"/>
        </w:rPr>
        <w:t>认为需要的其他商务技术（资信）文件或说明……………………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注：以上目录是基本格式要求，各投标人可根据自身情况进一步细化。</w:t>
      </w:r>
    </w:p>
    <w:p>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1、法定代表人授权委托书（格式）</w:t>
      </w:r>
    </w:p>
    <w:p>
      <w:pPr>
        <w:jc w:val="center"/>
        <w:rPr>
          <w:rFonts w:hint="eastAsia" w:ascii="仿宋" w:hAnsi="仿宋" w:eastAsia="仿宋" w:cs="仿宋"/>
          <w:b/>
          <w:color w:val="auto"/>
          <w:sz w:val="24"/>
          <w:highlight w:val="none"/>
        </w:rPr>
      </w:pP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rPr>
        <w:t>绍兴市中医院、泰宇建筑工程技术咨询有限公司</w:t>
      </w:r>
      <w:r>
        <w:rPr>
          <w:rFonts w:hint="eastAsia" w:ascii="仿宋" w:hAnsi="仿宋" w:eastAsia="仿宋" w:cs="仿宋"/>
          <w:color w:val="auto"/>
          <w:sz w:val="24"/>
          <w:highlight w:val="none"/>
        </w:rPr>
        <w:t>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授权代表姓名：性别：年龄：</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单位：部门：职务：</w:t>
      </w:r>
    </w:p>
    <w:p>
      <w:pPr>
        <w:spacing w:line="360" w:lineRule="exact"/>
        <w:rPr>
          <w:rFonts w:hint="eastAsia" w:ascii="仿宋" w:hAnsi="仿宋" w:eastAsia="仿宋" w:cs="仿宋"/>
          <w:color w:val="auto"/>
          <w:sz w:val="24"/>
          <w:highlight w:val="none"/>
        </w:rPr>
      </w:pPr>
    </w:p>
    <w:p>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办公地址：联系电话：传真：</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日期：年月日</w:t>
      </w:r>
    </w:p>
    <w:p>
      <w:pPr>
        <w:ind w:firstLine="4920" w:firstLineChars="2050"/>
        <w:jc w:val="left"/>
        <w:rPr>
          <w:rFonts w:hint="eastAsia" w:ascii="仿宋" w:hAnsi="仿宋" w:eastAsia="仿宋" w:cs="仿宋"/>
          <w:color w:val="auto"/>
          <w:sz w:val="24"/>
          <w:highlight w:val="none"/>
        </w:rPr>
      </w:pPr>
    </w:p>
    <w:p>
      <w:pPr>
        <w:spacing w:line="800" w:lineRule="exact"/>
        <w:rPr>
          <w:rFonts w:hint="eastAsia" w:ascii="仿宋" w:hAnsi="仿宋" w:eastAsia="仿宋" w:cs="仿宋"/>
          <w:b/>
          <w:color w:val="auto"/>
          <w:sz w:val="24"/>
          <w:highlight w:val="none"/>
        </w:rPr>
      </w:pPr>
    </w:p>
    <w:p>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2、授权代表社保证明（复印件）</w:t>
      </w:r>
    </w:p>
    <w:p>
      <w:pPr>
        <w:spacing w:line="800" w:lineRule="exact"/>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加盖投标人公章的委托代理协议复印件），格式自拟。</w:t>
      </w:r>
      <w:r>
        <w:rPr>
          <w:rFonts w:hint="eastAsia" w:ascii="仿宋" w:hAnsi="仿宋" w:eastAsia="仿宋" w:cs="仿宋"/>
          <w:b/>
          <w:color w:val="auto"/>
          <w:sz w:val="24"/>
          <w:highlight w:val="none"/>
        </w:rPr>
        <w:t>未提供上述证明的投标做无效投标处理。</w:t>
      </w:r>
    </w:p>
    <w:p>
      <w:pPr>
        <w:spacing w:line="800" w:lineRule="exact"/>
        <w:ind w:firstLine="4320" w:firstLineChars="1800"/>
        <w:rPr>
          <w:rFonts w:hint="eastAsia" w:ascii="仿宋" w:hAnsi="仿宋" w:eastAsia="仿宋" w:cs="仿宋"/>
          <w:color w:val="auto"/>
          <w:sz w:val="24"/>
          <w:highlight w:val="none"/>
        </w:rPr>
      </w:pPr>
    </w:p>
    <w:p>
      <w:pPr>
        <w:spacing w:line="800" w:lineRule="exact"/>
        <w:ind w:firstLine="4337" w:firstLineChars="1800"/>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3、法定代表人及其授权代表身份证复印件（正反面）</w:t>
      </w:r>
    </w:p>
    <w:p>
      <w:pPr>
        <w:spacing w:line="800" w:lineRule="exact"/>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4、法定代表人身份证明书(格式)</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p>
    <w:p>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姓名：</w:t>
      </w:r>
    </w:p>
    <w:p>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p>
    <w:p>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职务：</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（填写投标人名称）</w:t>
      </w:r>
      <w:r>
        <w:rPr>
          <w:rFonts w:hint="eastAsia" w:ascii="仿宋" w:hAnsi="仿宋" w:eastAsia="仿宋" w:cs="仿宋"/>
          <w:color w:val="auto"/>
          <w:sz w:val="24"/>
          <w:highlight w:val="none"/>
        </w:rPr>
        <w:t>的法定代表人。</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pPr>
        <w:spacing w:line="440" w:lineRule="exact"/>
        <w:rPr>
          <w:rFonts w:hint="eastAsia" w:ascii="仿宋" w:hAnsi="仿宋" w:eastAsia="仿宋" w:cs="仿宋"/>
          <w:color w:val="auto"/>
          <w:sz w:val="24"/>
          <w:highlight w:val="none"/>
        </w:rPr>
      </w:pP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投标人：（盖章）</w:t>
      </w:r>
    </w:p>
    <w:p>
      <w:pPr>
        <w:spacing w:line="440" w:lineRule="exact"/>
        <w:ind w:right="480"/>
        <w:rPr>
          <w:rFonts w:hint="eastAsia" w:ascii="仿宋" w:hAnsi="仿宋" w:eastAsia="仿宋" w:cs="仿宋"/>
          <w:color w:val="auto"/>
          <w:sz w:val="24"/>
          <w:highlight w:val="none"/>
        </w:rPr>
      </w:pPr>
    </w:p>
    <w:p>
      <w:pPr>
        <w:wordWrap w:val="0"/>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年月日</w:t>
      </w:r>
    </w:p>
    <w:p>
      <w:pPr>
        <w:spacing w:line="360" w:lineRule="auto"/>
        <w:jc w:val="center"/>
        <w:rPr>
          <w:rFonts w:hint="eastAsia" w:ascii="仿宋" w:hAnsi="仿宋" w:eastAsia="仿宋" w:cs="仿宋"/>
          <w:b/>
          <w:color w:val="auto"/>
          <w:sz w:val="30"/>
          <w:szCs w:val="30"/>
          <w:highlight w:val="none"/>
        </w:rPr>
      </w:pPr>
    </w:p>
    <w:p>
      <w:pPr>
        <w:pageBreakBefore/>
        <w:spacing w:line="360" w:lineRule="auto"/>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5</w:t>
      </w:r>
      <w:r>
        <w:rPr>
          <w:rFonts w:hint="eastAsia" w:ascii="仿宋" w:hAnsi="仿宋" w:eastAsia="仿宋" w:cs="仿宋"/>
          <w:b/>
          <w:color w:val="auto"/>
          <w:kern w:val="0"/>
          <w:sz w:val="30"/>
          <w:szCs w:val="30"/>
          <w:highlight w:val="none"/>
          <w:lang w:val="zh-CN"/>
        </w:rPr>
        <w:t>、</w:t>
      </w:r>
      <w:r>
        <w:rPr>
          <w:rFonts w:hint="eastAsia" w:ascii="仿宋" w:hAnsi="仿宋" w:eastAsia="仿宋" w:cs="仿宋"/>
          <w:b/>
          <w:color w:val="auto"/>
          <w:sz w:val="30"/>
          <w:szCs w:val="30"/>
          <w:highlight w:val="none"/>
        </w:rPr>
        <w:t>营业执照（或事业法人登记证或其他登记证明材料）（复印件）</w:t>
      </w:r>
    </w:p>
    <w:p>
      <w:pPr>
        <w:spacing w:line="360" w:lineRule="auto"/>
        <w:jc w:val="center"/>
        <w:rPr>
          <w:rFonts w:hint="eastAsia" w:ascii="仿宋" w:hAnsi="仿宋" w:eastAsia="仿宋" w:cs="仿宋"/>
          <w:b/>
          <w:color w:val="auto"/>
          <w:sz w:val="30"/>
          <w:szCs w:val="30"/>
          <w:highlight w:val="none"/>
        </w:rPr>
      </w:pPr>
    </w:p>
    <w:p>
      <w:pPr>
        <w:spacing w:line="360" w:lineRule="auto"/>
        <w:jc w:val="center"/>
        <w:rPr>
          <w:rFonts w:hint="eastAsia" w:ascii="仿宋" w:hAnsi="仿宋" w:eastAsia="仿宋" w:cs="仿宋"/>
          <w:b/>
          <w:color w:val="auto"/>
          <w:sz w:val="30"/>
          <w:szCs w:val="30"/>
          <w:highlight w:val="none"/>
        </w:rPr>
      </w:pPr>
    </w:p>
    <w:p>
      <w:pPr>
        <w:spacing w:line="360" w:lineRule="auto"/>
        <w:jc w:val="center"/>
        <w:rPr>
          <w:rFonts w:hint="eastAsia" w:ascii="仿宋" w:hAnsi="仿宋" w:eastAsia="仿宋" w:cs="仿宋"/>
          <w:b/>
          <w:color w:val="auto"/>
          <w:sz w:val="30"/>
          <w:szCs w:val="30"/>
          <w:highlight w:val="none"/>
        </w:rPr>
      </w:pPr>
    </w:p>
    <w:p>
      <w:pPr>
        <w:spacing w:line="360" w:lineRule="auto"/>
        <w:jc w:val="center"/>
        <w:rPr>
          <w:rFonts w:hint="eastAsia" w:ascii="仿宋" w:hAnsi="仿宋" w:eastAsia="仿宋" w:cs="仿宋"/>
          <w:b/>
          <w:color w:val="auto"/>
          <w:sz w:val="30"/>
          <w:szCs w:val="30"/>
          <w:highlight w:val="none"/>
        </w:rPr>
      </w:pPr>
    </w:p>
    <w:p>
      <w:pPr>
        <w:spacing w:line="360" w:lineRule="auto"/>
        <w:jc w:val="center"/>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6、财务报表资料文件（</w:t>
      </w:r>
      <w:r>
        <w:rPr>
          <w:rFonts w:hint="eastAsia" w:ascii="仿宋" w:hAnsi="仿宋" w:eastAsia="仿宋" w:cs="仿宋"/>
          <w:b/>
          <w:color w:val="auto"/>
          <w:sz w:val="30"/>
          <w:szCs w:val="30"/>
          <w:highlight w:val="none"/>
          <w:lang w:eastAsia="zh-CN"/>
        </w:rPr>
        <w:t>2021年度资产负债表</w:t>
      </w:r>
      <w:r>
        <w:rPr>
          <w:rFonts w:hint="eastAsia" w:ascii="仿宋" w:hAnsi="仿宋" w:eastAsia="仿宋" w:cs="仿宋"/>
          <w:b/>
          <w:color w:val="auto"/>
          <w:sz w:val="30"/>
          <w:szCs w:val="30"/>
          <w:highlight w:val="none"/>
        </w:rPr>
        <w:t>等财务报表资料文件(新成立的公司，提供情况说明，格式自拟)）</w:t>
      </w:r>
    </w:p>
    <w:p>
      <w:pPr>
        <w:spacing w:line="360" w:lineRule="auto"/>
        <w:rPr>
          <w:rFonts w:hint="eastAsia" w:ascii="仿宋" w:hAnsi="仿宋" w:eastAsia="仿宋" w:cs="仿宋"/>
          <w:b/>
          <w:color w:val="auto"/>
          <w:sz w:val="30"/>
          <w:szCs w:val="30"/>
          <w:highlight w:val="none"/>
        </w:rPr>
      </w:pPr>
    </w:p>
    <w:p>
      <w:pPr>
        <w:snapToGrid w:val="0"/>
        <w:spacing w:line="360" w:lineRule="auto"/>
        <w:ind w:right="480"/>
        <w:jc w:val="center"/>
        <w:rPr>
          <w:rFonts w:hint="eastAsia" w:ascii="仿宋" w:hAnsi="仿宋" w:eastAsia="仿宋" w:cs="仿宋"/>
          <w:b/>
          <w:color w:val="auto"/>
          <w:kern w:val="0"/>
          <w:sz w:val="32"/>
          <w:szCs w:val="32"/>
          <w:highlight w:val="none"/>
          <w:lang w:val="zh-CN"/>
        </w:rPr>
      </w:pPr>
    </w:p>
    <w:p>
      <w:pPr>
        <w:snapToGrid w:val="0"/>
        <w:spacing w:line="360" w:lineRule="auto"/>
        <w:ind w:right="480"/>
        <w:jc w:val="center"/>
        <w:rPr>
          <w:rFonts w:hint="eastAsia" w:ascii="仿宋" w:hAnsi="仿宋" w:eastAsia="仿宋" w:cs="仿宋"/>
          <w:b/>
          <w:color w:val="auto"/>
          <w:kern w:val="0"/>
          <w:sz w:val="32"/>
          <w:szCs w:val="32"/>
          <w:highlight w:val="none"/>
          <w:lang w:val="zh-CN"/>
        </w:rPr>
      </w:pPr>
    </w:p>
    <w:p>
      <w:pPr>
        <w:snapToGrid w:val="0"/>
        <w:spacing w:line="360" w:lineRule="auto"/>
        <w:ind w:right="480"/>
        <w:jc w:val="center"/>
        <w:rPr>
          <w:rFonts w:hint="eastAsia" w:ascii="仿宋" w:hAnsi="仿宋" w:eastAsia="仿宋" w:cs="仿宋"/>
          <w:b/>
          <w:color w:val="auto"/>
          <w:kern w:val="0"/>
          <w:sz w:val="32"/>
          <w:szCs w:val="32"/>
          <w:highlight w:val="none"/>
          <w:lang w:val="zh-CN"/>
        </w:rPr>
      </w:pPr>
    </w:p>
    <w:p>
      <w:pPr>
        <w:snapToGrid w:val="0"/>
        <w:spacing w:line="360" w:lineRule="auto"/>
        <w:ind w:right="480"/>
        <w:jc w:val="center"/>
        <w:rPr>
          <w:rFonts w:hint="eastAsia" w:ascii="仿宋" w:hAnsi="仿宋" w:eastAsia="仿宋" w:cs="仿宋"/>
          <w:b/>
          <w:color w:val="auto"/>
          <w:kern w:val="0"/>
          <w:sz w:val="32"/>
          <w:szCs w:val="32"/>
          <w:highlight w:val="none"/>
          <w:lang w:val="zh-CN"/>
        </w:rPr>
      </w:pPr>
    </w:p>
    <w:p>
      <w:pPr>
        <w:snapToGrid w:val="0"/>
        <w:spacing w:line="360" w:lineRule="auto"/>
        <w:ind w:right="48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7、具有履行合同所必需的设备和专业技术能力的承诺函</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绍兴市中医院、泰宇建筑工程技术咨询有限公司</w:t>
      </w:r>
      <w:r>
        <w:rPr>
          <w:rFonts w:hint="eastAsia" w:ascii="仿宋" w:hAnsi="仿宋" w:eastAsia="仿宋" w:cs="仿宋"/>
          <w:color w:val="auto"/>
          <w:kern w:val="0"/>
          <w:sz w:val="24"/>
          <w:highlight w:val="none"/>
          <w:lang w:val="zh-CN"/>
        </w:rPr>
        <w:t>：</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我方郑重承诺，我方具有履行绍兴市中医院</w:t>
      </w:r>
      <w:r>
        <w:rPr>
          <w:rFonts w:hint="eastAsia" w:ascii="仿宋" w:hAnsi="仿宋" w:eastAsia="仿宋" w:cs="仿宋"/>
          <w:color w:val="auto"/>
          <w:sz w:val="24"/>
          <w:highlight w:val="none"/>
          <w:lang w:eastAsia="zh-CN"/>
        </w:rPr>
        <w:t>容灾系统升级项目</w:t>
      </w:r>
      <w:r>
        <w:rPr>
          <w:rFonts w:hint="eastAsia" w:ascii="仿宋" w:hAnsi="仿宋" w:eastAsia="仿宋" w:cs="仿宋"/>
          <w:color w:val="auto"/>
          <w:sz w:val="24"/>
          <w:highlight w:val="none"/>
        </w:rPr>
        <w:t>（招标编号:）合同所必需的设备和专业技术能力。如中标，我方将保证合同顺利履行。</w:t>
      </w:r>
    </w:p>
    <w:p>
      <w:pPr>
        <w:snapToGrid w:val="0"/>
        <w:spacing w:line="360" w:lineRule="auto"/>
        <w:rPr>
          <w:rFonts w:hint="eastAsia" w:ascii="仿宋" w:hAnsi="仿宋" w:eastAsia="仿宋" w:cs="仿宋"/>
          <w:color w:val="auto"/>
          <w:kern w:val="0"/>
          <w:sz w:val="24"/>
          <w:highlight w:val="none"/>
          <w:lang w:val="zh-CN"/>
        </w:rPr>
      </w:pPr>
    </w:p>
    <w:p>
      <w:pPr>
        <w:snapToGrid w:val="0"/>
        <w:spacing w:line="360" w:lineRule="auto"/>
        <w:rPr>
          <w:rFonts w:hint="eastAsia" w:ascii="仿宋" w:hAnsi="仿宋" w:eastAsia="仿宋" w:cs="仿宋"/>
          <w:color w:val="auto"/>
          <w:kern w:val="0"/>
          <w:sz w:val="24"/>
          <w:highlight w:val="none"/>
          <w:lang w:val="zh-CN"/>
        </w:rPr>
      </w:pPr>
    </w:p>
    <w:p>
      <w:pPr>
        <w:snapToGrid w:val="0"/>
        <w:spacing w:line="360" w:lineRule="auto"/>
        <w:rPr>
          <w:rFonts w:hint="eastAsia" w:ascii="仿宋" w:hAnsi="仿宋" w:eastAsia="仿宋" w:cs="仿宋"/>
          <w:color w:val="auto"/>
          <w:kern w:val="0"/>
          <w:sz w:val="24"/>
          <w:highlight w:val="none"/>
          <w:lang w:val="zh-CN"/>
        </w:rPr>
      </w:pPr>
    </w:p>
    <w:p>
      <w:pPr>
        <w:snapToGrid w:val="0"/>
        <w:spacing w:line="360" w:lineRule="auto"/>
        <w:ind w:firstLine="5040" w:firstLineChars="21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投标人名称(盖章)：</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：年</w:t>
      </w:r>
      <w:r>
        <w:rPr>
          <w:rFonts w:hint="eastAsia" w:ascii="仿宋" w:hAnsi="仿宋" w:eastAsia="仿宋" w:cs="仿宋"/>
          <w:color w:val="auto"/>
          <w:kern w:val="0"/>
          <w:sz w:val="24"/>
          <w:highlight w:val="none"/>
          <w:lang w:val="zh-CN"/>
        </w:rPr>
        <w:t>月日</w:t>
      </w:r>
    </w:p>
    <w:p>
      <w:pPr>
        <w:spacing w:line="360" w:lineRule="auto"/>
        <w:jc w:val="center"/>
        <w:rPr>
          <w:rFonts w:hint="eastAsia" w:ascii="仿宋" w:hAnsi="仿宋" w:eastAsia="仿宋" w:cs="仿宋"/>
          <w:b/>
          <w:color w:val="auto"/>
          <w:kern w:val="0"/>
          <w:sz w:val="32"/>
          <w:szCs w:val="32"/>
          <w:highlight w:val="none"/>
        </w:rPr>
      </w:pPr>
    </w:p>
    <w:p>
      <w:pPr>
        <w:spacing w:line="360" w:lineRule="auto"/>
        <w:jc w:val="center"/>
        <w:rPr>
          <w:rFonts w:hint="eastAsia" w:ascii="仿宋" w:hAnsi="仿宋" w:eastAsia="仿宋" w:cs="仿宋"/>
          <w:b/>
          <w:color w:val="auto"/>
          <w:kern w:val="0"/>
          <w:sz w:val="32"/>
          <w:szCs w:val="32"/>
          <w:highlight w:val="none"/>
        </w:rPr>
      </w:pPr>
    </w:p>
    <w:p>
      <w:pPr>
        <w:pageBreakBefore/>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rPr>
        <w:t>8、重大违法记录的声明</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绍兴市中医院、泰宇建筑工程技术咨询有限公司</w:t>
      </w:r>
      <w:r>
        <w:rPr>
          <w:rFonts w:hint="eastAsia" w:ascii="仿宋" w:hAnsi="仿宋" w:eastAsia="仿宋" w:cs="仿宋"/>
          <w:color w:val="auto"/>
          <w:kern w:val="0"/>
          <w:sz w:val="24"/>
          <w:highlight w:val="none"/>
          <w:lang w:val="zh-CN"/>
        </w:rPr>
        <w:t>：</w:t>
      </w:r>
    </w:p>
    <w:p>
      <w:pPr>
        <w:spacing w:line="360" w:lineRule="auto"/>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kern w:val="0"/>
          <w:sz w:val="24"/>
          <w:highlight w:val="none"/>
          <w:lang w:val="zh-CN"/>
        </w:rPr>
        <w:t>我公司</w:t>
      </w:r>
      <w:r>
        <w:rPr>
          <w:rFonts w:hint="eastAsia" w:ascii="仿宋" w:hAnsi="仿宋" w:eastAsia="仿宋" w:cs="仿宋"/>
          <w:color w:val="auto"/>
          <w:sz w:val="24"/>
          <w:highlight w:val="none"/>
        </w:rPr>
        <w:t>声明参加本次政府采购活动前三年内，在</w:t>
      </w:r>
      <w:r>
        <w:rPr>
          <w:rFonts w:hint="eastAsia" w:ascii="仿宋" w:hAnsi="仿宋" w:eastAsia="仿宋" w:cs="仿宋"/>
          <w:color w:val="auto"/>
          <w:kern w:val="0"/>
          <w:sz w:val="24"/>
          <w:highlight w:val="none"/>
        </w:rPr>
        <w:t>经营活动中</w:t>
      </w:r>
      <w:r>
        <w:rPr>
          <w:rFonts w:hint="eastAsia" w:ascii="仿宋" w:hAnsi="仿宋" w:eastAsia="仿宋" w:cs="仿宋"/>
          <w:color w:val="auto"/>
          <w:sz w:val="24"/>
          <w:highlight w:val="none"/>
        </w:rPr>
        <w:t>没有重大违法记录；也</w:t>
      </w:r>
      <w:r>
        <w:rPr>
          <w:rFonts w:hint="eastAsia" w:ascii="仿宋" w:hAnsi="仿宋" w:eastAsia="仿宋" w:cs="仿宋"/>
          <w:color w:val="auto"/>
          <w:sz w:val="24"/>
          <w:szCs w:val="20"/>
          <w:highlight w:val="none"/>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pPr>
        <w:spacing w:line="360" w:lineRule="auto"/>
        <w:ind w:firstLine="480" w:firstLineChars="200"/>
        <w:rPr>
          <w:rFonts w:hint="eastAsia" w:ascii="仿宋" w:hAnsi="仿宋" w:eastAsia="仿宋" w:cs="仿宋"/>
          <w:color w:val="auto"/>
          <w:sz w:val="24"/>
          <w:szCs w:val="20"/>
          <w:highlight w:val="none"/>
        </w:rPr>
      </w:pP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投标人名称(盖章)：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：年</w:t>
      </w:r>
      <w:r>
        <w:rPr>
          <w:rFonts w:hint="eastAsia" w:ascii="仿宋" w:hAnsi="仿宋" w:eastAsia="仿宋" w:cs="仿宋"/>
          <w:color w:val="auto"/>
          <w:kern w:val="0"/>
          <w:sz w:val="24"/>
          <w:highlight w:val="none"/>
          <w:lang w:val="zh-CN"/>
        </w:rPr>
        <w:t>月日</w:t>
      </w:r>
    </w:p>
    <w:p>
      <w:pPr>
        <w:spacing w:line="360" w:lineRule="auto"/>
        <w:jc w:val="center"/>
        <w:rPr>
          <w:rFonts w:hint="eastAsia" w:ascii="仿宋" w:hAnsi="仿宋" w:eastAsia="仿宋" w:cs="仿宋"/>
          <w:b/>
          <w:color w:val="auto"/>
          <w:sz w:val="30"/>
          <w:szCs w:val="30"/>
          <w:highlight w:val="none"/>
        </w:rPr>
      </w:pPr>
    </w:p>
    <w:p>
      <w:pPr>
        <w:spacing w:line="360" w:lineRule="auto"/>
        <w:jc w:val="center"/>
        <w:rPr>
          <w:rFonts w:hint="eastAsia" w:ascii="仿宋" w:hAnsi="仿宋" w:eastAsia="仿宋" w:cs="仿宋"/>
          <w:b/>
          <w:color w:val="auto"/>
          <w:sz w:val="30"/>
          <w:szCs w:val="30"/>
          <w:highlight w:val="none"/>
        </w:rPr>
      </w:pPr>
    </w:p>
    <w:p>
      <w:pPr>
        <w:spacing w:line="360" w:lineRule="auto"/>
        <w:jc w:val="center"/>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9、特定资格条件要求的资质文件（复印件）</w:t>
      </w:r>
    </w:p>
    <w:p>
      <w:pPr>
        <w:widowControl/>
        <w:spacing w:line="360" w:lineRule="auto"/>
        <w:ind w:firstLine="480" w:firstLineChars="200"/>
        <w:jc w:val="left"/>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（由投标人根据招标公告合格的投标人应具备的特定资格要求编制）</w:t>
      </w:r>
    </w:p>
    <w:p>
      <w:pPr>
        <w:spacing w:line="360" w:lineRule="auto"/>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10、非本地投标人售后服务机构证明材料</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（由非本地投标人根据采购需求及招标文件要求编制）</w:t>
      </w: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p>
    <w:p>
      <w:pPr>
        <w:pageBreakBefore/>
        <w:spacing w:line="360" w:lineRule="auto"/>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11、所有与符合性审查有关的资信文件（复印件）</w:t>
      </w:r>
    </w:p>
    <w:p>
      <w:pPr>
        <w:spacing w:line="360" w:lineRule="auto"/>
        <w:rPr>
          <w:rFonts w:hint="eastAsia" w:ascii="仿宋" w:hAnsi="仿宋" w:eastAsia="仿宋" w:cs="仿宋"/>
          <w:b/>
          <w:bCs/>
          <w:color w:val="auto"/>
          <w:sz w:val="32"/>
          <w:szCs w:val="32"/>
          <w:highlight w:val="none"/>
        </w:rPr>
      </w:pPr>
      <w:r>
        <w:rPr>
          <w:rFonts w:hint="eastAsia" w:ascii="仿宋" w:hAnsi="仿宋" w:eastAsia="仿宋" w:cs="仿宋"/>
          <w:b/>
          <w:color w:val="auto"/>
          <w:sz w:val="24"/>
          <w:highlight w:val="none"/>
        </w:rPr>
        <w:t>（1. 提供依法缴纳税收和社会保障资金的良好记录证明，税收和社保证明打印时间不得早于投标截止时间前1个月；2.</w:t>
      </w:r>
      <w:r>
        <w:rPr>
          <w:rFonts w:hint="eastAsia" w:ascii="仿宋" w:hAnsi="仿宋" w:eastAsia="仿宋" w:cs="仿宋"/>
          <w:color w:val="auto"/>
          <w:sz w:val="24"/>
          <w:highlight w:val="none"/>
        </w:rPr>
        <w:t>其他资料由投标人根据采购需求及招标文件要求编制。</w:t>
      </w:r>
      <w:r>
        <w:rPr>
          <w:rFonts w:hint="eastAsia" w:ascii="仿宋" w:hAnsi="仿宋" w:eastAsia="仿宋" w:cs="仿宋"/>
          <w:b/>
          <w:color w:val="auto"/>
          <w:sz w:val="24"/>
          <w:highlight w:val="none"/>
        </w:rPr>
        <w:t>）</w:t>
      </w: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12、</w:t>
      </w:r>
      <w:r>
        <w:rPr>
          <w:rFonts w:hint="eastAsia" w:ascii="仿宋" w:hAnsi="仿宋" w:eastAsia="仿宋" w:cs="仿宋"/>
          <w:b/>
          <w:color w:val="auto"/>
          <w:kern w:val="0"/>
          <w:sz w:val="32"/>
          <w:szCs w:val="32"/>
          <w:highlight w:val="none"/>
          <w:lang w:val="zh-CN"/>
        </w:rPr>
        <w:t>主要业绩证明</w:t>
      </w:r>
    </w:p>
    <w:p>
      <w:pPr>
        <w:autoSpaceDE w:val="0"/>
        <w:autoSpaceDN w:val="0"/>
        <w:spacing w:line="360" w:lineRule="auto"/>
        <w:ind w:firstLine="12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39"/>
        <w:tblW w:w="0" w:type="auto"/>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合同</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金额</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注：投标人可按上述的格式自行编制，须随表提交相应的合同复印件和用户单位验收证明并注明页码。</w:t>
      </w:r>
    </w:p>
    <w:p>
      <w:pPr>
        <w:autoSpaceDE w:val="0"/>
        <w:autoSpaceDN w:val="0"/>
        <w:spacing w:line="360" w:lineRule="auto"/>
        <w:ind w:firstLine="4560" w:firstLineChars="1900"/>
        <w:jc w:val="righ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投标人名称（</w:t>
      </w:r>
      <w:r>
        <w:rPr>
          <w:rFonts w:hint="eastAsia" w:ascii="仿宋" w:hAnsi="仿宋" w:eastAsia="仿宋" w:cs="仿宋"/>
          <w:color w:val="auto"/>
          <w:kern w:val="0"/>
          <w:sz w:val="24"/>
          <w:highlight w:val="none"/>
          <w:lang w:val="zh-CN"/>
        </w:rPr>
        <w:t>盖章</w:t>
      </w:r>
      <w:r>
        <w:rPr>
          <w:rFonts w:hint="eastAsia" w:ascii="仿宋" w:hAnsi="仿宋" w:eastAsia="仿宋" w:cs="仿宋"/>
          <w:color w:val="auto"/>
          <w:kern w:val="0"/>
          <w:sz w:val="24"/>
          <w:highlight w:val="none"/>
        </w:rPr>
        <w:t>）：</w:t>
      </w:r>
    </w:p>
    <w:p>
      <w:pPr>
        <w:autoSpaceDE w:val="0"/>
        <w:autoSpaceDN w:val="0"/>
        <w:spacing w:line="360" w:lineRule="auto"/>
        <w:jc w:val="righ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法定代表人或其授权代表（签字或</w:t>
      </w:r>
      <w:r>
        <w:rPr>
          <w:rFonts w:hint="eastAsia" w:ascii="仿宋" w:hAnsi="仿宋" w:eastAsia="仿宋" w:cs="仿宋"/>
          <w:color w:val="auto"/>
          <w:kern w:val="0"/>
          <w:sz w:val="24"/>
          <w:highlight w:val="none"/>
          <w:lang w:val="zh-CN"/>
        </w:rPr>
        <w:t>盖章</w:t>
      </w:r>
      <w:r>
        <w:rPr>
          <w:rFonts w:hint="eastAsia" w:ascii="仿宋" w:hAnsi="仿宋" w:eastAsia="仿宋" w:cs="仿宋"/>
          <w:color w:val="auto"/>
          <w:kern w:val="0"/>
          <w:sz w:val="24"/>
          <w:highlight w:val="none"/>
        </w:rPr>
        <w:t>）：</w:t>
      </w:r>
    </w:p>
    <w:p>
      <w:pPr>
        <w:spacing w:line="360" w:lineRule="auto"/>
        <w:jc w:val="righ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日期：年月日</w:t>
      </w:r>
    </w:p>
    <w:p>
      <w:pPr>
        <w:pStyle w:val="155"/>
        <w:ind w:firstLine="0"/>
        <w:jc w:val="both"/>
        <w:rPr>
          <w:rFonts w:hint="eastAsia" w:ascii="仿宋" w:hAnsi="仿宋" w:eastAsia="仿宋" w:cs="仿宋"/>
          <w:color w:val="auto"/>
          <w:highlight w:val="none"/>
        </w:rPr>
      </w:pPr>
    </w:p>
    <w:p>
      <w:pPr>
        <w:pStyle w:val="155"/>
        <w:ind w:firstLine="0"/>
        <w:jc w:val="both"/>
        <w:rPr>
          <w:rFonts w:hint="eastAsia" w:ascii="仿宋" w:hAnsi="仿宋" w:eastAsia="仿宋" w:cs="仿宋"/>
          <w:color w:val="auto"/>
          <w:highlight w:val="none"/>
        </w:rPr>
      </w:pPr>
    </w:p>
    <w:p>
      <w:pPr>
        <w:pStyle w:val="155"/>
        <w:ind w:firstLine="0"/>
        <w:jc w:val="both"/>
        <w:rPr>
          <w:rFonts w:hint="eastAsia" w:ascii="仿宋" w:hAnsi="仿宋" w:eastAsia="仿宋" w:cs="仿宋"/>
          <w:color w:val="auto"/>
          <w:highlight w:val="none"/>
        </w:rPr>
      </w:pPr>
    </w:p>
    <w:p>
      <w:pPr>
        <w:pStyle w:val="155"/>
        <w:pageBreakBefore/>
        <w:ind w:firstLine="0"/>
        <w:jc w:val="both"/>
        <w:rPr>
          <w:rFonts w:hint="eastAsia" w:ascii="仿宋" w:hAnsi="仿宋" w:eastAsia="仿宋" w:cs="仿宋"/>
          <w:color w:val="auto"/>
          <w:highlight w:val="none"/>
        </w:rPr>
      </w:pPr>
      <w:r>
        <w:rPr>
          <w:rFonts w:hint="eastAsia" w:ascii="仿宋" w:hAnsi="仿宋" w:eastAsia="仿宋" w:cs="仿宋"/>
          <w:color w:val="auto"/>
          <w:highlight w:val="none"/>
        </w:rPr>
        <w:t>13、廉政承诺书</w:t>
      </w:r>
    </w:p>
    <w:p>
      <w:pPr>
        <w:autoSpaceDE w:val="0"/>
        <w:autoSpaceDN w:val="0"/>
        <w:spacing w:line="360" w:lineRule="auto"/>
        <w:ind w:left="2"/>
        <w:jc w:val="lef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绍兴市中医院</w:t>
      </w:r>
      <w:r>
        <w:rPr>
          <w:rFonts w:hint="eastAsia" w:ascii="仿宋" w:hAnsi="仿宋" w:eastAsia="仿宋" w:cs="仿宋"/>
          <w:color w:val="auto"/>
          <w:kern w:val="0"/>
          <w:sz w:val="24"/>
          <w:highlight w:val="none"/>
          <w:lang w:val="zh-CN"/>
        </w:rPr>
        <w:t>：</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一、不向项目有关人员及部门赠送礼金礼物、有价证券、回扣以及中介费、介绍费、咨询费等好处费；</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二、不为项目有关人员及部门报销应由你方单位或个人支付的费用；</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三、不向项目有关人员及部门提供有可能影响公正的宴请和健身娱乐等活动；</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五、不为项目有关人员个人装修住房、婚丧嫁娶、配偶子女工作安排等提供好处；</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六、严格遵守政府采购法、合同法等法律，诚实守信，合法经营，坚决抵制各种违法违纪行为。</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right"/>
        <w:rPr>
          <w:rFonts w:hint="eastAsia" w:ascii="仿宋" w:hAnsi="仿宋" w:eastAsia="仿宋" w:cs="仿宋"/>
          <w:color w:val="auto"/>
          <w:kern w:val="0"/>
          <w:sz w:val="24"/>
          <w:highlight w:val="none"/>
          <w:lang w:val="zh-CN"/>
        </w:rPr>
      </w:pPr>
    </w:p>
    <w:p>
      <w:pPr>
        <w:autoSpaceDE w:val="0"/>
        <w:autoSpaceDN w:val="0"/>
        <w:spacing w:line="360" w:lineRule="auto"/>
        <w:ind w:left="2" w:leftChars="1" w:right="1120" w:firstLine="5037" w:firstLineChars="2099"/>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投标人名称（盖章）：</w:t>
      </w:r>
    </w:p>
    <w:p>
      <w:pPr>
        <w:spacing w:line="360" w:lineRule="auto"/>
        <w:ind w:left="5040" w:hanging="5040" w:hangingChars="2100"/>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法定代表人或其授权代表（签字或盖章）：</w:t>
      </w:r>
    </w:p>
    <w:p>
      <w:pPr>
        <w:spacing w:line="360" w:lineRule="auto"/>
        <w:ind w:left="5040" w:hanging="5040" w:hangingChars="2100"/>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年月日</w:t>
      </w:r>
    </w:p>
    <w:p>
      <w:pPr>
        <w:spacing w:line="360" w:lineRule="auto"/>
        <w:jc w:val="right"/>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14、技术解决方案</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spacing w:line="360" w:lineRule="auto"/>
        <w:jc w:val="center"/>
        <w:rPr>
          <w:rFonts w:hint="eastAsia" w:ascii="仿宋" w:hAnsi="仿宋" w:eastAsia="仿宋" w:cs="仿宋"/>
          <w:color w:val="auto"/>
          <w:sz w:val="24"/>
          <w:highlight w:val="none"/>
        </w:rPr>
      </w:pPr>
    </w:p>
    <w:p>
      <w:pPr>
        <w:snapToGrid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39"/>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234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如果本项目涉及硬件设备采购，须在商务技术（资信）文件中提供此配置清单，提供主要投标产品的技术参数证明材料（如官网截图、产品彩页、原厂技术说明等）。</w:t>
      </w:r>
    </w:p>
    <w:p>
      <w:pPr>
        <w:spacing w:line="360" w:lineRule="auto"/>
        <w:jc w:val="left"/>
        <w:rPr>
          <w:rFonts w:hint="eastAsia"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本项目如需采购政府强制采购的节能产品的或投标人提供的产品是环境标志产品，投标人须提供节能产品、环境标志产品认证证书复印件。</w:t>
      </w:r>
    </w:p>
    <w:p>
      <w:pPr>
        <w:autoSpaceDE w:val="0"/>
        <w:autoSpaceDN w:val="0"/>
        <w:spacing w:line="360" w:lineRule="auto"/>
        <w:jc w:val="left"/>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5" o:spt="75" type="#_x0000_t75" style="height:42.8pt;width:442.85pt;" o:ole="t" filled="f" o:preferrelative="t" stroked="f" coordsize="21600,21600">
            <v:path/>
            <v:fill on="f" focussize="0,0"/>
            <v:stroke on="f" joinstyle="miter"/>
            <v:imagedata r:id="rId8" o:title=""/>
            <o:lock v:ext="edit" aspectratio="t"/>
            <w10:wrap type="none"/>
            <w10:anchorlock/>
          </v:shape>
          <o:OLEObject Type="Embed" ProgID="Package" ShapeID="_x0000_i1025" DrawAspect="Content" ObjectID="_1468075725" r:id="rId7">
            <o:LockedField>false</o:LockedField>
          </o:OLEObject>
        </w:object>
      </w:r>
      <w:r>
        <w:rPr>
          <w:rFonts w:hint="eastAsia" w:ascii="仿宋" w:hAnsi="仿宋" w:eastAsia="仿宋" w:cs="仿宋"/>
          <w:b/>
          <w:color w:val="auto"/>
          <w:kern w:val="0"/>
          <w:sz w:val="28"/>
          <w:szCs w:val="28"/>
          <w:highlight w:val="none"/>
        </w:rPr>
        <w:object>
          <v:shape id="_x0000_i1026" o:spt="75" type="#_x0000_t75" style="height:42.8pt;width:442.85pt;" o:ole="t" filled="f" o:preferrelative="t" stroked="f" coordsize="21600,21600">
            <v:path/>
            <v:fill on="f" focussize="0,0"/>
            <v:stroke on="f" joinstyle="miter"/>
            <v:imagedata r:id="rId10" o:title=""/>
            <o:lock v:ext="edit" aspectratio="t"/>
            <w10:wrap type="none"/>
            <w10:anchorlock/>
          </v:shape>
          <o:OLEObject Type="Embed" ProgID="Package" ShapeID="_x0000_i1026" DrawAspect="Content" ObjectID="_1468075726" r:id="rId9">
            <o:LockedField>false</o:LockedField>
          </o:OLEObject>
        </w:object>
      </w:r>
    </w:p>
    <w:p>
      <w:pPr>
        <w:autoSpaceDE w:val="0"/>
        <w:autoSpaceDN w:val="0"/>
        <w:spacing w:line="360" w:lineRule="auto"/>
        <w:ind w:firstLine="4560" w:firstLineChars="19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投标人名称（</w:t>
      </w:r>
      <w:r>
        <w:rPr>
          <w:rFonts w:hint="eastAsia" w:ascii="仿宋" w:hAnsi="仿宋" w:eastAsia="仿宋" w:cs="仿宋"/>
          <w:color w:val="auto"/>
          <w:kern w:val="0"/>
          <w:sz w:val="24"/>
          <w:highlight w:val="none"/>
          <w:lang w:val="zh-CN"/>
        </w:rPr>
        <w:t>盖章</w:t>
      </w:r>
      <w:r>
        <w:rPr>
          <w:rFonts w:hint="eastAsia" w:ascii="仿宋" w:hAnsi="仿宋" w:eastAsia="仿宋" w:cs="仿宋"/>
          <w:color w:val="auto"/>
          <w:kern w:val="0"/>
          <w:sz w:val="24"/>
          <w:highlight w:val="none"/>
        </w:rPr>
        <w:t>）：</w:t>
      </w:r>
    </w:p>
    <w:p>
      <w:pPr>
        <w:autoSpaceDE w:val="0"/>
        <w:autoSpaceDN w:val="0"/>
        <w:spacing w:line="360" w:lineRule="auto"/>
        <w:jc w:val="righ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法定代表人或其授权代表（签字或</w:t>
      </w:r>
      <w:r>
        <w:rPr>
          <w:rFonts w:hint="eastAsia" w:ascii="仿宋" w:hAnsi="仿宋" w:eastAsia="仿宋" w:cs="仿宋"/>
          <w:color w:val="auto"/>
          <w:kern w:val="0"/>
          <w:sz w:val="24"/>
          <w:highlight w:val="none"/>
          <w:lang w:val="zh-CN"/>
        </w:rPr>
        <w:t>盖章</w:t>
      </w:r>
      <w:r>
        <w:rPr>
          <w:rFonts w:hint="eastAsia" w:ascii="仿宋" w:hAnsi="仿宋" w:eastAsia="仿宋" w:cs="仿宋"/>
          <w:color w:val="auto"/>
          <w:kern w:val="0"/>
          <w:sz w:val="24"/>
          <w:highlight w:val="none"/>
        </w:rPr>
        <w:t>）：</w:t>
      </w:r>
    </w:p>
    <w:p>
      <w:pPr>
        <w:spacing w:line="360" w:lineRule="auto"/>
        <w:jc w:val="right"/>
        <w:rPr>
          <w:rFonts w:hint="eastAsia" w:ascii="仿宋" w:hAnsi="仿宋" w:eastAsia="仿宋" w:cs="仿宋"/>
          <w:b/>
          <w:bCs/>
          <w:color w:val="auto"/>
          <w:kern w:val="0"/>
          <w:sz w:val="24"/>
          <w:highlight w:val="none"/>
          <w:lang w:val="zh-CN"/>
        </w:rPr>
      </w:pPr>
      <w:r>
        <w:rPr>
          <w:rFonts w:hint="eastAsia" w:ascii="仿宋" w:hAnsi="仿宋" w:eastAsia="仿宋" w:cs="仿宋"/>
          <w:color w:val="auto"/>
          <w:kern w:val="0"/>
          <w:sz w:val="24"/>
          <w:highlight w:val="none"/>
        </w:rPr>
        <w:t>日期：年月日</w:t>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p>
    <w:p>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15、技术偏离说明表</w:t>
      </w:r>
    </w:p>
    <w:p>
      <w:pPr>
        <w:spacing w:line="360" w:lineRule="auto"/>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（由投标人根据采购需求及招标文件要求编制）</w:t>
      </w: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招标文件技术要求</w:t>
            </w:r>
          </w:p>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bl>
    <w:p>
      <w:pPr>
        <w:tabs>
          <w:tab w:val="left" w:pos="570"/>
        </w:tabs>
        <w:spacing w:line="440" w:lineRule="exact"/>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注：1.此表须与</w:t>
      </w:r>
      <w:r>
        <w:rPr>
          <w:rFonts w:hint="eastAsia" w:ascii="仿宋" w:hAnsi="仿宋" w:eastAsia="仿宋" w:cs="仿宋"/>
          <w:color w:val="auto"/>
          <w:kern w:val="0"/>
          <w:sz w:val="24"/>
          <w:highlight w:val="none"/>
        </w:rPr>
        <w:t>招标文件“</w:t>
      </w:r>
      <w:r>
        <w:rPr>
          <w:rFonts w:hint="eastAsia" w:ascii="仿宋" w:hAnsi="仿宋" w:eastAsia="仿宋" w:cs="仿宋"/>
          <w:color w:val="auto"/>
          <w:sz w:val="24"/>
          <w:highlight w:val="none"/>
        </w:rPr>
        <w:t>招标项目说明及要求</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相应标项内的所有技术规格相比较且一一对应真实逐条填列。</w:t>
      </w:r>
    </w:p>
    <w:p>
      <w:pPr>
        <w:tabs>
          <w:tab w:val="left" w:pos="570"/>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2、投标人递交的技术规格书中必须真实逐条列明，否则由投标人自行承担相关风险。</w:t>
      </w:r>
    </w:p>
    <w:p>
      <w:pPr>
        <w:autoSpaceDE w:val="0"/>
        <w:autoSpaceDN w:val="0"/>
        <w:spacing w:line="360" w:lineRule="auto"/>
        <w:ind w:firstLine="5040" w:firstLineChars="2100"/>
        <w:jc w:val="right"/>
        <w:rPr>
          <w:rFonts w:hint="eastAsia" w:ascii="仿宋" w:hAnsi="仿宋" w:eastAsia="仿宋" w:cs="仿宋"/>
          <w:color w:val="auto"/>
          <w:kern w:val="0"/>
          <w:sz w:val="24"/>
          <w:highlight w:val="none"/>
          <w:lang w:val="zh-CN"/>
        </w:rPr>
      </w:pPr>
    </w:p>
    <w:p>
      <w:pPr>
        <w:autoSpaceDE w:val="0"/>
        <w:autoSpaceDN w:val="0"/>
        <w:spacing w:line="360" w:lineRule="auto"/>
        <w:ind w:firstLine="5040" w:firstLineChars="2100"/>
        <w:jc w:val="righ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投标人名称（盖章）：</w:t>
      </w:r>
    </w:p>
    <w:p>
      <w:pPr>
        <w:autoSpaceDE w:val="0"/>
        <w:autoSpaceDN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法定代表人或其授权代表（签字或盖章）：</w:t>
      </w:r>
    </w:p>
    <w:p>
      <w:pPr>
        <w:spacing w:line="360" w:lineRule="auto"/>
        <w:jc w:val="right"/>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val="zh-CN"/>
        </w:rPr>
        <w:t>日期：年月日</w:t>
      </w: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36"/>
          <w:szCs w:val="36"/>
          <w:highlight w:val="none"/>
          <w:lang w:val="zh-CN"/>
        </w:rPr>
      </w:pPr>
    </w:p>
    <w:p>
      <w:pPr>
        <w:pageBreakBefore/>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lang w:val="zh-CN"/>
        </w:rPr>
        <w:t>16、组织实施方案</w:t>
      </w:r>
    </w:p>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39"/>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工作日</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pPr>
        <w:autoSpaceDE w:val="0"/>
        <w:autoSpaceDN w:val="0"/>
        <w:spacing w:line="360" w:lineRule="auto"/>
        <w:ind w:firstLine="4440" w:firstLineChars="1850"/>
        <w:jc w:val="righ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投标人名称（</w:t>
      </w:r>
      <w:r>
        <w:rPr>
          <w:rFonts w:hint="eastAsia" w:ascii="仿宋" w:hAnsi="仿宋" w:eastAsia="仿宋" w:cs="仿宋"/>
          <w:color w:val="auto"/>
          <w:kern w:val="0"/>
          <w:sz w:val="24"/>
          <w:highlight w:val="none"/>
          <w:lang w:val="zh-CN"/>
        </w:rPr>
        <w:t>盖章</w:t>
      </w:r>
      <w:r>
        <w:rPr>
          <w:rFonts w:hint="eastAsia" w:ascii="仿宋" w:hAnsi="仿宋" w:eastAsia="仿宋" w:cs="仿宋"/>
          <w:color w:val="auto"/>
          <w:kern w:val="0"/>
          <w:sz w:val="24"/>
          <w:highlight w:val="none"/>
        </w:rPr>
        <w:t>）：</w:t>
      </w:r>
    </w:p>
    <w:p>
      <w:pPr>
        <w:autoSpaceDE w:val="0"/>
        <w:autoSpaceDN w:val="0"/>
        <w:spacing w:line="360" w:lineRule="auto"/>
        <w:jc w:val="righ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法定代表人或其授权代表（签字或</w:t>
      </w:r>
      <w:r>
        <w:rPr>
          <w:rFonts w:hint="eastAsia" w:ascii="仿宋" w:hAnsi="仿宋" w:eastAsia="仿宋" w:cs="仿宋"/>
          <w:color w:val="auto"/>
          <w:kern w:val="0"/>
          <w:sz w:val="24"/>
          <w:highlight w:val="none"/>
          <w:lang w:val="zh-CN"/>
        </w:rPr>
        <w:t>盖章</w:t>
      </w:r>
      <w:r>
        <w:rPr>
          <w:rFonts w:hint="eastAsia" w:ascii="仿宋" w:hAnsi="仿宋" w:eastAsia="仿宋" w:cs="仿宋"/>
          <w:color w:val="auto"/>
          <w:kern w:val="0"/>
          <w:sz w:val="24"/>
          <w:highlight w:val="none"/>
        </w:rPr>
        <w:t>）：</w:t>
      </w:r>
    </w:p>
    <w:p>
      <w:pPr>
        <w:spacing w:line="360" w:lineRule="auto"/>
        <w:jc w:val="right"/>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日期：年月日</w:t>
      </w:r>
    </w:p>
    <w:p>
      <w:pPr>
        <w:spacing w:line="360" w:lineRule="auto"/>
        <w:jc w:val="center"/>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17、售后服务方案</w:t>
      </w:r>
    </w:p>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39"/>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highlight w:val="none"/>
              </w:rPr>
            </w:pPr>
          </w:p>
        </w:tc>
        <w:tc>
          <w:tcPr>
            <w:tcW w:w="2160" w:type="dxa"/>
          </w:tcPr>
          <w:p>
            <w:pPr>
              <w:autoSpaceDE w:val="0"/>
              <w:autoSpaceDN w:val="0"/>
              <w:spacing w:line="360" w:lineRule="auto"/>
              <w:jc w:val="center"/>
              <w:rPr>
                <w:rFonts w:hint="eastAsia" w:ascii="仿宋" w:hAnsi="仿宋" w:eastAsia="仿宋" w:cs="仿宋"/>
                <w:color w:val="auto"/>
                <w:sz w:val="24"/>
                <w:highlight w:val="none"/>
              </w:rPr>
            </w:pPr>
          </w:p>
        </w:tc>
        <w:tc>
          <w:tcPr>
            <w:tcW w:w="1620" w:type="dxa"/>
          </w:tcPr>
          <w:p>
            <w:pPr>
              <w:autoSpaceDE w:val="0"/>
              <w:autoSpaceDN w:val="0"/>
              <w:spacing w:line="360" w:lineRule="auto"/>
              <w:jc w:val="center"/>
              <w:rPr>
                <w:rFonts w:hint="eastAsia" w:ascii="仿宋" w:hAnsi="仿宋" w:eastAsia="仿宋" w:cs="仿宋"/>
                <w:color w:val="auto"/>
                <w:sz w:val="24"/>
                <w:highlight w:val="none"/>
              </w:rPr>
            </w:pPr>
          </w:p>
        </w:tc>
        <w:tc>
          <w:tcPr>
            <w:tcW w:w="1245" w:type="dxa"/>
          </w:tcPr>
          <w:p>
            <w:pPr>
              <w:autoSpaceDE w:val="0"/>
              <w:autoSpaceDN w:val="0"/>
              <w:spacing w:line="360" w:lineRule="auto"/>
              <w:jc w:val="center"/>
              <w:rPr>
                <w:rFonts w:hint="eastAsia" w:ascii="仿宋" w:hAnsi="仿宋" w:eastAsia="仿宋" w:cs="仿宋"/>
                <w:color w:val="auto"/>
                <w:sz w:val="24"/>
                <w:highlight w:val="none"/>
              </w:rPr>
            </w:pPr>
          </w:p>
        </w:tc>
        <w:tc>
          <w:tcPr>
            <w:tcW w:w="2175" w:type="dxa"/>
          </w:tcPr>
          <w:p>
            <w:pPr>
              <w:autoSpaceDE w:val="0"/>
              <w:autoSpaceDN w:val="0"/>
              <w:spacing w:line="360" w:lineRule="auto"/>
              <w:jc w:val="center"/>
              <w:rPr>
                <w:rFonts w:hint="eastAsia" w:ascii="仿宋" w:hAnsi="仿宋" w:eastAsia="仿宋" w:cs="仿宋"/>
                <w:color w:val="auto"/>
                <w:sz w:val="24"/>
                <w:highlight w:val="none"/>
              </w:rPr>
            </w:pPr>
          </w:p>
        </w:tc>
        <w:tc>
          <w:tcPr>
            <w:tcW w:w="1260" w:type="dxa"/>
          </w:tcPr>
          <w:p>
            <w:pPr>
              <w:autoSpaceDE w:val="0"/>
              <w:autoSpaceDN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highlight w:val="none"/>
              </w:rPr>
            </w:pPr>
          </w:p>
        </w:tc>
        <w:tc>
          <w:tcPr>
            <w:tcW w:w="2160" w:type="dxa"/>
          </w:tcPr>
          <w:p>
            <w:pPr>
              <w:autoSpaceDE w:val="0"/>
              <w:autoSpaceDN w:val="0"/>
              <w:spacing w:line="360" w:lineRule="auto"/>
              <w:jc w:val="center"/>
              <w:rPr>
                <w:rFonts w:hint="eastAsia" w:ascii="仿宋" w:hAnsi="仿宋" w:eastAsia="仿宋" w:cs="仿宋"/>
                <w:color w:val="auto"/>
                <w:sz w:val="24"/>
                <w:highlight w:val="none"/>
              </w:rPr>
            </w:pPr>
          </w:p>
        </w:tc>
        <w:tc>
          <w:tcPr>
            <w:tcW w:w="1620" w:type="dxa"/>
          </w:tcPr>
          <w:p>
            <w:pPr>
              <w:autoSpaceDE w:val="0"/>
              <w:autoSpaceDN w:val="0"/>
              <w:spacing w:line="360" w:lineRule="auto"/>
              <w:jc w:val="center"/>
              <w:rPr>
                <w:rFonts w:hint="eastAsia" w:ascii="仿宋" w:hAnsi="仿宋" w:eastAsia="仿宋" w:cs="仿宋"/>
                <w:color w:val="auto"/>
                <w:sz w:val="24"/>
                <w:highlight w:val="none"/>
              </w:rPr>
            </w:pPr>
          </w:p>
        </w:tc>
        <w:tc>
          <w:tcPr>
            <w:tcW w:w="1245" w:type="dxa"/>
          </w:tcPr>
          <w:p>
            <w:pPr>
              <w:autoSpaceDE w:val="0"/>
              <w:autoSpaceDN w:val="0"/>
              <w:spacing w:line="360" w:lineRule="auto"/>
              <w:jc w:val="center"/>
              <w:rPr>
                <w:rFonts w:hint="eastAsia" w:ascii="仿宋" w:hAnsi="仿宋" w:eastAsia="仿宋" w:cs="仿宋"/>
                <w:color w:val="auto"/>
                <w:sz w:val="24"/>
                <w:highlight w:val="none"/>
              </w:rPr>
            </w:pPr>
          </w:p>
        </w:tc>
        <w:tc>
          <w:tcPr>
            <w:tcW w:w="2175" w:type="dxa"/>
          </w:tcPr>
          <w:p>
            <w:pPr>
              <w:autoSpaceDE w:val="0"/>
              <w:autoSpaceDN w:val="0"/>
              <w:spacing w:line="360" w:lineRule="auto"/>
              <w:jc w:val="center"/>
              <w:rPr>
                <w:rFonts w:hint="eastAsia" w:ascii="仿宋" w:hAnsi="仿宋" w:eastAsia="仿宋" w:cs="仿宋"/>
                <w:color w:val="auto"/>
                <w:sz w:val="24"/>
                <w:highlight w:val="none"/>
              </w:rPr>
            </w:pPr>
          </w:p>
        </w:tc>
        <w:tc>
          <w:tcPr>
            <w:tcW w:w="1260" w:type="dxa"/>
          </w:tcPr>
          <w:p>
            <w:pPr>
              <w:autoSpaceDE w:val="0"/>
              <w:autoSpaceDN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highlight w:val="none"/>
              </w:rPr>
            </w:pPr>
          </w:p>
        </w:tc>
        <w:tc>
          <w:tcPr>
            <w:tcW w:w="2160" w:type="dxa"/>
          </w:tcPr>
          <w:p>
            <w:pPr>
              <w:autoSpaceDE w:val="0"/>
              <w:autoSpaceDN w:val="0"/>
              <w:spacing w:line="360" w:lineRule="auto"/>
              <w:jc w:val="center"/>
              <w:rPr>
                <w:rFonts w:hint="eastAsia" w:ascii="仿宋" w:hAnsi="仿宋" w:eastAsia="仿宋" w:cs="仿宋"/>
                <w:color w:val="auto"/>
                <w:sz w:val="24"/>
                <w:highlight w:val="none"/>
              </w:rPr>
            </w:pPr>
          </w:p>
        </w:tc>
        <w:tc>
          <w:tcPr>
            <w:tcW w:w="1620" w:type="dxa"/>
          </w:tcPr>
          <w:p>
            <w:pPr>
              <w:autoSpaceDE w:val="0"/>
              <w:autoSpaceDN w:val="0"/>
              <w:spacing w:line="360" w:lineRule="auto"/>
              <w:jc w:val="center"/>
              <w:rPr>
                <w:rFonts w:hint="eastAsia" w:ascii="仿宋" w:hAnsi="仿宋" w:eastAsia="仿宋" w:cs="仿宋"/>
                <w:color w:val="auto"/>
                <w:sz w:val="24"/>
                <w:highlight w:val="none"/>
              </w:rPr>
            </w:pPr>
          </w:p>
        </w:tc>
        <w:tc>
          <w:tcPr>
            <w:tcW w:w="1245" w:type="dxa"/>
          </w:tcPr>
          <w:p>
            <w:pPr>
              <w:autoSpaceDE w:val="0"/>
              <w:autoSpaceDN w:val="0"/>
              <w:spacing w:line="360" w:lineRule="auto"/>
              <w:jc w:val="center"/>
              <w:rPr>
                <w:rFonts w:hint="eastAsia" w:ascii="仿宋" w:hAnsi="仿宋" w:eastAsia="仿宋" w:cs="仿宋"/>
                <w:color w:val="auto"/>
                <w:sz w:val="24"/>
                <w:highlight w:val="none"/>
              </w:rPr>
            </w:pPr>
          </w:p>
        </w:tc>
        <w:tc>
          <w:tcPr>
            <w:tcW w:w="2175" w:type="dxa"/>
          </w:tcPr>
          <w:p>
            <w:pPr>
              <w:autoSpaceDE w:val="0"/>
              <w:autoSpaceDN w:val="0"/>
              <w:spacing w:line="360" w:lineRule="auto"/>
              <w:jc w:val="center"/>
              <w:rPr>
                <w:rFonts w:hint="eastAsia" w:ascii="仿宋" w:hAnsi="仿宋" w:eastAsia="仿宋" w:cs="仿宋"/>
                <w:color w:val="auto"/>
                <w:sz w:val="24"/>
                <w:highlight w:val="none"/>
              </w:rPr>
            </w:pPr>
          </w:p>
        </w:tc>
        <w:tc>
          <w:tcPr>
            <w:tcW w:w="1260" w:type="dxa"/>
          </w:tcPr>
          <w:p>
            <w:pPr>
              <w:autoSpaceDE w:val="0"/>
              <w:autoSpaceDN w:val="0"/>
              <w:spacing w:line="360" w:lineRule="auto"/>
              <w:jc w:val="center"/>
              <w:rPr>
                <w:rFonts w:hint="eastAsia" w:ascii="仿宋" w:hAnsi="仿宋" w:eastAsia="仿宋" w:cs="仿宋"/>
                <w:color w:val="auto"/>
                <w:sz w:val="24"/>
                <w:highlight w:val="none"/>
              </w:rPr>
            </w:pPr>
          </w:p>
        </w:tc>
      </w:tr>
    </w:tbl>
    <w:p>
      <w:pPr>
        <w:autoSpaceDE w:val="0"/>
        <w:autoSpaceDN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pPr>
        <w:autoSpaceDE w:val="0"/>
        <w:autoSpaceDN w:val="0"/>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39"/>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color w:val="auto"/>
          <w:kern w:val="0"/>
          <w:sz w:val="24"/>
          <w:highlight w:val="none"/>
        </w:rPr>
      </w:pPr>
    </w:p>
    <w:p>
      <w:pPr>
        <w:autoSpaceDE w:val="0"/>
        <w:autoSpaceDN w:val="0"/>
        <w:spacing w:line="360" w:lineRule="auto"/>
        <w:ind w:firstLine="4440" w:firstLineChars="1850"/>
        <w:jc w:val="righ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投标人名称（</w:t>
      </w:r>
      <w:r>
        <w:rPr>
          <w:rFonts w:hint="eastAsia" w:ascii="仿宋" w:hAnsi="仿宋" w:eastAsia="仿宋" w:cs="仿宋"/>
          <w:color w:val="auto"/>
          <w:kern w:val="0"/>
          <w:sz w:val="24"/>
          <w:highlight w:val="none"/>
          <w:lang w:val="zh-CN"/>
        </w:rPr>
        <w:t>盖章</w:t>
      </w:r>
      <w:r>
        <w:rPr>
          <w:rFonts w:hint="eastAsia" w:ascii="仿宋" w:hAnsi="仿宋" w:eastAsia="仿宋" w:cs="仿宋"/>
          <w:color w:val="auto"/>
          <w:kern w:val="0"/>
          <w:sz w:val="24"/>
          <w:highlight w:val="none"/>
        </w:rPr>
        <w:t>）：</w:t>
      </w:r>
    </w:p>
    <w:p>
      <w:pPr>
        <w:autoSpaceDE w:val="0"/>
        <w:autoSpaceDN w:val="0"/>
        <w:spacing w:line="360" w:lineRule="auto"/>
        <w:jc w:val="righ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法定代表人或其授权代表（签字或</w:t>
      </w:r>
      <w:r>
        <w:rPr>
          <w:rFonts w:hint="eastAsia" w:ascii="仿宋" w:hAnsi="仿宋" w:eastAsia="仿宋" w:cs="仿宋"/>
          <w:color w:val="auto"/>
          <w:kern w:val="0"/>
          <w:sz w:val="24"/>
          <w:highlight w:val="none"/>
          <w:lang w:val="zh-CN"/>
        </w:rPr>
        <w:t>盖章</w:t>
      </w:r>
      <w:r>
        <w:rPr>
          <w:rFonts w:hint="eastAsia" w:ascii="仿宋" w:hAnsi="仿宋" w:eastAsia="仿宋" w:cs="仿宋"/>
          <w:color w:val="auto"/>
          <w:kern w:val="0"/>
          <w:sz w:val="24"/>
          <w:highlight w:val="none"/>
        </w:rPr>
        <w:t>）：</w:t>
      </w:r>
    </w:p>
    <w:p>
      <w:pPr>
        <w:spacing w:line="360" w:lineRule="auto"/>
        <w:jc w:val="right"/>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日期：年月日</w:t>
      </w:r>
    </w:p>
    <w:p>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18、项目小组人员名单</w:t>
      </w:r>
    </w:p>
    <w:p>
      <w:pPr>
        <w:spacing w:line="360" w:lineRule="auto"/>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pPr>
        <w:keepNext/>
        <w:autoSpaceDE w:val="0"/>
        <w:autoSpaceDN w:val="0"/>
        <w:spacing w:line="360" w:lineRule="auto"/>
        <w:ind w:firstLine="477"/>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39"/>
        <w:tblW w:w="0" w:type="auto"/>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注：须随表提交相应的证书复印件并注明所在投标商务技术（资信）文件页码。</w:t>
      </w:r>
    </w:p>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39"/>
        <w:tblW w:w="0" w:type="auto"/>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r>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bl>
    <w:p>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注：投标人可按上述的格式自行编制，须随表提交相应的证书复印件并注明所在投标商务技术（资信）文件页码。</w:t>
      </w:r>
    </w:p>
    <w:p>
      <w:pPr>
        <w:spacing w:line="360" w:lineRule="auto"/>
        <w:jc w:val="right"/>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附表C:本项目的项目经理和小组人员提供近3个月交纳社保记录情况表</w:t>
      </w:r>
      <w:r>
        <w:rPr>
          <w:rFonts w:hint="eastAsia" w:ascii="仿宋" w:hAnsi="仿宋" w:eastAsia="仿宋" w:cs="仿宋"/>
          <w:color w:val="auto"/>
          <w:sz w:val="24"/>
          <w:highlight w:val="none"/>
        </w:rPr>
        <w:t>（以社保局缴纳凭证作附件）</w:t>
      </w:r>
    </w:p>
    <w:p>
      <w:pPr>
        <w:autoSpaceDE w:val="0"/>
        <w:autoSpaceDN w:val="0"/>
        <w:spacing w:line="360" w:lineRule="auto"/>
        <w:ind w:firstLine="4440" w:firstLineChars="1850"/>
        <w:jc w:val="righ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投标人名称（</w:t>
      </w:r>
      <w:r>
        <w:rPr>
          <w:rFonts w:hint="eastAsia" w:ascii="仿宋" w:hAnsi="仿宋" w:eastAsia="仿宋" w:cs="仿宋"/>
          <w:color w:val="auto"/>
          <w:kern w:val="0"/>
          <w:sz w:val="24"/>
          <w:highlight w:val="none"/>
          <w:lang w:val="zh-CN"/>
        </w:rPr>
        <w:t>盖章</w:t>
      </w:r>
      <w:r>
        <w:rPr>
          <w:rFonts w:hint="eastAsia" w:ascii="仿宋" w:hAnsi="仿宋" w:eastAsia="仿宋" w:cs="仿宋"/>
          <w:color w:val="auto"/>
          <w:kern w:val="0"/>
          <w:sz w:val="24"/>
          <w:highlight w:val="none"/>
        </w:rPr>
        <w:t>）：</w:t>
      </w:r>
    </w:p>
    <w:p>
      <w:pPr>
        <w:autoSpaceDE w:val="0"/>
        <w:autoSpaceDN w:val="0"/>
        <w:spacing w:line="360" w:lineRule="auto"/>
        <w:jc w:val="righ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法定代表人或其授权代表（签字或</w:t>
      </w:r>
      <w:r>
        <w:rPr>
          <w:rFonts w:hint="eastAsia" w:ascii="仿宋" w:hAnsi="仿宋" w:eastAsia="仿宋" w:cs="仿宋"/>
          <w:color w:val="auto"/>
          <w:kern w:val="0"/>
          <w:sz w:val="24"/>
          <w:highlight w:val="none"/>
          <w:lang w:val="zh-CN"/>
        </w:rPr>
        <w:t>盖章</w:t>
      </w:r>
      <w:r>
        <w:rPr>
          <w:rFonts w:hint="eastAsia" w:ascii="仿宋" w:hAnsi="仿宋" w:eastAsia="仿宋" w:cs="仿宋"/>
          <w:color w:val="auto"/>
          <w:kern w:val="0"/>
          <w:sz w:val="24"/>
          <w:highlight w:val="none"/>
        </w:rPr>
        <w:t>）：</w:t>
      </w:r>
    </w:p>
    <w:p>
      <w:pPr>
        <w:spacing w:line="360" w:lineRule="auto"/>
        <w:jc w:val="righ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日期：年月日</w:t>
      </w:r>
    </w:p>
    <w:p>
      <w:pPr>
        <w:spacing w:line="360" w:lineRule="auto"/>
        <w:jc w:val="center"/>
        <w:rPr>
          <w:rFonts w:hint="eastAsia" w:ascii="仿宋" w:hAnsi="仿宋" w:eastAsia="仿宋" w:cs="仿宋"/>
          <w:b/>
          <w:bCs/>
          <w:color w:val="auto"/>
          <w:sz w:val="32"/>
          <w:szCs w:val="32"/>
          <w:highlight w:val="none"/>
        </w:rPr>
      </w:pPr>
    </w:p>
    <w:p>
      <w:pPr>
        <w:pageBreakBefore/>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19、</w:t>
      </w:r>
      <w:r>
        <w:rPr>
          <w:rFonts w:hint="eastAsia" w:ascii="仿宋" w:hAnsi="仿宋" w:eastAsia="仿宋" w:cs="仿宋"/>
          <w:b/>
          <w:color w:val="auto"/>
          <w:kern w:val="0"/>
          <w:sz w:val="32"/>
          <w:szCs w:val="32"/>
          <w:highlight w:val="none"/>
          <w:lang w:val="zh-CN"/>
        </w:rPr>
        <w:t>优惠条件及特殊承诺</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rPr>
          <w:rFonts w:hint="eastAsia" w:ascii="仿宋" w:hAnsi="仿宋" w:eastAsia="仿宋" w:cs="仿宋"/>
          <w:color w:val="auto"/>
          <w:sz w:val="18"/>
          <w:szCs w:val="18"/>
          <w:highlight w:val="none"/>
        </w:rPr>
      </w:pPr>
    </w:p>
    <w:p>
      <w:pPr>
        <w:autoSpaceDE w:val="0"/>
        <w:autoSpaceDN w:val="0"/>
        <w:spacing w:line="360" w:lineRule="auto"/>
        <w:ind w:firstLine="4440" w:firstLineChars="1850"/>
        <w:jc w:val="righ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投标人名称（</w:t>
      </w:r>
      <w:r>
        <w:rPr>
          <w:rFonts w:hint="eastAsia" w:ascii="仿宋" w:hAnsi="仿宋" w:eastAsia="仿宋" w:cs="仿宋"/>
          <w:color w:val="auto"/>
          <w:kern w:val="0"/>
          <w:sz w:val="24"/>
          <w:highlight w:val="none"/>
          <w:lang w:val="zh-CN"/>
        </w:rPr>
        <w:t>盖章）</w:t>
      </w:r>
      <w:r>
        <w:rPr>
          <w:rFonts w:hint="eastAsia" w:ascii="仿宋" w:hAnsi="仿宋" w:eastAsia="仿宋" w:cs="仿宋"/>
          <w:color w:val="auto"/>
          <w:kern w:val="0"/>
          <w:sz w:val="24"/>
          <w:highlight w:val="none"/>
        </w:rPr>
        <w:t>：</w:t>
      </w:r>
    </w:p>
    <w:p>
      <w:pPr>
        <w:autoSpaceDE w:val="0"/>
        <w:autoSpaceDN w:val="0"/>
        <w:spacing w:line="360" w:lineRule="auto"/>
        <w:jc w:val="righ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法定代表人或其授权代表（签字或</w:t>
      </w:r>
      <w:r>
        <w:rPr>
          <w:rFonts w:hint="eastAsia" w:ascii="仿宋" w:hAnsi="仿宋" w:eastAsia="仿宋" w:cs="仿宋"/>
          <w:color w:val="auto"/>
          <w:kern w:val="0"/>
          <w:sz w:val="24"/>
          <w:highlight w:val="none"/>
          <w:lang w:val="zh-CN"/>
        </w:rPr>
        <w:t>盖章</w:t>
      </w:r>
      <w:r>
        <w:rPr>
          <w:rFonts w:hint="eastAsia" w:ascii="仿宋" w:hAnsi="仿宋" w:eastAsia="仿宋" w:cs="仿宋"/>
          <w:color w:val="auto"/>
          <w:kern w:val="0"/>
          <w:sz w:val="24"/>
          <w:highlight w:val="none"/>
        </w:rPr>
        <w:t>）：</w:t>
      </w:r>
    </w:p>
    <w:p>
      <w:pPr>
        <w:spacing w:line="360" w:lineRule="auto"/>
        <w:jc w:val="righ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日期：年月日</w:t>
      </w:r>
    </w:p>
    <w:p>
      <w:pPr>
        <w:spacing w:line="360" w:lineRule="auto"/>
        <w:rPr>
          <w:rFonts w:hint="eastAsia" w:ascii="仿宋" w:hAnsi="仿宋" w:eastAsia="仿宋" w:cs="仿宋"/>
          <w:b/>
          <w:bCs/>
          <w:color w:val="auto"/>
          <w:sz w:val="18"/>
          <w:szCs w:val="18"/>
          <w:highlight w:val="none"/>
        </w:rPr>
      </w:pPr>
    </w:p>
    <w:p>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20、</w:t>
      </w:r>
      <w:r>
        <w:rPr>
          <w:rFonts w:hint="eastAsia" w:ascii="仿宋" w:hAnsi="仿宋" w:eastAsia="仿宋" w:cs="仿宋"/>
          <w:b/>
          <w:color w:val="auto"/>
          <w:kern w:val="0"/>
          <w:sz w:val="32"/>
          <w:szCs w:val="32"/>
          <w:highlight w:val="none"/>
          <w:lang w:val="zh-CN"/>
        </w:rPr>
        <w:t>备品备件及供选择的配套零部件清单</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440" w:lineRule="exact"/>
        <w:rPr>
          <w:rFonts w:hint="eastAsia" w:ascii="仿宋" w:hAnsi="仿宋" w:eastAsia="仿宋" w:cs="仿宋"/>
          <w:b/>
          <w:color w:val="auto"/>
          <w:spacing w:val="20"/>
          <w:sz w:val="24"/>
          <w:highlight w:val="none"/>
        </w:rPr>
      </w:pPr>
      <w:r>
        <w:rPr>
          <w:rFonts w:hint="eastAsia" w:ascii="仿宋" w:hAnsi="仿宋" w:eastAsia="仿宋" w:cs="仿宋"/>
          <w:b/>
          <w:color w:val="auto"/>
          <w:sz w:val="32"/>
          <w:szCs w:val="32"/>
          <w:highlight w:val="none"/>
        </w:rPr>
        <w:t>21、</w:t>
      </w:r>
      <w:r>
        <w:rPr>
          <w:rFonts w:hint="eastAsia" w:ascii="仿宋" w:hAnsi="仿宋" w:eastAsia="仿宋" w:cs="仿宋"/>
          <w:b/>
          <w:color w:val="auto"/>
          <w:spacing w:val="20"/>
          <w:sz w:val="32"/>
          <w:szCs w:val="32"/>
          <w:highlight w:val="none"/>
        </w:rPr>
        <w:t>消耗品、维修零配件购买价格清单</w:t>
      </w:r>
      <w:r>
        <w:rPr>
          <w:rFonts w:hint="eastAsia" w:ascii="仿宋" w:hAnsi="仿宋" w:eastAsia="仿宋" w:cs="仿宋"/>
          <w:b/>
          <w:color w:val="auto"/>
          <w:spacing w:val="20"/>
          <w:sz w:val="24"/>
          <w:highlight w:val="none"/>
        </w:rPr>
        <w:t>(如有</w:t>
      </w:r>
      <w:r>
        <w:rPr>
          <w:rFonts w:hint="eastAsia" w:ascii="仿宋" w:hAnsi="仿宋" w:eastAsia="仿宋" w:cs="仿宋"/>
          <w:b/>
          <w:color w:val="auto"/>
          <w:sz w:val="24"/>
          <w:highlight w:val="none"/>
        </w:rPr>
        <w:t>，放入“技术资料部分”</w:t>
      </w:r>
      <w:r>
        <w:rPr>
          <w:rFonts w:hint="eastAsia" w:ascii="仿宋" w:hAnsi="仿宋" w:eastAsia="仿宋" w:cs="仿宋"/>
          <w:b/>
          <w:color w:val="auto"/>
          <w:spacing w:val="20"/>
          <w:sz w:val="24"/>
          <w:highlight w:val="none"/>
        </w:rPr>
        <w:t>)</w:t>
      </w:r>
    </w:p>
    <w:tbl>
      <w:tblPr>
        <w:tblStyle w:val="39"/>
        <w:tblW w:w="8640" w:type="dxa"/>
        <w:tblInd w:w="108"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20"/>
        <w:gridCol w:w="1260"/>
        <w:gridCol w:w="1440"/>
        <w:gridCol w:w="720"/>
        <w:gridCol w:w="1440"/>
        <w:gridCol w:w="900"/>
        <w:gridCol w:w="720"/>
        <w:gridCol w:w="1440"/>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Ex>
        <w:trPr>
          <w:trHeight w:val="400" w:hRule="atLeast"/>
        </w:trPr>
        <w:tc>
          <w:tcPr>
            <w:tcW w:w="720" w:type="dxa"/>
            <w:tcBorders>
              <w:top w:val="double" w:color="000000" w:sz="6" w:space="0"/>
              <w:left w:val="doub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序号</w:t>
            </w:r>
          </w:p>
        </w:tc>
        <w:tc>
          <w:tcPr>
            <w:tcW w:w="1260" w:type="dxa"/>
            <w:tcBorders>
              <w:top w:val="doub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名称</w:t>
            </w:r>
          </w:p>
        </w:tc>
        <w:tc>
          <w:tcPr>
            <w:tcW w:w="1440" w:type="dxa"/>
            <w:tcBorders>
              <w:top w:val="doub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品牌、型号和规格</w:t>
            </w:r>
          </w:p>
        </w:tc>
        <w:tc>
          <w:tcPr>
            <w:tcW w:w="720" w:type="dxa"/>
            <w:tcBorders>
              <w:top w:val="doub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数量</w:t>
            </w:r>
          </w:p>
        </w:tc>
        <w:tc>
          <w:tcPr>
            <w:tcW w:w="1440" w:type="dxa"/>
            <w:tcBorders>
              <w:top w:val="doub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原产地和制造商名称</w:t>
            </w:r>
          </w:p>
        </w:tc>
        <w:tc>
          <w:tcPr>
            <w:tcW w:w="900" w:type="dxa"/>
            <w:tcBorders>
              <w:top w:val="doub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市场价</w:t>
            </w:r>
          </w:p>
        </w:tc>
        <w:tc>
          <w:tcPr>
            <w:tcW w:w="720" w:type="dxa"/>
            <w:tcBorders>
              <w:top w:val="double" w:color="000000" w:sz="6" w:space="0"/>
              <w:left w:val="single" w:color="auto" w:sz="4" w:space="0"/>
              <w:bottom w:val="single" w:color="000000" w:sz="6" w:space="0"/>
              <w:right w:val="single" w:color="000000" w:sz="6"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报价</w:t>
            </w:r>
          </w:p>
        </w:tc>
        <w:tc>
          <w:tcPr>
            <w:tcW w:w="1440" w:type="dxa"/>
            <w:tcBorders>
              <w:top w:val="double" w:color="000000" w:sz="6" w:space="0"/>
              <w:left w:val="single" w:color="000000" w:sz="6" w:space="0"/>
              <w:bottom w:val="single" w:color="000000" w:sz="6" w:space="0"/>
              <w:right w:val="double" w:color="000000" w:sz="6"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对应的投标设备名称</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1.</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hint="eastAsia" w:ascii="仿宋" w:hAnsi="仿宋" w:eastAsia="仿宋" w:cs="仿宋"/>
                <w:color w:val="auto"/>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2.</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hint="eastAsia" w:ascii="仿宋" w:hAnsi="仿宋" w:eastAsia="仿宋" w:cs="仿宋"/>
                <w:color w:val="auto"/>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3.</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hint="eastAsia" w:ascii="仿宋" w:hAnsi="仿宋" w:eastAsia="仿宋" w:cs="仿宋"/>
                <w:color w:val="auto"/>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4.</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hint="eastAsia" w:ascii="仿宋" w:hAnsi="仿宋" w:eastAsia="仿宋" w:cs="仿宋"/>
                <w:color w:val="auto"/>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5.</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hint="eastAsia" w:ascii="仿宋" w:hAnsi="仿宋" w:eastAsia="仿宋" w:cs="仿宋"/>
                <w:color w:val="auto"/>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6.</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hint="eastAsia" w:ascii="仿宋" w:hAnsi="仿宋" w:eastAsia="仿宋" w:cs="仿宋"/>
                <w:color w:val="auto"/>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Ex>
        <w:trPr>
          <w:trHeight w:val="400" w:hRule="atLeast"/>
        </w:trPr>
        <w:tc>
          <w:tcPr>
            <w:tcW w:w="720" w:type="dxa"/>
            <w:tcBorders>
              <w:top w:val="single" w:color="000000" w:sz="6" w:space="0"/>
              <w:left w:val="double" w:color="000000" w:sz="6" w:space="0"/>
              <w:bottom w:val="double" w:color="000000" w:sz="6" w:space="0"/>
              <w:right w:val="single" w:color="000000" w:sz="6"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7.</w:t>
            </w:r>
          </w:p>
        </w:tc>
        <w:tc>
          <w:tcPr>
            <w:tcW w:w="1260" w:type="dxa"/>
            <w:tcBorders>
              <w:top w:val="single" w:color="000000" w:sz="6" w:space="0"/>
              <w:left w:val="single" w:color="000000" w:sz="6" w:space="0"/>
              <w:bottom w:val="doub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double" w:color="000000" w:sz="6" w:space="0"/>
              <w:right w:val="single" w:color="000000" w:sz="6" w:space="0"/>
            </w:tcBorders>
            <w:vAlign w:val="center"/>
          </w:tcPr>
          <w:p>
            <w:pPr>
              <w:rPr>
                <w:rFonts w:hint="eastAsia" w:ascii="仿宋" w:hAnsi="仿宋" w:eastAsia="仿宋" w:cs="仿宋"/>
                <w:color w:val="auto"/>
                <w:highlight w:val="none"/>
              </w:rPr>
            </w:pPr>
          </w:p>
        </w:tc>
        <w:tc>
          <w:tcPr>
            <w:tcW w:w="720" w:type="dxa"/>
            <w:tcBorders>
              <w:top w:val="single" w:color="000000" w:sz="6" w:space="0"/>
              <w:left w:val="single" w:color="000000" w:sz="6" w:space="0"/>
              <w:bottom w:val="doub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double" w:color="000000" w:sz="6" w:space="0"/>
              <w:right w:val="single" w:color="000000" w:sz="6" w:space="0"/>
            </w:tcBorders>
            <w:vAlign w:val="center"/>
          </w:tcPr>
          <w:p>
            <w:pPr>
              <w:rPr>
                <w:rFonts w:hint="eastAsia" w:ascii="仿宋" w:hAnsi="仿宋" w:eastAsia="仿宋" w:cs="仿宋"/>
                <w:color w:val="auto"/>
                <w:highlight w:val="none"/>
              </w:rPr>
            </w:pPr>
          </w:p>
        </w:tc>
        <w:tc>
          <w:tcPr>
            <w:tcW w:w="900" w:type="dxa"/>
            <w:tcBorders>
              <w:top w:val="single" w:color="000000" w:sz="6" w:space="0"/>
              <w:left w:val="single" w:color="000000" w:sz="6" w:space="0"/>
              <w:bottom w:val="double" w:color="000000" w:sz="6" w:space="0"/>
              <w:right w:val="single" w:color="000000" w:sz="6" w:space="0"/>
            </w:tcBorders>
            <w:vAlign w:val="center"/>
          </w:tcPr>
          <w:p>
            <w:pPr>
              <w:rPr>
                <w:rFonts w:hint="eastAsia" w:ascii="仿宋" w:hAnsi="仿宋" w:eastAsia="仿宋" w:cs="仿宋"/>
                <w:color w:val="auto"/>
                <w:highlight w:val="none"/>
              </w:rPr>
            </w:pPr>
          </w:p>
        </w:tc>
        <w:tc>
          <w:tcPr>
            <w:tcW w:w="720" w:type="dxa"/>
            <w:tcBorders>
              <w:top w:val="single" w:color="000000" w:sz="6" w:space="0"/>
              <w:left w:val="single" w:color="auto" w:sz="4" w:space="0"/>
              <w:bottom w:val="doub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double" w:color="000000" w:sz="6" w:space="0"/>
              <w:right w:val="double" w:color="000000" w:sz="6" w:space="0"/>
            </w:tcBorders>
            <w:vAlign w:val="center"/>
          </w:tcPr>
          <w:p>
            <w:pPr>
              <w:rPr>
                <w:rFonts w:hint="eastAsia" w:ascii="仿宋" w:hAnsi="仿宋" w:eastAsia="仿宋" w:cs="仿宋"/>
                <w:color w:val="auto"/>
                <w:highlight w:val="none"/>
              </w:rPr>
            </w:pPr>
          </w:p>
        </w:tc>
      </w:tr>
    </w:tbl>
    <w:p>
      <w:pPr>
        <w:adjustRightInd w:val="0"/>
        <w:snapToGrid w:val="0"/>
        <w:ind w:right="172" w:rightChars="82"/>
        <w:rPr>
          <w:rFonts w:hint="eastAsia" w:ascii="仿宋" w:hAnsi="仿宋" w:eastAsia="仿宋" w:cs="仿宋"/>
          <w:color w:val="auto"/>
          <w:szCs w:val="21"/>
          <w:highlight w:val="none"/>
        </w:rPr>
      </w:pPr>
      <w:r>
        <w:rPr>
          <w:rFonts w:hint="eastAsia" w:ascii="仿宋" w:hAnsi="仿宋" w:eastAsia="仿宋" w:cs="仿宋"/>
          <w:color w:val="auto"/>
          <w:szCs w:val="21"/>
          <w:highlight w:val="none"/>
        </w:rPr>
        <w:t>注：消耗品和零配件必须是常用的主要部件类品目，此报价的优惠度将作为综合评标的重要依据之一。</w:t>
      </w:r>
    </w:p>
    <w:p>
      <w:pPr>
        <w:adjustRightInd w:val="0"/>
        <w:snapToGrid w:val="0"/>
        <w:ind w:right="172" w:rightChars="82" w:firstLine="606" w:firstLineChars="202"/>
        <w:rPr>
          <w:rFonts w:hint="eastAsia" w:ascii="仿宋" w:hAnsi="仿宋" w:eastAsia="仿宋" w:cs="仿宋"/>
          <w:color w:val="auto"/>
          <w:sz w:val="30"/>
          <w:highlight w:val="none"/>
        </w:rPr>
      </w:pPr>
    </w:p>
    <w:p>
      <w:pPr>
        <w:adjustRightInd w:val="0"/>
        <w:snapToGrid w:val="0"/>
        <w:ind w:right="172" w:rightChars="82" w:firstLine="606" w:firstLineChars="202"/>
        <w:rPr>
          <w:rFonts w:hint="eastAsia" w:ascii="仿宋" w:hAnsi="仿宋" w:eastAsia="仿宋" w:cs="仿宋"/>
          <w:color w:val="auto"/>
          <w:sz w:val="30"/>
          <w:highlight w:val="none"/>
        </w:rPr>
      </w:pPr>
    </w:p>
    <w:p>
      <w:pPr>
        <w:spacing w:line="440" w:lineRule="exact"/>
        <w:ind w:left="-210" w:leftChars="-100" w:firstLine="120" w:firstLineChars="5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spacing w:line="440" w:lineRule="exact"/>
        <w:jc w:val="left"/>
        <w:rPr>
          <w:rFonts w:hint="eastAsia" w:ascii="仿宋" w:hAnsi="仿宋" w:eastAsia="仿宋" w:cs="仿宋"/>
          <w:color w:val="auto"/>
          <w:sz w:val="24"/>
          <w:highlight w:val="none"/>
        </w:rPr>
      </w:pPr>
    </w:p>
    <w:p>
      <w:pPr>
        <w:spacing w:line="440" w:lineRule="exact"/>
        <w:ind w:left="-210" w:leftChars="-100"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法定代表人或其授权代表（签字或盖章）：</w:t>
      </w:r>
      <w:r>
        <w:rPr>
          <w:rFonts w:hint="eastAsia" w:ascii="仿宋" w:hAnsi="仿宋" w:eastAsia="仿宋" w:cs="仿宋"/>
          <w:color w:val="auto"/>
          <w:sz w:val="24"/>
          <w:highlight w:val="none"/>
        </w:rPr>
        <w:tab/>
      </w:r>
    </w:p>
    <w:p>
      <w:pPr>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日期：年月日</w:t>
      </w:r>
    </w:p>
    <w:p>
      <w:pPr>
        <w:pageBreakBefore/>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22、</w:t>
      </w:r>
      <w:r>
        <w:rPr>
          <w:rFonts w:hint="eastAsia" w:ascii="仿宋" w:hAnsi="仿宋" w:eastAsia="仿宋" w:cs="仿宋"/>
          <w:b/>
          <w:color w:val="auto"/>
          <w:kern w:val="0"/>
          <w:sz w:val="32"/>
          <w:szCs w:val="32"/>
          <w:highlight w:val="none"/>
          <w:lang w:val="zh-CN"/>
        </w:rPr>
        <w:t>培训计划</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keepNext/>
        <w:autoSpaceDE w:val="0"/>
        <w:autoSpaceDN w:val="0"/>
        <w:spacing w:line="360" w:lineRule="auto"/>
        <w:ind w:firstLine="477"/>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39"/>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hint="eastAsia" w:ascii="仿宋" w:hAnsi="仿宋" w:eastAsia="仿宋" w:cs="仿宋"/>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hint="eastAsia" w:ascii="仿宋" w:hAnsi="仿宋" w:eastAsia="仿宋" w:cs="仿宋"/>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课程概要</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课程目的</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教学方式</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先决条件</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教材目录</w:t>
      </w:r>
    </w:p>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注：须随表提交相应的证书复印件并注明所在投标商务技术（资信）文件页码。</w:t>
      </w:r>
    </w:p>
    <w:p>
      <w:pPr>
        <w:autoSpaceDE w:val="0"/>
        <w:autoSpaceDN w:val="0"/>
        <w:spacing w:line="360" w:lineRule="auto"/>
        <w:ind w:firstLine="4800" w:firstLineChars="20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投标人名称（</w:t>
      </w:r>
      <w:r>
        <w:rPr>
          <w:rFonts w:hint="eastAsia" w:ascii="仿宋" w:hAnsi="仿宋" w:eastAsia="仿宋" w:cs="仿宋"/>
          <w:color w:val="auto"/>
          <w:kern w:val="0"/>
          <w:sz w:val="24"/>
          <w:highlight w:val="none"/>
          <w:lang w:val="zh-CN"/>
        </w:rPr>
        <w:t>盖章</w:t>
      </w:r>
      <w:r>
        <w:rPr>
          <w:rFonts w:hint="eastAsia" w:ascii="仿宋" w:hAnsi="仿宋" w:eastAsia="仿宋" w:cs="仿宋"/>
          <w:color w:val="auto"/>
          <w:kern w:val="0"/>
          <w:sz w:val="24"/>
          <w:highlight w:val="none"/>
        </w:rPr>
        <w:t>）：</w:t>
      </w:r>
    </w:p>
    <w:p>
      <w:pPr>
        <w:autoSpaceDE w:val="0"/>
        <w:autoSpaceDN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法定代表人或其授权代表（签字或</w:t>
      </w:r>
      <w:r>
        <w:rPr>
          <w:rFonts w:hint="eastAsia" w:ascii="仿宋" w:hAnsi="仿宋" w:eastAsia="仿宋" w:cs="仿宋"/>
          <w:color w:val="auto"/>
          <w:kern w:val="0"/>
          <w:sz w:val="24"/>
          <w:highlight w:val="none"/>
          <w:lang w:val="zh-CN"/>
        </w:rPr>
        <w:t>盖章</w:t>
      </w:r>
      <w:r>
        <w:rPr>
          <w:rFonts w:hint="eastAsia" w:ascii="仿宋" w:hAnsi="仿宋" w:eastAsia="仿宋" w:cs="仿宋"/>
          <w:color w:val="auto"/>
          <w:kern w:val="0"/>
          <w:sz w:val="24"/>
          <w:highlight w:val="none"/>
        </w:rPr>
        <w:t>）：</w:t>
      </w:r>
    </w:p>
    <w:p>
      <w:pPr>
        <w:autoSpaceDE w:val="0"/>
        <w:autoSpaceDN w:val="0"/>
        <w:spacing w:line="360" w:lineRule="auto"/>
        <w:ind w:firstLine="12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日期：年月日</w:t>
      </w:r>
    </w:p>
    <w:p>
      <w:pPr>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23、验收方案</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jc w:val="center"/>
        <w:rPr>
          <w:rFonts w:hint="eastAsia" w:ascii="仿宋" w:hAnsi="仿宋" w:eastAsia="仿宋" w:cs="仿宋"/>
          <w:color w:val="auto"/>
          <w:sz w:val="24"/>
          <w:highlight w:val="none"/>
        </w:rPr>
      </w:pPr>
    </w:p>
    <w:p>
      <w:pPr>
        <w:autoSpaceDE w:val="0"/>
        <w:autoSpaceDN w:val="0"/>
        <w:spacing w:line="360" w:lineRule="auto"/>
        <w:ind w:firstLine="4800" w:firstLineChars="2000"/>
        <w:jc w:val="righ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投标人名称（盖章）：</w:t>
      </w:r>
    </w:p>
    <w:p>
      <w:pPr>
        <w:autoSpaceDE w:val="0"/>
        <w:autoSpaceDN w:val="0"/>
        <w:spacing w:line="360" w:lineRule="auto"/>
        <w:jc w:val="righ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法定代表人或其授权代表（签字或</w:t>
      </w:r>
      <w:r>
        <w:rPr>
          <w:rFonts w:hint="eastAsia" w:ascii="仿宋" w:hAnsi="仿宋" w:eastAsia="仿宋" w:cs="仿宋"/>
          <w:color w:val="auto"/>
          <w:kern w:val="0"/>
          <w:sz w:val="24"/>
          <w:highlight w:val="none"/>
          <w:lang w:val="zh-CN"/>
        </w:rPr>
        <w:t>盖章</w:t>
      </w:r>
      <w:r>
        <w:rPr>
          <w:rFonts w:hint="eastAsia" w:ascii="仿宋" w:hAnsi="仿宋" w:eastAsia="仿宋" w:cs="仿宋"/>
          <w:color w:val="auto"/>
          <w:kern w:val="0"/>
          <w:sz w:val="24"/>
          <w:highlight w:val="none"/>
        </w:rPr>
        <w:t>）：</w:t>
      </w:r>
    </w:p>
    <w:p>
      <w:pPr>
        <w:spacing w:line="360" w:lineRule="auto"/>
        <w:jc w:val="righ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日期：年月日</w:t>
      </w:r>
    </w:p>
    <w:p>
      <w:pPr>
        <w:spacing w:line="360" w:lineRule="auto"/>
        <w:jc w:val="center"/>
        <w:rPr>
          <w:rFonts w:hint="eastAsia" w:ascii="仿宋" w:hAnsi="仿宋" w:eastAsia="仿宋" w:cs="仿宋"/>
          <w:b/>
          <w:bCs/>
          <w:color w:val="auto"/>
          <w:sz w:val="30"/>
          <w:szCs w:val="30"/>
          <w:highlight w:val="none"/>
        </w:rPr>
      </w:pPr>
    </w:p>
    <w:p>
      <w:pPr>
        <w:spacing w:line="360" w:lineRule="auto"/>
        <w:jc w:val="center"/>
        <w:rPr>
          <w:rFonts w:hint="eastAsia" w:ascii="仿宋" w:hAnsi="仿宋" w:eastAsia="仿宋" w:cs="仿宋"/>
          <w:b/>
          <w:bCs/>
          <w:color w:val="auto"/>
          <w:sz w:val="30"/>
          <w:szCs w:val="30"/>
          <w:highlight w:val="none"/>
        </w:rPr>
      </w:pPr>
    </w:p>
    <w:p>
      <w:pPr>
        <w:spacing w:line="360" w:lineRule="auto"/>
        <w:jc w:val="center"/>
        <w:rPr>
          <w:rFonts w:hint="eastAsia" w:ascii="仿宋" w:hAnsi="仿宋" w:eastAsia="仿宋" w:cs="仿宋"/>
          <w:b/>
          <w:bCs/>
          <w:color w:val="auto"/>
          <w:sz w:val="24"/>
          <w:highlight w:val="none"/>
        </w:rPr>
      </w:pPr>
    </w:p>
    <w:p>
      <w:pPr>
        <w:spacing w:line="360" w:lineRule="auto"/>
        <w:jc w:val="center"/>
        <w:rPr>
          <w:rFonts w:hint="eastAsia" w:ascii="仿宋" w:hAnsi="仿宋" w:eastAsia="仿宋" w:cs="仿宋"/>
          <w:b/>
          <w:bCs/>
          <w:color w:val="auto"/>
          <w:sz w:val="24"/>
          <w:highlight w:val="none"/>
        </w:rPr>
      </w:pPr>
    </w:p>
    <w:p>
      <w:pPr>
        <w:pageBreakBefore/>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24、认为需要的</w:t>
      </w:r>
      <w:r>
        <w:rPr>
          <w:rFonts w:hint="eastAsia" w:ascii="仿宋" w:hAnsi="仿宋" w:eastAsia="仿宋" w:cs="仿宋"/>
          <w:b/>
          <w:color w:val="auto"/>
          <w:kern w:val="0"/>
          <w:sz w:val="32"/>
          <w:szCs w:val="32"/>
          <w:highlight w:val="none"/>
          <w:lang w:val="zh-CN"/>
        </w:rPr>
        <w:t>其他商务技术（资信）文件或说明</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jc w:val="right"/>
        <w:rPr>
          <w:rFonts w:hint="eastAsia" w:ascii="仿宋" w:hAnsi="仿宋" w:eastAsia="仿宋" w:cs="仿宋"/>
          <w:color w:val="auto"/>
          <w:sz w:val="24"/>
          <w:highlight w:val="none"/>
        </w:rPr>
      </w:pPr>
    </w:p>
    <w:p>
      <w:pPr>
        <w:autoSpaceDE w:val="0"/>
        <w:autoSpaceDN w:val="0"/>
        <w:spacing w:line="360" w:lineRule="auto"/>
        <w:ind w:firstLine="5040" w:firstLineChars="2100"/>
        <w:jc w:val="righ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投标人名称（盖章）：</w:t>
      </w:r>
    </w:p>
    <w:p>
      <w:pPr>
        <w:autoSpaceDE w:val="0"/>
        <w:autoSpaceDN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法定代表人或其授权代表（</w:t>
      </w:r>
      <w:r>
        <w:rPr>
          <w:rFonts w:hint="eastAsia" w:ascii="仿宋" w:hAnsi="仿宋" w:eastAsia="仿宋" w:cs="仿宋"/>
          <w:color w:val="auto"/>
          <w:kern w:val="0"/>
          <w:sz w:val="24"/>
          <w:highlight w:val="none"/>
        </w:rPr>
        <w:t>签字或</w:t>
      </w:r>
      <w:r>
        <w:rPr>
          <w:rFonts w:hint="eastAsia" w:ascii="仿宋" w:hAnsi="仿宋" w:eastAsia="仿宋" w:cs="仿宋"/>
          <w:color w:val="auto"/>
          <w:kern w:val="0"/>
          <w:sz w:val="24"/>
          <w:highlight w:val="none"/>
          <w:lang w:val="zh-CN"/>
        </w:rPr>
        <w:t>盖章）：</w:t>
      </w:r>
    </w:p>
    <w:p>
      <w:pPr>
        <w:spacing w:line="360" w:lineRule="auto"/>
        <w:jc w:val="right"/>
        <w:rPr>
          <w:rFonts w:hint="eastAsia" w:ascii="仿宋" w:hAnsi="仿宋" w:eastAsia="仿宋" w:cs="仿宋"/>
          <w:color w:val="auto"/>
          <w:kern w:val="0"/>
          <w:sz w:val="24"/>
          <w:highlight w:val="none"/>
          <w:lang w:val="zh-CN"/>
        </w:rPr>
        <w:sectPr>
          <w:pgSz w:w="11906" w:h="16838"/>
          <w:pgMar w:top="1440" w:right="1406" w:bottom="1246" w:left="1758" w:header="1021" w:footer="902" w:gutter="0"/>
          <w:cols w:space="425" w:num="1"/>
          <w:titlePg/>
          <w:docGrid w:type="lines" w:linePitch="312" w:charSpace="0"/>
        </w:sectPr>
      </w:pPr>
      <w:r>
        <w:rPr>
          <w:rFonts w:hint="eastAsia" w:ascii="仿宋" w:hAnsi="仿宋" w:eastAsia="仿宋" w:cs="仿宋"/>
          <w:color w:val="auto"/>
          <w:kern w:val="0"/>
          <w:sz w:val="24"/>
          <w:highlight w:val="none"/>
          <w:lang w:val="zh-CN"/>
        </w:rPr>
        <w:t>日期：年月日</w:t>
      </w:r>
    </w:p>
    <w:p>
      <w:pPr>
        <w:rPr>
          <w:rFonts w:hint="eastAsia" w:ascii="仿宋" w:hAnsi="仿宋" w:eastAsia="仿宋" w:cs="仿宋"/>
          <w:color w:val="auto"/>
          <w:kern w:val="0"/>
          <w:sz w:val="24"/>
          <w:highlight w:val="none"/>
          <w:lang w:val="zh-CN"/>
        </w:rPr>
      </w:pPr>
    </w:p>
    <w:sectPr>
      <w:type w:val="continuous"/>
      <w:pgSz w:w="11906" w:h="16838"/>
      <w:pgMar w:top="1440" w:right="1406" w:bottom="1246" w:left="1758" w:header="1021" w:footer="90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roman"/>
    <w:pitch w:val="default"/>
    <w:sig w:usb0="FFFFFFFF" w:usb1="E9FFFFFF" w:usb2="0000003F" w:usb3="00000000" w:csb0="603F01FF" w:csb1="FFFF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w:pict>
        <v:shape id="文本框 1026" o:spid="_x0000_s1027" o:spt="202" type="#_x0000_t202" style="position:absolute;left:0pt;margin-top:0pt;height:10.35pt;width:19.5pt;mso-position-horizontal:center;mso-position-horizontal-relative:margin;mso-wrap-style:none;z-index:251659264;mso-width-relative:page;mso-height-relative:page;" filled="f" stroked="f" coordsize="21600,21600" o:gfxdata="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XsUjg0AAAAAMBAAAPAAAAAAAAAAEAIAAAACIAAABk&#10;cnMvZG93bnJldi54bWxQSwECFAAUAAAACACHTuJA9Dmb6tUBAACoAwAADgAAAAAAAAABACAAAAAf&#10;AQAAZHJzL2Uyb0RvYy54bWxQSwUGAAAAAAYABgBZAQAAZgUAAAAA&#10;">
          <v:path/>
          <v:fill on="f" focussize="0,0"/>
          <v:stroke on="f" joinstyle="miter"/>
          <v:imagedata o:title=""/>
          <o:lock v:ext="edit"/>
          <v:textbox inset="0mm,0mm,0mm,0mm" style="mso-fit-shape-to-text:t;">
            <w:txbxContent>
              <w:p>
                <w:pPr>
                  <w:pStyle w:val="25"/>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rPr>
                  <w:t>27</w:t>
                </w:r>
                <w:r>
                  <w:rPr>
                    <w:kern w:val="0"/>
                    <w:szCs w:val="21"/>
                  </w:rPr>
                  <w:fldChar w:fldCharType="end"/>
                </w:r>
                <w:r>
                  <w:rPr>
                    <w:kern w:val="0"/>
                    <w:szCs w:val="21"/>
                  </w:rPr>
                  <w:t xml:space="preserve"> -</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tabs>
        <w:tab w:val="left" w:pos="4983"/>
        <w:tab w:val="clear" w:pos="4153"/>
      </w:tabs>
    </w:pPr>
    <w:r>
      <w:pict>
        <v:shape id="文本框 1025" o:spid="_x0000_s1026" o:spt="202" type="#_x0000_t202" style="position:absolute;left:0pt;margin-left:216.3pt;margin-top:-0.75pt;height:10.35pt;width:9.05pt;mso-position-horizontal-relative:margin;mso-wrap-style:none;z-index:251660288;mso-width-relative:page;mso-height-relative:page;" filled="f" stroked="f" coordsize="21600,21600" o:gfxdata="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9fn2Y9YAAAAJAQAADwAAAAAAAAABACAA&#10;AAAiAAAAZHJzL2Rvd25yZXYueG1sUEsBAhQAFAAAAAgAh07iQLU8GMbWAQAAqAMAAA4AAAAAAAAA&#10;AQAgAAAAJQEAAGRycy9lMm9Eb2MueG1sUEsFBgAAAAAGAAYAWQEAAG0FAAAAAA==&#10;">
          <v:path/>
          <v:fill on="f" focussize="0,0"/>
          <v:stroke on="f" joinstyle="miter"/>
          <v:imagedata o:title=""/>
          <o:lock v:ext="edit"/>
          <v:textbox inset="0mm,0mm,0mm,0mm" style="mso-fit-shape-to-text:t;">
            <w:txbxContent>
              <w:p>
                <w:pPr>
                  <w:pStyle w:val="25"/>
                </w:pPr>
                <w:r>
                  <w:fldChar w:fldCharType="begin"/>
                </w:r>
                <w:r>
                  <w:instrText xml:space="preserve"> PAGE  \* MERGEFORMAT </w:instrText>
                </w:r>
                <w:r>
                  <w:fldChar w:fldCharType="separate"/>
                </w:r>
                <w:r>
                  <w:t>40</w:t>
                </w:r>
                <w:r>
                  <w:fldChar w:fldCharType="end"/>
                </w:r>
              </w:p>
            </w:txbxContent>
          </v:textbox>
        </v:shape>
      </w:pict>
    </w:r>
    <w:r>
      <w:rPr>
        <w:rFonts w:hint="eastAsia"/>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both"/>
      <w:rPr>
        <w:rFonts w:hint="eastAsia" w:eastAsia="宋体"/>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E"/>
    <w:multiLevelType w:val="singleLevel"/>
    <w:tmpl w:val="FFFFFF7E"/>
    <w:lvl w:ilvl="0" w:tentative="0">
      <w:start w:val="1"/>
      <w:numFmt w:val="decimal"/>
      <w:pStyle w:val="5"/>
      <w:lvlText w:val="%1."/>
      <w:lvlJc w:val="left"/>
      <w:pPr>
        <w:tabs>
          <w:tab w:val="left" w:pos="1200"/>
        </w:tabs>
        <w:ind w:left="1200" w:leftChars="400" w:hanging="360" w:hangingChars="200"/>
      </w:pPr>
    </w:lvl>
  </w:abstractNum>
  <w:abstractNum w:abstractNumId="1">
    <w:nsid w:val="FFFFFF88"/>
    <w:multiLevelType w:val="singleLevel"/>
    <w:tmpl w:val="FFFFFF88"/>
    <w:lvl w:ilvl="0" w:tentative="0">
      <w:start w:val="1"/>
      <w:numFmt w:val="decimal"/>
      <w:pStyle w:val="4"/>
      <w:lvlText w:val="%1."/>
      <w:lvlJc w:val="left"/>
      <w:pPr>
        <w:tabs>
          <w:tab w:val="left" w:pos="360"/>
        </w:tabs>
        <w:ind w:left="360" w:hanging="360" w:hangingChars="200"/>
      </w:pPr>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0CFE12CA"/>
    <w:multiLevelType w:val="multilevel"/>
    <w:tmpl w:val="0CFE12CA"/>
    <w:lvl w:ilvl="0" w:tentative="0">
      <w:start w:val="1"/>
      <w:numFmt w:val="decimal"/>
      <w:lvlText w:val="%1."/>
      <w:lvlJc w:val="left"/>
      <w:pPr>
        <w:tabs>
          <w:tab w:val="left" w:pos="420"/>
        </w:tabs>
        <w:ind w:left="420" w:hanging="420"/>
      </w:p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upperLetter"/>
      <w:lvlText w:val="%3、"/>
      <w:lvlJc w:val="left"/>
      <w:pPr>
        <w:tabs>
          <w:tab w:val="left" w:pos="1260"/>
        </w:tabs>
        <w:ind w:left="1260" w:hanging="360"/>
      </w:pPr>
      <w:rPr>
        <w:rFonts w:hint="default"/>
      </w:rPr>
    </w:lvl>
    <w:lvl w:ilvl="3" w:tentative="0">
      <w:start w:val="1"/>
      <w:numFmt w:val="decimal"/>
      <w:pStyle w:val="127"/>
      <w:lvlText w:val="%4．"/>
      <w:lvlJc w:val="left"/>
      <w:pPr>
        <w:tabs>
          <w:tab w:val="left" w:pos="1620"/>
        </w:tabs>
        <w:ind w:left="1620" w:hanging="360"/>
      </w:pPr>
      <w:rPr>
        <w:rFonts w:hint="default"/>
      </w:rPr>
    </w:lvl>
    <w:lvl w:ilvl="4" w:tentative="0">
      <w:start w:val="1"/>
      <w:numFmt w:val="decimal"/>
      <w:lvlText w:val="%5）"/>
      <w:lvlJc w:val="left"/>
      <w:pPr>
        <w:tabs>
          <w:tab w:val="left" w:pos="2040"/>
        </w:tabs>
        <w:ind w:left="2040" w:hanging="360"/>
      </w:pPr>
      <w:rPr>
        <w:rFonts w:hint="default"/>
      </w:r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5CB017FC"/>
    <w:multiLevelType w:val="multilevel"/>
    <w:tmpl w:val="5CB017FC"/>
    <w:lvl w:ilvl="0" w:tentative="0">
      <w:start w:val="1"/>
      <w:numFmt w:val="decimal"/>
      <w:pStyle w:val="3"/>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6"/>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5">
    <w:nsid w:val="6A383B68"/>
    <w:multiLevelType w:val="singleLevel"/>
    <w:tmpl w:val="6A383B68"/>
    <w:lvl w:ilvl="0" w:tentative="0">
      <w:start w:val="1"/>
      <w:numFmt w:val="upperLetter"/>
      <w:pStyle w:val="7"/>
      <w:lvlText w:val="%1、"/>
      <w:lvlJc w:val="left"/>
      <w:pPr>
        <w:tabs>
          <w:tab w:val="left" w:pos="405"/>
        </w:tabs>
        <w:ind w:left="405" w:hanging="405"/>
      </w:pPr>
    </w:lvl>
  </w:abstractNum>
  <w:abstractNum w:abstractNumId="6">
    <w:nsid w:val="6CAC619C"/>
    <w:multiLevelType w:val="multilevel"/>
    <w:tmpl w:val="6CAC619C"/>
    <w:lvl w:ilvl="0" w:tentative="0">
      <w:start w:val="1"/>
      <w:numFmt w:val="bullet"/>
      <w:pStyle w:val="121"/>
      <w:lvlText w:val=""/>
      <w:lvlJc w:val="left"/>
      <w:pPr>
        <w:tabs>
          <w:tab w:val="left" w:pos="840"/>
        </w:tabs>
        <w:ind w:left="840" w:hanging="420"/>
      </w:pPr>
      <w:rPr>
        <w:rFonts w:hint="default" w:ascii="Wingdings" w:hAnsi="Wingdings"/>
      </w:rPr>
    </w:lvl>
    <w:lvl w:ilvl="1" w:tentative="0">
      <w:start w:val="1"/>
      <w:numFmt w:val="none"/>
      <w:isLgl/>
      <w:suff w:val="space"/>
      <w:lvlText w:val="  2.2.1.1"/>
      <w:lvlJc w:val="left"/>
      <w:pPr>
        <w:ind w:left="567" w:hanging="567"/>
      </w:pPr>
      <w:rPr>
        <w:rFonts w:hint="eastAsia"/>
      </w:rPr>
    </w:lvl>
    <w:lvl w:ilvl="2" w:tentative="0">
      <w:start w:val="1"/>
      <w:numFmt w:val="none"/>
      <w:isLgl/>
      <w:suff w:val="space"/>
      <w:lvlText w:val="  2.2.1.3"/>
      <w:lvlJc w:val="left"/>
      <w:pPr>
        <w:ind w:left="0" w:firstLine="0"/>
      </w:pPr>
      <w:rPr>
        <w:rFonts w:hint="eastAsia"/>
      </w:rPr>
    </w:lvl>
    <w:lvl w:ilvl="3" w:tentative="0">
      <w:start w:val="1"/>
      <w:numFmt w:val="decimal"/>
      <w:isLgl/>
      <w:suff w:val="space"/>
      <w:lvlText w:val="%1.%2.%3.%4"/>
      <w:lvlJc w:val="left"/>
      <w:pPr>
        <w:ind w:left="851" w:hanging="851"/>
      </w:pPr>
      <w:rPr>
        <w:rFonts w:hint="eastAsia"/>
      </w:rPr>
    </w:lvl>
    <w:lvl w:ilvl="4" w:tentative="0">
      <w:start w:val="1"/>
      <w:numFmt w:val="decimal"/>
      <w:isLgl/>
      <w:suff w:val="space"/>
      <w:lvlText w:val="%1.%2.%3.%4.%5"/>
      <w:lvlJc w:val="left"/>
      <w:pPr>
        <w:ind w:left="992" w:hanging="992"/>
      </w:pPr>
      <w:rPr>
        <w:rFonts w:hint="eastAsia"/>
      </w:rPr>
    </w:lvl>
    <w:lvl w:ilvl="5" w:tentative="0">
      <w:start w:val="1"/>
      <w:numFmt w:val="decimal"/>
      <w:suff w:val="space"/>
      <w:lvlText w:val="%1.%2.%3.%4.%5.%6."/>
      <w:lvlJc w:val="left"/>
      <w:pPr>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7">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4"/>
  </w:num>
  <w:num w:numId="2">
    <w:abstractNumId w:val="1"/>
  </w:num>
  <w:num w:numId="3">
    <w:abstractNumId w:val="0"/>
  </w:num>
  <w:num w:numId="4">
    <w:abstractNumId w:val="5"/>
  </w:num>
  <w:num w:numId="5">
    <w:abstractNumId w:val="6"/>
  </w:num>
  <w:num w:numId="6">
    <w:abstractNumId w:val="3"/>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ODJiMTc5Mjg0YWFmNjAwZTBjOGFiODc5N2VmNzc1NDQifQ=="/>
  </w:docVars>
  <w:rsids>
    <w:rsidRoot w:val="00172A27"/>
    <w:rsid w:val="00000288"/>
    <w:rsid w:val="00014C26"/>
    <w:rsid w:val="000213BD"/>
    <w:rsid w:val="0002203D"/>
    <w:rsid w:val="0002468D"/>
    <w:rsid w:val="00027D17"/>
    <w:rsid w:val="00030956"/>
    <w:rsid w:val="00031F75"/>
    <w:rsid w:val="000329A7"/>
    <w:rsid w:val="00034829"/>
    <w:rsid w:val="00035491"/>
    <w:rsid w:val="00036451"/>
    <w:rsid w:val="000367D4"/>
    <w:rsid w:val="00037850"/>
    <w:rsid w:val="00040A03"/>
    <w:rsid w:val="000413A3"/>
    <w:rsid w:val="00042FFF"/>
    <w:rsid w:val="00043952"/>
    <w:rsid w:val="00047957"/>
    <w:rsid w:val="000517D0"/>
    <w:rsid w:val="00051C47"/>
    <w:rsid w:val="00051F2D"/>
    <w:rsid w:val="00054AAA"/>
    <w:rsid w:val="0005709D"/>
    <w:rsid w:val="00061571"/>
    <w:rsid w:val="00061B36"/>
    <w:rsid w:val="00065248"/>
    <w:rsid w:val="00065EFB"/>
    <w:rsid w:val="00067179"/>
    <w:rsid w:val="00074373"/>
    <w:rsid w:val="00077669"/>
    <w:rsid w:val="00083E93"/>
    <w:rsid w:val="00087C4A"/>
    <w:rsid w:val="000933A2"/>
    <w:rsid w:val="00094E92"/>
    <w:rsid w:val="00095559"/>
    <w:rsid w:val="00097868"/>
    <w:rsid w:val="000A1105"/>
    <w:rsid w:val="000A2858"/>
    <w:rsid w:val="000A4F03"/>
    <w:rsid w:val="000A5AC0"/>
    <w:rsid w:val="000A6E1E"/>
    <w:rsid w:val="000B625B"/>
    <w:rsid w:val="000C1A63"/>
    <w:rsid w:val="000C1F3C"/>
    <w:rsid w:val="000C21A5"/>
    <w:rsid w:val="000C3344"/>
    <w:rsid w:val="000C3EE7"/>
    <w:rsid w:val="000C4DBA"/>
    <w:rsid w:val="000C74D4"/>
    <w:rsid w:val="000D0DAB"/>
    <w:rsid w:val="000D0E6C"/>
    <w:rsid w:val="000D110F"/>
    <w:rsid w:val="000D158D"/>
    <w:rsid w:val="000D24E4"/>
    <w:rsid w:val="000D44B1"/>
    <w:rsid w:val="000D4D0E"/>
    <w:rsid w:val="000D4FB6"/>
    <w:rsid w:val="000D64D4"/>
    <w:rsid w:val="000E4A4F"/>
    <w:rsid w:val="000E5A4E"/>
    <w:rsid w:val="00104663"/>
    <w:rsid w:val="001109F8"/>
    <w:rsid w:val="00111C9B"/>
    <w:rsid w:val="00111CC8"/>
    <w:rsid w:val="00112B08"/>
    <w:rsid w:val="0011449B"/>
    <w:rsid w:val="00114B03"/>
    <w:rsid w:val="00114C81"/>
    <w:rsid w:val="00115E6F"/>
    <w:rsid w:val="00116EDA"/>
    <w:rsid w:val="0012018C"/>
    <w:rsid w:val="001218E0"/>
    <w:rsid w:val="00122906"/>
    <w:rsid w:val="0012458E"/>
    <w:rsid w:val="00130D54"/>
    <w:rsid w:val="001345B3"/>
    <w:rsid w:val="0013565E"/>
    <w:rsid w:val="00137525"/>
    <w:rsid w:val="001400AB"/>
    <w:rsid w:val="00142AA1"/>
    <w:rsid w:val="00150D5E"/>
    <w:rsid w:val="00157269"/>
    <w:rsid w:val="00161E6C"/>
    <w:rsid w:val="00162D85"/>
    <w:rsid w:val="00165068"/>
    <w:rsid w:val="00165C06"/>
    <w:rsid w:val="00166E3E"/>
    <w:rsid w:val="00172A27"/>
    <w:rsid w:val="00173659"/>
    <w:rsid w:val="001737BE"/>
    <w:rsid w:val="00174AB3"/>
    <w:rsid w:val="001751A8"/>
    <w:rsid w:val="00182BCE"/>
    <w:rsid w:val="001841D9"/>
    <w:rsid w:val="00184C15"/>
    <w:rsid w:val="001869CB"/>
    <w:rsid w:val="00187E3F"/>
    <w:rsid w:val="0019064E"/>
    <w:rsid w:val="00190DB7"/>
    <w:rsid w:val="00191263"/>
    <w:rsid w:val="001915D6"/>
    <w:rsid w:val="00191EE1"/>
    <w:rsid w:val="00192A2F"/>
    <w:rsid w:val="00193494"/>
    <w:rsid w:val="001A0C24"/>
    <w:rsid w:val="001A15C0"/>
    <w:rsid w:val="001A40E8"/>
    <w:rsid w:val="001A5CA3"/>
    <w:rsid w:val="001A622E"/>
    <w:rsid w:val="001A6712"/>
    <w:rsid w:val="001B2770"/>
    <w:rsid w:val="001B485F"/>
    <w:rsid w:val="001B4A44"/>
    <w:rsid w:val="001B4D88"/>
    <w:rsid w:val="001B70E5"/>
    <w:rsid w:val="001C07C7"/>
    <w:rsid w:val="001C1E8B"/>
    <w:rsid w:val="001C3739"/>
    <w:rsid w:val="001C5267"/>
    <w:rsid w:val="001C6042"/>
    <w:rsid w:val="001D108D"/>
    <w:rsid w:val="001D24BB"/>
    <w:rsid w:val="001D509C"/>
    <w:rsid w:val="001D6ED7"/>
    <w:rsid w:val="001D7C85"/>
    <w:rsid w:val="001E0576"/>
    <w:rsid w:val="001E0DE9"/>
    <w:rsid w:val="001E3B20"/>
    <w:rsid w:val="001E4A9F"/>
    <w:rsid w:val="001F2767"/>
    <w:rsid w:val="001F3859"/>
    <w:rsid w:val="001F429B"/>
    <w:rsid w:val="001F43C6"/>
    <w:rsid w:val="001F4C63"/>
    <w:rsid w:val="001F7E31"/>
    <w:rsid w:val="0020010E"/>
    <w:rsid w:val="002020B2"/>
    <w:rsid w:val="0020567D"/>
    <w:rsid w:val="002056F9"/>
    <w:rsid w:val="002062F2"/>
    <w:rsid w:val="002070ED"/>
    <w:rsid w:val="00210CAC"/>
    <w:rsid w:val="00211374"/>
    <w:rsid w:val="00231CB7"/>
    <w:rsid w:val="00231D98"/>
    <w:rsid w:val="00233356"/>
    <w:rsid w:val="0023638E"/>
    <w:rsid w:val="00236750"/>
    <w:rsid w:val="00241007"/>
    <w:rsid w:val="00242F55"/>
    <w:rsid w:val="00247AB8"/>
    <w:rsid w:val="00250440"/>
    <w:rsid w:val="00250675"/>
    <w:rsid w:val="0025749B"/>
    <w:rsid w:val="00264FFB"/>
    <w:rsid w:val="00266447"/>
    <w:rsid w:val="00274841"/>
    <w:rsid w:val="0028096B"/>
    <w:rsid w:val="002825DA"/>
    <w:rsid w:val="00283617"/>
    <w:rsid w:val="00285EAD"/>
    <w:rsid w:val="002860D2"/>
    <w:rsid w:val="00286495"/>
    <w:rsid w:val="002945E5"/>
    <w:rsid w:val="002A0921"/>
    <w:rsid w:val="002A13E9"/>
    <w:rsid w:val="002A168D"/>
    <w:rsid w:val="002A4A75"/>
    <w:rsid w:val="002A586E"/>
    <w:rsid w:val="002A62AE"/>
    <w:rsid w:val="002A683A"/>
    <w:rsid w:val="002A6B48"/>
    <w:rsid w:val="002B006C"/>
    <w:rsid w:val="002B186A"/>
    <w:rsid w:val="002B3711"/>
    <w:rsid w:val="002B3943"/>
    <w:rsid w:val="002B4A4B"/>
    <w:rsid w:val="002B6B66"/>
    <w:rsid w:val="002C2C53"/>
    <w:rsid w:val="002C6158"/>
    <w:rsid w:val="002C6529"/>
    <w:rsid w:val="002C6C46"/>
    <w:rsid w:val="002D27C4"/>
    <w:rsid w:val="002D442B"/>
    <w:rsid w:val="002D57AF"/>
    <w:rsid w:val="002D7F99"/>
    <w:rsid w:val="002E09A1"/>
    <w:rsid w:val="002E2947"/>
    <w:rsid w:val="002E2D73"/>
    <w:rsid w:val="002E34F4"/>
    <w:rsid w:val="002E35C4"/>
    <w:rsid w:val="002E46AD"/>
    <w:rsid w:val="002E4DCA"/>
    <w:rsid w:val="002E7ADA"/>
    <w:rsid w:val="002F1672"/>
    <w:rsid w:val="002F2363"/>
    <w:rsid w:val="002F34ED"/>
    <w:rsid w:val="002F3755"/>
    <w:rsid w:val="002F72E9"/>
    <w:rsid w:val="003006C3"/>
    <w:rsid w:val="00302514"/>
    <w:rsid w:val="00306A17"/>
    <w:rsid w:val="00307917"/>
    <w:rsid w:val="003103BE"/>
    <w:rsid w:val="00310479"/>
    <w:rsid w:val="003110EF"/>
    <w:rsid w:val="0031459C"/>
    <w:rsid w:val="00315E77"/>
    <w:rsid w:val="00316329"/>
    <w:rsid w:val="003263C0"/>
    <w:rsid w:val="0032789C"/>
    <w:rsid w:val="00327BE3"/>
    <w:rsid w:val="00330D20"/>
    <w:rsid w:val="00334AE8"/>
    <w:rsid w:val="00335134"/>
    <w:rsid w:val="00346756"/>
    <w:rsid w:val="00352CD7"/>
    <w:rsid w:val="0036433A"/>
    <w:rsid w:val="00365E4D"/>
    <w:rsid w:val="003676AE"/>
    <w:rsid w:val="00367EAB"/>
    <w:rsid w:val="00371214"/>
    <w:rsid w:val="00372A03"/>
    <w:rsid w:val="0037368A"/>
    <w:rsid w:val="00373B00"/>
    <w:rsid w:val="00375107"/>
    <w:rsid w:val="0037517D"/>
    <w:rsid w:val="00375265"/>
    <w:rsid w:val="00376A59"/>
    <w:rsid w:val="00381405"/>
    <w:rsid w:val="00383216"/>
    <w:rsid w:val="00384E3C"/>
    <w:rsid w:val="0039130B"/>
    <w:rsid w:val="00393589"/>
    <w:rsid w:val="00393A4C"/>
    <w:rsid w:val="003A2040"/>
    <w:rsid w:val="003A25EB"/>
    <w:rsid w:val="003A6E44"/>
    <w:rsid w:val="003A74F5"/>
    <w:rsid w:val="003B0045"/>
    <w:rsid w:val="003B2B02"/>
    <w:rsid w:val="003B2E46"/>
    <w:rsid w:val="003B6B82"/>
    <w:rsid w:val="003C0638"/>
    <w:rsid w:val="003C2D53"/>
    <w:rsid w:val="003C3A74"/>
    <w:rsid w:val="003C4BA8"/>
    <w:rsid w:val="003C637D"/>
    <w:rsid w:val="003C7D51"/>
    <w:rsid w:val="003D1A22"/>
    <w:rsid w:val="003D7052"/>
    <w:rsid w:val="003D7693"/>
    <w:rsid w:val="003E074D"/>
    <w:rsid w:val="003E4007"/>
    <w:rsid w:val="003E6C02"/>
    <w:rsid w:val="003F15E3"/>
    <w:rsid w:val="003F4084"/>
    <w:rsid w:val="003F4F31"/>
    <w:rsid w:val="003F5EF9"/>
    <w:rsid w:val="003F61F8"/>
    <w:rsid w:val="003F77E0"/>
    <w:rsid w:val="003F7BB2"/>
    <w:rsid w:val="00400057"/>
    <w:rsid w:val="004014F5"/>
    <w:rsid w:val="00405C1A"/>
    <w:rsid w:val="00407D88"/>
    <w:rsid w:val="004109FD"/>
    <w:rsid w:val="00411460"/>
    <w:rsid w:val="004126B4"/>
    <w:rsid w:val="004138A3"/>
    <w:rsid w:val="0041394C"/>
    <w:rsid w:val="0041468F"/>
    <w:rsid w:val="004169D9"/>
    <w:rsid w:val="00417C8A"/>
    <w:rsid w:val="00420156"/>
    <w:rsid w:val="00422031"/>
    <w:rsid w:val="00423A07"/>
    <w:rsid w:val="00426003"/>
    <w:rsid w:val="00426E6F"/>
    <w:rsid w:val="004307B2"/>
    <w:rsid w:val="00431F99"/>
    <w:rsid w:val="00432686"/>
    <w:rsid w:val="004350B7"/>
    <w:rsid w:val="00442935"/>
    <w:rsid w:val="0044422F"/>
    <w:rsid w:val="00445C1C"/>
    <w:rsid w:val="004531C3"/>
    <w:rsid w:val="00454A5B"/>
    <w:rsid w:val="00454E74"/>
    <w:rsid w:val="00457241"/>
    <w:rsid w:val="00460753"/>
    <w:rsid w:val="00460D42"/>
    <w:rsid w:val="00461637"/>
    <w:rsid w:val="004627E0"/>
    <w:rsid w:val="00464359"/>
    <w:rsid w:val="00465438"/>
    <w:rsid w:val="00471407"/>
    <w:rsid w:val="00471778"/>
    <w:rsid w:val="00476C0B"/>
    <w:rsid w:val="00477EFE"/>
    <w:rsid w:val="004823E8"/>
    <w:rsid w:val="00485E04"/>
    <w:rsid w:val="00487128"/>
    <w:rsid w:val="00487707"/>
    <w:rsid w:val="00493946"/>
    <w:rsid w:val="00494596"/>
    <w:rsid w:val="00495B26"/>
    <w:rsid w:val="004964DA"/>
    <w:rsid w:val="00497699"/>
    <w:rsid w:val="00497B43"/>
    <w:rsid w:val="00497DB2"/>
    <w:rsid w:val="004A0174"/>
    <w:rsid w:val="004A19C4"/>
    <w:rsid w:val="004A1C81"/>
    <w:rsid w:val="004A236E"/>
    <w:rsid w:val="004A7A78"/>
    <w:rsid w:val="004B5136"/>
    <w:rsid w:val="004C0238"/>
    <w:rsid w:val="004C1A9C"/>
    <w:rsid w:val="004C2F11"/>
    <w:rsid w:val="004D0EA8"/>
    <w:rsid w:val="004D2D24"/>
    <w:rsid w:val="004D314A"/>
    <w:rsid w:val="004D42D8"/>
    <w:rsid w:val="004D4938"/>
    <w:rsid w:val="004D5BFF"/>
    <w:rsid w:val="004D6FCA"/>
    <w:rsid w:val="004E04D2"/>
    <w:rsid w:val="004E1AB8"/>
    <w:rsid w:val="004E22FC"/>
    <w:rsid w:val="004E2A2F"/>
    <w:rsid w:val="004E4899"/>
    <w:rsid w:val="004F5E51"/>
    <w:rsid w:val="004F63C8"/>
    <w:rsid w:val="004F69CA"/>
    <w:rsid w:val="004F7507"/>
    <w:rsid w:val="005017DB"/>
    <w:rsid w:val="005041C0"/>
    <w:rsid w:val="005042A7"/>
    <w:rsid w:val="00511FD6"/>
    <w:rsid w:val="00513E17"/>
    <w:rsid w:val="005144B2"/>
    <w:rsid w:val="005148A4"/>
    <w:rsid w:val="00516C98"/>
    <w:rsid w:val="00517C86"/>
    <w:rsid w:val="005228D8"/>
    <w:rsid w:val="005240D9"/>
    <w:rsid w:val="00524F0F"/>
    <w:rsid w:val="00524FD6"/>
    <w:rsid w:val="005314CB"/>
    <w:rsid w:val="00533917"/>
    <w:rsid w:val="00536FBF"/>
    <w:rsid w:val="0054018C"/>
    <w:rsid w:val="0054254A"/>
    <w:rsid w:val="00544130"/>
    <w:rsid w:val="0055182F"/>
    <w:rsid w:val="005522C5"/>
    <w:rsid w:val="00555780"/>
    <w:rsid w:val="0056065C"/>
    <w:rsid w:val="0057066B"/>
    <w:rsid w:val="0057223E"/>
    <w:rsid w:val="00572BAD"/>
    <w:rsid w:val="00573BCB"/>
    <w:rsid w:val="00576529"/>
    <w:rsid w:val="00577014"/>
    <w:rsid w:val="00584301"/>
    <w:rsid w:val="00585E68"/>
    <w:rsid w:val="00586C3A"/>
    <w:rsid w:val="00587796"/>
    <w:rsid w:val="005879E7"/>
    <w:rsid w:val="00590E09"/>
    <w:rsid w:val="00591584"/>
    <w:rsid w:val="00594CDD"/>
    <w:rsid w:val="005967FC"/>
    <w:rsid w:val="005A0348"/>
    <w:rsid w:val="005A32FB"/>
    <w:rsid w:val="005A38C6"/>
    <w:rsid w:val="005A3E6E"/>
    <w:rsid w:val="005A7A4A"/>
    <w:rsid w:val="005B280F"/>
    <w:rsid w:val="005B5915"/>
    <w:rsid w:val="005C0B8A"/>
    <w:rsid w:val="005C16E4"/>
    <w:rsid w:val="005C1CD8"/>
    <w:rsid w:val="005C3154"/>
    <w:rsid w:val="005C3A22"/>
    <w:rsid w:val="005C3D96"/>
    <w:rsid w:val="005C54A7"/>
    <w:rsid w:val="005C6F10"/>
    <w:rsid w:val="005D2C66"/>
    <w:rsid w:val="005D2F62"/>
    <w:rsid w:val="005D6253"/>
    <w:rsid w:val="005D7D2C"/>
    <w:rsid w:val="005E282B"/>
    <w:rsid w:val="005E68E7"/>
    <w:rsid w:val="005F26CD"/>
    <w:rsid w:val="005F2EC2"/>
    <w:rsid w:val="005F37E8"/>
    <w:rsid w:val="005F5691"/>
    <w:rsid w:val="00600E63"/>
    <w:rsid w:val="006050C1"/>
    <w:rsid w:val="00605DB2"/>
    <w:rsid w:val="0060696F"/>
    <w:rsid w:val="006120C0"/>
    <w:rsid w:val="006154F0"/>
    <w:rsid w:val="00615A32"/>
    <w:rsid w:val="00625BC2"/>
    <w:rsid w:val="0063038E"/>
    <w:rsid w:val="006329C9"/>
    <w:rsid w:val="006351A3"/>
    <w:rsid w:val="006366FE"/>
    <w:rsid w:val="00647236"/>
    <w:rsid w:val="00651C90"/>
    <w:rsid w:val="00655480"/>
    <w:rsid w:val="00655744"/>
    <w:rsid w:val="00656E00"/>
    <w:rsid w:val="00660A99"/>
    <w:rsid w:val="00667E4E"/>
    <w:rsid w:val="0067526F"/>
    <w:rsid w:val="00675C4B"/>
    <w:rsid w:val="006839B6"/>
    <w:rsid w:val="006854BE"/>
    <w:rsid w:val="00694B34"/>
    <w:rsid w:val="006964A9"/>
    <w:rsid w:val="00697E44"/>
    <w:rsid w:val="006A1906"/>
    <w:rsid w:val="006A69A8"/>
    <w:rsid w:val="006A6E74"/>
    <w:rsid w:val="006B183A"/>
    <w:rsid w:val="006B1AA2"/>
    <w:rsid w:val="006B4058"/>
    <w:rsid w:val="006B456B"/>
    <w:rsid w:val="006B4C67"/>
    <w:rsid w:val="006B502C"/>
    <w:rsid w:val="006B5BB8"/>
    <w:rsid w:val="006B6203"/>
    <w:rsid w:val="006B6B67"/>
    <w:rsid w:val="006C02F5"/>
    <w:rsid w:val="006C5FEF"/>
    <w:rsid w:val="006D34D0"/>
    <w:rsid w:val="006E64A5"/>
    <w:rsid w:val="006E6C77"/>
    <w:rsid w:val="006E797A"/>
    <w:rsid w:val="006F0A0C"/>
    <w:rsid w:val="006F10EE"/>
    <w:rsid w:val="006F2510"/>
    <w:rsid w:val="007014C0"/>
    <w:rsid w:val="00702458"/>
    <w:rsid w:val="0070332B"/>
    <w:rsid w:val="00703A32"/>
    <w:rsid w:val="00705E50"/>
    <w:rsid w:val="00707395"/>
    <w:rsid w:val="007122EB"/>
    <w:rsid w:val="0071292E"/>
    <w:rsid w:val="00715B4B"/>
    <w:rsid w:val="00721BF4"/>
    <w:rsid w:val="00722C35"/>
    <w:rsid w:val="00722CB9"/>
    <w:rsid w:val="00727E2C"/>
    <w:rsid w:val="00727FEB"/>
    <w:rsid w:val="007367B3"/>
    <w:rsid w:val="007402C2"/>
    <w:rsid w:val="00743859"/>
    <w:rsid w:val="00743C5C"/>
    <w:rsid w:val="0074525D"/>
    <w:rsid w:val="00746B00"/>
    <w:rsid w:val="007474FA"/>
    <w:rsid w:val="0075094E"/>
    <w:rsid w:val="00757BAC"/>
    <w:rsid w:val="007626A0"/>
    <w:rsid w:val="00762B5C"/>
    <w:rsid w:val="00763A08"/>
    <w:rsid w:val="0076668A"/>
    <w:rsid w:val="0077137D"/>
    <w:rsid w:val="00772AC2"/>
    <w:rsid w:val="00775269"/>
    <w:rsid w:val="0077587F"/>
    <w:rsid w:val="00777C1A"/>
    <w:rsid w:val="00780334"/>
    <w:rsid w:val="007822C3"/>
    <w:rsid w:val="0078258D"/>
    <w:rsid w:val="00782AB5"/>
    <w:rsid w:val="00791C5A"/>
    <w:rsid w:val="00794F1B"/>
    <w:rsid w:val="007954F2"/>
    <w:rsid w:val="00795702"/>
    <w:rsid w:val="007977F6"/>
    <w:rsid w:val="007A06F3"/>
    <w:rsid w:val="007A3154"/>
    <w:rsid w:val="007A5361"/>
    <w:rsid w:val="007A74DD"/>
    <w:rsid w:val="007C2B7A"/>
    <w:rsid w:val="007C5716"/>
    <w:rsid w:val="007D0704"/>
    <w:rsid w:val="007D3E95"/>
    <w:rsid w:val="007D4361"/>
    <w:rsid w:val="007D4726"/>
    <w:rsid w:val="007D4C69"/>
    <w:rsid w:val="007D59FE"/>
    <w:rsid w:val="007D610F"/>
    <w:rsid w:val="007D7005"/>
    <w:rsid w:val="007E592B"/>
    <w:rsid w:val="007E765C"/>
    <w:rsid w:val="007F0976"/>
    <w:rsid w:val="007F4A8F"/>
    <w:rsid w:val="007F52CF"/>
    <w:rsid w:val="008007F7"/>
    <w:rsid w:val="00804990"/>
    <w:rsid w:val="00811C45"/>
    <w:rsid w:val="008125CD"/>
    <w:rsid w:val="00812A93"/>
    <w:rsid w:val="00813057"/>
    <w:rsid w:val="008130EB"/>
    <w:rsid w:val="00815230"/>
    <w:rsid w:val="00817564"/>
    <w:rsid w:val="0082016A"/>
    <w:rsid w:val="0082176B"/>
    <w:rsid w:val="00821954"/>
    <w:rsid w:val="008219AD"/>
    <w:rsid w:val="00822021"/>
    <w:rsid w:val="00822072"/>
    <w:rsid w:val="00822430"/>
    <w:rsid w:val="008231ED"/>
    <w:rsid w:val="0082403F"/>
    <w:rsid w:val="00824851"/>
    <w:rsid w:val="008249F4"/>
    <w:rsid w:val="008325F0"/>
    <w:rsid w:val="00840769"/>
    <w:rsid w:val="008419D8"/>
    <w:rsid w:val="008423DF"/>
    <w:rsid w:val="00842C80"/>
    <w:rsid w:val="00845510"/>
    <w:rsid w:val="0084613D"/>
    <w:rsid w:val="00850FEA"/>
    <w:rsid w:val="008532F1"/>
    <w:rsid w:val="008557E8"/>
    <w:rsid w:val="00856440"/>
    <w:rsid w:val="008564BD"/>
    <w:rsid w:val="0085672E"/>
    <w:rsid w:val="00857B1C"/>
    <w:rsid w:val="00863478"/>
    <w:rsid w:val="00863945"/>
    <w:rsid w:val="008730BE"/>
    <w:rsid w:val="008737A3"/>
    <w:rsid w:val="008755E6"/>
    <w:rsid w:val="0088347A"/>
    <w:rsid w:val="00885D8E"/>
    <w:rsid w:val="00886234"/>
    <w:rsid w:val="008863A7"/>
    <w:rsid w:val="008863D4"/>
    <w:rsid w:val="00886634"/>
    <w:rsid w:val="00887B85"/>
    <w:rsid w:val="00890DCD"/>
    <w:rsid w:val="00896FB1"/>
    <w:rsid w:val="00897356"/>
    <w:rsid w:val="00897AF3"/>
    <w:rsid w:val="008A357F"/>
    <w:rsid w:val="008A4822"/>
    <w:rsid w:val="008A5161"/>
    <w:rsid w:val="008B079F"/>
    <w:rsid w:val="008B1F5C"/>
    <w:rsid w:val="008B43D4"/>
    <w:rsid w:val="008C4974"/>
    <w:rsid w:val="008C4A9E"/>
    <w:rsid w:val="008C4E5B"/>
    <w:rsid w:val="008C6DCD"/>
    <w:rsid w:val="008D18FD"/>
    <w:rsid w:val="008D1CE8"/>
    <w:rsid w:val="008D1F65"/>
    <w:rsid w:val="008D2080"/>
    <w:rsid w:val="008D23C5"/>
    <w:rsid w:val="008D4AB1"/>
    <w:rsid w:val="008D69B8"/>
    <w:rsid w:val="008D71A8"/>
    <w:rsid w:val="008D7398"/>
    <w:rsid w:val="008D7B31"/>
    <w:rsid w:val="008E0F6F"/>
    <w:rsid w:val="008E19EE"/>
    <w:rsid w:val="008E1E11"/>
    <w:rsid w:val="008E316D"/>
    <w:rsid w:val="008E4628"/>
    <w:rsid w:val="008E5F0C"/>
    <w:rsid w:val="008E612F"/>
    <w:rsid w:val="008F03D5"/>
    <w:rsid w:val="008F07DF"/>
    <w:rsid w:val="008F08A0"/>
    <w:rsid w:val="008F1219"/>
    <w:rsid w:val="008F366B"/>
    <w:rsid w:val="008F3E4C"/>
    <w:rsid w:val="008F7903"/>
    <w:rsid w:val="008F7DDE"/>
    <w:rsid w:val="0090287D"/>
    <w:rsid w:val="00907974"/>
    <w:rsid w:val="00910AD3"/>
    <w:rsid w:val="00912BD2"/>
    <w:rsid w:val="00912D79"/>
    <w:rsid w:val="00916794"/>
    <w:rsid w:val="0092030F"/>
    <w:rsid w:val="00920F72"/>
    <w:rsid w:val="00926541"/>
    <w:rsid w:val="009271D3"/>
    <w:rsid w:val="00930220"/>
    <w:rsid w:val="009309E4"/>
    <w:rsid w:val="00933465"/>
    <w:rsid w:val="00933FD9"/>
    <w:rsid w:val="00934ED5"/>
    <w:rsid w:val="00936426"/>
    <w:rsid w:val="00936632"/>
    <w:rsid w:val="009415ED"/>
    <w:rsid w:val="00946CEA"/>
    <w:rsid w:val="0094780E"/>
    <w:rsid w:val="00947F2D"/>
    <w:rsid w:val="00947FE6"/>
    <w:rsid w:val="00950D07"/>
    <w:rsid w:val="00954C7E"/>
    <w:rsid w:val="009557D2"/>
    <w:rsid w:val="009568D3"/>
    <w:rsid w:val="009568DF"/>
    <w:rsid w:val="00963B11"/>
    <w:rsid w:val="0096450C"/>
    <w:rsid w:val="00966F91"/>
    <w:rsid w:val="00970F9E"/>
    <w:rsid w:val="00974C57"/>
    <w:rsid w:val="00976C85"/>
    <w:rsid w:val="009829FC"/>
    <w:rsid w:val="00987666"/>
    <w:rsid w:val="009921C2"/>
    <w:rsid w:val="009924D5"/>
    <w:rsid w:val="00995623"/>
    <w:rsid w:val="00995FD6"/>
    <w:rsid w:val="009A266F"/>
    <w:rsid w:val="009A2D5B"/>
    <w:rsid w:val="009A5E9D"/>
    <w:rsid w:val="009B1C17"/>
    <w:rsid w:val="009B206E"/>
    <w:rsid w:val="009B3D13"/>
    <w:rsid w:val="009B44CF"/>
    <w:rsid w:val="009B55F5"/>
    <w:rsid w:val="009C3597"/>
    <w:rsid w:val="009C3B05"/>
    <w:rsid w:val="009C725B"/>
    <w:rsid w:val="009C7646"/>
    <w:rsid w:val="009C76D3"/>
    <w:rsid w:val="009D1860"/>
    <w:rsid w:val="009D384E"/>
    <w:rsid w:val="009D3E5A"/>
    <w:rsid w:val="009D4270"/>
    <w:rsid w:val="009D4691"/>
    <w:rsid w:val="009D5067"/>
    <w:rsid w:val="009D5C27"/>
    <w:rsid w:val="009D7183"/>
    <w:rsid w:val="009D744F"/>
    <w:rsid w:val="009E2C1B"/>
    <w:rsid w:val="009E35EE"/>
    <w:rsid w:val="009E3626"/>
    <w:rsid w:val="009E3F0D"/>
    <w:rsid w:val="009E55E0"/>
    <w:rsid w:val="009E6D86"/>
    <w:rsid w:val="009E7112"/>
    <w:rsid w:val="009F2035"/>
    <w:rsid w:val="009F5CDD"/>
    <w:rsid w:val="009F6F5D"/>
    <w:rsid w:val="00A0299D"/>
    <w:rsid w:val="00A039DC"/>
    <w:rsid w:val="00A12612"/>
    <w:rsid w:val="00A140B8"/>
    <w:rsid w:val="00A15C91"/>
    <w:rsid w:val="00A2031E"/>
    <w:rsid w:val="00A20F2A"/>
    <w:rsid w:val="00A216B1"/>
    <w:rsid w:val="00A21F10"/>
    <w:rsid w:val="00A23D3B"/>
    <w:rsid w:val="00A26379"/>
    <w:rsid w:val="00A27EE2"/>
    <w:rsid w:val="00A32EA8"/>
    <w:rsid w:val="00A41EAC"/>
    <w:rsid w:val="00A41EDA"/>
    <w:rsid w:val="00A42B9E"/>
    <w:rsid w:val="00A4718E"/>
    <w:rsid w:val="00A546F9"/>
    <w:rsid w:val="00A551BB"/>
    <w:rsid w:val="00A55AF4"/>
    <w:rsid w:val="00A55F87"/>
    <w:rsid w:val="00A56E2E"/>
    <w:rsid w:val="00A62C6F"/>
    <w:rsid w:val="00A63A39"/>
    <w:rsid w:val="00A714BB"/>
    <w:rsid w:val="00A7154B"/>
    <w:rsid w:val="00A733D2"/>
    <w:rsid w:val="00A81059"/>
    <w:rsid w:val="00A87265"/>
    <w:rsid w:val="00A9044C"/>
    <w:rsid w:val="00A90951"/>
    <w:rsid w:val="00A9106B"/>
    <w:rsid w:val="00A915BC"/>
    <w:rsid w:val="00A91F9A"/>
    <w:rsid w:val="00A926FB"/>
    <w:rsid w:val="00A93AC6"/>
    <w:rsid w:val="00A93E9E"/>
    <w:rsid w:val="00A95DBC"/>
    <w:rsid w:val="00A96926"/>
    <w:rsid w:val="00A97D3D"/>
    <w:rsid w:val="00AA17DC"/>
    <w:rsid w:val="00AA3B9C"/>
    <w:rsid w:val="00AA493F"/>
    <w:rsid w:val="00AB2650"/>
    <w:rsid w:val="00AB29D3"/>
    <w:rsid w:val="00AB370A"/>
    <w:rsid w:val="00AB39F3"/>
    <w:rsid w:val="00AC2B19"/>
    <w:rsid w:val="00AC346A"/>
    <w:rsid w:val="00AC4A89"/>
    <w:rsid w:val="00AD032A"/>
    <w:rsid w:val="00AD212B"/>
    <w:rsid w:val="00AD5414"/>
    <w:rsid w:val="00AD5F30"/>
    <w:rsid w:val="00AE2286"/>
    <w:rsid w:val="00AE2ED6"/>
    <w:rsid w:val="00AE7E12"/>
    <w:rsid w:val="00AF039F"/>
    <w:rsid w:val="00AF0A13"/>
    <w:rsid w:val="00AF4A99"/>
    <w:rsid w:val="00AF65F7"/>
    <w:rsid w:val="00B00F7A"/>
    <w:rsid w:val="00B012D5"/>
    <w:rsid w:val="00B01A6C"/>
    <w:rsid w:val="00B0332B"/>
    <w:rsid w:val="00B127DA"/>
    <w:rsid w:val="00B12ECD"/>
    <w:rsid w:val="00B138A5"/>
    <w:rsid w:val="00B14C0B"/>
    <w:rsid w:val="00B15124"/>
    <w:rsid w:val="00B2146D"/>
    <w:rsid w:val="00B22071"/>
    <w:rsid w:val="00B31EF4"/>
    <w:rsid w:val="00B3313A"/>
    <w:rsid w:val="00B34302"/>
    <w:rsid w:val="00B35C4D"/>
    <w:rsid w:val="00B36043"/>
    <w:rsid w:val="00B367CF"/>
    <w:rsid w:val="00B37781"/>
    <w:rsid w:val="00B37BCC"/>
    <w:rsid w:val="00B41EA2"/>
    <w:rsid w:val="00B475BB"/>
    <w:rsid w:val="00B51EFD"/>
    <w:rsid w:val="00B54A1C"/>
    <w:rsid w:val="00B55791"/>
    <w:rsid w:val="00B56FBC"/>
    <w:rsid w:val="00B61CB2"/>
    <w:rsid w:val="00B63318"/>
    <w:rsid w:val="00B66525"/>
    <w:rsid w:val="00B702D9"/>
    <w:rsid w:val="00B729E1"/>
    <w:rsid w:val="00B808B4"/>
    <w:rsid w:val="00B80D7D"/>
    <w:rsid w:val="00B812CD"/>
    <w:rsid w:val="00B8314C"/>
    <w:rsid w:val="00B850D2"/>
    <w:rsid w:val="00B869D2"/>
    <w:rsid w:val="00B91124"/>
    <w:rsid w:val="00B91C47"/>
    <w:rsid w:val="00B936D8"/>
    <w:rsid w:val="00B94480"/>
    <w:rsid w:val="00BA093C"/>
    <w:rsid w:val="00BA1AF6"/>
    <w:rsid w:val="00BA4929"/>
    <w:rsid w:val="00BC02D7"/>
    <w:rsid w:val="00BC3D6F"/>
    <w:rsid w:val="00BC4DE1"/>
    <w:rsid w:val="00BC6117"/>
    <w:rsid w:val="00BC61AC"/>
    <w:rsid w:val="00BC7E9B"/>
    <w:rsid w:val="00BD0550"/>
    <w:rsid w:val="00BD0EBD"/>
    <w:rsid w:val="00BD312A"/>
    <w:rsid w:val="00BD4F3D"/>
    <w:rsid w:val="00BD504E"/>
    <w:rsid w:val="00BD5BF9"/>
    <w:rsid w:val="00BD6622"/>
    <w:rsid w:val="00BD72D6"/>
    <w:rsid w:val="00BE6FA5"/>
    <w:rsid w:val="00BF15C0"/>
    <w:rsid w:val="00BF28ED"/>
    <w:rsid w:val="00BF63C6"/>
    <w:rsid w:val="00C0150B"/>
    <w:rsid w:val="00C01E03"/>
    <w:rsid w:val="00C025A9"/>
    <w:rsid w:val="00C02D7A"/>
    <w:rsid w:val="00C036EC"/>
    <w:rsid w:val="00C0598F"/>
    <w:rsid w:val="00C05D6B"/>
    <w:rsid w:val="00C13CEC"/>
    <w:rsid w:val="00C13CF5"/>
    <w:rsid w:val="00C1781A"/>
    <w:rsid w:val="00C20683"/>
    <w:rsid w:val="00C20DC8"/>
    <w:rsid w:val="00C24B6E"/>
    <w:rsid w:val="00C256B4"/>
    <w:rsid w:val="00C304D6"/>
    <w:rsid w:val="00C31EB2"/>
    <w:rsid w:val="00C329C3"/>
    <w:rsid w:val="00C40CD1"/>
    <w:rsid w:val="00C52C7F"/>
    <w:rsid w:val="00C607B3"/>
    <w:rsid w:val="00C62563"/>
    <w:rsid w:val="00C628DA"/>
    <w:rsid w:val="00C6395F"/>
    <w:rsid w:val="00C667E7"/>
    <w:rsid w:val="00C66EE6"/>
    <w:rsid w:val="00C670AB"/>
    <w:rsid w:val="00C721C3"/>
    <w:rsid w:val="00C73213"/>
    <w:rsid w:val="00C7421C"/>
    <w:rsid w:val="00C74BFB"/>
    <w:rsid w:val="00C75DA4"/>
    <w:rsid w:val="00C765AF"/>
    <w:rsid w:val="00C81992"/>
    <w:rsid w:val="00C83068"/>
    <w:rsid w:val="00C833B7"/>
    <w:rsid w:val="00C83429"/>
    <w:rsid w:val="00C84785"/>
    <w:rsid w:val="00C8637A"/>
    <w:rsid w:val="00C87311"/>
    <w:rsid w:val="00C87F1E"/>
    <w:rsid w:val="00C90AF0"/>
    <w:rsid w:val="00C93022"/>
    <w:rsid w:val="00C96B1D"/>
    <w:rsid w:val="00CA1881"/>
    <w:rsid w:val="00CA27AA"/>
    <w:rsid w:val="00CA374D"/>
    <w:rsid w:val="00CA45AE"/>
    <w:rsid w:val="00CA6080"/>
    <w:rsid w:val="00CA627A"/>
    <w:rsid w:val="00CA6806"/>
    <w:rsid w:val="00CA70BF"/>
    <w:rsid w:val="00CA7348"/>
    <w:rsid w:val="00CB1316"/>
    <w:rsid w:val="00CB16E8"/>
    <w:rsid w:val="00CB7229"/>
    <w:rsid w:val="00CC0BE0"/>
    <w:rsid w:val="00CC1D36"/>
    <w:rsid w:val="00CD1CAB"/>
    <w:rsid w:val="00CD3E5C"/>
    <w:rsid w:val="00CD62C7"/>
    <w:rsid w:val="00CD6DE5"/>
    <w:rsid w:val="00CE10A2"/>
    <w:rsid w:val="00CE3AD7"/>
    <w:rsid w:val="00CE50F5"/>
    <w:rsid w:val="00CE5EE3"/>
    <w:rsid w:val="00CF33C3"/>
    <w:rsid w:val="00CF3431"/>
    <w:rsid w:val="00CF37D2"/>
    <w:rsid w:val="00CF7251"/>
    <w:rsid w:val="00CF7F2A"/>
    <w:rsid w:val="00CF7F8F"/>
    <w:rsid w:val="00D01299"/>
    <w:rsid w:val="00D01F9D"/>
    <w:rsid w:val="00D026F7"/>
    <w:rsid w:val="00D056B2"/>
    <w:rsid w:val="00D05917"/>
    <w:rsid w:val="00D05BBB"/>
    <w:rsid w:val="00D07AA9"/>
    <w:rsid w:val="00D10648"/>
    <w:rsid w:val="00D1373D"/>
    <w:rsid w:val="00D200E4"/>
    <w:rsid w:val="00D2049A"/>
    <w:rsid w:val="00D212FB"/>
    <w:rsid w:val="00D23BFA"/>
    <w:rsid w:val="00D24803"/>
    <w:rsid w:val="00D353FF"/>
    <w:rsid w:val="00D369AC"/>
    <w:rsid w:val="00D36FF4"/>
    <w:rsid w:val="00D40795"/>
    <w:rsid w:val="00D41C06"/>
    <w:rsid w:val="00D460AD"/>
    <w:rsid w:val="00D47043"/>
    <w:rsid w:val="00D51479"/>
    <w:rsid w:val="00D54C72"/>
    <w:rsid w:val="00D56345"/>
    <w:rsid w:val="00D56B35"/>
    <w:rsid w:val="00D56E7A"/>
    <w:rsid w:val="00D625F8"/>
    <w:rsid w:val="00D643EF"/>
    <w:rsid w:val="00D71AFA"/>
    <w:rsid w:val="00D72324"/>
    <w:rsid w:val="00D73693"/>
    <w:rsid w:val="00D74A49"/>
    <w:rsid w:val="00D75066"/>
    <w:rsid w:val="00D832F2"/>
    <w:rsid w:val="00D840D8"/>
    <w:rsid w:val="00D93A13"/>
    <w:rsid w:val="00D97508"/>
    <w:rsid w:val="00DA1E37"/>
    <w:rsid w:val="00DA3FC7"/>
    <w:rsid w:val="00DA4EC4"/>
    <w:rsid w:val="00DA55DB"/>
    <w:rsid w:val="00DA5D11"/>
    <w:rsid w:val="00DA5F2F"/>
    <w:rsid w:val="00DA68FB"/>
    <w:rsid w:val="00DA7361"/>
    <w:rsid w:val="00DA737C"/>
    <w:rsid w:val="00DA7BFE"/>
    <w:rsid w:val="00DB3061"/>
    <w:rsid w:val="00DB5A96"/>
    <w:rsid w:val="00DB663C"/>
    <w:rsid w:val="00DB6F25"/>
    <w:rsid w:val="00DC10A7"/>
    <w:rsid w:val="00DC12B0"/>
    <w:rsid w:val="00DC4AA0"/>
    <w:rsid w:val="00DC6568"/>
    <w:rsid w:val="00DC6EE6"/>
    <w:rsid w:val="00DD29D3"/>
    <w:rsid w:val="00DD4B24"/>
    <w:rsid w:val="00DD5C85"/>
    <w:rsid w:val="00DD62B4"/>
    <w:rsid w:val="00DE12F4"/>
    <w:rsid w:val="00DE1DFC"/>
    <w:rsid w:val="00DF000E"/>
    <w:rsid w:val="00DF1475"/>
    <w:rsid w:val="00DF18AE"/>
    <w:rsid w:val="00DF3E27"/>
    <w:rsid w:val="00DF4624"/>
    <w:rsid w:val="00DF46D3"/>
    <w:rsid w:val="00DF4743"/>
    <w:rsid w:val="00DF532C"/>
    <w:rsid w:val="00DF7A21"/>
    <w:rsid w:val="00DF7B2B"/>
    <w:rsid w:val="00E01909"/>
    <w:rsid w:val="00E032F3"/>
    <w:rsid w:val="00E04FDF"/>
    <w:rsid w:val="00E05F15"/>
    <w:rsid w:val="00E0608C"/>
    <w:rsid w:val="00E07D2B"/>
    <w:rsid w:val="00E10531"/>
    <w:rsid w:val="00E17D79"/>
    <w:rsid w:val="00E20A02"/>
    <w:rsid w:val="00E21681"/>
    <w:rsid w:val="00E239A5"/>
    <w:rsid w:val="00E27A41"/>
    <w:rsid w:val="00E30390"/>
    <w:rsid w:val="00E35D90"/>
    <w:rsid w:val="00E3742A"/>
    <w:rsid w:val="00E41FB0"/>
    <w:rsid w:val="00E42DE4"/>
    <w:rsid w:val="00E45909"/>
    <w:rsid w:val="00E46623"/>
    <w:rsid w:val="00E47210"/>
    <w:rsid w:val="00E47EEF"/>
    <w:rsid w:val="00E51C1B"/>
    <w:rsid w:val="00E533C4"/>
    <w:rsid w:val="00E53964"/>
    <w:rsid w:val="00E56E06"/>
    <w:rsid w:val="00E56FC4"/>
    <w:rsid w:val="00E57296"/>
    <w:rsid w:val="00E575C3"/>
    <w:rsid w:val="00E622B2"/>
    <w:rsid w:val="00E65055"/>
    <w:rsid w:val="00E65A9B"/>
    <w:rsid w:val="00E66918"/>
    <w:rsid w:val="00E72A91"/>
    <w:rsid w:val="00E75340"/>
    <w:rsid w:val="00E81C57"/>
    <w:rsid w:val="00E85789"/>
    <w:rsid w:val="00E91B94"/>
    <w:rsid w:val="00E93356"/>
    <w:rsid w:val="00E938AF"/>
    <w:rsid w:val="00E9512A"/>
    <w:rsid w:val="00E96A92"/>
    <w:rsid w:val="00EA3654"/>
    <w:rsid w:val="00EA37AB"/>
    <w:rsid w:val="00EA42EA"/>
    <w:rsid w:val="00EA4736"/>
    <w:rsid w:val="00EA4812"/>
    <w:rsid w:val="00EA62B8"/>
    <w:rsid w:val="00EA6B0D"/>
    <w:rsid w:val="00EB0AE3"/>
    <w:rsid w:val="00EB4A72"/>
    <w:rsid w:val="00EB72A5"/>
    <w:rsid w:val="00EB7E69"/>
    <w:rsid w:val="00EC075C"/>
    <w:rsid w:val="00EC155E"/>
    <w:rsid w:val="00EC209C"/>
    <w:rsid w:val="00EC2864"/>
    <w:rsid w:val="00EC3182"/>
    <w:rsid w:val="00EC57BD"/>
    <w:rsid w:val="00EC7697"/>
    <w:rsid w:val="00EC77D6"/>
    <w:rsid w:val="00ED1F25"/>
    <w:rsid w:val="00ED29D1"/>
    <w:rsid w:val="00ED3096"/>
    <w:rsid w:val="00ED3A96"/>
    <w:rsid w:val="00EE2519"/>
    <w:rsid w:val="00EE54FE"/>
    <w:rsid w:val="00EE5E15"/>
    <w:rsid w:val="00EF0648"/>
    <w:rsid w:val="00EF0988"/>
    <w:rsid w:val="00EF394B"/>
    <w:rsid w:val="00EF40B3"/>
    <w:rsid w:val="00F01C96"/>
    <w:rsid w:val="00F051F8"/>
    <w:rsid w:val="00F0661F"/>
    <w:rsid w:val="00F07A83"/>
    <w:rsid w:val="00F07BDA"/>
    <w:rsid w:val="00F12CBB"/>
    <w:rsid w:val="00F1355C"/>
    <w:rsid w:val="00F15F80"/>
    <w:rsid w:val="00F222DA"/>
    <w:rsid w:val="00F2566F"/>
    <w:rsid w:val="00F26477"/>
    <w:rsid w:val="00F27259"/>
    <w:rsid w:val="00F33527"/>
    <w:rsid w:val="00F33DF7"/>
    <w:rsid w:val="00F35DF7"/>
    <w:rsid w:val="00F360DB"/>
    <w:rsid w:val="00F37C1A"/>
    <w:rsid w:val="00F405B5"/>
    <w:rsid w:val="00F41632"/>
    <w:rsid w:val="00F42267"/>
    <w:rsid w:val="00F4255B"/>
    <w:rsid w:val="00F454C9"/>
    <w:rsid w:val="00F46AE7"/>
    <w:rsid w:val="00F477E2"/>
    <w:rsid w:val="00F515FC"/>
    <w:rsid w:val="00F5295B"/>
    <w:rsid w:val="00F54935"/>
    <w:rsid w:val="00F57CCC"/>
    <w:rsid w:val="00F63771"/>
    <w:rsid w:val="00F63922"/>
    <w:rsid w:val="00F65BA4"/>
    <w:rsid w:val="00F6668D"/>
    <w:rsid w:val="00F70C83"/>
    <w:rsid w:val="00F76826"/>
    <w:rsid w:val="00F76A15"/>
    <w:rsid w:val="00F77CA1"/>
    <w:rsid w:val="00F82E38"/>
    <w:rsid w:val="00F9042A"/>
    <w:rsid w:val="00F916ED"/>
    <w:rsid w:val="00F9250E"/>
    <w:rsid w:val="00F94D2A"/>
    <w:rsid w:val="00F95492"/>
    <w:rsid w:val="00FA4064"/>
    <w:rsid w:val="00FA4846"/>
    <w:rsid w:val="00FB1EB6"/>
    <w:rsid w:val="00FB28F5"/>
    <w:rsid w:val="00FB466D"/>
    <w:rsid w:val="00FB4E10"/>
    <w:rsid w:val="00FB57EB"/>
    <w:rsid w:val="00FB5905"/>
    <w:rsid w:val="00FB5FF6"/>
    <w:rsid w:val="00FB6FF9"/>
    <w:rsid w:val="00FC0201"/>
    <w:rsid w:val="00FC066F"/>
    <w:rsid w:val="00FC16C6"/>
    <w:rsid w:val="00FC3901"/>
    <w:rsid w:val="00FC5B79"/>
    <w:rsid w:val="00FC7E58"/>
    <w:rsid w:val="00FD5EB9"/>
    <w:rsid w:val="00FD65DA"/>
    <w:rsid w:val="00FD69EA"/>
    <w:rsid w:val="00FD714E"/>
    <w:rsid w:val="00FE5780"/>
    <w:rsid w:val="00FE5E89"/>
    <w:rsid w:val="00FE7260"/>
    <w:rsid w:val="00FF0866"/>
    <w:rsid w:val="00FF21AE"/>
    <w:rsid w:val="00FF724C"/>
    <w:rsid w:val="00FF7A04"/>
    <w:rsid w:val="00FF7BD2"/>
    <w:rsid w:val="014A102B"/>
    <w:rsid w:val="01F86547"/>
    <w:rsid w:val="020B1352"/>
    <w:rsid w:val="04655A2E"/>
    <w:rsid w:val="06033D70"/>
    <w:rsid w:val="096822C4"/>
    <w:rsid w:val="0D1F2EFB"/>
    <w:rsid w:val="0DF10E84"/>
    <w:rsid w:val="0FBA0285"/>
    <w:rsid w:val="12967551"/>
    <w:rsid w:val="13006F54"/>
    <w:rsid w:val="136D6ED3"/>
    <w:rsid w:val="13866CDF"/>
    <w:rsid w:val="138F580D"/>
    <w:rsid w:val="174D5402"/>
    <w:rsid w:val="182F1BE9"/>
    <w:rsid w:val="19CB26FB"/>
    <w:rsid w:val="1D38533F"/>
    <w:rsid w:val="1EB65C73"/>
    <w:rsid w:val="203A3ADA"/>
    <w:rsid w:val="21E9513C"/>
    <w:rsid w:val="22640736"/>
    <w:rsid w:val="234A5ADA"/>
    <w:rsid w:val="23CE2E51"/>
    <w:rsid w:val="24A87D17"/>
    <w:rsid w:val="24BF1EF4"/>
    <w:rsid w:val="263C7165"/>
    <w:rsid w:val="2A27300C"/>
    <w:rsid w:val="2ABC209E"/>
    <w:rsid w:val="2B0C63C3"/>
    <w:rsid w:val="2CEC504B"/>
    <w:rsid w:val="2D3E7E1F"/>
    <w:rsid w:val="2FB44E79"/>
    <w:rsid w:val="2FDF1CD2"/>
    <w:rsid w:val="33B05C54"/>
    <w:rsid w:val="36AA5FB7"/>
    <w:rsid w:val="37E207E0"/>
    <w:rsid w:val="3ADC3279"/>
    <w:rsid w:val="3AF720E1"/>
    <w:rsid w:val="3D7D4874"/>
    <w:rsid w:val="3DD32704"/>
    <w:rsid w:val="3F1F6E61"/>
    <w:rsid w:val="40DF264E"/>
    <w:rsid w:val="438F3969"/>
    <w:rsid w:val="43AB35FA"/>
    <w:rsid w:val="43E40661"/>
    <w:rsid w:val="44A86AEF"/>
    <w:rsid w:val="45A55D19"/>
    <w:rsid w:val="466A68F8"/>
    <w:rsid w:val="46A75CF0"/>
    <w:rsid w:val="49D037AD"/>
    <w:rsid w:val="4A095C59"/>
    <w:rsid w:val="4BD42C46"/>
    <w:rsid w:val="4D473578"/>
    <w:rsid w:val="4FEA6EDE"/>
    <w:rsid w:val="4FEC4AC6"/>
    <w:rsid w:val="504170C8"/>
    <w:rsid w:val="51127997"/>
    <w:rsid w:val="52320CE8"/>
    <w:rsid w:val="53293D6C"/>
    <w:rsid w:val="53CE78AB"/>
    <w:rsid w:val="557C6D9E"/>
    <w:rsid w:val="578B5375"/>
    <w:rsid w:val="579E6661"/>
    <w:rsid w:val="58B96466"/>
    <w:rsid w:val="5A830ECD"/>
    <w:rsid w:val="5AB5391D"/>
    <w:rsid w:val="5B5C4BD9"/>
    <w:rsid w:val="5BA57A9F"/>
    <w:rsid w:val="5C0E3E63"/>
    <w:rsid w:val="5DD3249C"/>
    <w:rsid w:val="5E192021"/>
    <w:rsid w:val="5EC87223"/>
    <w:rsid w:val="604E1D01"/>
    <w:rsid w:val="607629FB"/>
    <w:rsid w:val="60C05AC1"/>
    <w:rsid w:val="618B1EF3"/>
    <w:rsid w:val="618B39CD"/>
    <w:rsid w:val="62110416"/>
    <w:rsid w:val="62A42A78"/>
    <w:rsid w:val="64E95889"/>
    <w:rsid w:val="675A1911"/>
    <w:rsid w:val="68A624C1"/>
    <w:rsid w:val="6B1328B3"/>
    <w:rsid w:val="6B872EA8"/>
    <w:rsid w:val="6F1448E1"/>
    <w:rsid w:val="706A291D"/>
    <w:rsid w:val="70921C01"/>
    <w:rsid w:val="71E06781"/>
    <w:rsid w:val="72827EF7"/>
    <w:rsid w:val="73D968CF"/>
    <w:rsid w:val="763464B7"/>
    <w:rsid w:val="7BA62F16"/>
    <w:rsid w:val="7D9D3491"/>
    <w:rsid w:val="7ECF35A2"/>
    <w:rsid w:val="7EE1751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uiPriority="0" w:name="toc 3"/>
    <w:lsdException w:qFormat="1" w:unhideWhenUsed="0"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qFormat="1"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0"/>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4">
    <w:name w:val="heading 2"/>
    <w:basedOn w:val="1"/>
    <w:next w:val="2"/>
    <w:link w:val="106"/>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5">
    <w:name w:val="heading 3"/>
    <w:basedOn w:val="1"/>
    <w:next w:val="2"/>
    <w:link w:val="49"/>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6">
    <w:name w:val="heading 4"/>
    <w:basedOn w:val="1"/>
    <w:next w:val="2"/>
    <w:link w:val="52"/>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2"/>
    <w:link w:val="53"/>
    <w:qFormat/>
    <w:uiPriority w:val="0"/>
    <w:pPr>
      <w:keepNext/>
      <w:widowControl/>
      <w:numPr>
        <w:ilvl w:val="0"/>
        <w:numId w:val="4"/>
      </w:numPr>
      <w:jc w:val="left"/>
      <w:outlineLvl w:val="4"/>
    </w:pPr>
    <w:rPr>
      <w:kern w:val="0"/>
      <w:sz w:val="24"/>
      <w:szCs w:val="20"/>
    </w:rPr>
  </w:style>
  <w:style w:type="paragraph" w:styleId="8">
    <w:name w:val="heading 6"/>
    <w:basedOn w:val="1"/>
    <w:next w:val="1"/>
    <w:link w:val="109"/>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110"/>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111"/>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112"/>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1">
    <w:name w:val="Default Paragraph Font"/>
    <w:semiHidden/>
    <w:unhideWhenUsed/>
    <w:qFormat/>
    <w:uiPriority w:val="1"/>
  </w:style>
  <w:style w:type="table" w:default="1" w:styleId="39">
    <w:name w:val="Normal Table"/>
    <w:semiHidden/>
    <w:unhideWhenUsed/>
    <w:qFormat/>
    <w:uiPriority w:val="99"/>
    <w:tblPr>
      <w:tblCellMar>
        <w:top w:w="0" w:type="dxa"/>
        <w:left w:w="108" w:type="dxa"/>
        <w:bottom w:w="0" w:type="dxa"/>
        <w:right w:w="108" w:type="dxa"/>
      </w:tblCellMar>
    </w:tblPr>
  </w:style>
  <w:style w:type="paragraph" w:styleId="2">
    <w:name w:val="Normal Indent"/>
    <w:basedOn w:val="1"/>
    <w:link w:val="51"/>
    <w:qFormat/>
    <w:uiPriority w:val="0"/>
    <w:pPr>
      <w:ind w:firstLine="420" w:firstLineChars="200"/>
    </w:pPr>
  </w:style>
  <w:style w:type="paragraph" w:styleId="12">
    <w:name w:val="List Number 2"/>
    <w:basedOn w:val="1"/>
    <w:qFormat/>
    <w:uiPriority w:val="0"/>
    <w:pPr>
      <w:widowControl/>
      <w:tabs>
        <w:tab w:val="left" w:pos="1697"/>
      </w:tabs>
      <w:spacing w:afterLines="50"/>
      <w:ind w:left="1697" w:hanging="420"/>
      <w:jc w:val="left"/>
    </w:pPr>
    <w:rPr>
      <w:kern w:val="0"/>
      <w:sz w:val="24"/>
      <w:szCs w:val="20"/>
    </w:rPr>
  </w:style>
  <w:style w:type="paragraph" w:styleId="13">
    <w:name w:val="List Number"/>
    <w:basedOn w:val="1"/>
    <w:qFormat/>
    <w:uiPriority w:val="0"/>
    <w:pPr>
      <w:widowControl/>
      <w:tabs>
        <w:tab w:val="left" w:pos="454"/>
      </w:tabs>
      <w:spacing w:afterLines="50"/>
      <w:ind w:left="454" w:hanging="284"/>
      <w:jc w:val="left"/>
    </w:pPr>
    <w:rPr>
      <w:kern w:val="0"/>
      <w:sz w:val="24"/>
      <w:szCs w:val="20"/>
    </w:rPr>
  </w:style>
  <w:style w:type="paragraph" w:styleId="14">
    <w:name w:val="caption"/>
    <w:basedOn w:val="1"/>
    <w:next w:val="1"/>
    <w:qFormat/>
    <w:uiPriority w:val="0"/>
    <w:pPr>
      <w:spacing w:line="360" w:lineRule="auto"/>
      <w:jc w:val="center"/>
    </w:pPr>
    <w:rPr>
      <w:rFonts w:ascii="Calibri" w:hAnsi="Calibri"/>
      <w:sz w:val="20"/>
      <w:szCs w:val="20"/>
    </w:rPr>
  </w:style>
  <w:style w:type="paragraph" w:styleId="15">
    <w:name w:val="Document Map"/>
    <w:basedOn w:val="1"/>
    <w:link w:val="118"/>
    <w:semiHidden/>
    <w:qFormat/>
    <w:uiPriority w:val="0"/>
    <w:pPr>
      <w:shd w:val="clear" w:color="auto" w:fill="000080"/>
    </w:pPr>
  </w:style>
  <w:style w:type="paragraph" w:styleId="16">
    <w:name w:val="annotation text"/>
    <w:basedOn w:val="1"/>
    <w:link w:val="120"/>
    <w:semiHidden/>
    <w:qFormat/>
    <w:uiPriority w:val="0"/>
    <w:pPr>
      <w:jc w:val="left"/>
    </w:pPr>
  </w:style>
  <w:style w:type="paragraph" w:styleId="17">
    <w:name w:val="Body Text"/>
    <w:basedOn w:val="1"/>
    <w:link w:val="68"/>
    <w:qFormat/>
    <w:uiPriority w:val="0"/>
    <w:pPr>
      <w:spacing w:line="360" w:lineRule="auto"/>
    </w:pPr>
    <w:rPr>
      <w:rFonts w:eastAsia="仿宋_GB2312"/>
      <w:sz w:val="28"/>
    </w:rPr>
  </w:style>
  <w:style w:type="paragraph" w:styleId="18">
    <w:name w:val="Body Text Indent"/>
    <w:basedOn w:val="1"/>
    <w:link w:val="103"/>
    <w:qFormat/>
    <w:uiPriority w:val="0"/>
    <w:pPr>
      <w:spacing w:after="120"/>
      <w:ind w:left="420" w:leftChars="200"/>
    </w:pPr>
  </w:style>
  <w:style w:type="paragraph" w:styleId="19">
    <w:name w:val="List Number 3"/>
    <w:basedOn w:val="1"/>
    <w:qFormat/>
    <w:uiPriority w:val="0"/>
    <w:pPr>
      <w:widowControl/>
      <w:tabs>
        <w:tab w:val="left" w:pos="482"/>
      </w:tabs>
      <w:spacing w:afterLines="50"/>
      <w:ind w:left="482" w:hanging="340"/>
      <w:jc w:val="left"/>
    </w:pPr>
    <w:rPr>
      <w:kern w:val="0"/>
      <w:sz w:val="24"/>
      <w:szCs w:val="20"/>
    </w:rPr>
  </w:style>
  <w:style w:type="paragraph" w:styleId="20">
    <w:name w:val="Block Text"/>
    <w:basedOn w:val="1"/>
    <w:qFormat/>
    <w:uiPriority w:val="0"/>
    <w:pPr>
      <w:spacing w:before="120" w:line="360" w:lineRule="auto"/>
      <w:ind w:left="824" w:right="202"/>
    </w:pPr>
    <w:rPr>
      <w:rFonts w:ascii="宋体" w:hAnsi="宋体"/>
      <w:sz w:val="24"/>
      <w:szCs w:val="21"/>
    </w:rPr>
  </w:style>
  <w:style w:type="paragraph" w:styleId="21">
    <w:name w:val="Plain Text"/>
    <w:basedOn w:val="1"/>
    <w:link w:val="54"/>
    <w:qFormat/>
    <w:uiPriority w:val="0"/>
    <w:rPr>
      <w:rFonts w:ascii="宋体" w:hAnsi="Courier New"/>
      <w:szCs w:val="20"/>
    </w:rPr>
  </w:style>
  <w:style w:type="paragraph" w:styleId="22">
    <w:name w:val="Date"/>
    <w:basedOn w:val="1"/>
    <w:next w:val="1"/>
    <w:link w:val="113"/>
    <w:qFormat/>
    <w:uiPriority w:val="0"/>
    <w:rPr>
      <w:rFonts w:ascii="楷体_GB2312" w:eastAsia="楷体_GB2312"/>
      <w:b/>
      <w:sz w:val="28"/>
      <w:szCs w:val="20"/>
    </w:rPr>
  </w:style>
  <w:style w:type="paragraph" w:styleId="23">
    <w:name w:val="Body Text Indent 2"/>
    <w:basedOn w:val="1"/>
    <w:link w:val="64"/>
    <w:qFormat/>
    <w:uiPriority w:val="0"/>
    <w:pPr>
      <w:spacing w:after="120" w:line="480" w:lineRule="auto"/>
      <w:ind w:left="420" w:leftChars="200"/>
    </w:pPr>
  </w:style>
  <w:style w:type="paragraph" w:styleId="24">
    <w:name w:val="Balloon Text"/>
    <w:basedOn w:val="1"/>
    <w:link w:val="158"/>
    <w:semiHidden/>
    <w:qFormat/>
    <w:uiPriority w:val="99"/>
    <w:rPr>
      <w:sz w:val="18"/>
      <w:szCs w:val="18"/>
    </w:rPr>
  </w:style>
  <w:style w:type="paragraph" w:styleId="25">
    <w:name w:val="footer"/>
    <w:basedOn w:val="1"/>
    <w:link w:val="157"/>
    <w:qFormat/>
    <w:uiPriority w:val="99"/>
    <w:pPr>
      <w:tabs>
        <w:tab w:val="center" w:pos="4153"/>
        <w:tab w:val="right" w:pos="8306"/>
      </w:tabs>
      <w:snapToGrid w:val="0"/>
      <w:jc w:val="left"/>
    </w:pPr>
    <w:rPr>
      <w:sz w:val="18"/>
      <w:szCs w:val="18"/>
    </w:rPr>
  </w:style>
  <w:style w:type="paragraph" w:styleId="26">
    <w:name w:val="header"/>
    <w:basedOn w:val="1"/>
    <w:link w:val="117"/>
    <w:qFormat/>
    <w:uiPriority w:val="99"/>
    <w:pPr>
      <w:pBdr>
        <w:bottom w:val="single" w:color="auto" w:sz="6" w:space="1"/>
      </w:pBdr>
      <w:tabs>
        <w:tab w:val="center" w:pos="4153"/>
        <w:tab w:val="right" w:pos="8306"/>
      </w:tabs>
      <w:snapToGrid w:val="0"/>
      <w:jc w:val="center"/>
    </w:pPr>
    <w:rPr>
      <w:sz w:val="18"/>
      <w:szCs w:val="18"/>
    </w:rPr>
  </w:style>
  <w:style w:type="paragraph" w:styleId="27">
    <w:name w:val="toc 1"/>
    <w:basedOn w:val="1"/>
    <w:next w:val="1"/>
    <w:semiHidden/>
    <w:qFormat/>
    <w:uiPriority w:val="0"/>
  </w:style>
  <w:style w:type="paragraph" w:styleId="28">
    <w:name w:val="toc 4"/>
    <w:basedOn w:val="1"/>
    <w:next w:val="1"/>
    <w:semiHidden/>
    <w:qFormat/>
    <w:uiPriority w:val="0"/>
    <w:pPr>
      <w:tabs>
        <w:tab w:val="right" w:leader="dot" w:pos="8314"/>
      </w:tabs>
      <w:ind w:firstLine="588" w:firstLineChars="245"/>
    </w:pPr>
  </w:style>
  <w:style w:type="paragraph" w:styleId="29">
    <w:name w:val="Body Text Indent 3"/>
    <w:basedOn w:val="1"/>
    <w:qFormat/>
    <w:uiPriority w:val="0"/>
    <w:pPr>
      <w:spacing w:after="120"/>
      <w:ind w:left="420" w:leftChars="200"/>
    </w:pPr>
    <w:rPr>
      <w:sz w:val="16"/>
      <w:szCs w:val="16"/>
    </w:rPr>
  </w:style>
  <w:style w:type="paragraph" w:styleId="30">
    <w:name w:val="toc 2"/>
    <w:basedOn w:val="1"/>
    <w:next w:val="1"/>
    <w:semiHidden/>
    <w:qFormat/>
    <w:uiPriority w:val="0"/>
    <w:pPr>
      <w:ind w:left="420" w:leftChars="200"/>
    </w:pPr>
  </w:style>
  <w:style w:type="paragraph" w:styleId="31">
    <w:name w:val="Body Text 2"/>
    <w:basedOn w:val="1"/>
    <w:link w:val="125"/>
    <w:qFormat/>
    <w:uiPriority w:val="0"/>
    <w:pPr>
      <w:widowControl/>
      <w:spacing w:afterLines="50" w:line="216" w:lineRule="auto"/>
      <w:jc w:val="center"/>
    </w:pPr>
    <w:rPr>
      <w:rFonts w:ascii="隶书" w:eastAsia="隶书"/>
      <w:bCs/>
      <w:kern w:val="0"/>
      <w:sz w:val="72"/>
      <w:szCs w:val="84"/>
    </w:rPr>
  </w:style>
  <w:style w:type="paragraph" w:styleId="32">
    <w:name w:val="List Continue 2"/>
    <w:basedOn w:val="1"/>
    <w:qFormat/>
    <w:uiPriority w:val="0"/>
    <w:pPr>
      <w:spacing w:after="120"/>
      <w:ind w:left="840" w:leftChars="400"/>
    </w:pPr>
  </w:style>
  <w:style w:type="paragraph" w:styleId="33">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4">
    <w:name w:val="Normal (Web)"/>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5">
    <w:name w:val="index 1"/>
    <w:basedOn w:val="1"/>
    <w:next w:val="1"/>
    <w:semiHidden/>
    <w:qFormat/>
    <w:uiPriority w:val="0"/>
    <w:pPr>
      <w:spacing w:line="320" w:lineRule="exact"/>
    </w:pPr>
    <w:rPr>
      <w:b/>
      <w:snapToGrid w:val="0"/>
      <w:color w:val="FF6600"/>
      <w:kern w:val="0"/>
      <w:sz w:val="18"/>
      <w:szCs w:val="21"/>
    </w:rPr>
  </w:style>
  <w:style w:type="paragraph" w:styleId="36">
    <w:name w:val="annotation subject"/>
    <w:basedOn w:val="16"/>
    <w:next w:val="16"/>
    <w:semiHidden/>
    <w:qFormat/>
    <w:uiPriority w:val="0"/>
    <w:pPr>
      <w:widowControl/>
      <w:spacing w:afterLines="50"/>
    </w:pPr>
    <w:rPr>
      <w:b/>
      <w:bCs/>
      <w:kern w:val="0"/>
      <w:sz w:val="24"/>
      <w:szCs w:val="20"/>
    </w:rPr>
  </w:style>
  <w:style w:type="paragraph" w:styleId="37">
    <w:name w:val="Body Text First Indent"/>
    <w:basedOn w:val="17"/>
    <w:qFormat/>
    <w:uiPriority w:val="0"/>
    <w:pPr>
      <w:spacing w:after="120" w:line="240" w:lineRule="auto"/>
      <w:ind w:firstLine="420" w:firstLineChars="100"/>
    </w:pPr>
    <w:rPr>
      <w:rFonts w:eastAsia="宋体"/>
      <w:sz w:val="21"/>
    </w:rPr>
  </w:style>
  <w:style w:type="paragraph" w:styleId="38">
    <w:name w:val="Body Text First Indent 2"/>
    <w:basedOn w:val="18"/>
    <w:qFormat/>
    <w:uiPriority w:val="0"/>
    <w:pPr>
      <w:ind w:firstLine="420" w:firstLineChars="200"/>
    </w:pPr>
  </w:style>
  <w:style w:type="table" w:styleId="40">
    <w:name w:val="Table Grid"/>
    <w:basedOn w:val="3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2">
    <w:name w:val="Strong"/>
    <w:basedOn w:val="41"/>
    <w:qFormat/>
    <w:uiPriority w:val="0"/>
    <w:rPr>
      <w:b/>
      <w:bCs/>
    </w:rPr>
  </w:style>
  <w:style w:type="character" w:styleId="43">
    <w:name w:val="page number"/>
    <w:basedOn w:val="41"/>
    <w:qFormat/>
    <w:uiPriority w:val="0"/>
  </w:style>
  <w:style w:type="character" w:styleId="44">
    <w:name w:val="FollowedHyperlink"/>
    <w:basedOn w:val="41"/>
    <w:qFormat/>
    <w:uiPriority w:val="0"/>
    <w:rPr>
      <w:color w:val="800080"/>
      <w:u w:val="single"/>
    </w:rPr>
  </w:style>
  <w:style w:type="character" w:styleId="45">
    <w:name w:val="Emphasis"/>
    <w:basedOn w:val="41"/>
    <w:qFormat/>
    <w:uiPriority w:val="0"/>
    <w:rPr>
      <w:color w:val="CC0000"/>
    </w:rPr>
  </w:style>
  <w:style w:type="character" w:styleId="46">
    <w:name w:val="Hyperlink"/>
    <w:basedOn w:val="41"/>
    <w:qFormat/>
    <w:uiPriority w:val="0"/>
    <w:rPr>
      <w:color w:val="0000FF"/>
      <w:u w:val="single"/>
    </w:rPr>
  </w:style>
  <w:style w:type="character" w:styleId="47">
    <w:name w:val="annotation reference"/>
    <w:basedOn w:val="41"/>
    <w:semiHidden/>
    <w:qFormat/>
    <w:uiPriority w:val="0"/>
    <w:rPr>
      <w:sz w:val="21"/>
      <w:szCs w:val="21"/>
    </w:rPr>
  </w:style>
  <w:style w:type="paragraph" w:customStyle="1" w:styleId="48">
    <w:name w:val="首行缩进"/>
    <w:basedOn w:val="1"/>
    <w:qFormat/>
    <w:uiPriority w:val="99"/>
    <w:pPr>
      <w:spacing w:line="360" w:lineRule="auto"/>
      <w:ind w:firstLine="480" w:firstLineChars="200"/>
    </w:pPr>
    <w:rPr>
      <w:sz w:val="24"/>
      <w:szCs w:val="22"/>
      <w:lang w:val="zh-CN"/>
    </w:rPr>
  </w:style>
  <w:style w:type="character" w:customStyle="1" w:styleId="49">
    <w:name w:val="标题 3 Char"/>
    <w:link w:val="5"/>
    <w:qFormat/>
    <w:uiPriority w:val="0"/>
    <w:rPr>
      <w:rFonts w:eastAsia="仿宋_GB2312"/>
      <w:b/>
      <w:kern w:val="2"/>
      <w:sz w:val="32"/>
      <w:lang w:val="en-US" w:eastAsia="zh-CN" w:bidi="ar-SA"/>
    </w:rPr>
  </w:style>
  <w:style w:type="character" w:customStyle="1" w:styleId="50">
    <w:name w:val="标题 1 Char"/>
    <w:link w:val="3"/>
    <w:qFormat/>
    <w:uiPriority w:val="0"/>
    <w:rPr>
      <w:rFonts w:eastAsia="仿宋_GB2312"/>
      <w:b/>
      <w:kern w:val="44"/>
      <w:sz w:val="44"/>
      <w:lang w:val="en-US" w:eastAsia="zh-CN" w:bidi="ar-SA"/>
    </w:rPr>
  </w:style>
  <w:style w:type="character" w:customStyle="1" w:styleId="51">
    <w:name w:val="正文缩进 Char"/>
    <w:basedOn w:val="41"/>
    <w:link w:val="2"/>
    <w:qFormat/>
    <w:uiPriority w:val="0"/>
    <w:rPr>
      <w:rFonts w:eastAsia="宋体"/>
      <w:kern w:val="2"/>
      <w:sz w:val="21"/>
      <w:szCs w:val="24"/>
      <w:lang w:val="en-US" w:eastAsia="zh-CN" w:bidi="ar-SA"/>
    </w:rPr>
  </w:style>
  <w:style w:type="character" w:customStyle="1" w:styleId="52">
    <w:name w:val="标题 4 Char"/>
    <w:link w:val="6"/>
    <w:qFormat/>
    <w:uiPriority w:val="0"/>
    <w:rPr>
      <w:rFonts w:ascii="Arial" w:hAnsi="Arial" w:eastAsia="黑体"/>
      <w:b/>
      <w:kern w:val="2"/>
      <w:sz w:val="28"/>
      <w:lang w:val="en-US" w:eastAsia="zh-CN" w:bidi="ar-SA"/>
    </w:rPr>
  </w:style>
  <w:style w:type="character" w:customStyle="1" w:styleId="53">
    <w:name w:val="标题 5 Char"/>
    <w:link w:val="7"/>
    <w:qFormat/>
    <w:uiPriority w:val="0"/>
    <w:rPr>
      <w:rFonts w:eastAsia="宋体"/>
      <w:sz w:val="24"/>
      <w:lang w:val="en-US" w:eastAsia="zh-CN" w:bidi="ar-SA"/>
    </w:rPr>
  </w:style>
  <w:style w:type="character" w:customStyle="1" w:styleId="54">
    <w:name w:val="纯文本 Char"/>
    <w:basedOn w:val="41"/>
    <w:link w:val="21"/>
    <w:qFormat/>
    <w:uiPriority w:val="0"/>
    <w:rPr>
      <w:rFonts w:ascii="宋体" w:hAnsi="Courier New" w:eastAsia="宋体"/>
      <w:kern w:val="2"/>
      <w:sz w:val="21"/>
      <w:lang w:val="en-US" w:eastAsia="zh-CN" w:bidi="ar-SA"/>
    </w:rPr>
  </w:style>
  <w:style w:type="paragraph" w:customStyle="1" w:styleId="55">
    <w:name w:val="表正文"/>
    <w:basedOn w:val="1"/>
    <w:next w:val="21"/>
    <w:qFormat/>
    <w:uiPriority w:val="0"/>
    <w:rPr>
      <w:rFonts w:ascii="宋体" w:hAnsi="Courier New"/>
      <w:szCs w:val="20"/>
    </w:rPr>
  </w:style>
  <w:style w:type="paragraph" w:customStyle="1" w:styleId="56">
    <w:name w:val="正文段"/>
    <w:basedOn w:val="1"/>
    <w:link w:val="151"/>
    <w:qFormat/>
    <w:uiPriority w:val="0"/>
    <w:pPr>
      <w:widowControl/>
      <w:snapToGrid w:val="0"/>
      <w:spacing w:afterLines="50"/>
      <w:ind w:firstLine="200" w:firstLineChars="200"/>
    </w:pPr>
    <w:rPr>
      <w:kern w:val="0"/>
      <w:sz w:val="24"/>
      <w:szCs w:val="20"/>
    </w:rPr>
  </w:style>
  <w:style w:type="paragraph" w:customStyle="1" w:styleId="57">
    <w:name w:val="Char"/>
    <w:basedOn w:val="1"/>
    <w:qFormat/>
    <w:uiPriority w:val="0"/>
    <w:rPr>
      <w:rFonts w:ascii="仿宋_GB2312" w:eastAsia="仿宋_GB2312"/>
      <w:b/>
      <w:sz w:val="32"/>
      <w:szCs w:val="32"/>
    </w:rPr>
  </w:style>
  <w:style w:type="paragraph" w:customStyle="1" w:styleId="58">
    <w:name w:val="Table Text"/>
    <w:link w:val="59"/>
    <w:qFormat/>
    <w:uiPriority w:val="0"/>
    <w:pPr>
      <w:snapToGrid w:val="0"/>
      <w:spacing w:before="80" w:after="80"/>
    </w:pPr>
    <w:rPr>
      <w:rFonts w:ascii="Arial" w:hAnsi="Arial" w:eastAsia="宋体" w:cs="Times New Roman"/>
      <w:sz w:val="18"/>
      <w:lang w:val="en-US" w:eastAsia="zh-CN" w:bidi="ar-SA"/>
    </w:rPr>
  </w:style>
  <w:style w:type="character" w:customStyle="1" w:styleId="59">
    <w:name w:val="Table Text Char1"/>
    <w:basedOn w:val="41"/>
    <w:link w:val="58"/>
    <w:qFormat/>
    <w:uiPriority w:val="0"/>
    <w:rPr>
      <w:rFonts w:ascii="Arial" w:hAnsi="Arial"/>
      <w:sz w:val="18"/>
      <w:lang w:val="en-US" w:eastAsia="zh-CN" w:bidi="ar-SA"/>
    </w:rPr>
  </w:style>
  <w:style w:type="character" w:customStyle="1" w:styleId="60">
    <w:name w:val="正文（缩进2汉字） Char"/>
    <w:basedOn w:val="41"/>
    <w:link w:val="61"/>
    <w:qFormat/>
    <w:uiPriority w:val="0"/>
    <w:rPr>
      <w:rFonts w:ascii="宋体"/>
      <w:kern w:val="2"/>
      <w:sz w:val="21"/>
      <w:lang w:bidi="ar-SA"/>
    </w:rPr>
  </w:style>
  <w:style w:type="paragraph" w:customStyle="1" w:styleId="61">
    <w:name w:val="正文（缩进2汉字）"/>
    <w:basedOn w:val="1"/>
    <w:link w:val="60"/>
    <w:qFormat/>
    <w:uiPriority w:val="0"/>
    <w:pPr>
      <w:tabs>
        <w:tab w:val="left" w:pos="525"/>
      </w:tabs>
      <w:spacing w:before="100" w:beforeAutospacing="1" w:after="100" w:afterAutospacing="1"/>
      <w:ind w:left="120" w:leftChars="50" w:firstLine="494" w:firstLineChars="206"/>
    </w:pPr>
    <w:rPr>
      <w:rFonts w:ascii="宋体" w:eastAsia="Times New Roman"/>
      <w:szCs w:val="20"/>
    </w:rPr>
  </w:style>
  <w:style w:type="paragraph" w:customStyle="1" w:styleId="62">
    <w:name w:val="Char11"/>
    <w:basedOn w:val="1"/>
    <w:qFormat/>
    <w:uiPriority w:val="0"/>
    <w:pPr>
      <w:tabs>
        <w:tab w:val="left" w:pos="432"/>
      </w:tabs>
      <w:spacing w:beforeLines="50" w:afterLines="50"/>
      <w:ind w:left="432" w:hanging="432"/>
      <w:jc w:val="center"/>
    </w:pPr>
    <w:rPr>
      <w:sz w:val="24"/>
    </w:rPr>
  </w:style>
  <w:style w:type="paragraph" w:customStyle="1" w:styleId="63">
    <w:name w:val="模板普通正文"/>
    <w:basedOn w:val="18"/>
    <w:qFormat/>
    <w:uiPriority w:val="0"/>
    <w:pPr>
      <w:spacing w:beforeLines="50" w:after="10" w:line="360" w:lineRule="auto"/>
      <w:ind w:left="0" w:leftChars="0" w:firstLine="175" w:firstLineChars="175"/>
      <w:jc w:val="left"/>
    </w:pPr>
    <w:rPr>
      <w:sz w:val="24"/>
    </w:rPr>
  </w:style>
  <w:style w:type="character" w:customStyle="1" w:styleId="64">
    <w:name w:val="正文文本缩进 2 Char"/>
    <w:link w:val="23"/>
    <w:qFormat/>
    <w:locked/>
    <w:uiPriority w:val="0"/>
    <w:rPr>
      <w:rFonts w:eastAsia="宋体"/>
      <w:kern w:val="2"/>
      <w:sz w:val="21"/>
      <w:szCs w:val="24"/>
      <w:lang w:val="en-US" w:eastAsia="zh-CN" w:bidi="ar-SA"/>
    </w:rPr>
  </w:style>
  <w:style w:type="paragraph" w:customStyle="1" w:styleId="65">
    <w:name w:val="缺省文本"/>
    <w:basedOn w:val="1"/>
    <w:qFormat/>
    <w:uiPriority w:val="0"/>
    <w:pPr>
      <w:autoSpaceDE w:val="0"/>
      <w:autoSpaceDN w:val="0"/>
      <w:adjustRightInd w:val="0"/>
      <w:jc w:val="left"/>
    </w:pPr>
    <w:rPr>
      <w:kern w:val="0"/>
      <w:sz w:val="24"/>
    </w:rPr>
  </w:style>
  <w:style w:type="paragraph" w:customStyle="1" w:styleId="66">
    <w:name w:val="WW-正文文字缩进 2"/>
    <w:basedOn w:val="1"/>
    <w:qFormat/>
    <w:uiPriority w:val="0"/>
    <w:pPr>
      <w:suppressAutoHyphens/>
      <w:ind w:firstLine="420"/>
    </w:pPr>
    <w:rPr>
      <w:kern w:val="1"/>
      <w:szCs w:val="20"/>
    </w:rPr>
  </w:style>
  <w:style w:type="paragraph" w:customStyle="1" w:styleId="67">
    <w:name w:val="默认段落字体 Para Char Char Char Char Char Char Char Char Char1 Char Char Char Char"/>
    <w:basedOn w:val="1"/>
    <w:qFormat/>
    <w:uiPriority w:val="0"/>
    <w:rPr>
      <w:rFonts w:ascii="Tahoma" w:hAnsi="Tahoma"/>
      <w:sz w:val="24"/>
      <w:szCs w:val="20"/>
    </w:rPr>
  </w:style>
  <w:style w:type="character" w:customStyle="1" w:styleId="68">
    <w:name w:val="正文文本 Char"/>
    <w:link w:val="17"/>
    <w:qFormat/>
    <w:locked/>
    <w:uiPriority w:val="0"/>
    <w:rPr>
      <w:rFonts w:eastAsia="仿宋_GB2312"/>
      <w:kern w:val="2"/>
      <w:sz w:val="28"/>
      <w:szCs w:val="24"/>
      <w:lang w:val="en-US" w:eastAsia="zh-CN" w:bidi="ar-SA"/>
    </w:rPr>
  </w:style>
  <w:style w:type="paragraph" w:customStyle="1" w:styleId="69">
    <w:name w:val="项目排列"/>
    <w:basedOn w:val="1"/>
    <w:link w:val="70"/>
    <w:qFormat/>
    <w:uiPriority w:val="0"/>
    <w:pPr>
      <w:tabs>
        <w:tab w:val="left" w:pos="900"/>
      </w:tabs>
      <w:spacing w:beforeLines="50" w:afterLines="50" w:line="300" w:lineRule="auto"/>
      <w:ind w:left="900" w:hanging="420"/>
    </w:pPr>
    <w:rPr>
      <w:sz w:val="24"/>
    </w:rPr>
  </w:style>
  <w:style w:type="character" w:customStyle="1" w:styleId="70">
    <w:name w:val="项目排列 Char"/>
    <w:basedOn w:val="41"/>
    <w:link w:val="69"/>
    <w:qFormat/>
    <w:uiPriority w:val="0"/>
    <w:rPr>
      <w:kern w:val="2"/>
      <w:sz w:val="24"/>
      <w:szCs w:val="24"/>
    </w:rPr>
  </w:style>
  <w:style w:type="character" w:customStyle="1" w:styleId="71">
    <w:name w:val="style21"/>
    <w:basedOn w:val="41"/>
    <w:qFormat/>
    <w:uiPriority w:val="0"/>
    <w:rPr>
      <w:sz w:val="15"/>
      <w:szCs w:val="15"/>
    </w:rPr>
  </w:style>
  <w:style w:type="paragraph" w:customStyle="1" w:styleId="72">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73">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74">
    <w:name w:val="Char1"/>
    <w:basedOn w:val="1"/>
    <w:qFormat/>
    <w:uiPriority w:val="0"/>
    <w:rPr>
      <w:szCs w:val="20"/>
    </w:rPr>
  </w:style>
  <w:style w:type="paragraph" w:customStyle="1" w:styleId="75">
    <w:name w:val="列出段落1"/>
    <w:basedOn w:val="1"/>
    <w:qFormat/>
    <w:uiPriority w:val="0"/>
    <w:pPr>
      <w:ind w:firstLine="420" w:firstLineChars="200"/>
    </w:pPr>
    <w:rPr>
      <w:rFonts w:ascii="Calibri" w:hAnsi="Calibri"/>
      <w:szCs w:val="22"/>
    </w:rPr>
  </w:style>
  <w:style w:type="paragraph" w:customStyle="1" w:styleId="76">
    <w:name w:val="默认段落字体 Para Char Char Char Char"/>
    <w:basedOn w:val="1"/>
    <w:qFormat/>
    <w:uiPriority w:val="0"/>
  </w:style>
  <w:style w:type="paragraph" w:customStyle="1" w:styleId="77">
    <w:name w:val="Char Char Char1 Char Char Char1 Char Char Char Char"/>
    <w:basedOn w:val="1"/>
    <w:qFormat/>
    <w:uiPriority w:val="0"/>
  </w:style>
  <w:style w:type="character" w:customStyle="1" w:styleId="78">
    <w:name w:val="font1"/>
    <w:basedOn w:val="41"/>
    <w:qFormat/>
    <w:uiPriority w:val="0"/>
    <w:rPr>
      <w:color w:val="999999"/>
      <w:sz w:val="18"/>
      <w:szCs w:val="18"/>
      <w:u w:val="none"/>
    </w:rPr>
  </w:style>
  <w:style w:type="paragraph" w:customStyle="1" w:styleId="7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80">
    <w:name w:val="Char Char Char Char Char Char Char Char Char Char"/>
    <w:basedOn w:val="1"/>
    <w:qFormat/>
    <w:uiPriority w:val="0"/>
    <w:rPr>
      <w:rFonts w:ascii="Tahoma" w:hAnsi="Tahoma"/>
      <w:sz w:val="24"/>
      <w:szCs w:val="20"/>
    </w:rPr>
  </w:style>
  <w:style w:type="character" w:customStyle="1" w:styleId="81">
    <w:name w:val="apple-style-span"/>
    <w:basedOn w:val="41"/>
    <w:qFormat/>
    <w:uiPriority w:val="0"/>
  </w:style>
  <w:style w:type="paragraph" w:customStyle="1" w:styleId="82">
    <w:name w:val="正文无缩进"/>
    <w:basedOn w:val="1"/>
    <w:link w:val="83"/>
    <w:qFormat/>
    <w:uiPriority w:val="0"/>
    <w:pPr>
      <w:spacing w:line="360" w:lineRule="auto"/>
    </w:pPr>
    <w:rPr>
      <w:rFonts w:ascii="宋体"/>
      <w:color w:val="000000"/>
      <w:sz w:val="24"/>
    </w:rPr>
  </w:style>
  <w:style w:type="character" w:customStyle="1" w:styleId="83">
    <w:name w:val="正文无缩进 Char"/>
    <w:basedOn w:val="41"/>
    <w:link w:val="82"/>
    <w:qFormat/>
    <w:uiPriority w:val="0"/>
    <w:rPr>
      <w:rFonts w:ascii="宋体" w:eastAsia="宋体"/>
      <w:color w:val="000000"/>
      <w:kern w:val="2"/>
      <w:sz w:val="24"/>
      <w:szCs w:val="24"/>
      <w:lang w:val="en-US" w:eastAsia="zh-CN" w:bidi="ar-SA"/>
    </w:rPr>
  </w:style>
  <w:style w:type="paragraph" w:customStyle="1" w:styleId="84">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85">
    <w:name w:val="ca-3"/>
    <w:basedOn w:val="41"/>
    <w:qFormat/>
    <w:uiPriority w:val="0"/>
  </w:style>
  <w:style w:type="paragraph" w:customStyle="1" w:styleId="86">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87">
    <w:name w:val="表格 Char Char"/>
    <w:link w:val="88"/>
    <w:qFormat/>
    <w:locked/>
    <w:uiPriority w:val="0"/>
    <w:rPr>
      <w:rFonts w:ascii="宋体" w:hAnsi="宋体" w:eastAsia="宋体"/>
      <w:lang w:val="en-US" w:eastAsia="zh-CN" w:bidi="ar-SA"/>
    </w:rPr>
  </w:style>
  <w:style w:type="paragraph" w:customStyle="1" w:styleId="88">
    <w:name w:val="表格"/>
    <w:basedOn w:val="1"/>
    <w:link w:val="87"/>
    <w:qFormat/>
    <w:uiPriority w:val="0"/>
    <w:pPr>
      <w:snapToGrid w:val="0"/>
      <w:ind w:firstLine="42" w:firstLineChars="21"/>
    </w:pPr>
    <w:rPr>
      <w:rFonts w:ascii="宋体" w:hAnsi="宋体"/>
      <w:kern w:val="0"/>
      <w:sz w:val="20"/>
      <w:szCs w:val="20"/>
    </w:rPr>
  </w:style>
  <w:style w:type="paragraph" w:customStyle="1" w:styleId="89">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90">
    <w:name w:val="Char Char1 Char Char Char Char Char Char"/>
    <w:basedOn w:val="1"/>
    <w:qFormat/>
    <w:uiPriority w:val="0"/>
    <w:pPr>
      <w:widowControl/>
      <w:spacing w:after="160" w:line="240" w:lineRule="exact"/>
      <w:jc w:val="left"/>
    </w:pPr>
  </w:style>
  <w:style w:type="character" w:customStyle="1" w:styleId="91">
    <w:name w:val="Char Char"/>
    <w:qFormat/>
    <w:uiPriority w:val="0"/>
    <w:rPr>
      <w:rFonts w:hint="eastAsia" w:ascii="宋体" w:hAnsi="Courier New" w:eastAsia="宋体"/>
      <w:kern w:val="2"/>
      <w:sz w:val="21"/>
      <w:lang w:val="en-US" w:eastAsia="zh-CN" w:bidi="ar-SA"/>
    </w:rPr>
  </w:style>
  <w:style w:type="character" w:customStyle="1" w:styleId="92">
    <w:name w:val="style51"/>
    <w:basedOn w:val="41"/>
    <w:qFormat/>
    <w:uiPriority w:val="0"/>
    <w:rPr>
      <w:sz w:val="21"/>
      <w:szCs w:val="21"/>
    </w:rPr>
  </w:style>
  <w:style w:type="paragraph" w:customStyle="1" w:styleId="93">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94">
    <w:name w:val="标准文本"/>
    <w:basedOn w:val="1"/>
    <w:link w:val="95"/>
    <w:qFormat/>
    <w:uiPriority w:val="0"/>
    <w:pPr>
      <w:spacing w:line="360" w:lineRule="auto"/>
      <w:ind w:firstLine="480" w:firstLineChars="200"/>
    </w:pPr>
    <w:rPr>
      <w:rFonts w:cs="宋体"/>
      <w:sz w:val="24"/>
      <w:szCs w:val="20"/>
    </w:rPr>
  </w:style>
  <w:style w:type="character" w:customStyle="1" w:styleId="95">
    <w:name w:val="标准文本 Char"/>
    <w:basedOn w:val="41"/>
    <w:link w:val="94"/>
    <w:qFormat/>
    <w:uiPriority w:val="0"/>
    <w:rPr>
      <w:rFonts w:eastAsia="宋体" w:cs="宋体"/>
      <w:kern w:val="2"/>
      <w:sz w:val="24"/>
      <w:lang w:val="en-US" w:eastAsia="zh-CN" w:bidi="ar-SA"/>
    </w:rPr>
  </w:style>
  <w:style w:type="paragraph" w:customStyle="1" w:styleId="96">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97">
    <w:name w:val="自定义正文"/>
    <w:basedOn w:val="1"/>
    <w:link w:val="98"/>
    <w:qFormat/>
    <w:uiPriority w:val="0"/>
    <w:pPr>
      <w:spacing w:line="480" w:lineRule="exact"/>
      <w:ind w:firstLine="200" w:firstLineChars="200"/>
      <w:jc w:val="left"/>
    </w:pPr>
    <w:rPr>
      <w:rFonts w:ascii="仿宋_GB2312" w:eastAsia="仿宋_GB2312"/>
      <w:sz w:val="28"/>
    </w:rPr>
  </w:style>
  <w:style w:type="character" w:customStyle="1" w:styleId="98">
    <w:name w:val="自定义正文 Char"/>
    <w:basedOn w:val="41"/>
    <w:link w:val="97"/>
    <w:qFormat/>
    <w:uiPriority w:val="0"/>
    <w:rPr>
      <w:rFonts w:ascii="仿宋_GB2312" w:eastAsia="仿宋_GB2312"/>
      <w:kern w:val="2"/>
      <w:sz w:val="28"/>
      <w:szCs w:val="24"/>
      <w:lang w:val="en-US" w:eastAsia="zh-CN" w:bidi="ar-SA"/>
    </w:rPr>
  </w:style>
  <w:style w:type="paragraph" w:customStyle="1" w:styleId="99">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00">
    <w:name w:val="自定义表格文字"/>
    <w:basedOn w:val="1"/>
    <w:qFormat/>
    <w:uiPriority w:val="0"/>
    <w:pPr>
      <w:spacing w:before="60" w:after="60" w:line="320" w:lineRule="exact"/>
      <w:jc w:val="left"/>
    </w:pPr>
    <w:rPr>
      <w:rFonts w:ascii="宋体" w:eastAsia="楷体_GB2312"/>
    </w:rPr>
  </w:style>
  <w:style w:type="paragraph" w:customStyle="1" w:styleId="101">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02">
    <w:name w:val="Char Char Char1 Char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03">
    <w:name w:val="正文文本缩进 Char"/>
    <w:link w:val="18"/>
    <w:qFormat/>
    <w:uiPriority w:val="0"/>
    <w:rPr>
      <w:rFonts w:eastAsia="宋体"/>
      <w:kern w:val="2"/>
      <w:sz w:val="21"/>
      <w:szCs w:val="24"/>
      <w:lang w:val="en-US" w:eastAsia="zh-CN" w:bidi="ar-SA"/>
    </w:rPr>
  </w:style>
  <w:style w:type="character" w:customStyle="1" w:styleId="104">
    <w:name w:val="Char Char1"/>
    <w:qFormat/>
    <w:uiPriority w:val="0"/>
    <w:rPr>
      <w:rFonts w:ascii="宋体" w:hAnsi="Courier New" w:eastAsia="宋体"/>
      <w:kern w:val="2"/>
      <w:sz w:val="21"/>
      <w:lang w:val="en-US" w:eastAsia="zh-CN" w:bidi="ar-SA"/>
    </w:rPr>
  </w:style>
  <w:style w:type="paragraph" w:customStyle="1" w:styleId="105">
    <w:name w:val="Char Char Char Char1"/>
    <w:basedOn w:val="1"/>
    <w:qFormat/>
    <w:uiPriority w:val="0"/>
    <w:rPr>
      <w:rFonts w:ascii="Tahoma" w:hAnsi="Tahoma"/>
      <w:sz w:val="24"/>
      <w:szCs w:val="20"/>
    </w:rPr>
  </w:style>
  <w:style w:type="character" w:customStyle="1" w:styleId="106">
    <w:name w:val="标题 2 Char"/>
    <w:link w:val="4"/>
    <w:qFormat/>
    <w:uiPriority w:val="0"/>
    <w:rPr>
      <w:rFonts w:ascii="Arial" w:hAnsi="Arial" w:eastAsia="黑体"/>
      <w:b/>
      <w:kern w:val="2"/>
      <w:sz w:val="32"/>
      <w:lang w:val="en-US" w:eastAsia="zh-CN" w:bidi="ar-SA"/>
    </w:rPr>
  </w:style>
  <w:style w:type="character" w:customStyle="1" w:styleId="107">
    <w:name w:val="H4 Char"/>
    <w:qFormat/>
    <w:uiPriority w:val="0"/>
    <w:rPr>
      <w:rFonts w:ascii="宋体" w:hAnsi="宋体" w:eastAsia="黑体"/>
      <w:b/>
      <w:bCs/>
      <w:color w:val="000000"/>
      <w:spacing w:val="-4"/>
      <w:kern w:val="2"/>
      <w:sz w:val="24"/>
      <w:szCs w:val="30"/>
      <w:lang w:val="en-US" w:eastAsia="zh-CN" w:bidi="ar-SA"/>
    </w:rPr>
  </w:style>
  <w:style w:type="character" w:customStyle="1" w:styleId="108">
    <w:name w:val="H5 Char"/>
    <w:qFormat/>
    <w:uiPriority w:val="0"/>
    <w:rPr>
      <w:rFonts w:ascii="Arial" w:hAnsi="Arial" w:eastAsia="宋体"/>
      <w:sz w:val="24"/>
      <w:lang w:val="en-US" w:eastAsia="zh-CN" w:bidi="ar-SA"/>
    </w:rPr>
  </w:style>
  <w:style w:type="character" w:customStyle="1" w:styleId="109">
    <w:name w:val="标题 6 Char"/>
    <w:link w:val="8"/>
    <w:qFormat/>
    <w:uiPriority w:val="0"/>
    <w:rPr>
      <w:rFonts w:ascii="宋体" w:hAnsi="Arial" w:eastAsia="宋体"/>
      <w:sz w:val="24"/>
      <w:lang w:val="en-US" w:eastAsia="zh-CN" w:bidi="ar-SA"/>
    </w:rPr>
  </w:style>
  <w:style w:type="character" w:customStyle="1" w:styleId="110">
    <w:name w:val="标题 7 Char"/>
    <w:link w:val="9"/>
    <w:qFormat/>
    <w:uiPriority w:val="0"/>
    <w:rPr>
      <w:rFonts w:ascii="宋体" w:hAnsi="Arial" w:eastAsia="宋体"/>
      <w:b/>
      <w:sz w:val="24"/>
      <w:lang w:val="en-US" w:eastAsia="zh-CN" w:bidi="ar-SA"/>
    </w:rPr>
  </w:style>
  <w:style w:type="character" w:customStyle="1" w:styleId="111">
    <w:name w:val="标题 8 Char"/>
    <w:link w:val="10"/>
    <w:qFormat/>
    <w:uiPriority w:val="0"/>
    <w:rPr>
      <w:rFonts w:ascii="Arial" w:hAnsi="Arial" w:eastAsia="黑体"/>
      <w:sz w:val="24"/>
      <w:lang w:val="en-US" w:eastAsia="zh-CN" w:bidi="ar-SA"/>
    </w:rPr>
  </w:style>
  <w:style w:type="character" w:customStyle="1" w:styleId="112">
    <w:name w:val="标题 9 Char"/>
    <w:link w:val="11"/>
    <w:qFormat/>
    <w:uiPriority w:val="0"/>
    <w:rPr>
      <w:rFonts w:ascii="Arial" w:hAnsi="Arial" w:eastAsia="黑体"/>
      <w:sz w:val="24"/>
      <w:lang w:val="en-US" w:eastAsia="zh-CN" w:bidi="ar-SA"/>
    </w:rPr>
  </w:style>
  <w:style w:type="character" w:customStyle="1" w:styleId="113">
    <w:name w:val="日期 Char"/>
    <w:link w:val="22"/>
    <w:qFormat/>
    <w:uiPriority w:val="0"/>
    <w:rPr>
      <w:rFonts w:ascii="楷体_GB2312" w:eastAsia="楷体_GB2312"/>
      <w:b/>
      <w:kern w:val="2"/>
      <w:sz w:val="28"/>
      <w:lang w:val="en-US" w:eastAsia="zh-CN" w:bidi="ar-SA"/>
    </w:rPr>
  </w:style>
  <w:style w:type="character" w:customStyle="1" w:styleId="114">
    <w:name w:val="Char Char8"/>
    <w:qFormat/>
    <w:uiPriority w:val="0"/>
    <w:rPr>
      <w:rFonts w:ascii="宋体" w:eastAsia="宋体"/>
      <w:kern w:val="2"/>
      <w:sz w:val="28"/>
      <w:lang w:val="en-US" w:eastAsia="zh-CN" w:bidi="ar-SA"/>
    </w:rPr>
  </w:style>
  <w:style w:type="character" w:customStyle="1" w:styleId="115">
    <w:name w:val="Char Char7"/>
    <w:qFormat/>
    <w:uiPriority w:val="0"/>
    <w:rPr>
      <w:rFonts w:eastAsia="仿宋_GB2312"/>
      <w:kern w:val="2"/>
      <w:sz w:val="24"/>
      <w:szCs w:val="24"/>
      <w:lang w:val="en-US" w:eastAsia="zh-CN" w:bidi="ar-SA"/>
    </w:rPr>
  </w:style>
  <w:style w:type="paragraph" w:customStyle="1" w:styleId="116">
    <w:name w:val="表内文字"/>
    <w:basedOn w:val="1"/>
    <w:qFormat/>
    <w:uiPriority w:val="0"/>
    <w:pPr>
      <w:jc w:val="center"/>
    </w:pPr>
    <w:rPr>
      <w:color w:val="FF0000"/>
      <w:kern w:val="0"/>
      <w:sz w:val="24"/>
    </w:rPr>
  </w:style>
  <w:style w:type="character" w:customStyle="1" w:styleId="117">
    <w:name w:val="页眉 Char"/>
    <w:link w:val="26"/>
    <w:qFormat/>
    <w:uiPriority w:val="99"/>
    <w:rPr>
      <w:rFonts w:eastAsia="宋体"/>
      <w:kern w:val="2"/>
      <w:sz w:val="18"/>
      <w:szCs w:val="18"/>
      <w:lang w:val="en-US" w:eastAsia="zh-CN" w:bidi="ar-SA"/>
    </w:rPr>
  </w:style>
  <w:style w:type="character" w:customStyle="1" w:styleId="118">
    <w:name w:val="文档结构图 Char"/>
    <w:link w:val="15"/>
    <w:semiHidden/>
    <w:qFormat/>
    <w:uiPriority w:val="0"/>
    <w:rPr>
      <w:rFonts w:eastAsia="宋体"/>
      <w:kern w:val="2"/>
      <w:sz w:val="21"/>
      <w:szCs w:val="24"/>
      <w:lang w:val="en-US" w:eastAsia="zh-CN" w:bidi="ar-SA"/>
    </w:rPr>
  </w:style>
  <w:style w:type="character" w:customStyle="1" w:styleId="119">
    <w:name w:val="Char Char3"/>
    <w:qFormat/>
    <w:uiPriority w:val="0"/>
    <w:rPr>
      <w:rFonts w:eastAsia="仿宋_GB2312"/>
      <w:kern w:val="2"/>
      <w:sz w:val="28"/>
      <w:szCs w:val="24"/>
      <w:lang w:val="en-US" w:eastAsia="zh-CN" w:bidi="ar-SA"/>
    </w:rPr>
  </w:style>
  <w:style w:type="character" w:customStyle="1" w:styleId="120">
    <w:name w:val="批注文字 Char"/>
    <w:link w:val="16"/>
    <w:semiHidden/>
    <w:qFormat/>
    <w:uiPriority w:val="0"/>
    <w:rPr>
      <w:rFonts w:eastAsia="宋体"/>
      <w:kern w:val="2"/>
      <w:sz w:val="21"/>
      <w:szCs w:val="24"/>
      <w:lang w:val="en-US" w:eastAsia="zh-CN" w:bidi="ar-SA"/>
    </w:rPr>
  </w:style>
  <w:style w:type="paragraph" w:customStyle="1" w:styleId="121">
    <w:name w:val="xl25"/>
    <w:basedOn w:val="1"/>
    <w:qFormat/>
    <w:uiPriority w:val="0"/>
    <w:pPr>
      <w:widowControl/>
      <w:numPr>
        <w:ilvl w:val="0"/>
        <w:numId w:val="5"/>
      </w:numPr>
      <w:tabs>
        <w:tab w:val="clear" w:pos="840"/>
      </w:tabs>
      <w:spacing w:before="100" w:beforeAutospacing="1" w:after="100" w:afterAutospacing="1"/>
      <w:ind w:left="0" w:firstLine="0"/>
      <w:jc w:val="center"/>
      <w:textAlignment w:val="center"/>
    </w:pPr>
    <w:rPr>
      <w:rFonts w:ascii="宋体" w:hAnsi="宋体"/>
      <w:kern w:val="0"/>
      <w:sz w:val="20"/>
      <w:szCs w:val="20"/>
    </w:rPr>
  </w:style>
  <w:style w:type="paragraph" w:customStyle="1" w:styleId="122">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23">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24">
    <w:name w:val="font6"/>
    <w:basedOn w:val="1"/>
    <w:qFormat/>
    <w:uiPriority w:val="0"/>
    <w:pPr>
      <w:widowControl/>
      <w:spacing w:before="100" w:beforeAutospacing="1" w:after="100" w:afterAutospacing="1"/>
      <w:jc w:val="left"/>
    </w:pPr>
    <w:rPr>
      <w:rFonts w:hint="eastAsia" w:ascii="宋体" w:hAnsi="宋体"/>
      <w:kern w:val="0"/>
      <w:sz w:val="18"/>
      <w:szCs w:val="18"/>
    </w:rPr>
  </w:style>
  <w:style w:type="character" w:customStyle="1" w:styleId="125">
    <w:name w:val="正文文本 2 Char"/>
    <w:link w:val="31"/>
    <w:qFormat/>
    <w:uiPriority w:val="0"/>
    <w:rPr>
      <w:rFonts w:ascii="隶书" w:eastAsia="隶书"/>
      <w:bCs/>
      <w:sz w:val="72"/>
      <w:szCs w:val="84"/>
      <w:lang w:val="en-US" w:eastAsia="zh-CN" w:bidi="ar-SA"/>
    </w:rPr>
  </w:style>
  <w:style w:type="paragraph" w:customStyle="1" w:styleId="126">
    <w:name w:val="项目1"/>
    <w:basedOn w:val="1"/>
    <w:qFormat/>
    <w:uiPriority w:val="0"/>
    <w:pPr>
      <w:tabs>
        <w:tab w:val="left" w:pos="840"/>
      </w:tabs>
      <w:spacing w:after="60"/>
      <w:ind w:left="840" w:hanging="420"/>
    </w:pPr>
    <w:rPr>
      <w:rFonts w:ascii="宋体"/>
      <w:spacing w:val="4"/>
      <w:szCs w:val="20"/>
    </w:rPr>
  </w:style>
  <w:style w:type="paragraph" w:customStyle="1" w:styleId="127">
    <w:name w:val="编10号"/>
    <w:basedOn w:val="1"/>
    <w:qFormat/>
    <w:uiPriority w:val="0"/>
    <w:pPr>
      <w:numPr>
        <w:ilvl w:val="3"/>
        <w:numId w:val="6"/>
      </w:numPr>
    </w:pPr>
  </w:style>
  <w:style w:type="paragraph" w:customStyle="1" w:styleId="128">
    <w:name w:val="段"/>
    <w:basedOn w:val="1"/>
    <w:qFormat/>
    <w:uiPriority w:val="0"/>
    <w:pPr>
      <w:ind w:firstLine="425"/>
    </w:pPr>
    <w:rPr>
      <w:rFonts w:ascii="宋体"/>
      <w:szCs w:val="20"/>
    </w:rPr>
  </w:style>
  <w:style w:type="paragraph" w:customStyle="1" w:styleId="129">
    <w:name w:val="Char Char Char Char"/>
    <w:basedOn w:val="1"/>
    <w:qFormat/>
    <w:uiPriority w:val="0"/>
    <w:pPr>
      <w:widowControl/>
      <w:spacing w:after="160" w:line="240" w:lineRule="exact"/>
      <w:jc w:val="left"/>
    </w:pPr>
    <w:rPr>
      <w:kern w:val="0"/>
      <w:sz w:val="24"/>
    </w:rPr>
  </w:style>
  <w:style w:type="paragraph" w:customStyle="1" w:styleId="130">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1">
    <w:name w:val="bulletintext1"/>
    <w:qFormat/>
    <w:uiPriority w:val="0"/>
    <w:rPr>
      <w:rFonts w:hint="eastAsia" w:ascii="宋体" w:hAnsi="宋体" w:eastAsia="宋体"/>
      <w:sz w:val="18"/>
      <w:szCs w:val="18"/>
    </w:rPr>
  </w:style>
  <w:style w:type="paragraph" w:customStyle="1" w:styleId="132">
    <w:name w:val="Char1 Char Char Char Char Char Char"/>
    <w:basedOn w:val="1"/>
    <w:qFormat/>
    <w:uiPriority w:val="0"/>
    <w:rPr>
      <w:rFonts w:ascii="Tahoma" w:hAnsi="Tahoma"/>
      <w:sz w:val="24"/>
      <w:szCs w:val="20"/>
    </w:rPr>
  </w:style>
  <w:style w:type="paragraph" w:customStyle="1" w:styleId="133">
    <w:name w:val="Char Char2 Char Char Char Char"/>
    <w:basedOn w:val="15"/>
    <w:qFormat/>
    <w:uiPriority w:val="0"/>
    <w:rPr>
      <w:rFonts w:ascii="Tahoma" w:hAnsi="Tahoma"/>
      <w:sz w:val="24"/>
    </w:rPr>
  </w:style>
  <w:style w:type="paragraph" w:customStyle="1" w:styleId="134">
    <w:name w:val="Char Char Char"/>
    <w:basedOn w:val="15"/>
    <w:qFormat/>
    <w:uiPriority w:val="0"/>
    <w:rPr>
      <w:rFonts w:ascii="Tahoma" w:hAnsi="Tahoma"/>
      <w:sz w:val="24"/>
    </w:rPr>
  </w:style>
  <w:style w:type="paragraph" w:customStyle="1" w:styleId="135">
    <w:name w:val="正文缩进 New"/>
    <w:basedOn w:val="1"/>
    <w:qFormat/>
    <w:uiPriority w:val="0"/>
    <w:pPr>
      <w:ind w:firstLine="420" w:firstLineChars="200"/>
    </w:pPr>
    <w:rPr>
      <w:szCs w:val="20"/>
    </w:rPr>
  </w:style>
  <w:style w:type="paragraph" w:customStyle="1" w:styleId="136">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37">
    <w:name w:val="tpc_content1"/>
    <w:qFormat/>
    <w:uiPriority w:val="0"/>
    <w:rPr>
      <w:sz w:val="20"/>
      <w:szCs w:val="20"/>
    </w:rPr>
  </w:style>
  <w:style w:type="character" w:customStyle="1" w:styleId="138">
    <w:name w:val="Char Char11"/>
    <w:qFormat/>
    <w:uiPriority w:val="0"/>
    <w:rPr>
      <w:b/>
      <w:kern w:val="44"/>
      <w:sz w:val="44"/>
    </w:rPr>
  </w:style>
  <w:style w:type="character" w:customStyle="1" w:styleId="139">
    <w:name w:val="Char Char10"/>
    <w:qFormat/>
    <w:uiPriority w:val="0"/>
    <w:rPr>
      <w:b/>
      <w:kern w:val="2"/>
      <w:sz w:val="28"/>
      <w:szCs w:val="28"/>
    </w:rPr>
  </w:style>
  <w:style w:type="character" w:customStyle="1" w:styleId="140">
    <w:name w:val="Char Char9"/>
    <w:qFormat/>
    <w:uiPriority w:val="0"/>
    <w:rPr>
      <w:b/>
      <w:kern w:val="2"/>
      <w:sz w:val="24"/>
      <w:szCs w:val="24"/>
    </w:rPr>
  </w:style>
  <w:style w:type="paragraph" w:customStyle="1" w:styleId="141">
    <w:name w:val="Char Char Char 字元 字元"/>
    <w:basedOn w:val="1"/>
    <w:qFormat/>
    <w:uiPriority w:val="0"/>
    <w:pPr>
      <w:spacing w:line="360" w:lineRule="auto"/>
      <w:ind w:firstLine="200" w:firstLineChars="200"/>
    </w:pPr>
    <w:rPr>
      <w:szCs w:val="20"/>
    </w:rPr>
  </w:style>
  <w:style w:type="paragraph" w:customStyle="1" w:styleId="142">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3">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44">
    <w:name w:val="style11"/>
    <w:basedOn w:val="41"/>
    <w:qFormat/>
    <w:uiPriority w:val="0"/>
    <w:rPr>
      <w:b/>
      <w:bCs/>
      <w:color w:val="FF0000"/>
    </w:rPr>
  </w:style>
  <w:style w:type="character" w:customStyle="1" w:styleId="145">
    <w:name w:val="info"/>
    <w:basedOn w:val="41"/>
    <w:qFormat/>
    <w:uiPriority w:val="0"/>
  </w:style>
  <w:style w:type="paragraph" w:customStyle="1" w:styleId="146">
    <w:name w:val="样式 正文缩进 + 首行缩进:  2 字符"/>
    <w:basedOn w:val="2"/>
    <w:link w:val="147"/>
    <w:qFormat/>
    <w:uiPriority w:val="0"/>
    <w:pPr>
      <w:spacing w:line="360" w:lineRule="auto"/>
      <w:ind w:firstLine="480"/>
    </w:pPr>
    <w:rPr>
      <w:rFonts w:ascii="宋体" w:hAnsi="宋体"/>
      <w:color w:val="000000"/>
      <w:kern w:val="0"/>
      <w:sz w:val="24"/>
      <w:szCs w:val="20"/>
    </w:rPr>
  </w:style>
  <w:style w:type="character" w:customStyle="1" w:styleId="147">
    <w:name w:val="样式 正文缩进 + 首行缩进:  2 字符 Char"/>
    <w:link w:val="146"/>
    <w:qFormat/>
    <w:locked/>
    <w:uiPriority w:val="0"/>
    <w:rPr>
      <w:rFonts w:ascii="宋体" w:hAnsi="宋体" w:eastAsia="宋体"/>
      <w:color w:val="000000"/>
      <w:sz w:val="24"/>
      <w:lang w:bidi="ar-SA"/>
    </w:rPr>
  </w:style>
  <w:style w:type="paragraph" w:customStyle="1" w:styleId="148">
    <w:name w:val="正文2"/>
    <w:basedOn w:val="1"/>
    <w:link w:val="149"/>
    <w:qFormat/>
    <w:uiPriority w:val="0"/>
    <w:pPr>
      <w:spacing w:before="156" w:line="360" w:lineRule="auto"/>
      <w:ind w:firstLine="510" w:firstLineChars="200"/>
    </w:pPr>
    <w:rPr>
      <w:sz w:val="24"/>
      <w:szCs w:val="20"/>
    </w:rPr>
  </w:style>
  <w:style w:type="character" w:customStyle="1" w:styleId="149">
    <w:name w:val="正文2 Char"/>
    <w:link w:val="148"/>
    <w:qFormat/>
    <w:uiPriority w:val="0"/>
    <w:rPr>
      <w:rFonts w:eastAsia="宋体"/>
      <w:kern w:val="2"/>
      <w:sz w:val="24"/>
      <w:lang w:val="en-US" w:eastAsia="zh-CN" w:bidi="ar-SA"/>
    </w:rPr>
  </w:style>
  <w:style w:type="paragraph" w:customStyle="1" w:styleId="150">
    <w:name w:val="p0"/>
    <w:basedOn w:val="1"/>
    <w:qFormat/>
    <w:uiPriority w:val="0"/>
    <w:pPr>
      <w:widowControl/>
    </w:pPr>
    <w:rPr>
      <w:kern w:val="0"/>
      <w:szCs w:val="21"/>
    </w:rPr>
  </w:style>
  <w:style w:type="character" w:customStyle="1" w:styleId="151">
    <w:name w:val="正文段 Char"/>
    <w:link w:val="56"/>
    <w:qFormat/>
    <w:uiPriority w:val="0"/>
    <w:rPr>
      <w:rFonts w:eastAsia="宋体"/>
      <w:sz w:val="24"/>
      <w:lang w:val="en-US" w:eastAsia="zh-CN" w:bidi="ar-SA"/>
    </w:rPr>
  </w:style>
  <w:style w:type="paragraph" w:customStyle="1" w:styleId="15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53">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154">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155">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56">
    <w:name w:val="日期 Char2"/>
    <w:qFormat/>
    <w:uiPriority w:val="0"/>
    <w:rPr>
      <w:rFonts w:ascii="楷体_GB2312" w:eastAsia="楷体_GB2312"/>
      <w:b/>
      <w:kern w:val="2"/>
      <w:sz w:val="28"/>
      <w:lang w:val="en-US" w:eastAsia="zh-CN" w:bidi="ar-SA"/>
    </w:rPr>
  </w:style>
  <w:style w:type="character" w:customStyle="1" w:styleId="157">
    <w:name w:val="页脚 Char"/>
    <w:link w:val="25"/>
    <w:qFormat/>
    <w:uiPriority w:val="99"/>
    <w:rPr>
      <w:kern w:val="2"/>
      <w:sz w:val="18"/>
      <w:szCs w:val="18"/>
    </w:rPr>
  </w:style>
  <w:style w:type="character" w:customStyle="1" w:styleId="158">
    <w:name w:val="批注框文本 Char"/>
    <w:link w:val="24"/>
    <w:semiHidden/>
    <w:qFormat/>
    <w:uiPriority w:val="99"/>
    <w:rPr>
      <w:kern w:val="2"/>
      <w:sz w:val="18"/>
      <w:szCs w:val="18"/>
    </w:rPr>
  </w:style>
  <w:style w:type="character" w:customStyle="1" w:styleId="159">
    <w:name w:val="正文文本 2 Char1"/>
    <w:qFormat/>
    <w:uiPriority w:val="0"/>
    <w:rPr>
      <w:rFonts w:ascii="隶书" w:eastAsia="隶书"/>
      <w:bCs/>
      <w:sz w:val="72"/>
      <w:szCs w:val="84"/>
      <w:lang w:val="en-US" w:eastAsia="zh-CN" w:bidi="ar-SA"/>
    </w:rPr>
  </w:style>
  <w:style w:type="paragraph" w:customStyle="1" w:styleId="160">
    <w:name w:val="_Style 2"/>
    <w:basedOn w:val="1"/>
    <w:qFormat/>
    <w:uiPriority w:val="0"/>
    <w:pPr>
      <w:widowControl/>
      <w:ind w:firstLine="420"/>
    </w:pPr>
    <w:rPr>
      <w:rFonts w:ascii="Calibri" w:hAnsi="Calibri" w:eastAsia="Calibri"/>
      <w:kern w:val="0"/>
      <w:sz w:val="20"/>
      <w:szCs w:val="20"/>
    </w:rPr>
  </w:style>
  <w:style w:type="paragraph" w:customStyle="1" w:styleId="161">
    <w:name w:val="Table Paragraph"/>
    <w:basedOn w:val="1"/>
    <w:qFormat/>
    <w:uiPriority w:val="1"/>
    <w:rPr>
      <w:rFonts w:ascii="宋体" w:hAnsi="宋体" w:cs="宋体"/>
      <w:lang w:val="zh-CN" w:bidi="zh-CN"/>
    </w:rPr>
  </w:style>
  <w:style w:type="paragraph" w:customStyle="1" w:styleId="162">
    <w:name w:val="reader-word-layer reader-word-s5-9"/>
    <w:basedOn w:val="1"/>
    <w:qFormat/>
    <w:uiPriority w:val="0"/>
    <w:pPr>
      <w:widowControl/>
      <w:spacing w:before="100" w:beforeAutospacing="1" w:after="100" w:afterAutospacing="1"/>
      <w:jc w:val="left"/>
    </w:pPr>
    <w:rPr>
      <w:rFonts w:ascii="宋体" w:hAnsi="宋体" w:cs="宋体"/>
      <w:kern w:val="0"/>
      <w:sz w:val="24"/>
    </w:rPr>
  </w:style>
  <w:style w:type="character" w:customStyle="1" w:styleId="163">
    <w:name w:val="font61"/>
    <w:qFormat/>
    <w:uiPriority w:val="0"/>
    <w:rPr>
      <w:rFonts w:hint="eastAsia" w:ascii="宋体" w:hAnsi="宋体" w:eastAsia="宋体" w:cs="宋体"/>
      <w:color w:val="000000"/>
      <w:sz w:val="22"/>
      <w:szCs w:val="22"/>
      <w:u w:val="none"/>
    </w:rPr>
  </w:style>
  <w:style w:type="character" w:customStyle="1" w:styleId="164">
    <w:name w:val="font01"/>
    <w:basedOn w:val="41"/>
    <w:qFormat/>
    <w:uiPriority w:val="0"/>
    <w:rPr>
      <w:rFonts w:hint="eastAsia" w:ascii="宋体" w:hAnsi="宋体" w:eastAsia="宋体" w:cs="宋体"/>
      <w:color w:val="000000"/>
      <w:sz w:val="20"/>
      <w:szCs w:val="20"/>
      <w:u w:val="none"/>
    </w:rPr>
  </w:style>
  <w:style w:type="character" w:customStyle="1" w:styleId="165">
    <w:name w:val="NormalCharacter"/>
    <w:qFormat/>
    <w:uiPriority w:val="0"/>
  </w:style>
  <w:style w:type="paragraph" w:customStyle="1" w:styleId="166">
    <w:name w:val="正文3"/>
    <w:qFormat/>
    <w:uiPriority w:val="0"/>
    <w:pPr>
      <w:jc w:val="both"/>
    </w:pPr>
    <w:rPr>
      <w:rFonts w:ascii="Calibri" w:hAnsi="Calibri" w:eastAsia="微软雅黑" w:cs="Times New Roman"/>
      <w:kern w:val="2"/>
      <w:sz w:val="21"/>
      <w:szCs w:val="21"/>
      <w:lang w:val="en-US" w:eastAsia="zh-CN" w:bidi="ar-SA"/>
    </w:rPr>
  </w:style>
  <w:style w:type="paragraph" w:customStyle="1" w:styleId="167">
    <w:name w:val="样式 列表编号 + 段后: 0.5 行"/>
    <w:basedOn w:val="13"/>
    <w:qFormat/>
    <w:uiPriority w:val="0"/>
    <w:pPr>
      <w:tabs>
        <w:tab w:val="left" w:pos="360"/>
      </w:tabs>
      <w:spacing w:before="100" w:beforeAutospacing="1" w:after="120"/>
      <w:ind w:left="4315" w:hanging="420"/>
    </w:pPr>
    <w:rPr>
      <w:rFonts w:cs="宋体"/>
    </w:rPr>
  </w:style>
  <w:style w:type="paragraph" w:customStyle="1" w:styleId="168">
    <w:name w:val="md_block"/>
    <w:basedOn w:val="1"/>
    <w:qFormat/>
    <w:uiPriority w:val="0"/>
    <w:pPr>
      <w:widowControl/>
      <w:adjustRightInd/>
      <w:spacing w:before="100" w:beforeAutospacing="1" w:after="10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1.e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7"/>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7137027-3E0D-4DE6-94C4-749F859E4683}">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48</Pages>
  <Words>27220</Words>
  <Characters>28838</Characters>
  <Lines>247</Lines>
  <Paragraphs>69</Paragraphs>
  <TotalTime>31</TotalTime>
  <ScaleCrop>false</ScaleCrop>
  <LinksUpToDate>false</LinksUpToDate>
  <CharactersWithSpaces>29175</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2020-09-30T08:40:00Z</dcterms:created>
  <dc:creator>USER</dc:creator>
  <cp:lastModifiedBy>無珂鲰玳k&amp;o_O</cp:lastModifiedBy>
  <cp:lastPrinted>2020-09-18T07:16:00Z</cp:lastPrinted>
  <dcterms:modified xsi:type="dcterms:W3CDTF">2022-10-12T03:43:02Z</dcterms:modified>
  <dc:title>绍兴文理学院计算机机房设备及录播系统供货项目</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3B20A1D08FD14B4FA7BD455D5F80CD2C</vt:lpwstr>
  </property>
</Properties>
</file>