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eastAsia" w:ascii="仿宋" w:hAnsi="仿宋" w:eastAsia="仿宋" w:cs="仿宋"/>
          <w:b/>
          <w:spacing w:val="-12"/>
          <w:sz w:val="48"/>
          <w:szCs w:val="48"/>
          <w:highlight w:val="none"/>
        </w:rPr>
      </w:pPr>
    </w:p>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lang w:eastAsia="zh-CN"/>
        </w:rPr>
        <w:t>绍兴市中医院</w:t>
      </w:r>
    </w:p>
    <w:p>
      <w:pPr>
        <w:jc w:val="center"/>
        <w:outlineLvl w:val="0"/>
        <w:rPr>
          <w:rFonts w:hint="eastAsia" w:ascii="仿宋" w:hAnsi="仿宋" w:eastAsia="仿宋" w:cs="仿宋"/>
          <w:b/>
          <w:spacing w:val="-12"/>
          <w:sz w:val="48"/>
          <w:szCs w:val="48"/>
          <w:highlight w:val="none"/>
        </w:rPr>
      </w:pPr>
      <w:r>
        <w:rPr>
          <w:rFonts w:hint="eastAsia" w:ascii="仿宋" w:hAnsi="仿宋" w:eastAsia="仿宋" w:cs="仿宋"/>
          <w:b/>
          <w:spacing w:val="-12"/>
          <w:sz w:val="48"/>
          <w:szCs w:val="48"/>
          <w:highlight w:val="none"/>
          <w:lang w:eastAsia="zh-CN"/>
        </w:rPr>
        <w:t>数据库一体机升级扩容项目</w:t>
      </w:r>
    </w:p>
    <w:p>
      <w:pPr>
        <w:outlineLvl w:val="0"/>
        <w:rPr>
          <w:rFonts w:hint="eastAsia" w:ascii="仿宋" w:hAnsi="仿宋" w:eastAsia="仿宋" w:cs="仿宋"/>
          <w:sz w:val="44"/>
          <w:highlight w:val="none"/>
        </w:rPr>
      </w:pPr>
    </w:p>
    <w:p>
      <w:pPr>
        <w:outlineLvl w:val="0"/>
        <w:rPr>
          <w:rFonts w:hint="eastAsia" w:ascii="仿宋" w:hAnsi="仿宋" w:eastAsia="仿宋" w:cs="仿宋"/>
          <w:sz w:val="44"/>
          <w:highlight w:val="none"/>
        </w:rPr>
      </w:pPr>
    </w:p>
    <w:p>
      <w:pPr>
        <w:outlineLvl w:val="0"/>
        <w:rPr>
          <w:rFonts w:hint="eastAsia" w:ascii="仿宋" w:hAnsi="仿宋" w:eastAsia="仿宋" w:cs="仿宋"/>
          <w:sz w:val="44"/>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sz w:val="44"/>
          <w:highlight w:val="none"/>
        </w:rPr>
      </w:pPr>
      <w:r>
        <w:rPr>
          <w:rFonts w:hint="eastAsia" w:ascii="仿宋" w:hAnsi="仿宋" w:eastAsia="仿宋" w:cs="仿宋"/>
          <w:sz w:val="44"/>
          <w:highlight w:val="none"/>
        </w:rPr>
        <w:t>（电子招投标）</w:t>
      </w:r>
    </w:p>
    <w:p>
      <w:pPr>
        <w:jc w:val="center"/>
        <w:outlineLvl w:val="0"/>
        <w:rPr>
          <w:rFonts w:hint="eastAsia" w:ascii="仿宋" w:hAnsi="仿宋" w:eastAsia="仿宋" w:cs="仿宋"/>
          <w:sz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TYJZ2022</w:t>
      </w:r>
    </w:p>
    <w:tbl>
      <w:tblPr>
        <w:tblStyle w:val="4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二○二二年</w:t>
            </w:r>
            <w:r>
              <w:rPr>
                <w:rFonts w:hint="eastAsia" w:ascii="仿宋" w:hAnsi="仿宋" w:eastAsia="仿宋" w:cs="仿宋"/>
                <w:sz w:val="28"/>
                <w:szCs w:val="28"/>
                <w:highlight w:val="none"/>
                <w:lang w:eastAsia="zh-CN"/>
              </w:rPr>
              <w:t>十</w:t>
            </w:r>
            <w:r>
              <w:rPr>
                <w:rFonts w:hint="eastAsia" w:ascii="仿宋" w:hAnsi="仿宋" w:eastAsia="仿宋" w:cs="仿宋"/>
                <w:sz w:val="28"/>
                <w:szCs w:val="28"/>
                <w:highlight w:val="none"/>
              </w:rPr>
              <w:t>月</w:t>
            </w:r>
          </w:p>
        </w:tc>
      </w:tr>
    </w:tbl>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highlight w:val="none"/>
              </w:rPr>
            </w:pPr>
            <w:r>
              <w:rPr>
                <w:rFonts w:hint="eastAsia" w:ascii="仿宋" w:hAnsi="仿宋" w:eastAsia="仿宋" w:cs="仿宋"/>
                <w:highlight w:val="none"/>
              </w:rPr>
              <w:br w:type="page"/>
            </w:r>
          </w:p>
          <w:tbl>
            <w:tblPr>
              <w:tblStyle w:val="43"/>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205" w:type="dxa"/>
                </w:tcPr>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项目概况：</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lang w:eastAsia="zh-CN"/>
                    </w:rPr>
                    <w:t>绍兴市中医院数据库一体机升级扩容项目</w:t>
                  </w:r>
                  <w:r>
                    <w:rPr>
                      <w:rFonts w:hint="eastAsia" w:ascii="仿宋" w:hAnsi="仿宋" w:eastAsia="仿宋" w:cs="仿宋"/>
                      <w:szCs w:val="24"/>
                      <w:highlight w:val="none"/>
                    </w:rPr>
                    <w:t>的潜在投标人应在</w:t>
                  </w:r>
                  <w:r>
                    <w:rPr>
                      <w:rStyle w:val="278"/>
                      <w:rFonts w:hint="eastAsia" w:ascii="仿宋" w:hAnsi="仿宋" w:eastAsia="仿宋" w:cs="仿宋"/>
                      <w:sz w:val="27"/>
                      <w:szCs w:val="27"/>
                      <w:highlight w:val="none"/>
                    </w:rPr>
                    <w:t>https://www.zcygov.cn</w:t>
                  </w:r>
                  <w:r>
                    <w:rPr>
                      <w:rFonts w:hint="eastAsia" w:ascii="仿宋" w:hAnsi="仿宋" w:eastAsia="仿宋" w:cs="仿宋"/>
                      <w:szCs w:val="24"/>
                      <w:highlight w:val="none"/>
                    </w:rPr>
                    <w:t xml:space="preserve">获取（下载）招标文件，并于2022年月日 </w:t>
                  </w:r>
                  <w:r>
                    <w:rPr>
                      <w:rFonts w:hint="eastAsia" w:ascii="仿宋" w:hAnsi="仿宋" w:eastAsia="仿宋" w:cs="仿宋"/>
                      <w:szCs w:val="24"/>
                      <w:highlight w:val="none"/>
                      <w:lang w:val="en-US" w:eastAsia="zh-CN"/>
                    </w:rPr>
                    <w:t>9</w:t>
                  </w:r>
                  <w:r>
                    <w:rPr>
                      <w:rFonts w:hint="eastAsia" w:ascii="仿宋" w:hAnsi="仿宋" w:eastAsia="仿宋" w:cs="仿宋"/>
                      <w:szCs w:val="24"/>
                      <w:highlight w:val="none"/>
                    </w:rPr>
                    <w:t>:</w:t>
                  </w:r>
                  <w:r>
                    <w:rPr>
                      <w:rFonts w:hint="eastAsia" w:ascii="仿宋" w:hAnsi="仿宋" w:eastAsia="仿宋" w:cs="仿宋"/>
                      <w:szCs w:val="24"/>
                      <w:highlight w:val="none"/>
                      <w:lang w:val="en-US" w:eastAsia="zh-CN"/>
                    </w:rPr>
                    <w:t>0</w:t>
                  </w:r>
                  <w:r>
                    <w:rPr>
                      <w:rFonts w:hint="eastAsia" w:ascii="仿宋" w:hAnsi="仿宋" w:eastAsia="仿宋" w:cs="仿宋"/>
                      <w:szCs w:val="24"/>
                      <w:highlight w:val="none"/>
                    </w:rPr>
                    <w:t>0（北京时间）前递交（上传）投标文件。</w:t>
                  </w:r>
                </w:p>
              </w:tc>
            </w:tr>
          </w:tbl>
          <w:p>
            <w:pPr>
              <w:pStyle w:val="69"/>
              <w:spacing w:afterLines="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一、项目基本情况</w:t>
            </w:r>
          </w:p>
          <w:p>
            <w:pPr>
              <w:pStyle w:val="69"/>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项目编号：</w:t>
            </w:r>
            <w:r>
              <w:rPr>
                <w:rFonts w:hint="eastAsia" w:ascii="仿宋" w:hAnsi="仿宋" w:eastAsia="仿宋" w:cs="仿宋"/>
                <w:szCs w:val="24"/>
                <w:highlight w:val="none"/>
                <w:lang w:eastAsia="zh-CN"/>
              </w:rPr>
              <w:t>TYJZ2022</w:t>
            </w:r>
          </w:p>
          <w:p>
            <w:pPr>
              <w:pStyle w:val="69"/>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项目名称：</w:t>
            </w:r>
            <w:r>
              <w:rPr>
                <w:rFonts w:hint="eastAsia" w:ascii="仿宋" w:hAnsi="仿宋" w:eastAsia="仿宋" w:cs="仿宋"/>
                <w:szCs w:val="24"/>
                <w:highlight w:val="none"/>
                <w:lang w:eastAsia="zh-CN"/>
              </w:rPr>
              <w:t>绍兴市中医院绍兴市中医院数据库一体机升级扩容项目</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采购方式：公开招标</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预算金额（元）：</w:t>
            </w:r>
            <w:r>
              <w:rPr>
                <w:rFonts w:hint="eastAsia" w:ascii="仿宋" w:hAnsi="仿宋" w:eastAsia="仿宋" w:cs="仿宋"/>
                <w:szCs w:val="24"/>
                <w:highlight w:val="none"/>
                <w:lang w:val="en-US" w:eastAsia="zh-CN"/>
              </w:rPr>
              <w:t>910000</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最高限价（元）：</w:t>
            </w:r>
            <w:r>
              <w:rPr>
                <w:rFonts w:hint="eastAsia" w:ascii="仿宋" w:hAnsi="仿宋" w:eastAsia="仿宋" w:cs="仿宋"/>
                <w:szCs w:val="24"/>
                <w:highlight w:val="none"/>
                <w:lang w:val="en-US" w:eastAsia="zh-CN"/>
              </w:rPr>
              <w:t>910000</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采购需求：</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标项一:</w:t>
            </w:r>
            <w:r>
              <w:rPr>
                <w:rFonts w:hint="eastAsia" w:ascii="仿宋" w:hAnsi="仿宋" w:eastAsia="仿宋" w:cs="仿宋"/>
                <w:szCs w:val="24"/>
                <w:highlight w:val="none"/>
              </w:rPr>
              <w:br w:type="textWrapping"/>
            </w:r>
            <w:r>
              <w:rPr>
                <w:rFonts w:hint="eastAsia" w:ascii="仿宋" w:hAnsi="仿宋" w:eastAsia="仿宋" w:cs="仿宋"/>
                <w:szCs w:val="24"/>
                <w:highlight w:val="none"/>
              </w:rPr>
              <w:t>  </w:t>
            </w:r>
            <w:r>
              <w:rPr>
                <w:rFonts w:hint="eastAsia" w:ascii="仿宋" w:hAnsi="仿宋" w:eastAsia="仿宋" w:cs="仿宋"/>
                <w:szCs w:val="24"/>
                <w:highlight w:val="none"/>
                <w:lang w:val="en-US" w:eastAsia="zh-CN"/>
              </w:rPr>
              <w:t xml:space="preserve">   </w:t>
            </w:r>
            <w:r>
              <w:rPr>
                <w:rFonts w:hint="eastAsia" w:ascii="仿宋" w:hAnsi="仿宋" w:eastAsia="仿宋" w:cs="仿宋"/>
                <w:szCs w:val="24"/>
                <w:highlight w:val="none"/>
              </w:rPr>
              <w:t>标项名称:</w:t>
            </w:r>
            <w:r>
              <w:rPr>
                <w:rFonts w:hint="eastAsia" w:ascii="仿宋" w:hAnsi="仿宋" w:eastAsia="仿宋" w:cs="仿宋"/>
                <w:szCs w:val="24"/>
                <w:highlight w:val="none"/>
                <w:lang w:eastAsia="zh-CN"/>
              </w:rPr>
              <w:t>绍兴市中医院数据库一体机升级扩容项目</w:t>
            </w:r>
            <w:r>
              <w:rPr>
                <w:rFonts w:hint="eastAsia" w:ascii="仿宋" w:hAnsi="仿宋" w:eastAsia="仿宋" w:cs="仿宋"/>
                <w:szCs w:val="24"/>
                <w:highlight w:val="none"/>
              </w:rPr>
              <w:br w:type="textWrapping"/>
            </w:r>
            <w:r>
              <w:rPr>
                <w:rFonts w:hint="eastAsia" w:ascii="仿宋" w:hAnsi="仿宋" w:eastAsia="仿宋" w:cs="仿宋"/>
                <w:szCs w:val="24"/>
                <w:highlight w:val="none"/>
              </w:rPr>
              <w:t>  </w:t>
            </w:r>
            <w:r>
              <w:rPr>
                <w:rFonts w:hint="eastAsia" w:ascii="仿宋" w:hAnsi="仿宋" w:eastAsia="仿宋" w:cs="仿宋"/>
                <w:szCs w:val="24"/>
                <w:highlight w:val="none"/>
                <w:lang w:val="en-US" w:eastAsia="zh-CN"/>
              </w:rPr>
              <w:t xml:space="preserve">   </w:t>
            </w:r>
            <w:r>
              <w:rPr>
                <w:rFonts w:hint="eastAsia" w:ascii="仿宋" w:hAnsi="仿宋" w:eastAsia="仿宋" w:cs="仿宋"/>
                <w:szCs w:val="24"/>
                <w:highlight w:val="none"/>
              </w:rPr>
              <w:t>数量:1</w:t>
            </w:r>
            <w:r>
              <w:rPr>
                <w:rFonts w:hint="eastAsia" w:ascii="仿宋" w:hAnsi="仿宋" w:eastAsia="仿宋" w:cs="仿宋"/>
                <w:szCs w:val="24"/>
                <w:highlight w:val="none"/>
              </w:rPr>
              <w:br w:type="textWrapping"/>
            </w:r>
            <w:r>
              <w:rPr>
                <w:rFonts w:hint="eastAsia" w:ascii="仿宋" w:hAnsi="仿宋" w:eastAsia="仿宋" w:cs="仿宋"/>
                <w:szCs w:val="24"/>
                <w:highlight w:val="none"/>
              </w:rPr>
              <w:t>  </w:t>
            </w:r>
            <w:r>
              <w:rPr>
                <w:rFonts w:hint="eastAsia" w:ascii="仿宋" w:hAnsi="仿宋" w:eastAsia="仿宋" w:cs="仿宋"/>
                <w:szCs w:val="24"/>
                <w:highlight w:val="none"/>
                <w:lang w:val="en-US" w:eastAsia="zh-CN"/>
              </w:rPr>
              <w:t xml:space="preserve">   </w:t>
            </w:r>
            <w:r>
              <w:rPr>
                <w:rFonts w:hint="eastAsia" w:ascii="仿宋" w:hAnsi="仿宋" w:eastAsia="仿宋" w:cs="仿宋"/>
                <w:szCs w:val="24"/>
                <w:highlight w:val="none"/>
              </w:rPr>
              <w:t>预算金额（元）: </w:t>
            </w:r>
            <w:r>
              <w:rPr>
                <w:rFonts w:hint="eastAsia" w:ascii="仿宋" w:hAnsi="仿宋" w:eastAsia="仿宋" w:cs="仿宋"/>
                <w:szCs w:val="24"/>
                <w:highlight w:val="none"/>
                <w:lang w:val="en-US" w:eastAsia="zh-CN"/>
              </w:rPr>
              <w:t>910000</w:t>
            </w:r>
            <w:r>
              <w:rPr>
                <w:rFonts w:hint="eastAsia" w:ascii="仿宋" w:hAnsi="仿宋" w:eastAsia="仿宋" w:cs="仿宋"/>
                <w:szCs w:val="24"/>
                <w:highlight w:val="none"/>
              </w:rPr>
              <w:br w:type="textWrapping"/>
            </w:r>
            <w:r>
              <w:rPr>
                <w:rFonts w:hint="eastAsia" w:ascii="仿宋" w:hAnsi="仿宋" w:eastAsia="仿宋" w:cs="仿宋"/>
                <w:szCs w:val="24"/>
                <w:highlight w:val="none"/>
              </w:rPr>
              <w:t>  </w:t>
            </w:r>
            <w:r>
              <w:rPr>
                <w:rFonts w:hint="eastAsia" w:ascii="仿宋" w:hAnsi="仿宋" w:eastAsia="仿宋" w:cs="仿宋"/>
                <w:szCs w:val="24"/>
                <w:highlight w:val="none"/>
                <w:lang w:val="en-US" w:eastAsia="zh-CN"/>
              </w:rPr>
              <w:t xml:space="preserve">   </w:t>
            </w:r>
            <w:r>
              <w:rPr>
                <w:rFonts w:hint="eastAsia" w:ascii="仿宋" w:hAnsi="仿宋" w:eastAsia="仿宋" w:cs="仿宋"/>
                <w:szCs w:val="24"/>
                <w:highlight w:val="none"/>
              </w:rPr>
              <w:t>简要规格描述或项目基本概况介绍、用途：详见采购文件 </w:t>
            </w:r>
            <w:r>
              <w:rPr>
                <w:rFonts w:hint="eastAsia" w:ascii="仿宋" w:hAnsi="仿宋" w:eastAsia="仿宋" w:cs="仿宋"/>
                <w:szCs w:val="24"/>
                <w:highlight w:val="none"/>
              </w:rPr>
              <w:br w:type="textWrapping"/>
            </w:r>
            <w:r>
              <w:rPr>
                <w:rFonts w:hint="eastAsia" w:ascii="仿宋" w:hAnsi="仿宋" w:eastAsia="仿宋" w:cs="仿宋"/>
                <w:szCs w:val="24"/>
                <w:highlight w:val="none"/>
              </w:rPr>
              <w:t>  </w:t>
            </w:r>
            <w:r>
              <w:rPr>
                <w:rFonts w:hint="eastAsia" w:ascii="仿宋" w:hAnsi="仿宋" w:eastAsia="仿宋" w:cs="仿宋"/>
                <w:szCs w:val="24"/>
                <w:highlight w:val="none"/>
                <w:lang w:val="en-US" w:eastAsia="zh-CN"/>
              </w:rPr>
              <w:t xml:space="preserve">   </w:t>
            </w:r>
            <w:r>
              <w:rPr>
                <w:rFonts w:hint="eastAsia" w:ascii="仿宋" w:hAnsi="仿宋" w:eastAsia="仿宋" w:cs="仿宋"/>
                <w:szCs w:val="24"/>
                <w:highlight w:val="none"/>
              </w:rPr>
              <w:t>备注：无</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二、申请人的资格要求：</w:t>
            </w:r>
          </w:p>
          <w:p>
            <w:pPr>
              <w:pStyle w:val="69"/>
              <w:spacing w:after="12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3.落实政府采购政策需满足的资格要求：</w:t>
            </w:r>
          </w:p>
          <w:p>
            <w:pPr>
              <w:pStyle w:val="69"/>
              <w:spacing w:afterLines="0" w:line="440" w:lineRule="exact"/>
              <w:ind w:firstLine="420"/>
              <w:rPr>
                <w:rFonts w:hint="eastAsia" w:ascii="仿宋" w:hAnsi="仿宋" w:eastAsia="仿宋" w:cs="仿宋"/>
                <w:szCs w:val="24"/>
                <w:highlight w:val="none"/>
              </w:rPr>
            </w:pPr>
            <w:sdt>
              <w:sdtPr>
                <w:rPr>
                  <w:rFonts w:hint="eastAsia" w:ascii="仿宋" w:hAnsi="仿宋" w:eastAsia="仿宋" w:cs="仿宋"/>
                  <w:szCs w:val="21"/>
                  <w:highlight w:val="none"/>
                </w:rPr>
                <w:id w:val="29060800"/>
              </w:sdtPr>
              <w:sdtEndPr>
                <w:rPr>
                  <w:rFonts w:hint="eastAsia" w:ascii="仿宋" w:hAnsi="仿宋" w:eastAsia="仿宋" w:cs="仿宋"/>
                  <w:szCs w:val="21"/>
                  <w:highlight w:val="none"/>
                </w:rPr>
              </w:sdtEndPr>
              <w:sdtContent>
                <w:r>
                  <w:rPr>
                    <w:rFonts w:hint="eastAsia" w:ascii="仿宋" w:hAnsi="仿宋" w:eastAsia="仿宋" w:cs="仿宋"/>
                    <w:highlight w:val="none"/>
                  </w:rPr>
                  <w:sym w:font="Wingdings" w:char="00FE"/>
                </w:r>
              </w:sdtContent>
            </w:sdt>
            <w:sdt>
              <w:sdtPr>
                <w:rPr>
                  <w:rFonts w:hint="eastAsia" w:ascii="仿宋" w:hAnsi="仿宋" w:eastAsia="仿宋" w:cs="仿宋"/>
                  <w:sz w:val="21"/>
                  <w:szCs w:val="21"/>
                  <w:highlight w:val="none"/>
                </w:rPr>
                <w:id w:val="725337177"/>
              </w:sdtPr>
              <w:sdtEndPr>
                <w:rPr>
                  <w:rFonts w:hint="eastAsia" w:ascii="仿宋" w:hAnsi="仿宋" w:eastAsia="仿宋" w:cs="仿宋"/>
                  <w:sz w:val="21"/>
                  <w:szCs w:val="21"/>
                  <w:highlight w:val="none"/>
                </w:rPr>
              </w:sdtEndPr>
              <w:sdtContent/>
            </w:sdt>
            <w:r>
              <w:rPr>
                <w:rFonts w:hint="eastAsia" w:ascii="仿宋" w:hAnsi="仿宋" w:eastAsia="仿宋" w:cs="仿宋"/>
                <w:highlight w:val="none"/>
              </w:rPr>
              <w:t>无；</w:t>
            </w:r>
          </w:p>
          <w:p>
            <w:pPr>
              <w:spacing w:line="360" w:lineRule="auto"/>
              <w:ind w:firstLine="420" w:firstLineChars="200"/>
              <w:rPr>
                <w:rFonts w:hint="eastAsia" w:ascii="仿宋" w:hAnsi="仿宋" w:eastAsia="仿宋" w:cs="仿宋"/>
                <w:sz w:val="24"/>
                <w:highlight w:val="none"/>
              </w:rPr>
            </w:pPr>
            <w:sdt>
              <w:sdtPr>
                <w:rPr>
                  <w:rFonts w:hint="eastAsia" w:ascii="仿宋" w:hAnsi="仿宋" w:eastAsia="仿宋" w:cs="仿宋"/>
                  <w:szCs w:val="21"/>
                  <w:highlight w:val="none"/>
                </w:rPr>
                <w:id w:val="29060800"/>
              </w:sdtPr>
              <w:sdtEndPr>
                <w:rPr>
                  <w:rFonts w:hint="eastAsia" w:ascii="仿宋" w:hAnsi="仿宋" w:eastAsia="仿宋" w:cs="仿宋"/>
                  <w:szCs w:val="21"/>
                  <w:highlight w:val="none"/>
                </w:rPr>
              </w:sdtEndPr>
              <w:sdtContent>
                <w:r>
                  <w:rPr>
                    <w:rFonts w:hint="eastAsia" w:ascii="仿宋" w:hAnsi="仿宋" w:eastAsia="仿宋" w:cs="仿宋"/>
                    <w:highlight w:val="none"/>
                  </w:rPr>
                  <w:sym w:font="Wingdings" w:char="00A8"/>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32365989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0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30690290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1"/>
                  </w:sdtPr>
                  <w:sdtEndPr>
                    <w:rPr>
                      <w:rFonts w:hint="eastAsia" w:ascii="仿宋" w:hAnsi="仿宋" w:eastAsia="仿宋" w:cs="仿宋"/>
                      <w:kern w:val="0"/>
                      <w:sz w:val="24"/>
                      <w:highlight w:val="none"/>
                    </w:rPr>
                  </w:sdtEndPr>
                  <w:sdtContent>
                    <w:sdt>
                      <w:sdtPr>
                        <w:rPr>
                          <w:rFonts w:hint="eastAsia" w:ascii="仿宋" w:hAnsi="仿宋" w:eastAsia="仿宋" w:cs="仿宋"/>
                          <w:szCs w:val="21"/>
                          <w:highlight w:val="none"/>
                        </w:rPr>
                        <w:id w:val="29060803"/>
                      </w:sdtPr>
                      <w:sdtEndPr>
                        <w:rPr>
                          <w:rFonts w:hint="eastAsia" w:ascii="仿宋" w:hAnsi="仿宋" w:eastAsia="仿宋" w:cs="仿宋"/>
                          <w:szCs w:val="21"/>
                          <w:highlight w:val="none"/>
                        </w:rPr>
                      </w:sdtEndPr>
                      <w:sdtContent>
                        <w:r>
                          <w:rPr>
                            <w:rFonts w:hint="eastAsia" w:ascii="仿宋" w:hAnsi="仿宋" w:eastAsia="仿宋" w:cs="仿宋"/>
                            <w:highlight w:val="none"/>
                          </w:rPr>
                          <w:sym w:font="Wingdings" w:char="00A8"/>
                        </w:r>
                      </w:sdtContent>
                    </w:sdt>
                  </w:sdtContent>
                </w:sdt>
              </w:sdtContent>
            </w:sdt>
            <w:r>
              <w:rPr>
                <w:rFonts w:hint="eastAsia" w:ascii="仿宋" w:hAnsi="仿宋" w:eastAsia="仿宋" w:cs="仿宋"/>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46959412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sz w:val="24"/>
                <w:highlight w:val="none"/>
              </w:rPr>
            </w:pPr>
            <w:sdt>
              <w:sdtPr>
                <w:rPr>
                  <w:rFonts w:hint="eastAsia" w:ascii="仿宋" w:hAnsi="仿宋" w:eastAsia="仿宋" w:cs="仿宋"/>
                  <w:kern w:val="0"/>
                  <w:sz w:val="24"/>
                  <w:highlight w:val="none"/>
                </w:rPr>
                <w:id w:val="60369722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highlight w:val="none"/>
              </w:rPr>
              <w:t>；</w:t>
            </w:r>
          </w:p>
          <w:p>
            <w:pPr>
              <w:spacing w:line="360" w:lineRule="auto"/>
              <w:ind w:firstLine="480" w:firstLineChars="200"/>
              <w:rPr>
                <w:rFonts w:hint="eastAsia" w:ascii="仿宋" w:hAnsi="仿宋" w:eastAsia="仿宋" w:cs="仿宋"/>
                <w:sz w:val="24"/>
                <w:highlight w:val="none"/>
              </w:rPr>
            </w:pPr>
            <w:sdt>
              <w:sdtPr>
                <w:rPr>
                  <w:rFonts w:hint="eastAsia" w:ascii="仿宋" w:hAnsi="仿宋" w:eastAsia="仿宋" w:cs="仿宋"/>
                  <w:kern w:val="0"/>
                  <w:sz w:val="24"/>
                  <w:highlight w:val="none"/>
                </w:rPr>
                <w:id w:val="34630645"/>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要求合同分包，提供分包意向协议和中小企业声明函，分包意向协议中中小企业合同金额应当达到达到% ，小微企业合同金额应当达到% ;</w:t>
            </w:r>
            <w:r>
              <w:rPr>
                <w:rFonts w:hint="eastAsia" w:ascii="仿宋" w:hAnsi="仿宋" w:eastAsia="仿宋" w:cs="仿宋"/>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sz w:val="24"/>
                <w:highlight w:val="none"/>
              </w:rPr>
              <w:t>；</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4.本项目的特定资格要求：无</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三、获取招标文件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时间：/至2022年月日，每天上午00:00至12:00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方式：</w:t>
            </w:r>
            <w:r>
              <w:rPr>
                <w:rFonts w:hint="eastAsia" w:ascii="仿宋" w:hAnsi="仿宋" w:eastAsia="仿宋" w:cs="仿宋"/>
                <w:bCs/>
                <w:highlight w:val="none"/>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售价（元）：0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四、提交投标文件截止时间、开标时间和地点</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提交投标文件截止时间：2022年月日</w:t>
            </w:r>
            <w:r>
              <w:rPr>
                <w:rFonts w:hint="eastAsia" w:ascii="仿宋" w:hAnsi="仿宋" w:eastAsia="仿宋" w:cs="仿宋"/>
                <w:szCs w:val="24"/>
                <w:highlight w:val="none"/>
                <w:lang w:val="en-US" w:eastAsia="zh-CN"/>
              </w:rPr>
              <w:t>9</w:t>
            </w:r>
            <w:r>
              <w:rPr>
                <w:rFonts w:hint="eastAsia" w:ascii="仿宋" w:hAnsi="仿宋" w:eastAsia="仿宋" w:cs="仿宋"/>
                <w:szCs w:val="24"/>
                <w:highlight w:val="none"/>
              </w:rPr>
              <w:t>:</w:t>
            </w:r>
            <w:r>
              <w:rPr>
                <w:rFonts w:hint="eastAsia" w:ascii="仿宋" w:hAnsi="仿宋" w:eastAsia="仿宋" w:cs="仿宋"/>
                <w:szCs w:val="24"/>
                <w:highlight w:val="none"/>
                <w:lang w:val="en-US" w:eastAsia="zh-CN"/>
              </w:rPr>
              <w:t>0</w:t>
            </w:r>
            <w:r>
              <w:rPr>
                <w:rFonts w:hint="eastAsia" w:ascii="仿宋" w:hAnsi="仿宋" w:eastAsia="仿宋" w:cs="仿宋"/>
                <w:szCs w:val="24"/>
                <w:highlight w:val="none"/>
              </w:rPr>
              <w:t>0（北京时间）</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投标地点（网址）：政采云平台</w:t>
            </w:r>
            <w:r>
              <w:rPr>
                <w:rFonts w:hint="eastAsia" w:ascii="仿宋" w:hAnsi="仿宋" w:eastAsia="仿宋" w:cs="仿宋"/>
                <w:bCs/>
                <w:highlight w:val="none"/>
              </w:rPr>
              <w:t>http://www.zcygov.cn/</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开标时间：2022年月日</w:t>
            </w:r>
            <w:r>
              <w:rPr>
                <w:rFonts w:hint="eastAsia" w:ascii="仿宋" w:hAnsi="仿宋" w:eastAsia="仿宋" w:cs="仿宋"/>
                <w:szCs w:val="24"/>
                <w:highlight w:val="none"/>
                <w:lang w:val="en-US" w:eastAsia="zh-CN"/>
              </w:rPr>
              <w:t>9</w:t>
            </w:r>
            <w:r>
              <w:rPr>
                <w:rFonts w:hint="eastAsia" w:ascii="仿宋" w:hAnsi="仿宋" w:eastAsia="仿宋" w:cs="仿宋"/>
                <w:szCs w:val="24"/>
                <w:highlight w:val="none"/>
              </w:rPr>
              <w:t>:</w:t>
            </w:r>
            <w:r>
              <w:rPr>
                <w:rFonts w:hint="eastAsia" w:ascii="仿宋" w:hAnsi="仿宋" w:eastAsia="仿宋" w:cs="仿宋"/>
                <w:szCs w:val="24"/>
                <w:highlight w:val="none"/>
                <w:lang w:val="en-US" w:eastAsia="zh-CN"/>
              </w:rPr>
              <w:t>0</w:t>
            </w:r>
            <w:r>
              <w:rPr>
                <w:rFonts w:hint="eastAsia" w:ascii="仿宋" w:hAnsi="仿宋" w:eastAsia="仿宋" w:cs="仿宋"/>
                <w:szCs w:val="24"/>
                <w:highlight w:val="none"/>
              </w:rPr>
              <w:t>0</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开标地点（网址）：</w:t>
            </w:r>
            <w:r>
              <w:rPr>
                <w:rFonts w:hint="eastAsia" w:ascii="仿宋" w:hAnsi="仿宋" w:eastAsia="仿宋" w:cs="仿宋"/>
                <w:highlight w:val="none"/>
              </w:rPr>
              <w:t>绍兴市越城区朝皇路58号正大综合楼601泰宇咨询会议室</w:t>
            </w:r>
            <w:r>
              <w:rPr>
                <w:rFonts w:hint="eastAsia" w:ascii="仿宋" w:hAnsi="仿宋" w:eastAsia="仿宋" w:cs="仿宋"/>
                <w:szCs w:val="24"/>
                <w:highlight w:val="none"/>
              </w:rPr>
              <w:t>，在政府采购云平台（www.zcygov.cn）上开启响应文件。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五、公告期限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自本公告发布之日起5个工作日。</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六、其他补充事宜</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七、对本次采购提出询问、质疑、投诉，请按以下方式联系</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1.采购人信息</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名称：绍兴市中医院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w:t>
            </w:r>
            <w:r>
              <w:rPr>
                <w:rFonts w:hint="eastAsia" w:ascii="仿宋" w:hAnsi="仿宋" w:eastAsia="仿宋" w:cs="仿宋"/>
                <w:highlight w:val="none"/>
              </w:rPr>
              <w:t>绍兴市越城区人民中路651号</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传真：/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项目联系人（询问）：王宁</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质疑联系人： 沈勇</w:t>
            </w:r>
          </w:p>
          <w:p>
            <w:pPr>
              <w:widowControl/>
              <w:snapToGrid w:val="0"/>
              <w:spacing w:line="440" w:lineRule="exact"/>
              <w:ind w:firstLine="480" w:firstLineChars="200"/>
              <w:rPr>
                <w:rFonts w:hint="eastAsia" w:ascii="仿宋" w:hAnsi="仿宋" w:eastAsia="仿宋" w:cs="仿宋"/>
                <w:highlight w:val="none"/>
              </w:rPr>
            </w:pPr>
            <w:r>
              <w:rPr>
                <w:rFonts w:hint="eastAsia" w:ascii="仿宋" w:hAnsi="仿宋" w:eastAsia="仿宋" w:cs="仿宋"/>
                <w:kern w:val="0"/>
                <w:sz w:val="24"/>
                <w:highlight w:val="none"/>
              </w:rPr>
              <w:t>质疑联系方式：0575-89107189</w:t>
            </w:r>
            <w:r>
              <w:rPr>
                <w:rFonts w:hint="eastAsia" w:ascii="仿宋" w:hAnsi="仿宋" w:eastAsia="仿宋" w:cs="仿宋"/>
                <w:highlight w:val="none"/>
              </w:rPr>
              <w:t> </w:t>
            </w:r>
          </w:p>
          <w:p>
            <w:pPr>
              <w:pStyle w:val="69"/>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2.采购代理机构信息       </w:t>
            </w:r>
            <w:r>
              <w:rPr>
                <w:rFonts w:hint="eastAsia" w:ascii="仿宋" w:hAnsi="仿宋" w:eastAsia="仿宋" w:cs="仿宋"/>
                <w:highlight w:val="none"/>
              </w:rPr>
              <w:t xml:space="preserve">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传真：/</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质疑联系人：胡泽宇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highlight w:val="none"/>
              </w:rPr>
              <w:t>质疑联系方式：0575-85080066</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3.同级政府采购监督管理部门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名称：绍兴市财政局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地址：绍兴市越城区凤林西路151号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传真：0575-85209697       </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联系人 ：宋晓林       </w:t>
            </w:r>
          </w:p>
          <w:p>
            <w:pPr>
              <w:pStyle w:val="69"/>
              <w:spacing w:afterLines="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监督投诉电话：0575-85209697    </w:t>
            </w:r>
            <w:r>
              <w:rPr>
                <w:rFonts w:hint="eastAsia" w:ascii="仿宋" w:hAnsi="仿宋" w:eastAsia="仿宋" w:cs="仿宋"/>
                <w:szCs w:val="24"/>
                <w:highlight w:val="none"/>
              </w:rPr>
              <w:br w:type="textWrapping"/>
            </w:r>
            <w:r>
              <w:rPr>
                <w:rFonts w:hint="eastAsia" w:ascii="仿宋" w:hAnsi="仿宋" w:eastAsia="仿宋" w:cs="仿宋"/>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highlight w:val="none"/>
              </w:rPr>
            </w:pPr>
            <w:r>
              <w:rPr>
                <w:rFonts w:hint="eastAsia" w:ascii="仿宋" w:hAnsi="仿宋" w:eastAsia="仿宋" w:cs="仿宋"/>
                <w:highlight w:val="none"/>
              </w:rPr>
              <w:t>·</w:t>
            </w:r>
          </w:p>
        </w:tc>
      </w:tr>
    </w:tbl>
    <w:p>
      <w:pPr>
        <w:widowControl/>
        <w:jc w:val="left"/>
        <w:rPr>
          <w:rFonts w:hint="eastAsia" w:ascii="仿宋" w:hAnsi="仿宋" w:eastAsia="仿宋" w:cs="仿宋"/>
          <w:kern w:val="0"/>
          <w:sz w:val="24"/>
          <w:highlight w:val="none"/>
        </w:rPr>
      </w:pPr>
      <w:r>
        <w:rPr>
          <w:rFonts w:hint="eastAsia" w:ascii="仿宋" w:hAnsi="仿宋" w:eastAsia="仿宋" w:cs="仿宋"/>
          <w:highlight w:val="none"/>
        </w:rPr>
        <w:br w:type="page"/>
      </w: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sdt>
              <w:sdtPr>
                <w:rPr>
                  <w:rFonts w:hint="eastAsia" w:ascii="仿宋" w:hAnsi="仿宋" w:eastAsia="仿宋" w:cs="仿宋"/>
                  <w:kern w:val="0"/>
                  <w:sz w:val="24"/>
                  <w:highlight w:val="none"/>
                </w:rPr>
                <w:id w:val="2906080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 xml:space="preserve"> A</w:t>
            </w:r>
            <w:r>
              <w:rPr>
                <w:rFonts w:hint="eastAsia" w:ascii="仿宋" w:hAnsi="仿宋" w:eastAsia="仿宋" w:cs="仿宋"/>
                <w:sz w:val="24"/>
                <w:highlight w:val="none"/>
              </w:rPr>
              <w:t>同意将非主体、非关键性的工作分包。</w:t>
            </w:r>
          </w:p>
          <w:p>
            <w:pPr>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r>
              <w:rPr>
                <w:rFonts w:hint="eastAsia" w:ascii="仿宋" w:hAnsi="仿宋" w:eastAsia="仿宋" w:cs="仿宋"/>
                <w:b/>
                <w:bCs/>
                <w:sz w:val="24"/>
                <w:highlight w:val="none"/>
              </w:rPr>
              <w:t>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26322061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hint="eastAsia" w:ascii="仿宋" w:hAnsi="仿宋" w:eastAsia="仿宋" w:cs="仿宋"/>
                <w:b/>
                <w:sz w:val="24"/>
                <w:highlight w:val="none"/>
              </w:rPr>
            </w:pPr>
            <w:sdt>
              <w:sdtPr>
                <w:rPr>
                  <w:rFonts w:hint="eastAsia" w:ascii="仿宋" w:hAnsi="仿宋" w:eastAsia="仿宋" w:cs="仿宋"/>
                  <w:kern w:val="0"/>
                  <w:sz w:val="24"/>
                  <w:highlight w:val="none"/>
                </w:rPr>
                <w:id w:val="-94006690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74078883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sdt>
              <w:sdtPr>
                <w:rPr>
                  <w:rFonts w:hint="eastAsia" w:ascii="仿宋" w:hAnsi="仿宋" w:eastAsia="仿宋" w:cs="仿宋"/>
                  <w:kern w:val="0"/>
                  <w:sz w:val="24"/>
                  <w:highlight w:val="none"/>
                </w:rPr>
                <w:id w:val="130342145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否；</w:t>
            </w:r>
            <w:sdt>
              <w:sdtPr>
                <w:rPr>
                  <w:rFonts w:hint="eastAsia" w:ascii="仿宋" w:hAnsi="仿宋" w:eastAsia="仿宋" w:cs="仿宋"/>
                  <w:kern w:val="0"/>
                  <w:sz w:val="24"/>
                  <w:highlight w:val="none"/>
                </w:rPr>
                <w:id w:val="1621728433"/>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41474232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hint="eastAsia" w:ascii="仿宋" w:hAnsi="仿宋" w:eastAsia="仿宋" w:cs="仿宋"/>
                <w:sz w:val="24"/>
                <w:highlight w:val="none"/>
                <w:lang w:eastAsia="zh-CN"/>
              </w:rPr>
            </w:pPr>
            <w:r>
              <w:rPr>
                <w:rFonts w:hint="eastAsia" w:ascii="仿宋" w:hAnsi="仿宋" w:eastAsia="仿宋" w:cs="仿宋"/>
                <w:b/>
                <w:sz w:val="24"/>
                <w:highlight w:val="none"/>
              </w:rPr>
              <w:t>讲解演示：</w:t>
            </w:r>
            <w:r>
              <w:rPr>
                <w:rFonts w:hint="eastAsia" w:ascii="仿宋" w:hAnsi="仿宋" w:eastAsia="仿宋" w:cs="仿宋"/>
                <w:b/>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75181343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pPr>
              <w:snapToGrid w:val="0"/>
              <w:spacing w:line="440" w:lineRule="exact"/>
              <w:rPr>
                <w:rFonts w:hint="eastAsia" w:ascii="仿宋" w:hAnsi="仿宋" w:eastAsia="仿宋" w:cs="仿宋"/>
                <w:b/>
                <w:sz w:val="24"/>
                <w:highlight w:val="none"/>
              </w:rPr>
            </w:pPr>
            <w:sdt>
              <w:sdtPr>
                <w:rPr>
                  <w:rFonts w:hint="eastAsia" w:ascii="仿宋" w:hAnsi="仿宋" w:eastAsia="仿宋" w:cs="仿宋"/>
                  <w:kern w:val="0"/>
                  <w:sz w:val="24"/>
                  <w:highlight w:val="none"/>
                </w:rPr>
                <w:id w:val="-83321284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2906081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b/>
                <w:bCs/>
                <w:kern w:val="0"/>
                <w:sz w:val="24"/>
                <w:szCs w:val="24"/>
                <w:highlight w:val="none"/>
              </w:rPr>
              <w:t>存储虚拟化设备</w:t>
            </w:r>
            <w:r>
              <w:rPr>
                <w:rFonts w:hint="eastAsia" w:ascii="仿宋" w:hAnsi="仿宋" w:eastAsia="仿宋" w:cs="仿宋"/>
                <w:sz w:val="24"/>
                <w:highlight w:val="none"/>
              </w:rPr>
              <w:t>。</w:t>
            </w:r>
          </w:p>
          <w:p>
            <w:pPr>
              <w:snapToGrid w:val="0"/>
              <w:spacing w:line="440" w:lineRule="exact"/>
              <w:rPr>
                <w:rFonts w:hint="eastAsia" w:ascii="仿宋" w:hAnsi="仿宋" w:eastAsia="仿宋" w:cs="仿宋"/>
                <w:sz w:val="24"/>
                <w:highlight w:val="none"/>
              </w:rPr>
            </w:pPr>
            <w:sdt>
              <w:sdtPr>
                <w:rPr>
                  <w:rFonts w:hint="eastAsia" w:ascii="仿宋" w:hAnsi="仿宋" w:eastAsia="仿宋" w:cs="仿宋"/>
                  <w:kern w:val="0"/>
                  <w:sz w:val="24"/>
                  <w:highlight w:val="none"/>
                </w:rPr>
                <w:id w:val="474885559"/>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906081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A8"/>
                    </w:r>
                  </w:sdtContent>
                </w:sdt>
              </w:sdtContent>
            </w:sdt>
            <w:r>
              <w:rPr>
                <w:rFonts w:hint="eastAsia" w:ascii="仿宋" w:hAnsi="仿宋" w:eastAsia="仿宋" w:cs="仿宋"/>
                <w:kern w:val="0"/>
                <w:sz w:val="24"/>
                <w:highlight w:val="none"/>
              </w:rPr>
              <w:t>B</w:t>
            </w:r>
            <w:r>
              <w:rPr>
                <w:rFonts w:hint="eastAsia" w:ascii="仿宋" w:hAnsi="仿宋" w:eastAsia="仿宋" w:cs="仿宋"/>
                <w:sz w:val="24"/>
                <w:highlight w:val="none"/>
              </w:rPr>
              <w:t>服务类。</w:t>
            </w:r>
            <w:bookmarkStart w:id="172" w:name="_GoBack"/>
            <w:bookmarkEnd w:id="1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370" w:type="dxa"/>
            <w:gridSpan w:val="2"/>
            <w:vAlign w:val="center"/>
          </w:tcPr>
          <w:p>
            <w:pPr>
              <w:snapToGrid w:val="0"/>
              <w:ind w:left="-18" w:leftChars="-9" w:right="-50" w:rightChars="-24" w:hanging="1"/>
              <w:jc w:val="both"/>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p>
            <w:pPr>
              <w:snapToGrid w:val="0"/>
              <w:spacing w:line="360" w:lineRule="auto"/>
              <w:rPr>
                <w:rFonts w:hint="eastAsia" w:ascii="仿宋" w:hAnsi="仿宋" w:eastAsia="仿宋" w:cs="仿宋"/>
                <w:highlight w:val="none"/>
              </w:rPr>
            </w:pPr>
            <w:r>
              <w:rPr>
                <w:rFonts w:hint="eastAsia" w:ascii="仿宋" w:hAnsi="仿宋" w:eastAsia="仿宋" w:cs="仿宋"/>
                <w:kern w:val="0"/>
                <w:sz w:val="24"/>
                <w:highlight w:val="none"/>
              </w:rPr>
              <w:t>（1）标的：标项一，属于其他未列明行业。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5" w:type="dxa"/>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kern w:val="28"/>
                <w:sz w:val="24"/>
                <w:highlight w:val="none"/>
              </w:rPr>
            </w:pPr>
            <w:sdt>
              <w:sdtPr>
                <w:rPr>
                  <w:rFonts w:hint="eastAsia" w:ascii="仿宋" w:hAnsi="仿宋" w:eastAsia="仿宋" w:cs="仿宋"/>
                  <w:kern w:val="0"/>
                  <w:sz w:val="24"/>
                  <w:szCs w:val="21"/>
                  <w:highlight w:val="none"/>
                </w:rPr>
                <w:id w:val="-1816336663"/>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napToGrid w:val="0"/>
                <w:kern w:val="28"/>
                <w:sz w:val="24"/>
                <w:highlight w:val="none"/>
              </w:rPr>
              <w:t>联合体投标的，联合体各方均需按招标文件第四部分评标标准要求提供资信证明文件，否则视为不符合相关要求。</w:t>
            </w:r>
          </w:p>
          <w:p>
            <w:pPr>
              <w:spacing w:line="440" w:lineRule="exact"/>
              <w:rPr>
                <w:rFonts w:hint="eastAsia" w:ascii="仿宋" w:hAnsi="仿宋" w:eastAsia="仿宋" w:cs="仿宋"/>
                <w:b/>
                <w:sz w:val="24"/>
                <w:highlight w:val="none"/>
              </w:rPr>
            </w:pPr>
            <w:sdt>
              <w:sdtPr>
                <w:rPr>
                  <w:rFonts w:hint="eastAsia" w:ascii="仿宋" w:hAnsi="仿宋" w:eastAsia="仿宋" w:cs="仿宋"/>
                  <w:kern w:val="0"/>
                  <w:sz w:val="24"/>
                  <w:szCs w:val="21"/>
                  <w:highlight w:val="none"/>
                </w:rPr>
                <w:id w:val="-232311894"/>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采购代理服务费：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（2）代理服务费的交纳方式：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公司名称：泰宇建筑工程技术咨询有限公司绍兴分公司</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账号: 85010078801000000518</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开户银行:上海浦东发展银行绍兴分行</w:t>
            </w:r>
          </w:p>
          <w:p>
            <w:pPr>
              <w:spacing w:line="440" w:lineRule="exact"/>
              <w:rPr>
                <w:rFonts w:hint="eastAsia" w:ascii="仿宋" w:hAnsi="仿宋" w:eastAsia="仿宋" w:cs="仿宋"/>
                <w:kern w:val="0"/>
                <w:sz w:val="24"/>
                <w:szCs w:val="21"/>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解释：凡涉及本招标文件的解释权属于采购人和本</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r>
        <w:rPr>
          <w:rFonts w:hint="eastAsia" w:ascii="仿宋" w:hAnsi="仿宋" w:eastAsia="仿宋" w:cs="仿宋"/>
          <w:sz w:val="24"/>
          <w:highlight w:val="none"/>
          <w:lang w:eastAsia="zh-CN"/>
        </w:rPr>
        <w:t>绍兴市中医院</w:t>
      </w:r>
      <w:r>
        <w:rPr>
          <w:rFonts w:hint="eastAsia" w:ascii="仿宋" w:hAnsi="仿宋" w:eastAsia="仿宋" w:cs="仿宋"/>
          <w:sz w:val="24"/>
          <w:highlight w:val="none"/>
        </w:rPr>
        <w:t>为本项目的采购人（合同中的甲方），</w:t>
      </w:r>
      <w:r>
        <w:rPr>
          <w:rFonts w:hint="eastAsia" w:ascii="仿宋" w:hAnsi="仿宋" w:eastAsia="仿宋" w:cs="仿宋"/>
          <w:sz w:val="24"/>
          <w:highlight w:val="none"/>
          <w:lang w:eastAsia="zh-CN"/>
        </w:rPr>
        <w:t>泰宇建筑工程技术咨询有限公司</w:t>
      </w:r>
      <w:r>
        <w:rPr>
          <w:rFonts w:hint="eastAsia" w:ascii="仿宋" w:hAnsi="仿宋" w:eastAsia="仿宋" w:cs="仿宋"/>
          <w:sz w:val="24"/>
          <w:highlight w:val="none"/>
        </w:rPr>
        <w:t>为采购</w:t>
      </w:r>
      <w:r>
        <w:rPr>
          <w:rFonts w:hint="eastAsia" w:ascii="仿宋" w:hAnsi="仿宋" w:eastAsia="仿宋" w:cs="仿宋"/>
          <w:sz w:val="24"/>
          <w:highlight w:val="none"/>
          <w:lang w:eastAsia="zh-CN"/>
        </w:rPr>
        <w:t>代理</w:t>
      </w:r>
      <w:r>
        <w:rPr>
          <w:rFonts w:hint="eastAsia" w:ascii="仿宋" w:hAnsi="仿宋" w:eastAsia="仿宋" w:cs="仿宋"/>
          <w:sz w:val="24"/>
          <w:highlight w:val="none"/>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2.5“授权代表”系指法定代表人的被授权委托人。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highlight w:val="none"/>
          </w:rPr>
          <w:id w:val="51297023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”系指适用本项目的要求，“</w:t>
      </w:r>
      <w:sdt>
        <w:sdtPr>
          <w:rPr>
            <w:rFonts w:hint="eastAsia" w:ascii="仿宋" w:hAnsi="仿宋" w:eastAsia="仿宋" w:cs="仿宋"/>
            <w:kern w:val="0"/>
            <w:sz w:val="24"/>
            <w:highlight w:val="none"/>
          </w:rPr>
          <w:id w:val="40488885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支持科技创新创新发展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三、投标文件</w:t>
      </w:r>
    </w:p>
    <w:p>
      <w:pPr>
        <w:numPr>
          <w:ilvl w:val="0"/>
          <w:numId w:val="6"/>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投标文件由“报价文件资料”、“商务技术（资信）文件资料”两部分组成，其中</w:t>
      </w:r>
      <w:r>
        <w:rPr>
          <w:rFonts w:hint="eastAsia" w:ascii="仿宋" w:hAnsi="仿宋" w:eastAsia="仿宋" w:cs="仿宋"/>
          <w:b/>
          <w:sz w:val="24"/>
          <w:highlight w:val="none"/>
        </w:rPr>
        <w:t>电子投标文件中所须加盖公章部分均应采用电子签章。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2.1.3中小企业声明函（如有，格式见第六部分附件）；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2.2.4</w:t>
      </w:r>
      <w:r>
        <w:rPr>
          <w:rFonts w:hint="eastAsia" w:ascii="仿宋" w:hAnsi="仿宋" w:eastAsia="仿宋" w:cs="仿宋"/>
          <w:kern w:val="0"/>
          <w:sz w:val="24"/>
          <w:highlight w:val="none"/>
        </w:rPr>
        <w:t>供应商基本资格条件</w:t>
      </w:r>
      <w:r>
        <w:rPr>
          <w:rFonts w:hint="eastAsia" w:ascii="仿宋" w:hAnsi="仿宋" w:eastAsia="仿宋" w:cs="仿宋"/>
          <w:sz w:val="24"/>
          <w:highlight w:val="none"/>
        </w:rPr>
        <w:t>书面承诺函（格式见第六部分附件）</w:t>
      </w:r>
      <w:r>
        <w:rPr>
          <w:rFonts w:hint="eastAsia" w:ascii="仿宋" w:hAnsi="仿宋" w:eastAsia="仿宋" w:cs="仿宋"/>
          <w:kern w:val="0"/>
          <w:sz w:val="24"/>
          <w:highlight w:val="none"/>
        </w:rPr>
        <w:t>；</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2.2.5供应商</w:t>
      </w:r>
      <w:r>
        <w:rPr>
          <w:rFonts w:hint="eastAsia" w:ascii="仿宋" w:hAnsi="仿宋" w:eastAsia="仿宋" w:cs="仿宋"/>
          <w:sz w:val="24"/>
          <w:highlight w:val="none"/>
        </w:rPr>
        <w:t>特定资格条件（如项目要求）的有关证明材料（复印件）；</w:t>
      </w:r>
    </w:p>
    <w:p>
      <w:pPr>
        <w:pStyle w:val="23"/>
        <w:snapToGrid w:val="0"/>
        <w:spacing w:line="440" w:lineRule="exact"/>
        <w:rPr>
          <w:rFonts w:hint="eastAsia" w:ascii="仿宋" w:hAnsi="仿宋" w:eastAsia="仿宋" w:cs="仿宋"/>
          <w:sz w:val="24"/>
          <w:highlight w:val="none"/>
          <w:lang w:val="zh-CN"/>
        </w:rPr>
      </w:pPr>
      <w:bookmarkStart w:id="1" w:name="_Hlt68403820"/>
      <w:bookmarkEnd w:id="1"/>
      <w:bookmarkStart w:id="2" w:name="_Hlt68072998"/>
      <w:bookmarkEnd w:id="2"/>
      <w:bookmarkStart w:id="3" w:name="_Hlt68073093"/>
      <w:bookmarkEnd w:id="3"/>
      <w:r>
        <w:rPr>
          <w:rFonts w:hint="eastAsia" w:ascii="仿宋" w:hAnsi="仿宋" w:eastAsia="仿宋" w:cs="仿宋"/>
          <w:sz w:val="24"/>
          <w:highlight w:val="none"/>
        </w:rPr>
        <w:t>2.2.6</w:t>
      </w:r>
      <w:r>
        <w:rPr>
          <w:rFonts w:hint="eastAsia" w:ascii="仿宋" w:hAnsi="仿宋" w:eastAsia="仿宋" w:cs="仿宋"/>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（所有技术指标表述均应采用中文，如当前公布的技术指标只有英文表述的，必须由投标人作出中文注释，否则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2.2.9</w:t>
      </w:r>
      <w:r>
        <w:rPr>
          <w:rFonts w:hint="eastAsia" w:ascii="仿宋" w:hAnsi="仿宋" w:eastAsia="仿宋" w:cs="仿宋"/>
          <w:sz w:val="24"/>
          <w:highlight w:val="none"/>
        </w:rPr>
        <w:t>投标人在投标文件技术偏离说明表中，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2.2.14</w:t>
      </w:r>
      <w:r>
        <w:rPr>
          <w:rFonts w:hint="eastAsia" w:ascii="仿宋" w:hAnsi="仿宋" w:eastAsia="仿宋" w:cs="仿宋"/>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2.2.15验收方案；</w:t>
      </w:r>
    </w:p>
    <w:p>
      <w:pPr>
        <w:snapToGrid w:val="0"/>
        <w:spacing w:line="440" w:lineRule="exact"/>
        <w:rPr>
          <w:rFonts w:hint="eastAsia" w:ascii="仿宋" w:hAnsi="仿宋" w:eastAsia="仿宋" w:cs="仿宋"/>
          <w:sz w:val="24"/>
          <w:highlight w:val="none"/>
          <w:lang w:val="zh-CN"/>
        </w:rPr>
      </w:pPr>
      <w:r>
        <w:rPr>
          <w:rFonts w:hint="eastAsia" w:ascii="仿宋" w:hAnsi="仿宋" w:eastAsia="仿宋" w:cs="仿宋"/>
          <w:kern w:val="0"/>
          <w:sz w:val="24"/>
          <w:highlight w:val="none"/>
        </w:rPr>
        <w:t>2.2.16</w:t>
      </w:r>
      <w:r>
        <w:rPr>
          <w:rFonts w:hint="eastAsia" w:ascii="仿宋" w:hAnsi="仿宋" w:eastAsia="仿宋" w:cs="仿宋"/>
          <w:snapToGrid w:val="0"/>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highlight w:val="none"/>
          <w:lang w:val="zh-CN"/>
        </w:rPr>
        <w:t>；</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lang w:val="zh-CN"/>
        </w:rPr>
        <w:t>2.2.17廉政承诺书</w:t>
      </w:r>
      <w:r>
        <w:rPr>
          <w:rFonts w:hint="eastAsia" w:ascii="仿宋" w:hAnsi="仿宋" w:eastAsia="仿宋" w:cs="仿宋"/>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2.2.18联合协议（如有）；</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2.2.19分包意向协议（如有）；</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2.2.20中小企业声明函（如有）；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2.2.21</w:t>
      </w:r>
      <w:r>
        <w:rPr>
          <w:rFonts w:hint="eastAsia" w:ascii="仿宋" w:hAnsi="仿宋" w:eastAsia="仿宋" w:cs="仿宋"/>
          <w:sz w:val="24"/>
          <w:highlight w:val="none"/>
          <w:u w:val="wave"/>
        </w:rPr>
        <w:t>未尽事宜请各投标单位按评分标准和相对应标项相关要求制作</w:t>
      </w:r>
      <w:r>
        <w:rPr>
          <w:rFonts w:hint="eastAsia" w:ascii="仿宋" w:hAnsi="仿宋" w:eastAsia="仿宋" w:cs="仿宋"/>
          <w:sz w:val="24"/>
          <w:highlight w:val="none"/>
        </w:rPr>
        <w:t>；</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highlight w:val="none"/>
        </w:rPr>
      </w:pPr>
      <w:r>
        <w:rPr>
          <w:rFonts w:hint="eastAsia" w:ascii="仿宋" w:hAnsi="仿宋" w:eastAsia="仿宋" w:cs="仿宋"/>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3.1投标人应按招标文件中《开标一览表》等附表要求填写。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投标有效期为从提交投标文件的截止之日起90天。</w:t>
      </w:r>
      <w:r>
        <w:rPr>
          <w:rFonts w:hint="eastAsia" w:ascii="仿宋" w:hAnsi="仿宋" w:eastAsia="仿宋" w:cs="仿宋"/>
          <w:b/>
          <w:highlight w:val="none"/>
        </w:rPr>
        <w:t>投标人的投标文件中承</w:t>
      </w:r>
      <w:r>
        <w:rPr>
          <w:rFonts w:hint="eastAsia" w:ascii="仿宋" w:hAnsi="仿宋" w:eastAsia="仿宋" w:cs="仿宋"/>
          <w:b/>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5.投标文件的规定</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5.1投标文件由“商务技术（资信）文件资料”、“报价文件资料”两部分文件组成，应按统一格式填写。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5.2投标文件须按附件格式要求进行电子签章，投标人应写全称。</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5.4投标文件因字迹潦草或表达不清所引起的后果由投标人负责。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投标人应按“招标公告”规定的时间、方式将投标文件提交给采购机构，</w:t>
      </w:r>
      <w:r>
        <w:rPr>
          <w:rFonts w:hint="eastAsia" w:ascii="仿宋" w:hAnsi="仿宋" w:eastAsia="仿宋" w:cs="仿宋"/>
          <w:b/>
          <w:sz w:val="24"/>
          <w:highlight w:val="none"/>
        </w:rPr>
        <w:t>采购机构将拒绝接受逾期提交的投标文件。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3.6评</w:t>
      </w:r>
      <w:r>
        <w:rPr>
          <w:rFonts w:hint="eastAsia" w:ascii="仿宋" w:hAnsi="仿宋" w:eastAsia="仿宋" w:cs="仿宋"/>
          <w:sz w:val="24"/>
          <w:highlight w:val="none"/>
        </w:rPr>
        <w:t>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 《政府采购货物和服务招标投标管理办法》</w:t>
      </w:r>
      <w:r>
        <w:rPr>
          <w:rFonts w:hint="eastAsia" w:ascii="仿宋" w:hAnsi="仿宋" w:eastAsia="仿宋" w:cs="仿宋"/>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6.8评标委员会依据招标文件规定的评标标准和方法，对投标文件进行评审和比较后，向本</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8.9报</w:t>
      </w:r>
      <w:r>
        <w:rPr>
          <w:rFonts w:hint="eastAsia" w:ascii="仿宋" w:hAnsi="仿宋" w:eastAsia="仿宋" w:cs="仿宋"/>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8.10</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8.11出现同一标的物或本次招标产品(服务)内的主要产品(重要组成部分)出现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8.12《技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8.13投</w:t>
      </w:r>
      <w:r>
        <w:rPr>
          <w:rFonts w:hint="eastAsia" w:ascii="仿宋" w:hAnsi="仿宋" w:eastAsia="仿宋" w:cs="仿宋"/>
          <w:b/>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8.14评</w:t>
      </w:r>
      <w:r>
        <w:rPr>
          <w:rFonts w:hint="eastAsia" w:ascii="仿宋" w:hAnsi="仿宋" w:eastAsia="仿宋" w:cs="仿宋"/>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szCs w:val="21"/>
          <w:highlight w:val="none"/>
        </w:rPr>
      </w:pPr>
      <w:r>
        <w:rPr>
          <w:rFonts w:hint="eastAsia" w:ascii="仿宋" w:hAnsi="仿宋" w:eastAsia="仿宋" w:cs="仿宋"/>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8.23</w:t>
      </w:r>
      <w:r>
        <w:rPr>
          <w:rFonts w:hint="eastAsia" w:ascii="仿宋" w:hAnsi="仿宋" w:eastAsia="仿宋" w:cs="仿宋"/>
          <w:b/>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sz w:val="36"/>
          <w:szCs w:val="36"/>
          <w:highlight w:val="none"/>
        </w:rPr>
      </w:pPr>
      <w:bookmarkStart w:id="4" w:name="_Toc81372953"/>
      <w:bookmarkStart w:id="5" w:name="_Toc84325929"/>
      <w:bookmarkStart w:id="6" w:name="_Toc81372776"/>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1.4投标人能够提供质量技术、商务经济占综合优势的系统及服务。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3"/>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50"/>
          <w:rFonts w:hint="eastAsia" w:ascii="仿宋" w:hAnsi="仿宋" w:eastAsia="仿宋" w:cs="仿宋"/>
          <w:color w:val="auto"/>
          <w:kern w:val="0"/>
          <w:highlight w:val="none"/>
        </w:rPr>
        <w:t>http://zfcg.czt.zj.gov.cn/</w:t>
      </w:r>
      <w:r>
        <w:rPr>
          <w:rStyle w:val="50"/>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50"/>
          <w:rFonts w:hint="eastAsia" w:ascii="仿宋" w:hAnsi="仿宋" w:eastAsia="仿宋" w:cs="仿宋"/>
          <w:color w:val="auto"/>
          <w:highlight w:val="none"/>
        </w:rPr>
        <w:t>http://ggb.sx.gov.cn</w:t>
      </w:r>
      <w:r>
        <w:rPr>
          <w:rStyle w:val="50"/>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5．合同签订及备案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，通过电子交易平台进行备案。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1.供应商询问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2.供应商质疑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（7）提出质疑的日期。</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hint="eastAsia"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5"/>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bookmarkStart w:id="7" w:name="_Toc151354173"/>
      <w:bookmarkStart w:id="8" w:name="_Toc80157775"/>
      <w:bookmarkStart w:id="9" w:name="_Toc81372787"/>
      <w:bookmarkStart w:id="10" w:name="_Toc81372964"/>
      <w:bookmarkStart w:id="11" w:name="_Toc84325981"/>
      <w:r>
        <w:rPr>
          <w:rFonts w:hint="eastAsia" w:ascii="仿宋" w:hAnsi="仿宋" w:eastAsia="仿宋" w:cs="仿宋"/>
          <w:b/>
          <w:sz w:val="24"/>
          <w:highlight w:val="none"/>
        </w:rPr>
        <w:t>8.招标项目设备名称及数量：</w:t>
      </w:r>
    </w:p>
    <w:p>
      <w:pPr>
        <w:spacing w:line="440" w:lineRule="exact"/>
        <w:ind w:right="420"/>
        <w:rPr>
          <w:rFonts w:hint="eastAsia" w:ascii="仿宋" w:hAnsi="仿宋" w:eastAsia="仿宋" w:cs="仿宋"/>
          <w:b/>
          <w:bCs/>
          <w:sz w:val="24"/>
          <w:highlight w:val="none"/>
          <w:lang w:eastAsia="zh-CN"/>
        </w:rPr>
      </w:pPr>
      <w:r>
        <w:rPr>
          <w:rFonts w:hint="eastAsia" w:ascii="仿宋" w:hAnsi="仿宋" w:eastAsia="仿宋" w:cs="仿宋"/>
          <w:b/>
          <w:bCs/>
          <w:sz w:val="24"/>
          <w:highlight w:val="none"/>
          <w:bdr w:val="single" w:color="auto" w:sz="4" w:space="0"/>
        </w:rPr>
        <w:t>01标</w:t>
      </w:r>
      <w:bookmarkStart w:id="12" w:name="_Toc7206"/>
      <w:bookmarkStart w:id="13" w:name="_Toc32678"/>
      <w:r>
        <w:rPr>
          <w:rFonts w:hint="eastAsia" w:ascii="仿宋" w:hAnsi="仿宋" w:eastAsia="仿宋" w:cs="仿宋"/>
          <w:b/>
          <w:bCs/>
          <w:sz w:val="24"/>
          <w:highlight w:val="none"/>
          <w:lang w:eastAsia="zh-CN"/>
        </w:rPr>
        <w:t>绍兴市中医院数据库一体机升级扩容项目，</w:t>
      </w:r>
      <w:r>
        <w:rPr>
          <w:rFonts w:hint="eastAsia" w:ascii="仿宋" w:hAnsi="仿宋" w:eastAsia="仿宋" w:cs="仿宋"/>
          <w:b/>
          <w:bCs/>
          <w:highlight w:val="none"/>
        </w:rPr>
        <w:t>总预算</w:t>
      </w:r>
      <w:r>
        <w:rPr>
          <w:rFonts w:hint="eastAsia" w:ascii="仿宋" w:hAnsi="仿宋" w:eastAsia="仿宋" w:cs="仿宋"/>
          <w:b/>
          <w:bCs/>
          <w:highlight w:val="none"/>
          <w:lang w:val="en-US" w:eastAsia="zh-CN"/>
        </w:rPr>
        <w:t>91</w:t>
      </w:r>
      <w:r>
        <w:rPr>
          <w:rFonts w:hint="eastAsia" w:ascii="仿宋" w:hAnsi="仿宋" w:eastAsia="仿宋" w:cs="仿宋"/>
          <w:b/>
          <w:bCs/>
          <w:highlight w:val="none"/>
        </w:rPr>
        <w:t>万</w:t>
      </w:r>
      <w:r>
        <w:rPr>
          <w:rFonts w:hint="eastAsia" w:ascii="仿宋" w:hAnsi="仿宋" w:eastAsia="仿宋" w:cs="仿宋"/>
          <w:b/>
          <w:bCs/>
          <w:sz w:val="24"/>
          <w:highlight w:val="none"/>
          <w:lang w:eastAsia="zh-CN"/>
        </w:rPr>
        <w:t>。</w:t>
      </w:r>
    </w:p>
    <w:bookmarkEnd w:id="7"/>
    <w:bookmarkEnd w:id="12"/>
    <w:bookmarkEnd w:id="13"/>
    <w:p>
      <w:pPr>
        <w:ind w:firstLine="422" w:firstLineChars="200"/>
        <w:rPr>
          <w:rFonts w:hint="eastAsia" w:ascii="仿宋" w:hAnsi="仿宋" w:eastAsia="仿宋" w:cs="仿宋"/>
          <w:b/>
          <w:bCs/>
          <w:szCs w:val="21"/>
          <w:highlight w:val="none"/>
        </w:rPr>
      </w:pPr>
      <w:r>
        <w:rPr>
          <w:rFonts w:hint="eastAsia" w:ascii="仿宋" w:hAnsi="仿宋" w:eastAsia="仿宋" w:cs="仿宋"/>
          <w:b/>
          <w:bCs/>
          <w:szCs w:val="21"/>
          <w:highlight w:val="none"/>
        </w:rPr>
        <w:t>一、采购内容一览表</w:t>
      </w:r>
    </w:p>
    <w:tbl>
      <w:tblPr>
        <w:tblStyle w:val="43"/>
        <w:tblW w:w="8055"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9"/>
        <w:gridCol w:w="4595"/>
        <w:gridCol w:w="205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09" w:type="dxa"/>
            <w:noWrap/>
            <w:vAlign w:val="center"/>
          </w:tcPr>
          <w:p>
            <w:pP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4595" w:type="dxa"/>
            <w:noWrap/>
            <w:vAlign w:val="center"/>
          </w:tcPr>
          <w:p>
            <w:pPr>
              <w:rPr>
                <w:rFonts w:hint="eastAsia" w:ascii="仿宋" w:hAnsi="仿宋" w:eastAsia="仿宋" w:cs="仿宋"/>
                <w:szCs w:val="21"/>
                <w:highlight w:val="none"/>
              </w:rPr>
            </w:pPr>
            <w:r>
              <w:rPr>
                <w:rFonts w:hint="eastAsia" w:ascii="仿宋" w:hAnsi="仿宋" w:eastAsia="仿宋" w:cs="仿宋"/>
                <w:szCs w:val="21"/>
                <w:highlight w:val="none"/>
              </w:rPr>
              <w:t>采购内容</w:t>
            </w:r>
          </w:p>
        </w:tc>
        <w:tc>
          <w:tcPr>
            <w:tcW w:w="2051" w:type="dxa"/>
            <w:noWrap/>
            <w:vAlign w:val="center"/>
          </w:tcPr>
          <w:p>
            <w:pPr>
              <w:rPr>
                <w:rFonts w:hint="eastAsia" w:ascii="仿宋" w:hAnsi="仿宋" w:eastAsia="仿宋" w:cs="仿宋"/>
                <w:szCs w:val="21"/>
                <w:highlight w:val="none"/>
              </w:rPr>
            </w:pPr>
            <w:r>
              <w:rPr>
                <w:rFonts w:hint="eastAsia" w:ascii="仿宋" w:hAnsi="仿宋" w:eastAsia="仿宋" w:cs="仿宋"/>
                <w:szCs w:val="21"/>
                <w:highlight w:val="none"/>
              </w:rPr>
              <w:t>数量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4595"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存储虚拟化设备（核心产品）</w:t>
            </w:r>
          </w:p>
        </w:tc>
        <w:tc>
          <w:tcPr>
            <w:tcW w:w="2051"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4595"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数据库存储扩容</w:t>
            </w:r>
          </w:p>
        </w:tc>
        <w:tc>
          <w:tcPr>
            <w:tcW w:w="2051"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4595"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服务器内存</w:t>
            </w:r>
          </w:p>
        </w:tc>
        <w:tc>
          <w:tcPr>
            <w:tcW w:w="2051" w:type="dxa"/>
            <w:noWrap/>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1台</w:t>
            </w:r>
          </w:p>
        </w:tc>
      </w:tr>
    </w:tbl>
    <w:p>
      <w:pPr>
        <w:ind w:firstLine="422" w:firstLineChars="200"/>
        <w:rPr>
          <w:rFonts w:hint="eastAsia" w:ascii="仿宋" w:hAnsi="仿宋" w:eastAsia="仿宋" w:cs="仿宋"/>
          <w:b/>
          <w:bCs/>
          <w:szCs w:val="21"/>
          <w:highlight w:val="none"/>
        </w:rPr>
      </w:pPr>
    </w:p>
    <w:p>
      <w:pPr>
        <w:ind w:firstLine="422" w:firstLineChars="200"/>
        <w:rPr>
          <w:rFonts w:hint="eastAsia" w:ascii="仿宋" w:hAnsi="仿宋" w:eastAsia="仿宋" w:cs="仿宋"/>
          <w:b/>
          <w:bCs/>
          <w:szCs w:val="21"/>
          <w:highlight w:val="none"/>
        </w:rPr>
      </w:pPr>
      <w:r>
        <w:rPr>
          <w:rFonts w:hint="eastAsia" w:ascii="仿宋" w:hAnsi="仿宋" w:eastAsia="仿宋" w:cs="仿宋"/>
          <w:b/>
          <w:bCs/>
          <w:szCs w:val="21"/>
          <w:highlight w:val="none"/>
        </w:rPr>
        <w:t>二、招标技术要求</w:t>
      </w:r>
    </w:p>
    <w:p>
      <w:pPr>
        <w:rPr>
          <w:rFonts w:hint="eastAsia" w:ascii="仿宋" w:hAnsi="仿宋" w:eastAsia="仿宋" w:cs="仿宋"/>
          <w:b/>
          <w:bCs/>
          <w:szCs w:val="21"/>
          <w:highlight w:val="none"/>
        </w:rPr>
      </w:pPr>
      <w:r>
        <w:rPr>
          <w:rFonts w:hint="eastAsia" w:ascii="仿宋" w:hAnsi="仿宋" w:eastAsia="仿宋" w:cs="仿宋"/>
          <w:b/>
          <w:bCs/>
          <w:szCs w:val="21"/>
          <w:highlight w:val="none"/>
        </w:rPr>
        <w:t>2.1项目概况</w:t>
      </w:r>
    </w:p>
    <w:p>
      <w:pPr>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绍兴市中医院在满足医院业务需求的基础上对数据库一体机现状进行了全面梳理，形成核心设备所需的设备扩充列表、网络优化完善策略，为进一步提高整体信息系统安全性，须采购存储虚拟化等设备。</w:t>
      </w:r>
    </w:p>
    <w:p>
      <w:pPr>
        <w:rPr>
          <w:rFonts w:hint="eastAsia" w:ascii="仿宋" w:hAnsi="仿宋" w:eastAsia="仿宋" w:cs="仿宋"/>
          <w:szCs w:val="21"/>
          <w:highlight w:val="none"/>
        </w:rPr>
      </w:pPr>
      <w:r>
        <w:rPr>
          <w:rFonts w:hint="eastAsia" w:ascii="仿宋" w:hAnsi="仿宋" w:eastAsia="仿宋" w:cs="仿宋"/>
          <w:b/>
          <w:bCs/>
          <w:szCs w:val="21"/>
          <w:highlight w:val="none"/>
        </w:rPr>
        <w:t>2.2招标技术及其它要求</w:t>
      </w:r>
    </w:p>
    <w:p>
      <w:pPr>
        <w:rPr>
          <w:rFonts w:hint="eastAsia" w:ascii="仿宋" w:hAnsi="仿宋" w:eastAsia="仿宋" w:cs="仿宋"/>
          <w:szCs w:val="21"/>
          <w:highlight w:val="none"/>
        </w:rPr>
      </w:pPr>
      <w:r>
        <w:rPr>
          <w:rFonts w:hint="eastAsia" w:ascii="仿宋" w:hAnsi="仿宋" w:eastAsia="仿宋" w:cs="仿宋"/>
          <w:szCs w:val="21"/>
          <w:highlight w:val="none"/>
        </w:rPr>
        <w:t>1. 存储虚拟化设备技术指标要求：</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33"/>
        <w:gridCol w:w="6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指标项</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vMerge w:val="restart"/>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体系结构</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 xml:space="preserve">全冗余模块化体系结构，存储虚拟化的实现必须使用非阵列计算资源，支持多控制器并行及灵活的横向扩展体系架构，支持全局缓存功能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vMerge w:val="continue"/>
            <w:noWrap w:val="0"/>
            <w:vAlign w:val="center"/>
          </w:tcPr>
          <w:p>
            <w:pPr>
              <w:jc w:val="center"/>
              <w:rPr>
                <w:rFonts w:hint="eastAsia" w:ascii="仿宋" w:hAnsi="仿宋" w:eastAsia="仿宋" w:cs="仿宋"/>
                <w:szCs w:val="21"/>
                <w:highlight w:val="none"/>
              </w:rPr>
            </w:pP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新增加的引擎可以与原来的引擎进行在线的联合和合并，提供统一的处理能力；每个虚拟LUN可以通过任意一个引擎的任意一个控制器被访问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双活实现★</w:t>
            </w:r>
          </w:p>
        </w:tc>
        <w:tc>
          <w:tcPr>
            <w:tcW w:w="6663" w:type="dxa"/>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通过外置存储网关，实现跨站点的存储级双活，当一台存储或者一台网关宕机，对业务无感知，不影响业务运行;本次采购的存储虚拟化设备要求纳管原有的</w:t>
            </w:r>
            <w:r>
              <w:rPr>
                <w:rFonts w:hint="eastAsia" w:ascii="仿宋" w:hAnsi="仿宋" w:eastAsia="仿宋" w:cs="仿宋"/>
                <w:color w:val="000000"/>
                <w:szCs w:val="21"/>
                <w:highlight w:val="none"/>
              </w:rPr>
              <w:t>EMC Unity 480</w:t>
            </w:r>
            <w:r>
              <w:rPr>
                <w:rFonts w:hint="eastAsia" w:ascii="仿宋" w:hAnsi="仿宋" w:eastAsia="仿宋" w:cs="仿宋"/>
                <w:szCs w:val="21"/>
                <w:highlight w:val="none"/>
              </w:rPr>
              <w:t>数据库存储，实现跨数据中心的双活功能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控制器</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当前配置≥1个引擎（2个控制器），最大可扩展至≥4个引擎，引擎之间必须采用Infiniband或PCIE总线进行互连</w:t>
            </w:r>
          </w:p>
          <w:p>
            <w:pPr>
              <w:rPr>
                <w:rFonts w:hint="eastAsia" w:ascii="仿宋" w:hAnsi="仿宋" w:eastAsia="仿宋" w:cs="仿宋"/>
                <w:szCs w:val="21"/>
                <w:highlight w:val="none"/>
              </w:rPr>
            </w:pPr>
            <w:r>
              <w:rPr>
                <w:rFonts w:hint="eastAsia" w:ascii="仿宋" w:hAnsi="仿宋" w:eastAsia="仿宋" w:cs="仿宋"/>
                <w:szCs w:val="21"/>
                <w:highlight w:val="none"/>
              </w:rPr>
              <w:t>每个控制器配置≥2颗6核Intel CPU，单核主频≥2.3GHz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连接端口支持</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配置连接主机、存储的端口数≥16个16Gb/s FC 接口，最大支持连接端口数≥64个16Gb/s FC后端阵列接口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集群间通讯</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配置额外光纤端口用于多控制器间通讯构成集群时，不占用当前配置的用于连接主机和存储阵列的FC端口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存储缓存</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配置缓存≥256GB（非用于压缩等功能的缓存），最大缓存可扩展到≥1024GB全局共享缓存（非SSD或Flash卡模拟缓存）；</w:t>
            </w:r>
          </w:p>
          <w:p>
            <w:pPr>
              <w:rPr>
                <w:rFonts w:hint="eastAsia" w:ascii="仿宋" w:hAnsi="仿宋" w:eastAsia="仿宋" w:cs="仿宋"/>
                <w:szCs w:val="21"/>
                <w:highlight w:val="none"/>
              </w:rPr>
            </w:pPr>
            <w:r>
              <w:rPr>
                <w:rFonts w:hint="eastAsia" w:ascii="仿宋" w:hAnsi="仿宋" w:eastAsia="仿宋" w:cs="仿宋"/>
                <w:szCs w:val="21"/>
                <w:highlight w:val="none"/>
              </w:rPr>
              <w:t>在异常断电情况下，保证数据完全写到磁盘中，保证数据的可用性；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主机及LUN数量</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通过FC端口连接主机，最大支持主机数量≥3200;</w:t>
            </w:r>
            <w:bookmarkStart w:id="14" w:name="RANGE!B12"/>
            <w:r>
              <w:rPr>
                <w:rFonts w:hint="eastAsia" w:ascii="仿宋" w:hAnsi="仿宋" w:eastAsia="仿宋" w:cs="仿宋"/>
                <w:szCs w:val="21"/>
                <w:highlight w:val="none"/>
              </w:rPr>
              <w:t>最大可管理的存储LUN数量≥12000</w:t>
            </w:r>
            <w:bookmarkEnd w:id="1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配置多种灵活的卷虚拟化封装方式</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支持在逻辑设备上封装建立类RAID 0的逻辑卷，通过跨LUN进行I/O分条以提升性能；</w:t>
            </w:r>
          </w:p>
          <w:p>
            <w:pPr>
              <w:rPr>
                <w:rFonts w:hint="eastAsia" w:ascii="仿宋" w:hAnsi="仿宋" w:eastAsia="仿宋" w:cs="仿宋"/>
                <w:szCs w:val="21"/>
                <w:highlight w:val="none"/>
              </w:rPr>
            </w:pPr>
            <w:r>
              <w:rPr>
                <w:rFonts w:hint="eastAsia" w:ascii="仿宋" w:hAnsi="仿宋" w:eastAsia="仿宋" w:cs="仿宋"/>
                <w:szCs w:val="21"/>
                <w:highlight w:val="none"/>
              </w:rPr>
              <w:t>支持在逻辑设备上封装建立类RAID 1的逻辑卷，通过跨分布在不同阵列的LUN进行镜像以提供后端阵列的高可用性；</w:t>
            </w:r>
          </w:p>
          <w:p>
            <w:pPr>
              <w:rPr>
                <w:rFonts w:hint="eastAsia" w:ascii="仿宋" w:hAnsi="仿宋" w:eastAsia="仿宋" w:cs="仿宋"/>
                <w:szCs w:val="21"/>
                <w:highlight w:val="none"/>
              </w:rPr>
            </w:pPr>
            <w:r>
              <w:rPr>
                <w:rFonts w:hint="eastAsia" w:ascii="仿宋" w:hAnsi="仿宋" w:eastAsia="仿宋" w:cs="仿宋"/>
                <w:szCs w:val="21"/>
                <w:highlight w:val="none"/>
              </w:rPr>
              <w:t>支持在逻辑设备上封装拼接的逻辑卷，提供一种通过组合两个两个或多个较小设备来创建较大设备的方法；</w:t>
            </w:r>
          </w:p>
          <w:p>
            <w:pPr>
              <w:rPr>
                <w:rFonts w:hint="eastAsia" w:ascii="仿宋" w:hAnsi="仿宋" w:eastAsia="仿宋" w:cs="仿宋"/>
                <w:szCs w:val="21"/>
                <w:highlight w:val="none"/>
              </w:rPr>
            </w:pPr>
            <w:r>
              <w:rPr>
                <w:rFonts w:hint="eastAsia" w:ascii="仿宋" w:hAnsi="仿宋" w:eastAsia="仿宋" w:cs="仿宋"/>
                <w:szCs w:val="21"/>
                <w:highlight w:val="none"/>
              </w:rPr>
              <w:t>逻辑设备可以在以上三种虚拟化封装方式上嵌套，为应用提供灵活的树状封装结构。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虚拟化容量</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系统最大可支持和管理虚拟化容量≥8PB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远程支持能力</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所投产品必须具备高级预警机制，免费配置Call Home功能软件。在系统发生故障前能将系统存在的潜在问题自动反馈到设备厂商技术响应中心。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vMerge w:val="restart"/>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配置数据双活功能▲</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实现实现跨异构阵列、跨距离的存储资源整合池化功能；</w:t>
            </w:r>
          </w:p>
          <w:p>
            <w:pPr>
              <w:rPr>
                <w:rFonts w:hint="eastAsia" w:ascii="仿宋" w:hAnsi="仿宋" w:eastAsia="仿宋" w:cs="仿宋"/>
                <w:szCs w:val="21"/>
                <w:highlight w:val="none"/>
              </w:rPr>
            </w:pPr>
            <w:r>
              <w:rPr>
                <w:rFonts w:hint="eastAsia" w:ascii="仿宋" w:hAnsi="仿宋" w:eastAsia="仿宋" w:cs="仿宋"/>
                <w:szCs w:val="21"/>
                <w:highlight w:val="none"/>
              </w:rPr>
              <w:t>实现实现跨同步距离的数据中心之间的存储虚拟化，可以实现跨同步距离的数据快速迁移；</w:t>
            </w:r>
          </w:p>
          <w:p>
            <w:pPr>
              <w:rPr>
                <w:rFonts w:hint="eastAsia" w:ascii="仿宋" w:hAnsi="仿宋" w:eastAsia="仿宋" w:cs="仿宋"/>
                <w:szCs w:val="21"/>
                <w:highlight w:val="none"/>
              </w:rPr>
            </w:pPr>
            <w:r>
              <w:rPr>
                <w:rFonts w:hint="eastAsia" w:ascii="仿宋" w:hAnsi="仿宋" w:eastAsia="仿宋" w:cs="仿宋"/>
                <w:szCs w:val="21"/>
                <w:highlight w:val="none"/>
              </w:rPr>
              <w:t>实现跨同步距离的数据共享卷，同一个共享卷可以被不同数据中心的主机同时挂载；读写</w:t>
            </w:r>
          </w:p>
          <w:p>
            <w:pPr>
              <w:rPr>
                <w:rFonts w:hint="eastAsia" w:ascii="仿宋" w:hAnsi="仿宋" w:eastAsia="仿宋" w:cs="仿宋"/>
                <w:szCs w:val="21"/>
                <w:highlight w:val="none"/>
              </w:rPr>
            </w:pPr>
            <w:r>
              <w:rPr>
                <w:rFonts w:hint="eastAsia" w:ascii="仿宋" w:hAnsi="仿宋" w:eastAsia="仿宋" w:cs="仿宋"/>
                <w:szCs w:val="21"/>
                <w:highlight w:val="none"/>
              </w:rPr>
              <w:t>实现跨数据中心的双活，数据被同步读写。配合数据库集群技术，可以实现两个站点的主机同时对同一数据库进行读写操作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vMerge w:val="continue"/>
            <w:noWrap w:val="0"/>
            <w:vAlign w:val="center"/>
          </w:tcPr>
          <w:p>
            <w:pPr>
              <w:jc w:val="center"/>
              <w:rPr>
                <w:rFonts w:hint="eastAsia" w:ascii="仿宋" w:hAnsi="仿宋" w:eastAsia="仿宋" w:cs="仿宋"/>
                <w:szCs w:val="21"/>
                <w:highlight w:val="none"/>
              </w:rPr>
            </w:pP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存储引擎需放置在同城内不同机房，构建两地存储双活系统并能够结合vSphere Metro Storage Cluster和Oracle RAC构建双活数据中心；每双活集群系统最大支持配置≥16个控制器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性能影响</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要求独立于主机和存储，虚拟化的实现不影响主机性能和存储设备的性能，不会消耗主机和存储的资源；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存储虚拟化支持▲</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配置存储虚拟化功能，可将DELLEMC，Netapp，IBM，HPE，HDS等阵列实现虚拟化管理，可以进行不同存储系统间的卷镜像保护，实现任意数据卷损坏时，都有完全同步的镜像保护数据。虚拟化必须能够实现对存储设备的透传模式管理，接入和脱离虚拟引擎均无需存储数据迁移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可用性</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增加新引擎的时候不影响正常的生产作业；</w:t>
            </w:r>
          </w:p>
          <w:p>
            <w:pPr>
              <w:rPr>
                <w:rFonts w:hint="eastAsia" w:ascii="仿宋" w:hAnsi="仿宋" w:eastAsia="仿宋" w:cs="仿宋"/>
                <w:szCs w:val="21"/>
                <w:highlight w:val="none"/>
              </w:rPr>
            </w:pPr>
            <w:r>
              <w:rPr>
                <w:rFonts w:hint="eastAsia" w:ascii="仿宋" w:hAnsi="仿宋" w:eastAsia="仿宋" w:cs="仿宋"/>
                <w:szCs w:val="21"/>
                <w:highlight w:val="none"/>
              </w:rPr>
              <w:t>提供高冗余的硬件组件；</w:t>
            </w:r>
          </w:p>
          <w:p>
            <w:pPr>
              <w:rPr>
                <w:rFonts w:hint="eastAsia" w:ascii="仿宋" w:hAnsi="仿宋" w:eastAsia="仿宋" w:cs="仿宋"/>
                <w:szCs w:val="21"/>
                <w:highlight w:val="none"/>
              </w:rPr>
            </w:pPr>
            <w:r>
              <w:rPr>
                <w:rFonts w:hint="eastAsia" w:ascii="仿宋" w:hAnsi="仿宋" w:eastAsia="仿宋" w:cs="仿宋"/>
                <w:szCs w:val="21"/>
                <w:highlight w:val="none"/>
              </w:rPr>
              <w:t>在虚拟化环境中增加新的存储设备和主机设备不需要停机；</w:t>
            </w:r>
          </w:p>
          <w:p>
            <w:pPr>
              <w:rPr>
                <w:rFonts w:hint="eastAsia" w:ascii="仿宋" w:hAnsi="仿宋" w:eastAsia="仿宋" w:cs="仿宋"/>
                <w:szCs w:val="21"/>
                <w:highlight w:val="none"/>
              </w:rPr>
            </w:pPr>
            <w:r>
              <w:rPr>
                <w:rFonts w:hint="eastAsia" w:ascii="仿宋" w:hAnsi="仿宋" w:eastAsia="仿宋" w:cs="仿宋"/>
                <w:szCs w:val="21"/>
                <w:highlight w:val="none"/>
              </w:rPr>
              <w:t>控制器失败不能影响正常的I/O请求；</w:t>
            </w:r>
          </w:p>
          <w:p>
            <w:pPr>
              <w:rPr>
                <w:rFonts w:hint="eastAsia" w:ascii="仿宋" w:hAnsi="仿宋" w:eastAsia="仿宋" w:cs="仿宋"/>
                <w:szCs w:val="21"/>
                <w:highlight w:val="none"/>
              </w:rPr>
            </w:pPr>
            <w:r>
              <w:rPr>
                <w:rFonts w:hint="eastAsia" w:ascii="仿宋" w:hAnsi="仿宋" w:eastAsia="仿宋" w:cs="仿宋"/>
                <w:szCs w:val="21"/>
                <w:highlight w:val="none"/>
              </w:rPr>
              <w:t>对现有虚拟化容量扩容时不需要停机；</w:t>
            </w:r>
          </w:p>
          <w:p>
            <w:pPr>
              <w:rPr>
                <w:rFonts w:hint="eastAsia" w:ascii="仿宋" w:hAnsi="仿宋" w:eastAsia="仿宋" w:cs="仿宋"/>
                <w:szCs w:val="21"/>
                <w:highlight w:val="none"/>
              </w:rPr>
            </w:pPr>
            <w:r>
              <w:rPr>
                <w:rFonts w:hint="eastAsia" w:ascii="仿宋" w:hAnsi="仿宋" w:eastAsia="仿宋" w:cs="仿宋"/>
                <w:szCs w:val="21"/>
                <w:highlight w:val="none"/>
              </w:rPr>
              <w:t>支持在线调整（包括软、硬件升级、扩容、设备更换等操作）；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与Oracle RAC的结合▲</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支持跨数据中心的双活，配合Oracle数据库的跨距离RAC集群技术，可以实现两个站点的主机同时对同一Oracle数据库进行读写操作；该技术必须得到Oracle官方认证支持，提供Oracle网站截屏作为证明。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1633" w:type="dxa"/>
            <w:vMerge w:val="restart"/>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与虚拟化的支持</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要求为VMware全球合作伙伴联盟成员，投标时提供VMWARE官网截图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1633" w:type="dxa"/>
            <w:vMerge w:val="continue"/>
            <w:noWrap w:val="0"/>
            <w:vAlign w:val="center"/>
          </w:tcPr>
          <w:p>
            <w:pPr>
              <w:jc w:val="center"/>
              <w:rPr>
                <w:rFonts w:hint="eastAsia" w:ascii="仿宋" w:hAnsi="仿宋" w:eastAsia="仿宋" w:cs="仿宋"/>
                <w:szCs w:val="21"/>
                <w:highlight w:val="none"/>
              </w:rPr>
            </w:pP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支持vSphere Metro Storage Cluster，Vmware HA、Vmotion并提供VMware管网认证截图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主机多路径管理软件</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支持主流的多路径管理软件：PowerPath、VMware NMP和MPIO等；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操作系统支持</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支持主流操作系统，如Solaris、IBM AIX、HP-UX、Linux和 Windows等。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连续数据保护▲</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存储系统内置I/O拆分器，支持连续数据保护功能，数据的捕获的最小颗粒度是每个I/O级别，且数据可以回滚到预先定义的时间窗口内的任意时间点，投标时提供产品彩页扫描件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管理</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提供专门的管理软件；</w:t>
            </w:r>
          </w:p>
          <w:p>
            <w:pPr>
              <w:rPr>
                <w:rFonts w:hint="eastAsia" w:ascii="仿宋" w:hAnsi="仿宋" w:eastAsia="仿宋" w:cs="仿宋"/>
                <w:szCs w:val="21"/>
                <w:highlight w:val="none"/>
              </w:rPr>
            </w:pPr>
            <w:r>
              <w:rPr>
                <w:rFonts w:hint="eastAsia" w:ascii="仿宋" w:hAnsi="仿宋" w:eastAsia="仿宋" w:cs="仿宋"/>
                <w:szCs w:val="21"/>
                <w:highlight w:val="none"/>
              </w:rPr>
              <w:t>支持图形化和命令方式的管理方式；</w:t>
            </w:r>
          </w:p>
          <w:p>
            <w:pPr>
              <w:rPr>
                <w:rFonts w:hint="eastAsia" w:ascii="仿宋" w:hAnsi="仿宋" w:eastAsia="仿宋" w:cs="仿宋"/>
                <w:szCs w:val="21"/>
                <w:highlight w:val="none"/>
              </w:rPr>
            </w:pPr>
            <w:r>
              <w:rPr>
                <w:rFonts w:hint="eastAsia" w:ascii="仿宋" w:hAnsi="仿宋" w:eastAsia="仿宋" w:cs="仿宋"/>
                <w:szCs w:val="21"/>
                <w:highlight w:val="none"/>
              </w:rPr>
              <w:t>支持封装卷的引导界面，封装过程要简单；</w:t>
            </w:r>
          </w:p>
          <w:p>
            <w:pPr>
              <w:rPr>
                <w:rFonts w:hint="eastAsia" w:ascii="仿宋" w:hAnsi="仿宋" w:eastAsia="仿宋" w:cs="仿宋"/>
                <w:szCs w:val="21"/>
                <w:highlight w:val="none"/>
              </w:rPr>
            </w:pPr>
            <w:r>
              <w:rPr>
                <w:rFonts w:hint="eastAsia" w:ascii="仿宋" w:hAnsi="仿宋" w:eastAsia="仿宋" w:cs="仿宋"/>
                <w:szCs w:val="21"/>
                <w:highlight w:val="none"/>
              </w:rPr>
              <w:t>提供固有的性能监控和分析功能，不需要增加额外的软件；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3" w:type="dxa"/>
            <w:noWrap w:val="0"/>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服务和授权</w:t>
            </w:r>
          </w:p>
        </w:tc>
        <w:tc>
          <w:tcPr>
            <w:tcW w:w="6663" w:type="dxa"/>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原厂商质保服务， 3年7×24x4小时,原厂商需要在浙江地区设立有分公司，签订合同时必须提供所涉及产品原厂商针对本项目专项授权和原厂盖章的服务承诺函。</w:t>
            </w:r>
          </w:p>
        </w:tc>
      </w:tr>
    </w:tbl>
    <w:p>
      <w:pPr>
        <w:pStyle w:val="5"/>
        <w:spacing w:line="420" w:lineRule="exact"/>
        <w:ind w:firstLine="0" w:firstLineChars="0"/>
        <w:rPr>
          <w:rFonts w:hint="eastAsia" w:ascii="仿宋" w:hAnsi="仿宋" w:eastAsia="仿宋" w:cs="仿宋"/>
          <w:b/>
          <w:sz w:val="21"/>
          <w:szCs w:val="21"/>
          <w:highlight w:val="none"/>
        </w:rPr>
      </w:pPr>
    </w:p>
    <w:p>
      <w:pPr>
        <w:rPr>
          <w:rFonts w:hint="eastAsia" w:ascii="仿宋" w:hAnsi="仿宋" w:eastAsia="仿宋" w:cs="仿宋"/>
          <w:szCs w:val="21"/>
          <w:highlight w:val="none"/>
        </w:rPr>
      </w:pPr>
      <w:r>
        <w:rPr>
          <w:rFonts w:hint="eastAsia" w:ascii="仿宋" w:hAnsi="仿宋" w:eastAsia="仿宋" w:cs="仿宋"/>
          <w:szCs w:val="21"/>
          <w:highlight w:val="none"/>
        </w:rPr>
        <w:t>2. 数据库存储扩容技术指标要求：</w:t>
      </w:r>
    </w:p>
    <w:tbl>
      <w:tblPr>
        <w:tblStyle w:val="43"/>
        <w:tblW w:w="8647" w:type="dxa"/>
        <w:tblInd w:w="-5" w:type="dxa"/>
        <w:tblLayout w:type="autofit"/>
        <w:tblCellMar>
          <w:top w:w="0" w:type="dxa"/>
          <w:left w:w="108" w:type="dxa"/>
          <w:bottom w:w="0" w:type="dxa"/>
          <w:right w:w="108" w:type="dxa"/>
        </w:tblCellMar>
      </w:tblPr>
      <w:tblGrid>
        <w:gridCol w:w="1560"/>
        <w:gridCol w:w="7087"/>
      </w:tblGrid>
      <w:tr>
        <w:tblPrEx>
          <w:tblCellMar>
            <w:top w:w="0" w:type="dxa"/>
            <w:left w:w="108" w:type="dxa"/>
            <w:bottom w:w="0" w:type="dxa"/>
            <w:right w:w="108" w:type="dxa"/>
          </w:tblCellMar>
        </w:tblPrEx>
        <w:trPr>
          <w:trHeight w:val="318" w:hRule="atLeast"/>
        </w:trPr>
        <w:tc>
          <w:tcPr>
            <w:tcW w:w="1560" w:type="dxa"/>
            <w:tcBorders>
              <w:top w:val="single" w:color="auto" w:sz="4" w:space="0"/>
              <w:left w:val="single" w:color="auto" w:sz="4" w:space="0"/>
              <w:bottom w:val="single" w:color="auto" w:sz="4" w:space="0"/>
              <w:right w:val="single" w:color="auto" w:sz="4" w:space="0"/>
            </w:tcBorders>
            <w:noWrap/>
            <w:vAlign w:val="center"/>
          </w:tcPr>
          <w:p>
            <w:pPr>
              <w:rPr>
                <w:rFonts w:hint="eastAsia" w:ascii="仿宋" w:hAnsi="仿宋" w:eastAsia="仿宋" w:cs="仿宋"/>
                <w:szCs w:val="21"/>
                <w:highlight w:val="none"/>
              </w:rPr>
            </w:pPr>
            <w:r>
              <w:rPr>
                <w:rFonts w:hint="eastAsia" w:ascii="仿宋" w:hAnsi="仿宋" w:eastAsia="仿宋" w:cs="仿宋"/>
                <w:szCs w:val="21"/>
                <w:highlight w:val="none"/>
              </w:rPr>
              <w:t>项目</w:t>
            </w:r>
          </w:p>
        </w:tc>
        <w:tc>
          <w:tcPr>
            <w:tcW w:w="7087" w:type="dxa"/>
            <w:tcBorders>
              <w:top w:val="single" w:color="auto" w:sz="4" w:space="0"/>
              <w:left w:val="nil"/>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配置</w:t>
            </w:r>
          </w:p>
        </w:tc>
      </w:tr>
      <w:tr>
        <w:tblPrEx>
          <w:tblCellMar>
            <w:top w:w="0" w:type="dxa"/>
            <w:left w:w="108" w:type="dxa"/>
            <w:bottom w:w="0" w:type="dxa"/>
            <w:right w:w="108" w:type="dxa"/>
          </w:tblCellMar>
        </w:tblPrEx>
        <w:trPr>
          <w:trHeight w:val="318" w:hRule="atLeast"/>
        </w:trPr>
        <w:tc>
          <w:tcPr>
            <w:tcW w:w="1560" w:type="dxa"/>
            <w:tcBorders>
              <w:top w:val="single" w:color="auto" w:sz="4" w:space="0"/>
              <w:left w:val="single" w:color="auto" w:sz="4" w:space="0"/>
              <w:bottom w:val="single" w:color="auto" w:sz="4" w:space="0"/>
              <w:right w:val="single" w:color="auto" w:sz="4" w:space="0"/>
            </w:tcBorders>
            <w:noWrap/>
            <w:vAlign w:val="center"/>
          </w:tcPr>
          <w:p>
            <w:pPr>
              <w:rPr>
                <w:rFonts w:hint="eastAsia" w:ascii="仿宋" w:hAnsi="仿宋" w:eastAsia="仿宋" w:cs="仿宋"/>
                <w:szCs w:val="21"/>
                <w:highlight w:val="none"/>
              </w:rPr>
            </w:pPr>
            <w:r>
              <w:rPr>
                <w:rFonts w:hint="eastAsia" w:ascii="仿宋" w:hAnsi="仿宋" w:eastAsia="仿宋" w:cs="仿宋"/>
                <w:szCs w:val="21"/>
                <w:highlight w:val="none"/>
              </w:rPr>
              <w:t>存储扩容要求</w:t>
            </w:r>
          </w:p>
        </w:tc>
        <w:tc>
          <w:tcPr>
            <w:tcW w:w="7087" w:type="dxa"/>
            <w:tcBorders>
              <w:top w:val="single" w:color="auto" w:sz="4" w:space="0"/>
              <w:left w:val="nil"/>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原有EMC Unity 480扩容4块1.6T SSD硬盘；提供原厂三年7*24小时的售后服务</w:t>
            </w:r>
          </w:p>
        </w:tc>
      </w:tr>
    </w:tbl>
    <w:p>
      <w:pPr>
        <w:rPr>
          <w:rFonts w:hint="eastAsia" w:ascii="仿宋" w:hAnsi="仿宋" w:eastAsia="仿宋" w:cs="仿宋"/>
          <w:szCs w:val="21"/>
          <w:highlight w:val="none"/>
        </w:rPr>
      </w:pPr>
    </w:p>
    <w:p>
      <w:pPr>
        <w:rPr>
          <w:rFonts w:hint="eastAsia" w:ascii="仿宋" w:hAnsi="仿宋" w:eastAsia="仿宋" w:cs="仿宋"/>
          <w:szCs w:val="21"/>
          <w:highlight w:val="none"/>
        </w:rPr>
      </w:pPr>
      <w:r>
        <w:rPr>
          <w:rFonts w:hint="eastAsia" w:ascii="仿宋" w:hAnsi="仿宋" w:eastAsia="仿宋" w:cs="仿宋"/>
          <w:szCs w:val="21"/>
          <w:highlight w:val="none"/>
        </w:rPr>
        <w:t>3. 服务器内存技术指标要求：</w:t>
      </w:r>
    </w:p>
    <w:tbl>
      <w:tblPr>
        <w:tblStyle w:val="43"/>
        <w:tblW w:w="8647" w:type="dxa"/>
        <w:tblInd w:w="-5" w:type="dxa"/>
        <w:tblLayout w:type="autofit"/>
        <w:tblCellMar>
          <w:top w:w="0" w:type="dxa"/>
          <w:left w:w="108" w:type="dxa"/>
          <w:bottom w:w="0" w:type="dxa"/>
          <w:right w:w="108" w:type="dxa"/>
        </w:tblCellMar>
      </w:tblPr>
      <w:tblGrid>
        <w:gridCol w:w="1560"/>
        <w:gridCol w:w="7087"/>
      </w:tblGrid>
      <w:tr>
        <w:tblPrEx>
          <w:tblCellMar>
            <w:top w:w="0" w:type="dxa"/>
            <w:left w:w="108" w:type="dxa"/>
            <w:bottom w:w="0" w:type="dxa"/>
            <w:right w:w="108" w:type="dxa"/>
          </w:tblCellMar>
        </w:tblPrEx>
        <w:trPr>
          <w:trHeight w:val="318" w:hRule="atLeast"/>
        </w:trPr>
        <w:tc>
          <w:tcPr>
            <w:tcW w:w="1560" w:type="dxa"/>
            <w:tcBorders>
              <w:top w:val="single" w:color="auto" w:sz="4" w:space="0"/>
              <w:left w:val="single" w:color="auto" w:sz="4" w:space="0"/>
              <w:bottom w:val="single" w:color="auto" w:sz="4" w:space="0"/>
              <w:right w:val="single" w:color="auto" w:sz="4" w:space="0"/>
            </w:tcBorders>
            <w:noWrap/>
            <w:vAlign w:val="center"/>
          </w:tcPr>
          <w:p>
            <w:pPr>
              <w:rPr>
                <w:rFonts w:hint="eastAsia" w:ascii="仿宋" w:hAnsi="仿宋" w:eastAsia="仿宋" w:cs="仿宋"/>
                <w:szCs w:val="21"/>
                <w:highlight w:val="none"/>
              </w:rPr>
            </w:pPr>
            <w:r>
              <w:rPr>
                <w:rFonts w:hint="eastAsia" w:ascii="仿宋" w:hAnsi="仿宋" w:eastAsia="仿宋" w:cs="仿宋"/>
                <w:szCs w:val="21"/>
                <w:highlight w:val="none"/>
              </w:rPr>
              <w:t>项目</w:t>
            </w:r>
          </w:p>
        </w:tc>
        <w:tc>
          <w:tcPr>
            <w:tcW w:w="7087" w:type="dxa"/>
            <w:tcBorders>
              <w:top w:val="single" w:color="auto" w:sz="4" w:space="0"/>
              <w:left w:val="nil"/>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配置</w:t>
            </w:r>
          </w:p>
        </w:tc>
      </w:tr>
      <w:tr>
        <w:tblPrEx>
          <w:tblCellMar>
            <w:top w:w="0" w:type="dxa"/>
            <w:left w:w="108" w:type="dxa"/>
            <w:bottom w:w="0" w:type="dxa"/>
            <w:right w:w="108" w:type="dxa"/>
          </w:tblCellMar>
        </w:tblPrEx>
        <w:trPr>
          <w:trHeight w:val="318" w:hRule="atLeast"/>
        </w:trPr>
        <w:tc>
          <w:tcPr>
            <w:tcW w:w="1560" w:type="dxa"/>
            <w:tcBorders>
              <w:top w:val="single" w:color="auto" w:sz="4" w:space="0"/>
              <w:left w:val="single" w:color="auto" w:sz="4" w:space="0"/>
              <w:bottom w:val="single" w:color="auto" w:sz="4" w:space="0"/>
              <w:right w:val="single" w:color="auto" w:sz="4" w:space="0"/>
            </w:tcBorders>
            <w:noWrap/>
            <w:vAlign w:val="center"/>
          </w:tcPr>
          <w:p>
            <w:pPr>
              <w:rPr>
                <w:rFonts w:hint="eastAsia" w:ascii="仿宋" w:hAnsi="仿宋" w:eastAsia="仿宋" w:cs="仿宋"/>
                <w:szCs w:val="21"/>
                <w:highlight w:val="none"/>
              </w:rPr>
            </w:pPr>
            <w:r>
              <w:rPr>
                <w:rFonts w:hint="eastAsia" w:ascii="仿宋" w:hAnsi="仿宋" w:eastAsia="仿宋" w:cs="仿宋"/>
                <w:szCs w:val="21"/>
                <w:highlight w:val="none"/>
              </w:rPr>
              <w:t>内存要求</w:t>
            </w:r>
          </w:p>
        </w:tc>
        <w:tc>
          <w:tcPr>
            <w:tcW w:w="7087" w:type="dxa"/>
            <w:tcBorders>
              <w:top w:val="single" w:color="auto" w:sz="4" w:space="0"/>
              <w:left w:val="nil"/>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原有DELL R940服务器内存256G，现要求升级到512G；提供原厂三年7*24小时的售后服务</w:t>
            </w:r>
          </w:p>
        </w:tc>
      </w:tr>
    </w:tbl>
    <w:p>
      <w:pPr>
        <w:rPr>
          <w:rFonts w:hint="eastAsia" w:ascii="仿宋" w:hAnsi="仿宋" w:eastAsia="仿宋" w:cs="仿宋"/>
          <w:szCs w:val="21"/>
          <w:highlight w:val="none"/>
        </w:rPr>
      </w:pPr>
    </w:p>
    <w:p>
      <w:pPr>
        <w:rPr>
          <w:rFonts w:hint="eastAsia" w:ascii="仿宋" w:hAnsi="仿宋" w:eastAsia="仿宋" w:cs="仿宋"/>
          <w:b/>
          <w:bCs/>
          <w:szCs w:val="21"/>
          <w:highlight w:val="none"/>
        </w:rPr>
      </w:pPr>
      <w:r>
        <w:rPr>
          <w:rFonts w:hint="eastAsia" w:ascii="仿宋" w:hAnsi="仿宋" w:eastAsia="仿宋" w:cs="仿宋"/>
          <w:b/>
          <w:bCs/>
          <w:szCs w:val="21"/>
          <w:highlight w:val="none"/>
        </w:rPr>
        <w:t>三、服务及其他要求</w:t>
      </w:r>
    </w:p>
    <w:p>
      <w:pPr>
        <w:rPr>
          <w:rFonts w:hint="eastAsia" w:ascii="仿宋" w:hAnsi="仿宋" w:eastAsia="仿宋" w:cs="仿宋"/>
          <w:szCs w:val="21"/>
          <w:highlight w:val="none"/>
        </w:rPr>
      </w:pPr>
      <w:r>
        <w:rPr>
          <w:rFonts w:hint="eastAsia" w:ascii="仿宋" w:hAnsi="仿宋" w:eastAsia="仿宋" w:cs="仿宋"/>
          <w:szCs w:val="21"/>
          <w:highlight w:val="none"/>
        </w:rPr>
        <w:t>3.1中标人必须保证所有设备为原装正规渠道行货,有原厂服务、如有需要则提供正规渠道等证明，所有产品均原包装到用户，当场开箱验货.同时提供该设备相关技术参数的说明.如不符招标书技术要求,招标人有权退货并且后果一概由中标人承担。</w:t>
      </w:r>
    </w:p>
    <w:p>
      <w:pPr>
        <w:rPr>
          <w:rFonts w:hint="eastAsia" w:ascii="仿宋" w:hAnsi="仿宋" w:eastAsia="仿宋" w:cs="仿宋"/>
          <w:szCs w:val="21"/>
          <w:highlight w:val="none"/>
        </w:rPr>
      </w:pPr>
      <w:r>
        <w:rPr>
          <w:rFonts w:hint="eastAsia" w:ascii="仿宋" w:hAnsi="仿宋" w:eastAsia="仿宋" w:cs="仿宋"/>
          <w:szCs w:val="21"/>
          <w:highlight w:val="none"/>
        </w:rPr>
        <w:t>3.2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相应设备的认证服务工程师，提供项目组成员资质证明和本单位社保证明，如发现项目为转包项目，取消其中标资格且后果一概由中标人承担。</w:t>
      </w:r>
    </w:p>
    <w:p>
      <w:pPr>
        <w:rPr>
          <w:rFonts w:hint="eastAsia" w:ascii="仿宋" w:hAnsi="仿宋" w:eastAsia="仿宋" w:cs="仿宋"/>
          <w:szCs w:val="21"/>
          <w:highlight w:val="none"/>
        </w:rPr>
      </w:pPr>
      <w:r>
        <w:rPr>
          <w:rFonts w:hint="eastAsia" w:ascii="仿宋" w:hAnsi="仿宋" w:eastAsia="仿宋" w:cs="仿宋"/>
          <w:szCs w:val="21"/>
          <w:highlight w:val="none"/>
        </w:rPr>
        <w:t>3.3中标人在签订合同时必须向招标人提供标书要求的提供存储虚拟化设备和配件原厂三年保修承诺函原件。由原厂授权工程师和原厂认证工程师到本地完成招标设备安装及测试工作和数据库服务器存储安装、数据库系统和数据库迁移、核心网络等配置调整工作,不得影响原有业务系统，要求做好原有系统相关的原有服务器、数据库系统及网络配置及版本升级等工作，本项目涉及招标人内部业务系统及原有设备调整，中标人必须保证原有系统正常营业，如需原来中标人协助请自行协商，招标人不再承担任何费用。</w:t>
      </w:r>
    </w:p>
    <w:p>
      <w:pPr>
        <w:rPr>
          <w:rFonts w:hint="eastAsia" w:ascii="仿宋" w:hAnsi="仿宋" w:eastAsia="仿宋" w:cs="仿宋"/>
          <w:szCs w:val="21"/>
          <w:highlight w:val="none"/>
        </w:rPr>
      </w:pPr>
      <w:r>
        <w:rPr>
          <w:rFonts w:hint="eastAsia" w:ascii="仿宋" w:hAnsi="仿宋" w:eastAsia="仿宋" w:cs="仿宋"/>
          <w:szCs w:val="21"/>
          <w:highlight w:val="none"/>
        </w:rPr>
        <w:t>3.4到货期：中标人在合同签订之日起30天内所有设备全部到货（用户根据工程进度需要延迟的除外），开箱验收后根椐招标人要求完成安装调试，安装过程中用户不负责保管，直至系统正式上线的所有费用有中标人自行负责。</w:t>
      </w:r>
    </w:p>
    <w:p>
      <w:pPr>
        <w:rPr>
          <w:rFonts w:hint="eastAsia" w:ascii="仿宋" w:hAnsi="仿宋" w:eastAsia="仿宋" w:cs="仿宋"/>
          <w:szCs w:val="21"/>
          <w:highlight w:val="none"/>
        </w:rPr>
      </w:pPr>
      <w:r>
        <w:rPr>
          <w:rFonts w:hint="eastAsia" w:ascii="仿宋" w:hAnsi="仿宋" w:eastAsia="仿宋" w:cs="仿宋"/>
          <w:szCs w:val="21"/>
          <w:highlight w:val="none"/>
        </w:rPr>
        <w:t>3.5付款方式:按《浙江省财政厅关于坚决打赢疫情防控阻击战进一步做好政府采购资金支持企业发展工作的通知》（浙财采监〔2020〕3号）和《浙江省财政厅关于进一步发挥政府采购政策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rPr>
          <w:rFonts w:hint="eastAsia" w:ascii="仿宋" w:hAnsi="仿宋" w:eastAsia="仿宋" w:cs="仿宋"/>
          <w:szCs w:val="21"/>
          <w:highlight w:val="none"/>
        </w:rPr>
      </w:pPr>
      <w:r>
        <w:rPr>
          <w:rFonts w:hint="eastAsia" w:ascii="仿宋" w:hAnsi="仿宋" w:eastAsia="仿宋" w:cs="仿宋"/>
          <w:szCs w:val="21"/>
          <w:highlight w:val="none"/>
        </w:rPr>
        <w:t>发票章单位名称必须与投标时公章名称相符合，否则医院有权拒付相关款项。</w:t>
      </w:r>
    </w:p>
    <w:p>
      <w:pPr>
        <w:rPr>
          <w:rFonts w:hint="eastAsia" w:ascii="仿宋" w:hAnsi="仿宋" w:eastAsia="仿宋" w:cs="仿宋"/>
          <w:szCs w:val="21"/>
          <w:highlight w:val="none"/>
        </w:rPr>
      </w:pPr>
      <w:r>
        <w:rPr>
          <w:rFonts w:hint="eastAsia" w:ascii="仿宋" w:hAnsi="仿宋" w:eastAsia="仿宋" w:cs="仿宋"/>
          <w:b/>
          <w:bCs/>
          <w:szCs w:val="21"/>
          <w:highlight w:val="none"/>
        </w:rPr>
        <w:t>四、其他</w:t>
      </w:r>
      <w:r>
        <w:rPr>
          <w:rFonts w:hint="eastAsia" w:ascii="仿宋" w:hAnsi="仿宋" w:eastAsia="仿宋" w:cs="仿宋"/>
          <w:szCs w:val="21"/>
          <w:highlight w:val="none"/>
        </w:rPr>
        <w:t>：</w:t>
      </w:r>
    </w:p>
    <w:p>
      <w:pPr>
        <w:rPr>
          <w:rFonts w:hint="eastAsia" w:ascii="仿宋" w:hAnsi="仿宋" w:eastAsia="仿宋" w:cs="仿宋"/>
          <w:szCs w:val="21"/>
          <w:highlight w:val="none"/>
        </w:rPr>
      </w:pPr>
      <w:r>
        <w:rPr>
          <w:rFonts w:hint="eastAsia" w:ascii="仿宋" w:hAnsi="仿宋" w:eastAsia="仿宋" w:cs="仿宋"/>
          <w:szCs w:val="21"/>
          <w:highlight w:val="none"/>
        </w:rPr>
        <w:t>4.1项目验收所需所有费用由中标单位承担；</w:t>
      </w:r>
    </w:p>
    <w:p>
      <w:pPr>
        <w:rPr>
          <w:rFonts w:hint="eastAsia" w:ascii="仿宋" w:hAnsi="仿宋" w:eastAsia="仿宋" w:cs="仿宋"/>
          <w:szCs w:val="21"/>
          <w:highlight w:val="none"/>
        </w:rPr>
      </w:pPr>
      <w:r>
        <w:rPr>
          <w:rFonts w:hint="eastAsia" w:ascii="仿宋" w:hAnsi="仿宋" w:eastAsia="仿宋" w:cs="仿宋"/>
          <w:szCs w:val="21"/>
          <w:highlight w:val="none"/>
        </w:rPr>
        <w:t>4.2中标方必须在投标文件里对免费维保期满后费用等问题做专门详细说明和承诺。</w:t>
      </w:r>
    </w:p>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政府采购合同参考范本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282"/>
        <w:rPr>
          <w:rFonts w:hint="eastAsia" w:ascii="仿宋" w:hAnsi="仿宋" w:eastAsia="仿宋" w:cs="仿宋"/>
          <w:szCs w:val="24"/>
          <w:highlight w:val="none"/>
        </w:rPr>
      </w:pPr>
    </w:p>
    <w:p>
      <w:pPr>
        <w:pStyle w:val="282"/>
        <w:rPr>
          <w:rFonts w:hint="eastAsia" w:ascii="仿宋" w:hAnsi="仿宋" w:eastAsia="仿宋" w:cs="仿宋"/>
          <w:szCs w:val="24"/>
          <w:highlight w:val="none"/>
        </w:rPr>
      </w:pPr>
    </w:p>
    <w:p>
      <w:pPr>
        <w:pStyle w:val="282"/>
        <w:jc w:val="center"/>
        <w:rPr>
          <w:rFonts w:hint="eastAsia" w:ascii="仿宋" w:hAnsi="仿宋" w:eastAsia="仿宋" w:cs="仿宋"/>
          <w:szCs w:val="24"/>
          <w:highlight w:val="none"/>
        </w:rPr>
      </w:pPr>
    </w:p>
    <w:p>
      <w:pPr>
        <w:pStyle w:val="282"/>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pStyle w:val="282"/>
        <w:rPr>
          <w:rFonts w:hint="eastAsia" w:ascii="仿宋" w:hAnsi="仿宋" w:eastAsia="仿宋" w:cs="仿宋"/>
          <w:szCs w:val="24"/>
          <w:highlight w:val="none"/>
        </w:rPr>
      </w:pPr>
    </w:p>
    <w:p>
      <w:pPr>
        <w:pStyle w:val="282"/>
        <w:rPr>
          <w:rFonts w:hint="eastAsia" w:ascii="仿宋" w:hAnsi="仿宋" w:eastAsia="仿宋" w:cs="仿宋"/>
          <w:szCs w:val="24"/>
          <w:highlight w:val="none"/>
        </w:rPr>
      </w:pP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281"/>
        <w:spacing w:before="120" w:line="22" w:lineRule="atLeast"/>
        <w:rPr>
          <w:rFonts w:hint="eastAsia" w:ascii="仿宋" w:hAnsi="仿宋" w:eastAsia="仿宋" w:cs="仿宋"/>
          <w:szCs w:val="24"/>
          <w:highlight w:val="none"/>
        </w:rPr>
      </w:pPr>
    </w:p>
    <w:p>
      <w:pPr>
        <w:pStyle w:val="281"/>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15" w:name="_Toc24059"/>
      <w:bookmarkStart w:id="16" w:name="_Toc2232"/>
      <w:bookmarkStart w:id="17" w:name="_Toc3029"/>
      <w:r>
        <w:rPr>
          <w:rFonts w:hint="eastAsia" w:ascii="仿宋" w:hAnsi="仿宋" w:eastAsia="仿宋" w:cs="仿宋"/>
          <w:b/>
          <w:sz w:val="24"/>
          <w:highlight w:val="none"/>
        </w:rPr>
        <w:t>1.1 合同组成部分</w:t>
      </w:r>
      <w:bookmarkEnd w:id="15"/>
      <w:bookmarkEnd w:id="16"/>
      <w:bookmarkEnd w:id="1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18" w:name="_Toc24300"/>
      <w:bookmarkStart w:id="19" w:name="_Toc21295"/>
      <w:bookmarkStart w:id="20" w:name="_Toc27126"/>
      <w:r>
        <w:rPr>
          <w:rFonts w:hint="eastAsia" w:ascii="仿宋" w:hAnsi="仿宋" w:eastAsia="仿宋" w:cs="仿宋"/>
          <w:b/>
          <w:sz w:val="24"/>
          <w:highlight w:val="none"/>
        </w:rPr>
        <w:t>1.2 货物</w:t>
      </w:r>
      <w:bookmarkEnd w:id="18"/>
      <w:bookmarkEnd w:id="19"/>
      <w:bookmarkEnd w:id="20"/>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货物名称：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21" w:name="_Toc23292"/>
      <w:bookmarkStart w:id="22" w:name="_Toc21551"/>
      <w:bookmarkStart w:id="23" w:name="_Toc21631"/>
      <w:r>
        <w:rPr>
          <w:rFonts w:hint="eastAsia" w:ascii="仿宋" w:hAnsi="仿宋" w:eastAsia="仿宋" w:cs="仿宋"/>
          <w:b/>
          <w:sz w:val="24"/>
          <w:highlight w:val="none"/>
        </w:rPr>
        <w:t>1.3 价款</w:t>
      </w:r>
      <w:bookmarkEnd w:id="21"/>
      <w:bookmarkEnd w:id="22"/>
      <w:bookmarkEnd w:id="2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bl>
    <w:p>
      <w:pPr>
        <w:spacing w:line="440" w:lineRule="exact"/>
        <w:ind w:firstLine="482" w:firstLineChars="200"/>
        <w:outlineLvl w:val="0"/>
        <w:rPr>
          <w:rFonts w:hint="eastAsia" w:ascii="仿宋" w:hAnsi="仿宋" w:eastAsia="仿宋" w:cs="仿宋"/>
          <w:b/>
          <w:sz w:val="24"/>
          <w:highlight w:val="none"/>
        </w:rPr>
      </w:pPr>
      <w:bookmarkStart w:id="24" w:name="_Toc10340"/>
      <w:bookmarkStart w:id="25" w:name="_Toc1814"/>
      <w:bookmarkStart w:id="26" w:name="_Toc22618"/>
      <w:r>
        <w:rPr>
          <w:rFonts w:hint="eastAsia" w:ascii="仿宋" w:hAnsi="仿宋" w:eastAsia="仿宋" w:cs="仿宋"/>
          <w:b/>
          <w:sz w:val="24"/>
          <w:highlight w:val="none"/>
        </w:rPr>
        <w:t>1.4 付款</w:t>
      </w:r>
      <w:bookmarkEnd w:id="24"/>
      <w:bookmarkEnd w:id="25"/>
      <w:bookmarkEnd w:id="26"/>
      <w:r>
        <w:rPr>
          <w:rFonts w:hint="eastAsia" w:ascii="仿宋" w:hAnsi="仿宋" w:eastAsia="仿宋" w:cs="仿宋"/>
          <w:b/>
          <w:sz w:val="24"/>
          <w:highlight w:val="none"/>
        </w:rPr>
        <w:t>方式、时间和条件</w:t>
      </w:r>
    </w:p>
    <w:p>
      <w:pPr>
        <w:pStyle w:val="283"/>
        <w:spacing w:before="0" w:beforeAutospacing="0" w:after="0" w:afterAutospacing="0" w:line="440" w:lineRule="exact"/>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hint="eastAsia" w:ascii="仿宋" w:hAnsi="仿宋" w:eastAsia="仿宋" w:cs="仿宋"/>
          <w:b/>
          <w:sz w:val="24"/>
          <w:highlight w:val="none"/>
        </w:rPr>
      </w:pPr>
      <w:bookmarkStart w:id="27" w:name="_Toc32071"/>
      <w:bookmarkStart w:id="28" w:name="_Toc2846"/>
      <w:bookmarkStart w:id="29" w:name="_Toc19304"/>
      <w:r>
        <w:rPr>
          <w:rFonts w:hint="eastAsia" w:ascii="仿宋" w:hAnsi="仿宋" w:eastAsia="仿宋" w:cs="仿宋"/>
          <w:b/>
          <w:sz w:val="24"/>
          <w:highlight w:val="none"/>
        </w:rPr>
        <w:t>1.5 货物交付期限、地点和方式</w:t>
      </w:r>
      <w:bookmarkEnd w:id="27"/>
      <w:bookmarkEnd w:id="28"/>
      <w:bookmarkEnd w:id="29"/>
    </w:p>
    <w:p>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1.5.1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30" w:name="_Toc21423"/>
      <w:bookmarkStart w:id="31" w:name="_Toc19554"/>
      <w:bookmarkStart w:id="32" w:name="_Toc27250"/>
      <w:r>
        <w:rPr>
          <w:rFonts w:hint="eastAsia" w:ascii="仿宋" w:hAnsi="仿宋" w:eastAsia="仿宋" w:cs="仿宋"/>
          <w:b/>
          <w:sz w:val="24"/>
          <w:highlight w:val="none"/>
        </w:rPr>
        <w:t>1.6 违约责任</w:t>
      </w:r>
      <w:bookmarkEnd w:id="30"/>
      <w:bookmarkEnd w:id="31"/>
      <w:bookmarkEnd w:id="3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1.6.7违约责任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33" w:name="_Toc28375"/>
      <w:bookmarkStart w:id="34" w:name="_Toc15583"/>
      <w:bookmarkStart w:id="35" w:name="_Toc16021"/>
      <w:r>
        <w:rPr>
          <w:rFonts w:hint="eastAsia" w:ascii="仿宋" w:hAnsi="仿宋" w:eastAsia="仿宋" w:cs="仿宋"/>
          <w:b/>
          <w:sz w:val="24"/>
          <w:highlight w:val="none"/>
        </w:rPr>
        <w:t>1.7 合同争议的解决</w:t>
      </w:r>
      <w:bookmarkEnd w:id="33"/>
      <w:bookmarkEnd w:id="34"/>
      <w:bookmarkEnd w:id="35"/>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1.7.1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1.7.2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36" w:name="_Toc11173"/>
      <w:bookmarkStart w:id="37" w:name="_Toc15322"/>
      <w:bookmarkStart w:id="38" w:name="_Toc7245"/>
      <w:r>
        <w:rPr>
          <w:rFonts w:hint="eastAsia" w:ascii="仿宋" w:hAnsi="仿宋" w:eastAsia="仿宋" w:cs="仿宋"/>
          <w:b/>
          <w:sz w:val="24"/>
          <w:highlight w:val="none"/>
        </w:rPr>
        <w:t>1.8 合同生效</w:t>
      </w:r>
      <w:bookmarkEnd w:id="36"/>
      <w:bookmarkEnd w:id="37"/>
      <w:bookmarkEnd w:id="38"/>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24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24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rPr>
          <w:rFonts w:hint="eastAsia" w:ascii="仿宋" w:hAnsi="仿宋" w:eastAsia="仿宋" w:cs="仿宋"/>
          <w:sz w:val="24"/>
          <w:highlight w:val="none"/>
          <w:u w:val="single"/>
        </w:rPr>
      </w:pPr>
    </w:p>
    <w:p>
      <w:pPr>
        <w:pStyle w:val="282"/>
        <w:pageBreakBefore/>
        <w:spacing w:line="560" w:lineRule="exact"/>
        <w:ind w:firstLine="723"/>
        <w:jc w:val="center"/>
        <w:rPr>
          <w:rFonts w:hint="eastAsia" w:ascii="仿宋" w:hAnsi="仿宋" w:eastAsia="仿宋" w:cs="仿宋"/>
          <w:b/>
          <w:sz w:val="36"/>
          <w:szCs w:val="36"/>
          <w:highlight w:val="none"/>
        </w:rPr>
      </w:pPr>
      <w:bookmarkStart w:id="39" w:name="_Toc331685783"/>
      <w:r>
        <w:rPr>
          <w:rFonts w:hint="eastAsia" w:ascii="仿宋" w:hAnsi="仿宋" w:eastAsia="仿宋" w:cs="仿宋"/>
          <w:b/>
          <w:sz w:val="36"/>
          <w:szCs w:val="36"/>
          <w:highlight w:val="none"/>
        </w:rPr>
        <w:t>第二部分合同一般条款</w:t>
      </w:r>
      <w:bookmarkEnd w:id="39"/>
    </w:p>
    <w:p>
      <w:pPr>
        <w:spacing w:line="560" w:lineRule="exact"/>
        <w:ind w:firstLine="482" w:firstLineChars="200"/>
        <w:outlineLvl w:val="0"/>
        <w:rPr>
          <w:rFonts w:hint="eastAsia" w:ascii="仿宋" w:hAnsi="仿宋" w:eastAsia="仿宋" w:cs="仿宋"/>
          <w:b/>
          <w:sz w:val="24"/>
          <w:highlight w:val="none"/>
        </w:rPr>
      </w:pPr>
      <w:bookmarkStart w:id="40" w:name="_Ref467379094"/>
      <w:bookmarkStart w:id="41" w:name="_Toc487900349"/>
      <w:bookmarkStart w:id="42" w:name="_Ref467378499"/>
      <w:bookmarkStart w:id="43" w:name="_Toc259093669"/>
      <w:bookmarkStart w:id="44" w:name="_Toc28763"/>
      <w:bookmarkStart w:id="45" w:name="_Ref467379205"/>
      <w:bookmarkStart w:id="46" w:name="_Ref467378404"/>
      <w:bookmarkStart w:id="47" w:name="_Toc16917"/>
      <w:bookmarkStart w:id="48" w:name="_Ref467379101"/>
      <w:bookmarkStart w:id="49" w:name="_Toc19614"/>
      <w:bookmarkStart w:id="50" w:name="_Ref467379214"/>
      <w:bookmarkStart w:id="51" w:name="_Toc279701240"/>
      <w:bookmarkStart w:id="52" w:name="_Ref467378463"/>
      <w:bookmarkStart w:id="53" w:name="_Ref467379195"/>
      <w:bookmarkStart w:id="54" w:name="_Ref467379109"/>
      <w:bookmarkStart w:id="55" w:name="_Ref467379225"/>
      <w:r>
        <w:rPr>
          <w:rFonts w:hint="eastAsia" w:ascii="仿宋" w:hAnsi="仿宋" w:eastAsia="仿宋" w:cs="仿宋"/>
          <w:b/>
          <w:sz w:val="24"/>
          <w:highlight w:val="none"/>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highlight w:val="none"/>
        </w:rPr>
      </w:pPr>
      <w:bookmarkStart w:id="56" w:name="_Ref467378840"/>
      <w:r>
        <w:rPr>
          <w:rFonts w:hint="eastAsia" w:ascii="仿宋" w:hAnsi="仿宋" w:eastAsia="仿宋" w:cs="仿宋"/>
          <w:sz w:val="24"/>
          <w:highlight w:val="none"/>
        </w:rPr>
        <w:t>2.1.4 “甲方”系指与中标供应商签署合同的采购人</w:t>
      </w:r>
      <w:bookmarkEnd w:id="56"/>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bookmarkStart w:id="57" w:name="_Ref467379400"/>
      <w:r>
        <w:rPr>
          <w:rFonts w:hint="eastAsia" w:ascii="仿宋" w:hAnsi="仿宋" w:eastAsia="仿宋" w:cs="仿宋"/>
          <w:sz w:val="24"/>
          <w:highlight w:val="none"/>
        </w:rPr>
        <w:t>2.1.5 “乙方”系指根据合同约定交付货物的中标供应商</w:t>
      </w:r>
      <w:bookmarkEnd w:id="57"/>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bookmarkStart w:id="58" w:name="_Ref467379436"/>
      <w:r>
        <w:rPr>
          <w:rFonts w:hint="eastAsia" w:ascii="仿宋" w:hAnsi="仿宋" w:eastAsia="仿宋" w:cs="仿宋"/>
          <w:sz w:val="24"/>
          <w:highlight w:val="none"/>
        </w:rPr>
        <w:t>2.1.6 “现场”系指合同约定货物将要运至或者安装的地点。</w:t>
      </w:r>
      <w:bookmarkEnd w:id="58"/>
    </w:p>
    <w:p>
      <w:pPr>
        <w:spacing w:line="560" w:lineRule="exact"/>
        <w:ind w:firstLine="482" w:firstLineChars="200"/>
        <w:outlineLvl w:val="0"/>
        <w:rPr>
          <w:rFonts w:hint="eastAsia" w:ascii="仿宋" w:hAnsi="仿宋" w:eastAsia="仿宋" w:cs="仿宋"/>
          <w:b/>
          <w:sz w:val="24"/>
          <w:highlight w:val="none"/>
        </w:rPr>
      </w:pPr>
      <w:bookmarkStart w:id="59" w:name="_Toc13336"/>
      <w:bookmarkStart w:id="60" w:name="_Toc259093670"/>
      <w:bookmarkStart w:id="61" w:name="_Toc27635"/>
      <w:bookmarkStart w:id="62" w:name="_Toc487900350"/>
      <w:bookmarkStart w:id="63" w:name="_Toc279701241"/>
      <w:bookmarkStart w:id="64" w:name="_Toc32504"/>
      <w:r>
        <w:rPr>
          <w:rFonts w:hint="eastAsia" w:ascii="仿宋" w:hAnsi="仿宋" w:eastAsia="仿宋" w:cs="仿宋"/>
          <w:b/>
          <w:sz w:val="24"/>
          <w:highlight w:val="none"/>
        </w:rPr>
        <w:t>2.2 技术规范</w:t>
      </w:r>
      <w:bookmarkEnd w:id="59"/>
      <w:bookmarkEnd w:id="60"/>
      <w:bookmarkEnd w:id="61"/>
      <w:bookmarkEnd w:id="62"/>
      <w:bookmarkEnd w:id="63"/>
      <w:bookmarkEnd w:id="6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65" w:name="_Toc487900351"/>
      <w:bookmarkStart w:id="66" w:name="_Toc9829"/>
      <w:bookmarkStart w:id="67" w:name="_Toc27853"/>
      <w:bookmarkStart w:id="68" w:name="_Toc279701242"/>
      <w:bookmarkStart w:id="69" w:name="_Toc259093671"/>
      <w:bookmarkStart w:id="70" w:name="_Toc31634"/>
      <w:r>
        <w:rPr>
          <w:rFonts w:hint="eastAsia" w:ascii="仿宋" w:hAnsi="仿宋" w:eastAsia="仿宋" w:cs="仿宋"/>
          <w:b/>
          <w:sz w:val="24"/>
          <w:highlight w:val="none"/>
        </w:rPr>
        <w:t>2.3 知识产权</w:t>
      </w:r>
      <w:bookmarkEnd w:id="65"/>
      <w:bookmarkEnd w:id="66"/>
      <w:bookmarkEnd w:id="67"/>
      <w:bookmarkEnd w:id="68"/>
      <w:bookmarkEnd w:id="69"/>
      <w:bookmarkEnd w:id="7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71" w:name="_Toc11932"/>
      <w:bookmarkStart w:id="72" w:name="_Toc4194"/>
      <w:bookmarkStart w:id="73" w:name="_Toc29149"/>
      <w:r>
        <w:rPr>
          <w:rFonts w:hint="eastAsia" w:ascii="仿宋" w:hAnsi="仿宋" w:eastAsia="仿宋" w:cs="仿宋"/>
          <w:b/>
          <w:sz w:val="24"/>
          <w:highlight w:val="none"/>
        </w:rPr>
        <w:t>2.4 包装和装运</w:t>
      </w:r>
      <w:bookmarkEnd w:id="71"/>
      <w:bookmarkEnd w:id="72"/>
      <w:bookmarkEnd w:id="7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Pr>
          <w:rFonts w:hint="eastAsia" w:ascii="仿宋" w:hAnsi="仿宋" w:eastAsia="仿宋" w:cs="仿宋"/>
          <w:b/>
          <w:sz w:val="24"/>
          <w:highlight w:val="none"/>
        </w:rPr>
        <w:t>2.</w:t>
      </w:r>
      <w:bookmarkEnd w:id="74"/>
      <w:bookmarkEnd w:id="75"/>
      <w:bookmarkEnd w:id="76"/>
      <w:bookmarkEnd w:id="77"/>
      <w:bookmarkEnd w:id="78"/>
      <w:bookmarkEnd w:id="79"/>
      <w:bookmarkEnd w:id="80"/>
      <w:bookmarkEnd w:id="81"/>
      <w:r>
        <w:rPr>
          <w:rFonts w:hint="eastAsia" w:ascii="仿宋" w:hAnsi="仿宋" w:eastAsia="仿宋" w:cs="仿宋"/>
          <w:b/>
          <w:sz w:val="24"/>
          <w:highlight w:val="none"/>
        </w:rPr>
        <w:t>5 履约检查和问题反馈</w:t>
      </w:r>
      <w:bookmarkEnd w:id="82"/>
      <w:bookmarkEnd w:id="83"/>
      <w:bookmarkEnd w:id="84"/>
    </w:p>
    <w:p>
      <w:pPr>
        <w:spacing w:line="560" w:lineRule="exact"/>
        <w:ind w:firstLine="480" w:firstLineChars="200"/>
        <w:rPr>
          <w:rFonts w:hint="eastAsia" w:ascii="仿宋" w:hAnsi="仿宋" w:eastAsia="仿宋" w:cs="仿宋"/>
          <w:sz w:val="24"/>
          <w:highlight w:val="none"/>
        </w:rPr>
      </w:pPr>
      <w:bookmarkStart w:id="85" w:name="_Ref467379657"/>
      <w:r>
        <w:rPr>
          <w:rFonts w:hint="eastAsia" w:ascii="仿宋" w:hAnsi="仿宋" w:eastAsia="仿宋" w:cs="仿宋"/>
          <w:sz w:val="24"/>
          <w:highlight w:val="none"/>
        </w:rPr>
        <w:t>2.5.1</w:t>
      </w:r>
      <w:bookmarkEnd w:id="85"/>
      <w:bookmarkStart w:id="86" w:name="_Toc186431854"/>
      <w:bookmarkStart w:id="87" w:name="_Toc487900357"/>
      <w:bookmarkStart w:id="88" w:name="_Toc259093676"/>
      <w:bookmarkStart w:id="89" w:name="_Ref467379793"/>
      <w:bookmarkStart w:id="90" w:name="_Ref467379807"/>
      <w:bookmarkStart w:id="91" w:name="_Toc279701247"/>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sz w:val="24"/>
          <w:highlight w:val="none"/>
        </w:rPr>
        <w:t>。</w:t>
      </w:r>
    </w:p>
    <w:bookmarkEnd w:id="87"/>
    <w:bookmarkEnd w:id="88"/>
    <w:bookmarkEnd w:id="89"/>
    <w:bookmarkEnd w:id="90"/>
    <w:bookmarkEnd w:id="91"/>
    <w:bookmarkEnd w:id="92"/>
    <w:p>
      <w:pPr>
        <w:spacing w:line="560" w:lineRule="exact"/>
        <w:ind w:firstLine="482" w:firstLineChars="200"/>
        <w:outlineLvl w:val="0"/>
        <w:rPr>
          <w:rFonts w:hint="eastAsia" w:ascii="仿宋" w:hAnsi="仿宋" w:eastAsia="仿宋" w:cs="仿宋"/>
          <w:b/>
          <w:sz w:val="24"/>
          <w:highlight w:val="none"/>
        </w:rPr>
      </w:pPr>
      <w:bookmarkStart w:id="93" w:name="_Toc487900358"/>
      <w:bookmarkStart w:id="94" w:name="_Ref467379852"/>
      <w:bookmarkStart w:id="95" w:name="_Toc279701248"/>
      <w:bookmarkStart w:id="96" w:name="_Ref467379863"/>
      <w:bookmarkStart w:id="97" w:name="_Toc259093677"/>
      <w:bookmarkStart w:id="98" w:name="_Ref467379923"/>
      <w:bookmarkStart w:id="99" w:name="_Toc16110"/>
      <w:bookmarkStart w:id="100" w:name="_Toc774"/>
      <w:bookmarkStart w:id="101" w:name="_Toc3225"/>
      <w:r>
        <w:rPr>
          <w:rFonts w:hint="eastAsia" w:ascii="仿宋" w:hAnsi="仿宋" w:eastAsia="仿宋" w:cs="仿宋"/>
          <w:b/>
          <w:sz w:val="24"/>
          <w:highlight w:val="none"/>
        </w:rPr>
        <w:t>2.6 技术资料</w:t>
      </w:r>
      <w:bookmarkEnd w:id="93"/>
      <w:bookmarkEnd w:id="94"/>
      <w:bookmarkEnd w:id="95"/>
      <w:bookmarkEnd w:id="96"/>
      <w:bookmarkEnd w:id="97"/>
      <w:bookmarkEnd w:id="98"/>
      <w:r>
        <w:rPr>
          <w:rFonts w:hint="eastAsia" w:ascii="仿宋" w:hAnsi="仿宋" w:eastAsia="仿宋" w:cs="仿宋"/>
          <w:b/>
          <w:sz w:val="24"/>
          <w:highlight w:val="none"/>
        </w:rPr>
        <w:t>和保密义务</w:t>
      </w:r>
      <w:bookmarkEnd w:id="99"/>
      <w:bookmarkEnd w:id="100"/>
      <w:bookmarkEnd w:id="10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02" w:name="_Toc7860"/>
      <w:r>
        <w:rPr>
          <w:rFonts w:hint="eastAsia" w:ascii="仿宋" w:hAnsi="仿宋" w:eastAsia="仿宋" w:cs="仿宋"/>
          <w:b/>
          <w:sz w:val="24"/>
          <w:highlight w:val="none"/>
        </w:rPr>
        <w:t>2.7 质量保证</w:t>
      </w:r>
      <w:bookmarkEnd w:id="10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03" w:name="_Toc17244"/>
      <w:bookmarkStart w:id="104" w:name="_Toc259093681"/>
      <w:bookmarkStart w:id="105" w:name="_Toc279701252"/>
      <w:bookmarkStart w:id="106" w:name="_Toc487900362"/>
      <w:r>
        <w:rPr>
          <w:rFonts w:hint="eastAsia" w:ascii="仿宋" w:hAnsi="仿宋" w:eastAsia="仿宋" w:cs="仿宋"/>
          <w:b/>
          <w:sz w:val="24"/>
          <w:highlight w:val="none"/>
        </w:rPr>
        <w:t>2.8 货物的风险负担</w:t>
      </w:r>
      <w:bookmarkEnd w:id="103"/>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07" w:name="_Toc14055"/>
      <w:r>
        <w:rPr>
          <w:rFonts w:hint="eastAsia" w:ascii="仿宋" w:hAnsi="仿宋" w:eastAsia="仿宋" w:cs="仿宋"/>
          <w:b/>
          <w:sz w:val="24"/>
          <w:highlight w:val="none"/>
        </w:rPr>
        <w:t>2.9 延迟交货</w:t>
      </w:r>
      <w:bookmarkEnd w:id="104"/>
      <w:bookmarkEnd w:id="105"/>
      <w:bookmarkEnd w:id="106"/>
      <w:bookmarkEnd w:id="10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highlight w:val="none"/>
        </w:rPr>
      </w:pPr>
      <w:bookmarkStart w:id="108" w:name="_Toc7502"/>
      <w:bookmarkStart w:id="109" w:name="_Ref467378121"/>
      <w:bookmarkStart w:id="110" w:name="_Toc279701254"/>
      <w:bookmarkStart w:id="111" w:name="_Toc487900364"/>
      <w:bookmarkStart w:id="112" w:name="_Toc259093683"/>
      <w:r>
        <w:rPr>
          <w:rFonts w:hint="eastAsia" w:ascii="仿宋" w:hAnsi="仿宋" w:eastAsia="仿宋" w:cs="仿宋"/>
          <w:b/>
          <w:sz w:val="24"/>
          <w:highlight w:val="none"/>
        </w:rPr>
        <w:t>2.10 合同变更</w:t>
      </w:r>
      <w:bookmarkEnd w:id="10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pPr>
        <w:spacing w:line="560" w:lineRule="exact"/>
        <w:ind w:firstLine="482" w:firstLineChars="200"/>
        <w:outlineLvl w:val="0"/>
        <w:rPr>
          <w:rFonts w:hint="eastAsia" w:ascii="仿宋" w:hAnsi="仿宋" w:eastAsia="仿宋" w:cs="仿宋"/>
          <w:b/>
          <w:color w:val="FF0000"/>
          <w:sz w:val="24"/>
          <w:highlight w:val="none"/>
        </w:rPr>
      </w:pPr>
      <w:bookmarkStart w:id="116" w:name="_Toc22955"/>
      <w:bookmarkStart w:id="117" w:name="_Toc15237"/>
      <w:bookmarkStart w:id="118" w:name="_Toc10366"/>
      <w:r>
        <w:rPr>
          <w:rFonts w:hint="eastAsia" w:ascii="仿宋" w:hAnsi="仿宋" w:eastAsia="仿宋" w:cs="仿宋"/>
          <w:b/>
          <w:sz w:val="24"/>
          <w:highlight w:val="none"/>
        </w:rPr>
        <w:t>2.11 合同转让</w:t>
      </w:r>
      <w:bookmarkEnd w:id="113"/>
      <w:bookmarkEnd w:id="114"/>
      <w:bookmarkEnd w:id="115"/>
      <w:r>
        <w:rPr>
          <w:rFonts w:hint="eastAsia" w:ascii="仿宋" w:hAnsi="仿宋" w:eastAsia="仿宋" w:cs="仿宋"/>
          <w:b/>
          <w:sz w:val="24"/>
          <w:highlight w:val="none"/>
        </w:rPr>
        <w:t>和分包</w:t>
      </w:r>
      <w:bookmarkEnd w:id="116"/>
      <w:bookmarkEnd w:id="117"/>
      <w:bookmarkEnd w:id="118"/>
      <w:r>
        <w:rPr>
          <w:rFonts w:hint="eastAsia" w:ascii="仿宋" w:hAnsi="仿宋" w:eastAsia="仿宋" w:cs="仿宋"/>
          <w:b/>
          <w:sz w:val="24"/>
          <w:highlight w:val="none"/>
        </w:rPr>
        <w:t>（如有）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highlight w:val="none"/>
        </w:rPr>
      </w:pPr>
      <w:bookmarkStart w:id="119" w:name="_Toc14066"/>
      <w:bookmarkStart w:id="120" w:name="_Toc16508"/>
      <w:bookmarkStart w:id="121" w:name="_Toc13566"/>
      <w:r>
        <w:rPr>
          <w:rFonts w:hint="eastAsia" w:ascii="仿宋" w:hAnsi="仿宋" w:eastAsia="仿宋" w:cs="仿宋"/>
          <w:b/>
          <w:sz w:val="24"/>
          <w:highlight w:val="none"/>
        </w:rPr>
        <w:t>2.12 不可抗力</w:t>
      </w:r>
      <w:bookmarkEnd w:id="119"/>
      <w:bookmarkEnd w:id="120"/>
      <w:bookmarkEnd w:id="12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22" w:name="_Toc259093684"/>
      <w:bookmarkStart w:id="123" w:name="_Toc279701255"/>
      <w:bookmarkStart w:id="124" w:name="_Toc6969"/>
      <w:bookmarkStart w:id="125" w:name="_Toc487900365"/>
      <w:bookmarkStart w:id="126" w:name="_Toc30676"/>
      <w:bookmarkStart w:id="127" w:name="_Toc689"/>
      <w:r>
        <w:rPr>
          <w:rFonts w:hint="eastAsia" w:ascii="仿宋" w:hAnsi="仿宋" w:eastAsia="仿宋" w:cs="仿宋"/>
          <w:b/>
          <w:sz w:val="24"/>
          <w:highlight w:val="none"/>
        </w:rPr>
        <w:t>2.13 税费</w:t>
      </w:r>
      <w:bookmarkEnd w:id="122"/>
      <w:bookmarkEnd w:id="123"/>
      <w:bookmarkEnd w:id="124"/>
      <w:bookmarkEnd w:id="125"/>
      <w:bookmarkEnd w:id="126"/>
      <w:bookmarkEnd w:id="12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highlight w:val="none"/>
        </w:rPr>
      </w:pPr>
      <w:bookmarkStart w:id="128" w:name="_Toc487900368"/>
      <w:bookmarkStart w:id="129" w:name="_Toc7102"/>
      <w:bookmarkStart w:id="130" w:name="_Toc16959"/>
      <w:bookmarkStart w:id="131" w:name="_Toc279701258"/>
      <w:bookmarkStart w:id="132" w:name="_Toc259093687"/>
      <w:bookmarkStart w:id="133" w:name="_Toc8298"/>
      <w:r>
        <w:rPr>
          <w:rFonts w:hint="eastAsia" w:ascii="仿宋" w:hAnsi="仿宋" w:eastAsia="仿宋" w:cs="仿宋"/>
          <w:b/>
          <w:sz w:val="24"/>
          <w:highlight w:val="none"/>
        </w:rPr>
        <w:t>2.14乙方破产</w:t>
      </w:r>
      <w:bookmarkEnd w:id="128"/>
      <w:bookmarkEnd w:id="129"/>
      <w:bookmarkEnd w:id="130"/>
      <w:bookmarkEnd w:id="131"/>
      <w:bookmarkEnd w:id="132"/>
      <w:bookmarkEnd w:id="13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34" w:name="_Toc15387"/>
      <w:bookmarkStart w:id="135" w:name="_Toc6134"/>
      <w:bookmarkStart w:id="136" w:name="_Toc29333"/>
      <w:r>
        <w:rPr>
          <w:rFonts w:hint="eastAsia" w:ascii="仿宋" w:hAnsi="仿宋" w:eastAsia="仿宋" w:cs="仿宋"/>
          <w:b/>
          <w:sz w:val="24"/>
          <w:highlight w:val="none"/>
        </w:rPr>
        <w:t>2.15 合同中止、终止</w:t>
      </w:r>
      <w:bookmarkEnd w:id="134"/>
      <w:bookmarkEnd w:id="135"/>
      <w:bookmarkEnd w:id="13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37" w:name="_Toc1125"/>
      <w:bookmarkStart w:id="138" w:name="_Toc14563"/>
      <w:bookmarkStart w:id="139" w:name="_Toc6596"/>
      <w:r>
        <w:rPr>
          <w:rFonts w:hint="eastAsia" w:ascii="仿宋" w:hAnsi="仿宋" w:eastAsia="仿宋" w:cs="仿宋"/>
          <w:b/>
          <w:sz w:val="24"/>
          <w:highlight w:val="none"/>
        </w:rPr>
        <w:t>2.16检验和验收</w:t>
      </w:r>
      <w:bookmarkEnd w:id="137"/>
      <w:bookmarkEnd w:id="138"/>
      <w:bookmarkEnd w:id="139"/>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09"/>
    <w:bookmarkEnd w:id="110"/>
    <w:bookmarkEnd w:id="111"/>
    <w:bookmarkEnd w:id="112"/>
    <w:p>
      <w:pPr>
        <w:spacing w:line="560" w:lineRule="exact"/>
        <w:ind w:firstLine="482" w:firstLineChars="200"/>
        <w:outlineLvl w:val="0"/>
        <w:rPr>
          <w:rFonts w:hint="eastAsia" w:ascii="仿宋" w:hAnsi="仿宋" w:eastAsia="仿宋" w:cs="仿宋"/>
          <w:b/>
          <w:sz w:val="24"/>
          <w:highlight w:val="none"/>
        </w:rPr>
      </w:pPr>
      <w:bookmarkStart w:id="140" w:name="_Toc487900371"/>
      <w:bookmarkStart w:id="141" w:name="_Toc259093690"/>
      <w:bookmarkStart w:id="142" w:name="_Toc279701261"/>
      <w:bookmarkStart w:id="143" w:name="_Toc25182"/>
      <w:bookmarkStart w:id="144" w:name="_Toc11284"/>
      <w:bookmarkStart w:id="145" w:name="_Toc19604"/>
      <w:r>
        <w:rPr>
          <w:rFonts w:hint="eastAsia" w:ascii="仿宋" w:hAnsi="仿宋" w:eastAsia="仿宋" w:cs="仿宋"/>
          <w:b/>
          <w:sz w:val="24"/>
          <w:highlight w:val="none"/>
        </w:rPr>
        <w:t>2.17 通知</w:t>
      </w:r>
      <w:bookmarkEnd w:id="140"/>
      <w:bookmarkEnd w:id="141"/>
      <w:bookmarkEnd w:id="142"/>
      <w:r>
        <w:rPr>
          <w:rFonts w:hint="eastAsia" w:ascii="仿宋" w:hAnsi="仿宋" w:eastAsia="仿宋" w:cs="仿宋"/>
          <w:b/>
          <w:sz w:val="24"/>
          <w:highlight w:val="none"/>
        </w:rPr>
        <w:t>和送达</w:t>
      </w:r>
      <w:bookmarkEnd w:id="143"/>
      <w:bookmarkEnd w:id="144"/>
      <w:bookmarkEnd w:id="145"/>
    </w:p>
    <w:p>
      <w:pPr>
        <w:spacing w:line="560" w:lineRule="exact"/>
        <w:ind w:firstLine="480" w:firstLineChars="200"/>
        <w:rPr>
          <w:rFonts w:hint="eastAsia" w:ascii="仿宋" w:hAnsi="仿宋" w:eastAsia="仿宋" w:cs="仿宋"/>
          <w:sz w:val="24"/>
          <w:highlight w:val="none"/>
        </w:rPr>
      </w:pPr>
      <w:bookmarkStart w:id="146" w:name="_Toc6698"/>
      <w:bookmarkStart w:id="147" w:name="_Toc3135"/>
      <w:bookmarkStart w:id="148" w:name="_Toc279701262"/>
      <w:bookmarkStart w:id="149" w:name="_Toc259093691"/>
      <w:bookmarkStart w:id="150" w:name="_Toc487900372"/>
      <w:r>
        <w:rPr>
          <w:rFonts w:hint="eastAsia" w:ascii="仿宋" w:hAnsi="仿宋" w:eastAsia="仿宋" w:cs="仿宋"/>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hint="eastAsia" w:ascii="仿宋" w:hAnsi="仿宋" w:eastAsia="仿宋" w:cs="仿宋"/>
          <w:sz w:val="24"/>
          <w:highlight w:val="none"/>
        </w:rPr>
      </w:pPr>
      <w:bookmarkStart w:id="151" w:name="_Toc23128"/>
      <w:bookmarkStart w:id="152" w:name="_Toc23294"/>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hint="eastAsia" w:ascii="仿宋" w:hAnsi="仿宋" w:eastAsia="仿宋" w:cs="仿宋"/>
          <w:b/>
          <w:sz w:val="24"/>
          <w:highlight w:val="none"/>
        </w:rPr>
      </w:pPr>
      <w:bookmarkStart w:id="153" w:name="_Toc30599"/>
      <w:bookmarkStart w:id="154" w:name="_Toc18540"/>
      <w:bookmarkStart w:id="155" w:name="_Toc4355"/>
      <w:r>
        <w:rPr>
          <w:rFonts w:hint="eastAsia" w:ascii="仿宋" w:hAnsi="仿宋" w:eastAsia="仿宋" w:cs="仿宋"/>
          <w:b/>
          <w:sz w:val="24"/>
          <w:highlight w:val="none"/>
        </w:rPr>
        <w:t>2.18 计量单位</w:t>
      </w:r>
      <w:bookmarkEnd w:id="148"/>
      <w:bookmarkEnd w:id="149"/>
      <w:bookmarkEnd w:id="150"/>
      <w:bookmarkEnd w:id="153"/>
      <w:bookmarkEnd w:id="154"/>
      <w:bookmarkEnd w:id="15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56" w:name="_Toc12773"/>
      <w:bookmarkStart w:id="157" w:name="_Toc279701263"/>
      <w:bookmarkStart w:id="158" w:name="_Toc18567"/>
      <w:bookmarkStart w:id="159" w:name="_Toc10330"/>
      <w:bookmarkStart w:id="160" w:name="_Toc487900373"/>
      <w:bookmarkStart w:id="161" w:name="_Toc259093692"/>
      <w:r>
        <w:rPr>
          <w:rFonts w:hint="eastAsia" w:ascii="仿宋" w:hAnsi="仿宋" w:eastAsia="仿宋" w:cs="仿宋"/>
          <w:b/>
          <w:sz w:val="24"/>
          <w:highlight w:val="none"/>
        </w:rPr>
        <w:t>2.19 合同使用的文字和适用的法律</w:t>
      </w:r>
      <w:bookmarkEnd w:id="156"/>
      <w:bookmarkEnd w:id="157"/>
      <w:bookmarkEnd w:id="158"/>
      <w:bookmarkEnd w:id="159"/>
      <w:bookmarkEnd w:id="160"/>
      <w:bookmarkEnd w:id="16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62" w:name="_Toc3148"/>
      <w:bookmarkStart w:id="163" w:name="_Toc16673"/>
      <w:bookmarkStart w:id="164" w:name="_Toc259093693"/>
      <w:bookmarkStart w:id="165" w:name="_Toc279701264"/>
      <w:bookmarkStart w:id="166" w:name="_Toc12004"/>
      <w:bookmarkStart w:id="167" w:name="_Toc487900374"/>
      <w:r>
        <w:rPr>
          <w:rFonts w:hint="eastAsia" w:ascii="仿宋" w:hAnsi="仿宋" w:eastAsia="仿宋" w:cs="仿宋"/>
          <w:b/>
          <w:sz w:val="24"/>
          <w:highlight w:val="none"/>
        </w:rPr>
        <w:t>2.20 履约保证金</w:t>
      </w:r>
      <w:bookmarkEnd w:id="162"/>
      <w:bookmarkEnd w:id="163"/>
      <w:bookmarkEnd w:id="164"/>
      <w:bookmarkEnd w:id="165"/>
      <w:bookmarkEnd w:id="166"/>
    </w:p>
    <w:p>
      <w:pPr>
        <w:pStyle w:val="283"/>
        <w:spacing w:before="0" w:beforeAutospacing="0" w:after="0" w:afterAutospacing="0" w:line="360" w:lineRule="auto"/>
        <w:ind w:firstLine="420"/>
        <w:rPr>
          <w:rFonts w:hint="eastAsia" w:ascii="仿宋" w:hAnsi="仿宋" w:eastAsia="仿宋" w:cs="仿宋"/>
          <w:highlight w:val="none"/>
        </w:rPr>
      </w:pPr>
      <w:r>
        <w:rPr>
          <w:rFonts w:hint="eastAsia" w:ascii="仿宋" w:hAnsi="仿宋" w:eastAsia="仿宋" w:cs="仿宋"/>
          <w:highlight w:val="none"/>
        </w:rPr>
        <w:t>2.20.1 采购文件要求乙方提交履约保证金的，乙方应按</w:t>
      </w:r>
      <w:r>
        <w:rPr>
          <w:rFonts w:hint="eastAsia" w:ascii="仿宋" w:hAnsi="仿宋" w:eastAsia="仿宋" w:cs="仿宋"/>
          <w:b/>
          <w:i/>
          <w:highlight w:val="none"/>
          <w:u w:val="single"/>
        </w:rPr>
        <w:t>合同专用条款</w:t>
      </w:r>
      <w:r>
        <w:rPr>
          <w:rFonts w:hint="eastAsia" w:ascii="仿宋" w:hAnsi="仿宋" w:eastAsia="仿宋" w:cs="仿宋"/>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2.20.2  履约保证金在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hint="eastAsia" w:ascii="仿宋" w:hAnsi="仿宋" w:eastAsia="仿宋" w:cs="仿宋"/>
          <w:b/>
          <w:sz w:val="24"/>
          <w:highlight w:val="none"/>
        </w:rPr>
      </w:pPr>
      <w:bookmarkStart w:id="168" w:name="_Toc6885"/>
      <w:bookmarkStart w:id="169" w:name="_Toc19890"/>
      <w:bookmarkStart w:id="170" w:name="_Toc14001"/>
      <w:r>
        <w:rPr>
          <w:rFonts w:hint="eastAsia" w:ascii="仿宋" w:hAnsi="仿宋" w:eastAsia="仿宋" w:cs="仿宋"/>
          <w:b/>
          <w:sz w:val="24"/>
          <w:highlight w:val="none"/>
        </w:rPr>
        <w:t>2.22合同份数</w:t>
      </w:r>
      <w:bookmarkEnd w:id="168"/>
      <w:bookmarkEnd w:id="169"/>
      <w:bookmarkEnd w:id="17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pStyle w:val="282"/>
        <w:spacing w:line="560" w:lineRule="exact"/>
        <w:jc w:val="center"/>
        <w:rPr>
          <w:rFonts w:hint="eastAsia" w:ascii="仿宋" w:hAnsi="仿宋" w:eastAsia="仿宋" w:cs="仿宋"/>
          <w:b/>
          <w:szCs w:val="24"/>
          <w:highlight w:val="none"/>
        </w:rPr>
      </w:pPr>
      <w:r>
        <w:rPr>
          <w:rFonts w:hint="eastAsia" w:ascii="仿宋" w:hAnsi="仿宋" w:eastAsia="仿宋" w:cs="仿宋"/>
          <w:kern w:val="0"/>
          <w:szCs w:val="24"/>
          <w:highlight w:val="none"/>
        </w:rPr>
        <w:br w:type="page"/>
      </w:r>
      <w:bookmarkStart w:id="171" w:name="_Toc331685784"/>
      <w:bookmarkEnd w:id="171"/>
      <w:r>
        <w:rPr>
          <w:rFonts w:hint="eastAsia" w:ascii="仿宋" w:hAnsi="仿宋" w:eastAsia="仿宋" w:cs="仿宋"/>
          <w:b/>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275"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1.4.4</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1.6.7</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2.4.2</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8275"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2.20.1</w:t>
            </w:r>
          </w:p>
        </w:tc>
        <w:tc>
          <w:tcPr>
            <w:tcW w:w="8275"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2.20.2 </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2.22</w:t>
            </w:r>
          </w:p>
        </w:tc>
        <w:tc>
          <w:tcPr>
            <w:tcW w:w="8275" w:type="dxa"/>
            <w:vAlign w:val="center"/>
          </w:tcPr>
          <w:p>
            <w:pPr>
              <w:spacing w:line="360" w:lineRule="auto"/>
              <w:rPr>
                <w:rFonts w:hint="eastAsia" w:ascii="仿宋" w:hAnsi="仿宋" w:eastAsia="仿宋" w:cs="仿宋"/>
                <w:sz w:val="24"/>
                <w:highlight w:val="none"/>
              </w:rPr>
            </w:pPr>
          </w:p>
        </w:tc>
      </w:tr>
    </w:tbl>
    <w:p>
      <w:pPr>
        <w:spacing w:line="360" w:lineRule="auto"/>
        <w:ind w:left="-420" w:leftChars="-200" w:right="-420" w:rightChars="-200" w:firstLine="480" w:firstLineChars="200"/>
        <w:rPr>
          <w:rFonts w:hint="eastAsia" w:ascii="仿宋" w:hAnsi="仿宋" w:eastAsia="仿宋" w:cs="仿宋"/>
          <w:sz w:val="24"/>
          <w:highlight w:val="none"/>
        </w:rPr>
      </w:pPr>
    </w:p>
    <w:p>
      <w:pPr>
        <w:spacing w:line="3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（注：在正式签约时，根据上述精神应拟就更为详尽的合同书）</w:t>
      </w:r>
    </w:p>
    <w:p>
      <w:pPr>
        <w:pStyle w:val="23"/>
        <w:spacing w:line="800" w:lineRule="exact"/>
        <w:ind w:firstLine="723"/>
        <w:jc w:val="center"/>
        <w:rPr>
          <w:rFonts w:hint="eastAsia" w:ascii="仿宋" w:hAnsi="仿宋" w:eastAsia="仿宋" w:cs="仿宋"/>
          <w:b/>
          <w:sz w:val="36"/>
          <w:szCs w:val="36"/>
          <w:highlight w:val="none"/>
        </w:rPr>
      </w:pPr>
    </w:p>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val="en-US" w:eastAsia="zh-CN"/>
        </w:rPr>
        <w:t>7</w:t>
      </w:r>
      <w:r>
        <w:rPr>
          <w:rFonts w:hint="eastAsia" w:ascii="仿宋" w:hAnsi="仿宋" w:eastAsia="仿宋" w:cs="仿宋"/>
          <w:b/>
          <w:bCs/>
          <w:iCs/>
          <w:sz w:val="24"/>
          <w:highlight w:val="none"/>
        </w:rPr>
        <w:t>0分）</w:t>
      </w:r>
    </w:p>
    <w:tbl>
      <w:tblPr>
        <w:tblStyle w:val="43"/>
        <w:tblW w:w="53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983"/>
        <w:gridCol w:w="7457"/>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b/>
                <w:color w:val="000000"/>
                <w:szCs w:val="21"/>
                <w:highlight w:val="none"/>
                <w:lang w:eastAsia="zh-CN"/>
              </w:rPr>
            </w:pPr>
            <w:r>
              <w:rPr>
                <w:rFonts w:hint="eastAsia" w:ascii="仿宋" w:hAnsi="仿宋" w:eastAsia="仿宋" w:cs="仿宋"/>
                <w:b/>
                <w:color w:val="000000"/>
                <w:szCs w:val="21"/>
                <w:highlight w:val="none"/>
                <w:lang w:eastAsia="zh-CN"/>
              </w:rPr>
              <w:t>序号</w:t>
            </w:r>
          </w:p>
        </w:tc>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评审内容</w:t>
            </w: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评分标准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w:t>
            </w:r>
          </w:p>
        </w:tc>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总体技术方案</w:t>
            </w: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根据投标产品技术指标要求，完全满足采购文件技术指标要求的得30分。技术指标中打“★”号的指标必须满足，否则作无效投标处理。技术指标中打“▲”号的指标每有一项负偏离的扣5分，其他一般指标负偏离的每有一项扣2分，扣完为止。若负偏离达到5个及以上的按重大偏离处理。非量化类的，若是功能一样，表述方式不一样则为符合，量化类的由评委视情况讨论决定。</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产品成熟度</w:t>
            </w: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eastAsia="zh-CN"/>
              </w:rPr>
            </w:pPr>
            <w:r>
              <w:rPr>
                <w:rFonts w:hint="eastAsia" w:ascii="仿宋" w:hAnsi="仿宋" w:eastAsia="仿宋" w:cs="仿宋"/>
                <w:szCs w:val="21"/>
                <w:highlight w:val="none"/>
              </w:rPr>
              <w:t>根据投标人的设备技术先进性、市场占有率，与原有服务器存储的兼容性、成熟性等方面由专家横向比较打分。优：5.1-7分；良：2.1-5分；一般：0.1-2分</w:t>
            </w:r>
            <w:r>
              <w:rPr>
                <w:rFonts w:hint="eastAsia" w:ascii="仿宋" w:hAnsi="仿宋" w:eastAsia="仿宋" w:cs="仿宋"/>
                <w:szCs w:val="21"/>
                <w:highlight w:val="none"/>
                <w:lang w:eastAsia="zh-CN"/>
              </w:rPr>
              <w:t>。</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01" w:type="pct"/>
            <w:vMerge w:val="restar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498" w:type="pct"/>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资质与工程师</w:t>
            </w:r>
          </w:p>
        </w:tc>
        <w:tc>
          <w:tcPr>
            <w:tcW w:w="3784" w:type="pc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投标人具有ISO20000 信息技术服务管理认证的得 2 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eastAsia="zh-CN"/>
              </w:rPr>
            </w:pPr>
            <w:r>
              <w:rPr>
                <w:rFonts w:hint="eastAsia" w:ascii="仿宋" w:hAnsi="仿宋" w:eastAsia="仿宋" w:cs="仿宋"/>
                <w:szCs w:val="21"/>
                <w:highlight w:val="none"/>
              </w:rPr>
              <w:t>投标人具有 ISO27001 信息安全管理体系认证证书的得 2 分。（注：开标时提供证书复印件并加盖投标人公章，原件签订合同前备查）最高得4分</w:t>
            </w:r>
            <w:r>
              <w:rPr>
                <w:rFonts w:hint="eastAsia" w:ascii="仿宋" w:hAnsi="仿宋" w:eastAsia="仿宋" w:cs="仿宋"/>
                <w:szCs w:val="21"/>
                <w:highlight w:val="none"/>
                <w:lang w:eastAsia="zh-CN"/>
              </w:rPr>
              <w:t>，未提供不得分。</w:t>
            </w:r>
          </w:p>
        </w:tc>
        <w:tc>
          <w:tcPr>
            <w:tcW w:w="315" w:type="pct"/>
            <w:tcBorders>
              <w:top w:val="single" w:color="auto" w:sz="4" w:space="0"/>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1"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498" w:type="pct"/>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拟投入本项目团队人员具有中国网络安全审查技术与认证中心颁发的信息安全保障人员认证证书（CISAW）的，每人得1分，最高得2分</w:t>
            </w:r>
            <w:r>
              <w:rPr>
                <w:rFonts w:hint="eastAsia" w:ascii="仿宋" w:hAnsi="仿宋" w:eastAsia="仿宋" w:cs="仿宋"/>
                <w:szCs w:val="21"/>
                <w:highlight w:val="none"/>
                <w:lang w:eastAsia="zh-CN"/>
              </w:rPr>
              <w:t>，</w:t>
            </w:r>
            <w:r>
              <w:rPr>
                <w:rFonts w:hint="eastAsia" w:ascii="仿宋" w:hAnsi="仿宋" w:eastAsia="仿宋" w:cs="仿宋"/>
                <w:szCs w:val="21"/>
                <w:highlight w:val="none"/>
              </w:rPr>
              <w:t>需提供相关工程师证书复和最近三个月社保缴纳扫描件</w:t>
            </w:r>
            <w:r>
              <w:rPr>
                <w:rFonts w:hint="eastAsia" w:ascii="仿宋" w:hAnsi="仿宋" w:eastAsia="仿宋" w:cs="仿宋"/>
                <w:szCs w:val="21"/>
                <w:highlight w:val="none"/>
                <w:lang w:eastAsia="zh-CN"/>
              </w:rPr>
              <w:t>均加盖投标人公章，未提供不得分</w:t>
            </w:r>
            <w:r>
              <w:rPr>
                <w:rFonts w:hint="eastAsia" w:ascii="仿宋" w:hAnsi="仿宋" w:eastAsia="仿宋" w:cs="仿宋"/>
                <w:szCs w:val="21"/>
                <w:highlight w:val="none"/>
              </w:rPr>
              <w:t>。</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1"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498" w:type="pct"/>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投标人具有所投品牌存储虚拟化设备认证工程师；每有一名原厂认证工程师得1分，最高2分</w:t>
            </w:r>
            <w:r>
              <w:rPr>
                <w:rFonts w:hint="eastAsia" w:ascii="仿宋" w:hAnsi="仿宋" w:eastAsia="仿宋" w:cs="仿宋"/>
                <w:szCs w:val="21"/>
                <w:highlight w:val="none"/>
                <w:lang w:eastAsia="zh-CN"/>
              </w:rPr>
              <w:t>，</w:t>
            </w:r>
            <w:r>
              <w:rPr>
                <w:rFonts w:hint="eastAsia" w:ascii="仿宋" w:hAnsi="仿宋" w:eastAsia="仿宋" w:cs="仿宋"/>
                <w:szCs w:val="21"/>
                <w:highlight w:val="none"/>
              </w:rPr>
              <w:t>需提供相关工程师证书复和最近三个月社保缴纳扫描件</w:t>
            </w:r>
            <w:r>
              <w:rPr>
                <w:rFonts w:hint="eastAsia" w:ascii="仿宋" w:hAnsi="仿宋" w:eastAsia="仿宋" w:cs="仿宋"/>
                <w:szCs w:val="21"/>
                <w:highlight w:val="none"/>
                <w:lang w:eastAsia="zh-CN"/>
              </w:rPr>
              <w:t>均加盖投标人公章，未提供不得分。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1"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498" w:type="pct"/>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eastAsia="zh-CN"/>
              </w:rPr>
            </w:pPr>
            <w:r>
              <w:rPr>
                <w:rFonts w:hint="eastAsia" w:ascii="仿宋" w:hAnsi="仿宋" w:eastAsia="仿宋" w:cs="仿宋"/>
                <w:szCs w:val="21"/>
                <w:highlight w:val="none"/>
              </w:rPr>
              <w:t>投标人具有ORACLE OCP或OCM认证工程师；每有一名原厂认证工程师得1分，最高2分</w:t>
            </w:r>
            <w:r>
              <w:rPr>
                <w:rFonts w:hint="eastAsia" w:ascii="仿宋" w:hAnsi="仿宋" w:eastAsia="仿宋" w:cs="仿宋"/>
                <w:szCs w:val="21"/>
                <w:highlight w:val="none"/>
                <w:lang w:eastAsia="zh-CN"/>
              </w:rPr>
              <w:t>，</w:t>
            </w:r>
            <w:r>
              <w:rPr>
                <w:rFonts w:hint="eastAsia" w:ascii="仿宋" w:hAnsi="仿宋" w:eastAsia="仿宋" w:cs="仿宋"/>
                <w:szCs w:val="21"/>
                <w:highlight w:val="none"/>
              </w:rPr>
              <w:t>需提供相关工程师证书复和最近三个月社保缴纳扫描件</w:t>
            </w:r>
            <w:r>
              <w:rPr>
                <w:rFonts w:hint="eastAsia" w:ascii="仿宋" w:hAnsi="仿宋" w:eastAsia="仿宋" w:cs="仿宋"/>
                <w:szCs w:val="21"/>
                <w:highlight w:val="none"/>
                <w:lang w:eastAsia="zh-CN"/>
              </w:rPr>
              <w:t>均加盖投标人公章，未提供不得分。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1"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498" w:type="pct"/>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投标人具有DELL服务器设备认证工程师；每有一名原厂认证工程师得1分，最高2分</w:t>
            </w:r>
            <w:r>
              <w:rPr>
                <w:rFonts w:hint="eastAsia" w:ascii="仿宋" w:hAnsi="仿宋" w:eastAsia="仿宋" w:cs="仿宋"/>
                <w:szCs w:val="21"/>
                <w:highlight w:val="none"/>
                <w:lang w:eastAsia="zh-CN"/>
              </w:rPr>
              <w:t>，</w:t>
            </w:r>
            <w:r>
              <w:rPr>
                <w:rFonts w:hint="eastAsia" w:ascii="仿宋" w:hAnsi="仿宋" w:eastAsia="仿宋" w:cs="仿宋"/>
                <w:szCs w:val="21"/>
                <w:highlight w:val="none"/>
              </w:rPr>
              <w:t>需提供相关工程师证书复和最近三个月社保缴纳扫描件</w:t>
            </w:r>
            <w:r>
              <w:rPr>
                <w:rFonts w:hint="eastAsia" w:ascii="仿宋" w:hAnsi="仿宋" w:eastAsia="仿宋" w:cs="仿宋"/>
                <w:szCs w:val="21"/>
                <w:highlight w:val="none"/>
                <w:lang w:eastAsia="zh-CN"/>
              </w:rPr>
              <w:t>均加盖投标人公章，未提供不得分。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1" w:type="pct"/>
            <w:vMerge w:val="continue"/>
            <w:tcBorders>
              <w:left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498" w:type="pct"/>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投标人具有DELL EMC存储设备认证工程师；每有一名原厂认证工程师得1分，最高2分</w:t>
            </w:r>
            <w:r>
              <w:rPr>
                <w:rFonts w:hint="eastAsia" w:ascii="仿宋" w:hAnsi="仿宋" w:eastAsia="仿宋" w:cs="仿宋"/>
                <w:szCs w:val="21"/>
                <w:highlight w:val="none"/>
                <w:lang w:eastAsia="zh-CN"/>
              </w:rPr>
              <w:t>，</w:t>
            </w:r>
            <w:r>
              <w:rPr>
                <w:rFonts w:hint="eastAsia" w:ascii="仿宋" w:hAnsi="仿宋" w:eastAsia="仿宋" w:cs="仿宋"/>
                <w:szCs w:val="21"/>
                <w:highlight w:val="none"/>
              </w:rPr>
              <w:t>需提供相关工程师证书复和最近三个月社保缴纳扫描件</w:t>
            </w:r>
            <w:r>
              <w:rPr>
                <w:rFonts w:hint="eastAsia" w:ascii="仿宋" w:hAnsi="仿宋" w:eastAsia="仿宋" w:cs="仿宋"/>
                <w:szCs w:val="21"/>
                <w:highlight w:val="none"/>
                <w:lang w:eastAsia="zh-CN"/>
              </w:rPr>
              <w:t>均加盖投标人公章，未提供不得分。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1" w:type="pct"/>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498" w:type="pct"/>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仿宋" w:hAnsi="仿宋" w:eastAsia="仿宋" w:cs="仿宋"/>
                <w:szCs w:val="21"/>
                <w:highlight w:val="none"/>
              </w:rPr>
            </w:pP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eastAsia="zh-CN"/>
              </w:rPr>
            </w:pPr>
            <w:r>
              <w:rPr>
                <w:rFonts w:hint="eastAsia" w:ascii="仿宋" w:hAnsi="仿宋" w:eastAsia="仿宋" w:cs="仿宋"/>
                <w:szCs w:val="21"/>
                <w:highlight w:val="none"/>
              </w:rPr>
              <w:t>投标人具有工信部ITSS IT服务人员，每1名认证工程师得1分，最高得2分</w:t>
            </w:r>
            <w:r>
              <w:rPr>
                <w:rFonts w:hint="eastAsia" w:ascii="仿宋" w:hAnsi="仿宋" w:eastAsia="仿宋" w:cs="仿宋"/>
                <w:szCs w:val="21"/>
                <w:highlight w:val="none"/>
                <w:lang w:eastAsia="zh-CN"/>
              </w:rPr>
              <w:t>，</w:t>
            </w:r>
            <w:r>
              <w:rPr>
                <w:rFonts w:hint="eastAsia" w:ascii="仿宋" w:hAnsi="仿宋" w:eastAsia="仿宋" w:cs="仿宋"/>
                <w:szCs w:val="21"/>
                <w:highlight w:val="none"/>
              </w:rPr>
              <w:t>需提供相关工程师证书复和最近三个月社保缴纳扫描件</w:t>
            </w:r>
            <w:r>
              <w:rPr>
                <w:rFonts w:hint="eastAsia" w:ascii="仿宋" w:hAnsi="仿宋" w:eastAsia="仿宋" w:cs="仿宋"/>
                <w:szCs w:val="21"/>
                <w:highlight w:val="none"/>
                <w:lang w:eastAsia="zh-CN"/>
              </w:rPr>
              <w:t>均加盖投标人公章，未提供不得分。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4</w:t>
            </w:r>
          </w:p>
        </w:tc>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数据迁移</w:t>
            </w: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根据投标人针对本项目不停机HIS数据库迁移和切换，在不影响采购人正常业务前提下，提供的数据迁移方案进行打分，优于招标文件要求的得4.1-7.0分，符合招标文件要求的得2.1-4.0分，部分符合招标文件要求的得0.1-2.0分，不符合不得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5</w:t>
            </w:r>
          </w:p>
        </w:tc>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案例</w:t>
            </w: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投标人业绩分：以20</w:t>
            </w:r>
            <w:r>
              <w:rPr>
                <w:rFonts w:hint="eastAsia" w:ascii="仿宋" w:hAnsi="仿宋" w:eastAsia="仿宋" w:cs="仿宋"/>
                <w:szCs w:val="21"/>
                <w:highlight w:val="none"/>
                <w:lang w:val="en-US" w:eastAsia="zh-CN"/>
              </w:rPr>
              <w:t>20</w:t>
            </w:r>
            <w:r>
              <w:rPr>
                <w:rFonts w:hint="eastAsia" w:ascii="仿宋" w:hAnsi="仿宋" w:eastAsia="仿宋" w:cs="仿宋"/>
                <w:szCs w:val="21"/>
                <w:highlight w:val="none"/>
              </w:rPr>
              <w:t>年1月1日至今</w:t>
            </w:r>
            <w:r>
              <w:rPr>
                <w:rFonts w:hint="eastAsia" w:ascii="仿宋" w:hAnsi="仿宋" w:eastAsia="仿宋" w:cs="仿宋"/>
                <w:szCs w:val="21"/>
                <w:highlight w:val="none"/>
                <w:lang w:eastAsia="zh-CN"/>
              </w:rPr>
              <w:t>（以合同签订时间为准）</w:t>
            </w:r>
            <w:r>
              <w:rPr>
                <w:rFonts w:hint="eastAsia" w:ascii="仿宋" w:hAnsi="仿宋" w:eastAsia="仿宋" w:cs="仿宋"/>
                <w:szCs w:val="21"/>
                <w:highlight w:val="none"/>
              </w:rPr>
              <w:t>类似政府采购项目网络改造成功案例,经评标小组认定为符合要求的每有一个得1分,最高不超过3分,非工程转包合同</w:t>
            </w:r>
            <w:r>
              <w:rPr>
                <w:rFonts w:hint="eastAsia" w:ascii="仿宋" w:hAnsi="仿宋" w:eastAsia="仿宋" w:cs="仿宋"/>
                <w:szCs w:val="21"/>
                <w:highlight w:val="none"/>
                <w:lang w:eastAsia="zh-CN"/>
              </w:rPr>
              <w:t>，需提供合同复印件加投标人公章，未提供不得分</w:t>
            </w:r>
            <w:r>
              <w:rPr>
                <w:rFonts w:hint="eastAsia" w:ascii="仿宋" w:hAnsi="仿宋" w:eastAsia="仿宋" w:cs="仿宋"/>
                <w:szCs w:val="21"/>
                <w:highlight w:val="none"/>
              </w:rPr>
              <w:t>。</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售后服务情况</w:t>
            </w: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根据投标</w:t>
            </w:r>
            <w:r>
              <w:rPr>
                <w:rFonts w:hint="eastAsia" w:ascii="仿宋" w:hAnsi="仿宋" w:eastAsia="仿宋" w:cs="仿宋"/>
                <w:szCs w:val="21"/>
                <w:highlight w:val="none"/>
                <w:lang w:eastAsia="zh-CN"/>
              </w:rPr>
              <w:t>人</w:t>
            </w:r>
            <w:r>
              <w:rPr>
                <w:rFonts w:hint="eastAsia" w:ascii="仿宋" w:hAnsi="仿宋" w:eastAsia="仿宋" w:cs="仿宋"/>
                <w:szCs w:val="21"/>
                <w:highlight w:val="none"/>
              </w:rPr>
              <w:t>能否有技术和能力提供本地化售后服务及本地化团队、人员资质证书、社保证明、人员参与项目建设经历等方面由专家横向比较进行打分，优于招标文件要求的得3.1-5分，基本符合招标文件要求的得2.1-</w:t>
            </w:r>
            <w:r>
              <w:rPr>
                <w:rFonts w:hint="eastAsia" w:ascii="仿宋" w:hAnsi="仿宋" w:eastAsia="仿宋" w:cs="仿宋"/>
                <w:szCs w:val="21"/>
                <w:highlight w:val="none"/>
                <w:lang w:val="en-US" w:eastAsia="zh-CN"/>
              </w:rPr>
              <w:t>3.0</w:t>
            </w:r>
            <w:r>
              <w:rPr>
                <w:rFonts w:hint="eastAsia" w:ascii="仿宋" w:hAnsi="仿宋" w:eastAsia="仿宋" w:cs="仿宋"/>
                <w:szCs w:val="21"/>
                <w:highlight w:val="none"/>
              </w:rPr>
              <w:t>分，部分符合招标文件要求的得0.1-2</w:t>
            </w:r>
            <w:r>
              <w:rPr>
                <w:rFonts w:hint="eastAsia" w:ascii="仿宋" w:hAnsi="仿宋" w:eastAsia="仿宋" w:cs="仿宋"/>
                <w:szCs w:val="21"/>
                <w:highlight w:val="none"/>
                <w:lang w:val="en-US" w:eastAsia="zh-CN"/>
              </w:rPr>
              <w:t>.0</w:t>
            </w:r>
            <w:r>
              <w:rPr>
                <w:rFonts w:hint="eastAsia" w:ascii="仿宋" w:hAnsi="仿宋" w:eastAsia="仿宋" w:cs="仿宋"/>
                <w:szCs w:val="21"/>
                <w:highlight w:val="none"/>
              </w:rPr>
              <w:t>分,不符合招标文件要求或不提供的得0分。</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7</w:t>
            </w:r>
          </w:p>
        </w:tc>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标书质量</w:t>
            </w:r>
          </w:p>
        </w:tc>
        <w:tc>
          <w:tcPr>
            <w:tcW w:w="3784"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Cs w:val="21"/>
                <w:highlight w:val="none"/>
                <w:lang w:val="en-US" w:eastAsia="zh-CN"/>
              </w:rPr>
            </w:pPr>
            <w:r>
              <w:rPr>
                <w:rFonts w:hint="eastAsia" w:ascii="仿宋" w:hAnsi="仿宋" w:eastAsia="仿宋" w:cs="仿宋"/>
                <w:color w:val="000000"/>
                <w:kern w:val="0"/>
                <w:szCs w:val="21"/>
                <w:highlight w:val="none"/>
              </w:rPr>
              <w:t>投标文件制作条理清晰、易查、完整性等进行比较打分:优得1.4-2</w:t>
            </w:r>
            <w:r>
              <w:rPr>
                <w:rFonts w:hint="eastAsia" w:ascii="仿宋" w:hAnsi="仿宋" w:eastAsia="仿宋" w:cs="仿宋"/>
                <w:color w:val="000000"/>
                <w:kern w:val="0"/>
                <w:szCs w:val="21"/>
                <w:highlight w:val="none"/>
                <w:lang w:val="en-US" w:eastAsia="zh-CN"/>
              </w:rPr>
              <w:t>.0</w:t>
            </w:r>
            <w:r>
              <w:rPr>
                <w:rFonts w:hint="eastAsia" w:ascii="仿宋" w:hAnsi="仿宋" w:eastAsia="仿宋" w:cs="仿宋"/>
                <w:color w:val="000000"/>
                <w:kern w:val="0"/>
                <w:szCs w:val="21"/>
                <w:highlight w:val="none"/>
              </w:rPr>
              <w:t>分，良得0.7-1.3分，一般得0.1-0.6分</w:t>
            </w:r>
            <w:r>
              <w:rPr>
                <w:rFonts w:hint="eastAsia" w:ascii="仿宋" w:hAnsi="仿宋" w:eastAsia="仿宋" w:cs="仿宋"/>
                <w:color w:val="000000"/>
                <w:kern w:val="0"/>
                <w:szCs w:val="21"/>
                <w:highlight w:val="none"/>
                <w:lang w:val="en-US" w:eastAsia="zh-CN"/>
              </w:rPr>
              <w:t>.</w:t>
            </w:r>
          </w:p>
        </w:tc>
        <w:tc>
          <w:tcPr>
            <w:tcW w:w="315"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2</w:t>
            </w:r>
          </w:p>
        </w:tc>
      </w:tr>
    </w:tbl>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lang w:val="en-US" w:eastAsia="zh-CN"/>
        </w:rPr>
        <w:t>3</w:t>
      </w:r>
      <w:r>
        <w:rPr>
          <w:rFonts w:hint="eastAsia" w:ascii="仿宋" w:hAnsi="仿宋" w:eastAsia="仿宋" w:cs="仿宋"/>
          <w:b/>
          <w:bCs/>
          <w:iCs/>
          <w:sz w:val="24"/>
          <w:highlight w:val="none"/>
        </w:rPr>
        <w:t>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3</w:t>
      </w:r>
      <w:r>
        <w:rPr>
          <w:rFonts w:hint="eastAsia" w:ascii="仿宋" w:hAnsi="仿宋" w:eastAsia="仿宋" w:cs="仿宋"/>
          <w:bCs/>
          <w:iCs/>
          <w:sz w:val="24"/>
          <w:highlight w:val="none"/>
        </w:rPr>
        <w:t>0</w:t>
      </w:r>
    </w:p>
    <w:p>
      <w:pPr>
        <w:snapToGrid w:val="0"/>
        <w:rPr>
          <w:rFonts w:hint="eastAsia" w:ascii="仿宋" w:hAnsi="仿宋" w:eastAsia="仿宋" w:cs="仿宋"/>
          <w:b/>
          <w:sz w:val="24"/>
          <w:highlight w:val="none"/>
          <w:u w:val="single"/>
        </w:rPr>
      </w:pPr>
    </w:p>
    <w:bookmarkEnd w:id="8"/>
    <w:bookmarkEnd w:id="9"/>
    <w:bookmarkEnd w:id="10"/>
    <w:bookmarkEnd w:id="11"/>
    <w:p>
      <w:pPr>
        <w:snapToGrid w:val="0"/>
        <w:spacing w:line="360" w:lineRule="auto"/>
        <w:jc w:val="center"/>
        <w:rPr>
          <w:rFonts w:hint="eastAsia" w:ascii="仿宋" w:hAnsi="仿宋" w:eastAsia="仿宋" w:cs="仿宋"/>
          <w:b/>
          <w:sz w:val="36"/>
          <w:szCs w:val="20"/>
          <w:highlight w:val="none"/>
        </w:rPr>
      </w:pPr>
    </w:p>
    <w:p>
      <w:pPr>
        <w:snapToGrid w:val="0"/>
        <w:spacing w:line="360" w:lineRule="auto"/>
        <w:jc w:val="center"/>
        <w:rPr>
          <w:rFonts w:hint="eastAsia" w:ascii="仿宋" w:hAnsi="仿宋" w:eastAsia="仿宋" w:cs="仿宋"/>
          <w:b/>
          <w:sz w:val="36"/>
          <w:szCs w:val="20"/>
          <w:highlight w:val="none"/>
        </w:rPr>
      </w:pPr>
    </w:p>
    <w:p>
      <w:pPr>
        <w:snapToGrid w:val="0"/>
        <w:spacing w:line="360" w:lineRule="auto"/>
        <w:jc w:val="center"/>
        <w:rPr>
          <w:rFonts w:hint="eastAsia" w:ascii="仿宋" w:hAnsi="仿宋" w:eastAsia="仿宋" w:cs="仿宋"/>
          <w:b/>
          <w:sz w:val="36"/>
          <w:szCs w:val="20"/>
          <w:highlight w:val="none"/>
        </w:rPr>
      </w:pPr>
    </w:p>
    <w:p>
      <w:pPr>
        <w:snapToGrid w:val="0"/>
        <w:spacing w:line="360" w:lineRule="auto"/>
        <w:jc w:val="center"/>
        <w:rPr>
          <w:rFonts w:hint="eastAsia" w:ascii="仿宋" w:hAnsi="仿宋" w:eastAsia="仿宋" w:cs="仿宋"/>
          <w:b/>
          <w:sz w:val="36"/>
          <w:szCs w:val="20"/>
          <w:highlight w:val="none"/>
        </w:rPr>
      </w:pPr>
    </w:p>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投标文件</w:t>
      </w:r>
      <w:r>
        <w:rPr>
          <w:rFonts w:hint="eastAsia" w:ascii="仿宋" w:hAnsi="仿宋" w:eastAsia="仿宋" w:cs="仿宋"/>
          <w:b/>
          <w:sz w:val="36"/>
          <w:szCs w:val="20"/>
          <w:highlight w:val="none"/>
        </w:rPr>
        <w:t>应提交的有关格式范例</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rPr>
        <w:t>……………………………………（页码）</w:t>
      </w: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9"/>
        <w:spacing w:afterLines="0" w:line="440" w:lineRule="exact"/>
        <w:ind w:firstLine="0" w:firstLineChars="0"/>
        <w:rPr>
          <w:rFonts w:hint="eastAsia" w:ascii="仿宋" w:hAnsi="仿宋" w:eastAsia="仿宋" w:cs="仿宋"/>
          <w:szCs w:val="24"/>
          <w:highlight w:val="none"/>
        </w:rPr>
      </w:pPr>
    </w:p>
    <w:p>
      <w:pPr>
        <w:pStyle w:val="69"/>
        <w:spacing w:afterLines="0" w:line="440" w:lineRule="exact"/>
        <w:ind w:firstLine="0" w:firstLineChars="0"/>
        <w:rPr>
          <w:rFonts w:hint="eastAsia" w:ascii="仿宋" w:hAnsi="仿宋" w:eastAsia="仿宋" w:cs="仿宋"/>
          <w:szCs w:val="24"/>
          <w:highlight w:val="none"/>
          <w:lang w:eastAsia="zh-CN"/>
        </w:rPr>
      </w:pPr>
      <w:r>
        <w:rPr>
          <w:rFonts w:hint="eastAsia" w:ascii="仿宋" w:hAnsi="仿宋" w:eastAsia="仿宋" w:cs="仿宋"/>
          <w:szCs w:val="24"/>
          <w:highlight w:val="none"/>
        </w:rPr>
        <w:t>致：</w:t>
      </w:r>
      <w:r>
        <w:rPr>
          <w:rFonts w:hint="eastAsia" w:ascii="仿宋" w:hAnsi="仿宋" w:eastAsia="仿宋" w:cs="仿宋"/>
          <w:szCs w:val="24"/>
          <w:highlight w:val="none"/>
          <w:u w:val="single"/>
          <w:lang w:eastAsia="zh-CN"/>
        </w:rPr>
        <w:t>绍兴市中医院</w:t>
      </w:r>
      <w:r>
        <w:rPr>
          <w:rFonts w:hint="eastAsia" w:ascii="仿宋" w:hAnsi="仿宋" w:eastAsia="仿宋" w:cs="仿宋"/>
          <w:szCs w:val="24"/>
          <w:highlight w:val="none"/>
          <w:u w:val="single"/>
        </w:rPr>
        <w:t>、</w:t>
      </w:r>
      <w:r>
        <w:rPr>
          <w:rFonts w:hint="eastAsia" w:ascii="仿宋" w:hAnsi="仿宋" w:eastAsia="仿宋" w:cs="仿宋"/>
          <w:szCs w:val="24"/>
          <w:highlight w:val="none"/>
          <w:u w:val="single"/>
          <w:lang w:eastAsia="zh-CN"/>
        </w:rPr>
        <w:t>泰宇建筑工程技术咨询有限公司</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highlight w:val="none"/>
        </w:rPr>
        <w:t>我方同意在投标人</w:t>
      </w:r>
      <w:r>
        <w:rPr>
          <w:rFonts w:hint="eastAsia" w:ascii="仿宋" w:hAnsi="仿宋" w:eastAsia="仿宋" w:cs="仿宋"/>
          <w:kern w:val="44"/>
          <w:highlight w:val="none"/>
        </w:rPr>
        <w:t>须知</w:t>
      </w:r>
      <w:r>
        <w:rPr>
          <w:rFonts w:hint="eastAsia" w:ascii="仿宋" w:hAnsi="仿宋" w:eastAsia="仿宋" w:cs="仿宋"/>
          <w:highlight w:val="none"/>
        </w:rPr>
        <w:t>规定的开标日期起遵守本投标文件中的承诺且在投标有效期满之前均具有约束力</w:t>
      </w:r>
      <w:r>
        <w:rPr>
          <w:rFonts w:hint="eastAsia" w:ascii="仿宋" w:hAnsi="仿宋" w:eastAsia="仿宋" w:cs="仿宋"/>
          <w:szCs w:val="24"/>
          <w:highlight w:val="none"/>
        </w:rPr>
        <w:t>。</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3.</w:t>
      </w:r>
      <w:r>
        <w:rPr>
          <w:rFonts w:hint="eastAsia" w:ascii="仿宋" w:hAnsi="仿宋" w:eastAsia="仿宋" w:cs="仿宋"/>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highlight w:val="none"/>
          <w:lang w:eastAsia="zh-CN"/>
        </w:rPr>
        <w:t>泰宇建筑工程技术咨询有限公司</w:t>
      </w:r>
      <w:r>
        <w:rPr>
          <w:rFonts w:hint="eastAsia" w:ascii="仿宋" w:hAnsi="仿宋" w:eastAsia="仿宋" w:cs="仿宋"/>
          <w:highlight w:val="none"/>
        </w:rPr>
        <w:t>提供可能另外要求的与投标有关的任何数据或资料。</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highlight w:val="none"/>
        </w:rPr>
        <w:t>5.</w:t>
      </w:r>
      <w:r>
        <w:rPr>
          <w:rFonts w:hint="eastAsia" w:ascii="仿宋" w:hAnsi="仿宋" w:eastAsia="仿宋" w:cs="仿宋"/>
          <w:szCs w:val="24"/>
          <w:highlight w:val="none"/>
        </w:rPr>
        <w:t>本投标自开标之日（投标截止之日）起90天内有效。</w:t>
      </w:r>
    </w:p>
    <w:p>
      <w:pPr>
        <w:pStyle w:val="69"/>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6</w:t>
      </w:r>
      <w:r>
        <w:rPr>
          <w:rFonts w:hint="eastAsia" w:ascii="仿宋" w:hAnsi="仿宋" w:eastAsia="仿宋" w:cs="仿宋"/>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pStyle w:val="69"/>
        <w:spacing w:afterLines="0" w:line="440" w:lineRule="exact"/>
        <w:ind w:firstLine="480"/>
        <w:rPr>
          <w:rFonts w:hint="eastAsia" w:ascii="仿宋" w:hAnsi="仿宋" w:eastAsia="仿宋" w:cs="仿宋"/>
          <w:b/>
          <w:sz w:val="30"/>
          <w:szCs w:val="30"/>
          <w:highlight w:val="none"/>
        </w:rPr>
      </w:pPr>
      <w:r>
        <w:rPr>
          <w:rFonts w:hint="eastAsia" w:ascii="仿宋" w:hAnsi="仿宋" w:eastAsia="仿宋" w:cs="仿宋"/>
          <w:szCs w:val="24"/>
          <w:highlight w:val="none"/>
        </w:rPr>
        <w:t xml:space="preserve">投标人(电子签章)：　　　　　　　　　日期：   </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2、开标一览表（格式）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投标人名称：</w:t>
      </w:r>
    </w:p>
    <w:p>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标    项：</w:t>
      </w:r>
    </w:p>
    <w:p>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招标编号：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sz w:val="24"/>
          <w:highlight w:val="none"/>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highlight w:val="none"/>
          <w:lang w:val="zh-CN"/>
        </w:rPr>
      </w:pPr>
      <w:r>
        <w:rPr>
          <w:rFonts w:hint="eastAsia" w:ascii="仿宋" w:hAnsi="仿宋" w:eastAsia="仿宋" w:cs="仿宋"/>
          <w:b/>
          <w:sz w:val="24"/>
          <w:highlight w:val="none"/>
        </w:rPr>
        <w:t>6</w:t>
      </w:r>
      <w:r>
        <w:rPr>
          <w:rFonts w:hint="eastAsia" w:ascii="仿宋" w:hAnsi="仿宋" w:eastAsia="仿宋" w:cs="仿宋"/>
          <w:b/>
          <w:kern w:val="0"/>
          <w:sz w:val="24"/>
          <w:highlight w:val="none"/>
          <w:lang w:val="zh-CN"/>
        </w:rPr>
        <w:t>.特别提示：采购机构将对</w:t>
      </w:r>
      <w:r>
        <w:rPr>
          <w:rFonts w:hint="eastAsia" w:ascii="仿宋" w:hAnsi="仿宋" w:eastAsia="仿宋" w:cs="仿宋"/>
          <w:b/>
          <w:kern w:val="0"/>
          <w:sz w:val="24"/>
          <w:highlight w:val="none"/>
        </w:rPr>
        <w:t>项目名称和项目编号，中标供应商名称、地址和中标金额，主要中标标的的名称、规格型号、数量、单价、服务要求等</w:t>
      </w:r>
      <w:r>
        <w:rPr>
          <w:rFonts w:hint="eastAsia" w:ascii="仿宋" w:hAnsi="仿宋" w:eastAsia="仿宋" w:cs="仿宋"/>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3"/>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（1）法定代表人授权书 …………………………………………………………（页码）</w:t>
      </w:r>
    </w:p>
    <w:p>
      <w:pPr>
        <w:pStyle w:val="193"/>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（2）授权代表社保证明（复印件）………………………………………………（页码）</w:t>
      </w:r>
    </w:p>
    <w:p>
      <w:pPr>
        <w:pStyle w:val="193"/>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（3）法定代表人及其授权代表的身份证（复印件）……………………………（页码）</w:t>
      </w:r>
    </w:p>
    <w:p>
      <w:pPr>
        <w:pStyle w:val="193"/>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（4）法定代表人身份证明书………………………………………………………（页码）</w:t>
      </w:r>
    </w:p>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（5）资格审查有关的书面承诺函</w:t>
      </w:r>
      <w:r>
        <w:rPr>
          <w:rFonts w:hint="eastAsia" w:ascii="仿宋" w:hAnsi="仿宋" w:eastAsia="仿宋" w:cs="仿宋"/>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pStyle w:val="193"/>
        <w:spacing w:line="360" w:lineRule="auto"/>
        <w:ind w:firstLine="0" w:firstLineChars="0"/>
        <w:rPr>
          <w:rFonts w:hint="eastAsia" w:ascii="仿宋" w:hAnsi="仿宋" w:eastAsia="仿宋" w:cs="仿宋"/>
          <w:highlight w:val="none"/>
        </w:rPr>
      </w:pPr>
      <w:r>
        <w:rPr>
          <w:rFonts w:hint="eastAsia" w:ascii="仿宋" w:hAnsi="仿宋" w:eastAsia="仿宋" w:cs="仿宋"/>
          <w:highlight w:val="none"/>
        </w:rPr>
        <w:t>（6）符合特定资格条件（如果项目要求）的有关证明材料（复印件）………（页码）</w:t>
      </w:r>
    </w:p>
    <w:p>
      <w:pPr>
        <w:pStyle w:val="193"/>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（7）</w:t>
      </w:r>
      <w:r>
        <w:rPr>
          <w:rFonts w:hint="eastAsia" w:ascii="仿宋" w:hAnsi="仿宋" w:eastAsia="仿宋" w:cs="仿宋"/>
          <w:snapToGrid w:val="0"/>
          <w:highlight w:val="none"/>
        </w:rPr>
        <w:t>投标人售后服务证明材料</w:t>
      </w:r>
      <w:r>
        <w:rPr>
          <w:rFonts w:hint="eastAsia" w:ascii="仿宋" w:hAnsi="仿宋" w:eastAsia="仿宋" w:cs="仿宋"/>
          <w:highlight w:val="none"/>
        </w:rPr>
        <w:t>……………………………………………………（页码）</w:t>
      </w:r>
    </w:p>
    <w:p>
      <w:pPr>
        <w:pStyle w:val="193"/>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（8）</w:t>
      </w:r>
      <w:r>
        <w:rPr>
          <w:rFonts w:hint="eastAsia" w:ascii="仿宋" w:hAnsi="仿宋" w:eastAsia="仿宋" w:cs="仿宋"/>
          <w:highlight w:val="none"/>
          <w:lang w:val="zh-CN"/>
        </w:rPr>
        <w:t>主要业绩证明…………………………………………………</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highlight w:val="none"/>
        </w:rPr>
        <w:t>（页码）</w:t>
      </w:r>
    </w:p>
    <w:p>
      <w:pPr>
        <w:pStyle w:val="193"/>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（9）廉政承诺书 …………………………………………………………………（页码）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（10）技术解决方案…………………………………………………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（11）技术偏离说明表………………………………………………</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（12）组织实施方案……………………………………………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（13）售后服务方案……………………………………………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（14）项目小组人员名单………………………………………</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（19）</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（页码）（20）</w:t>
      </w:r>
      <w:r>
        <w:rPr>
          <w:rFonts w:hint="eastAsia" w:ascii="仿宋" w:hAnsi="仿宋" w:eastAsia="仿宋" w:cs="仿宋"/>
          <w:kern w:val="0"/>
          <w:sz w:val="24"/>
          <w:highlight w:val="none"/>
          <w:lang w:val="zh-CN"/>
        </w:rPr>
        <w:t>联合协议（如有）……………………………………………………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（21）</w:t>
      </w:r>
      <w:r>
        <w:rPr>
          <w:rFonts w:hint="eastAsia" w:ascii="仿宋" w:hAnsi="仿宋" w:eastAsia="仿宋" w:cs="仿宋"/>
          <w:kern w:val="0"/>
          <w:sz w:val="24"/>
          <w:highlight w:val="none"/>
          <w:lang w:val="zh-CN"/>
        </w:rPr>
        <w:t>分包意向协议（如有）…………………………………………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（22）中小企业声明函</w:t>
      </w:r>
      <w:r>
        <w:rPr>
          <w:rFonts w:hint="eastAsia" w:ascii="仿宋" w:hAnsi="仿宋" w:eastAsia="仿宋" w:cs="仿宋"/>
          <w:kern w:val="0"/>
          <w:sz w:val="24"/>
          <w:highlight w:val="none"/>
          <w:lang w:val="zh-CN"/>
        </w:rPr>
        <w:t>（如有）</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eastAsia="zh-CN"/>
        </w:rPr>
        <w:t>绍兴市中医院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数据库一体机升级扩容项目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eastAsia="zh-CN"/>
        </w:rPr>
        <w:t>绍兴市中医院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数据库一体机升级扩容项目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800" w:lineRule="exact"/>
        <w:rPr>
          <w:rFonts w:hint="eastAsia" w:ascii="仿宋" w:hAnsi="仿宋" w:eastAsia="仿宋" w:cs="仿宋"/>
          <w:b/>
          <w:sz w:val="24"/>
          <w:highlight w:val="none"/>
        </w:rPr>
      </w:pP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hint="eastAsia" w:ascii="仿宋" w:hAnsi="仿宋" w:eastAsia="仿宋" w:cs="仿宋"/>
          <w:sz w:val="24"/>
          <w:highlight w:val="none"/>
        </w:rPr>
      </w:pPr>
    </w:p>
    <w:p>
      <w:pPr>
        <w:spacing w:line="800" w:lineRule="exact"/>
        <w:ind w:firstLine="4337" w:firstLineChars="1800"/>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pageBreakBefore/>
        <w:spacing w:afterLines="100"/>
        <w:rPr>
          <w:rFonts w:hint="eastAsia" w:ascii="仿宋" w:hAnsi="仿宋" w:eastAsia="仿宋" w:cs="仿宋"/>
          <w:b/>
          <w:kern w:val="0"/>
          <w:sz w:val="32"/>
          <w:szCs w:val="32"/>
          <w:highlight w:val="none"/>
        </w:rPr>
      </w:pPr>
      <w:r>
        <w:rPr>
          <w:rFonts w:hint="eastAsia" w:ascii="仿宋" w:hAnsi="仿宋" w:eastAsia="仿宋" w:cs="仿宋"/>
          <w:b/>
          <w:sz w:val="30"/>
          <w:szCs w:val="30"/>
          <w:highlight w:val="none"/>
        </w:rPr>
        <w:t>5、资格审查有关的书面承诺函</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lang w:eastAsia="zh-CN"/>
        </w:rPr>
        <w:t>绍兴市中医院</w:t>
      </w:r>
      <w:r>
        <w:rPr>
          <w:rFonts w:hint="eastAsia" w:ascii="仿宋" w:hAnsi="仿宋" w:eastAsia="仿宋" w:cs="仿宋"/>
          <w:sz w:val="24"/>
          <w:highlight w:val="none"/>
        </w:rPr>
        <w:t>、</w:t>
      </w:r>
      <w:r>
        <w:rPr>
          <w:rFonts w:hint="eastAsia" w:ascii="仿宋" w:hAnsi="仿宋" w:eastAsia="仿宋" w:cs="仿宋"/>
          <w:sz w:val="24"/>
          <w:highlight w:val="none"/>
          <w:lang w:eastAsia="zh-CN"/>
        </w:rPr>
        <w:t>泰宇建筑工程技术咨询有限公司</w:t>
      </w:r>
      <w:r>
        <w:rPr>
          <w:rFonts w:hint="eastAsia" w:ascii="仿宋" w:hAnsi="仿宋" w:eastAsia="仿宋" w:cs="仿宋"/>
          <w:kern w:val="0"/>
          <w:sz w:val="24"/>
          <w:highlight w:val="none"/>
          <w:lang w:val="zh-CN"/>
        </w:rPr>
        <w:t>：</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我方郑重承诺，已具有</w:t>
      </w:r>
      <w:r>
        <w:rPr>
          <w:rFonts w:hint="eastAsia" w:ascii="仿宋" w:hAnsi="仿宋" w:eastAsia="仿宋" w:cs="仿宋"/>
          <w:sz w:val="24"/>
          <w:highlight w:val="none"/>
          <w:lang w:eastAsia="zh-CN"/>
        </w:rPr>
        <w:t>绍兴市中医院数据库一体机升级扩容项目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TYJZ2022</w:t>
      </w:r>
      <w:r>
        <w:rPr>
          <w:rFonts w:hint="eastAsia" w:ascii="仿宋" w:hAnsi="仿宋" w:eastAsia="仿宋" w:cs="仿宋"/>
          <w:sz w:val="24"/>
          <w:highlight w:val="none"/>
        </w:rPr>
        <w:t>）招标文件中关于申请人资格要求的下列条件：</w:t>
      </w:r>
    </w:p>
    <w:p>
      <w:pPr>
        <w:pStyle w:val="69"/>
        <w:widowControl w:val="0"/>
        <w:spacing w:afterLines="0" w:line="440" w:lineRule="exact"/>
        <w:ind w:firstLine="480"/>
        <w:jc w:val="left"/>
        <w:rPr>
          <w:rFonts w:hint="eastAsia"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zh-CN"/>
        </w:rPr>
        <w:t>我公司</w:t>
      </w:r>
      <w:r>
        <w:rPr>
          <w:rFonts w:hint="eastAsia" w:ascii="仿宋" w:hAnsi="仿宋" w:eastAsia="仿宋" w:cs="仿宋"/>
          <w:sz w:val="24"/>
          <w:highlight w:val="none"/>
        </w:rPr>
        <w:t>声明参加本次政府采购活动前三年内未</w:t>
      </w:r>
      <w:r>
        <w:rPr>
          <w:rFonts w:hint="eastAsia" w:ascii="仿宋" w:hAnsi="仿宋" w:eastAsia="仿宋" w:cs="仿宋"/>
          <w:sz w:val="24"/>
          <w:szCs w:val="20"/>
          <w:highlight w:val="none"/>
        </w:rPr>
        <w:t>被列入“黑名单”</w:t>
      </w:r>
      <w:r>
        <w:rPr>
          <w:rFonts w:hint="eastAsia" w:ascii="仿宋" w:hAnsi="仿宋" w:eastAsia="仿宋" w:cs="仿宋"/>
          <w:sz w:val="24"/>
          <w:highlight w:val="none"/>
        </w:rPr>
        <w:t>，</w:t>
      </w:r>
      <w:r>
        <w:rPr>
          <w:rFonts w:hint="eastAsia" w:ascii="仿宋" w:hAnsi="仿宋" w:eastAsia="仿宋" w:cs="仿宋"/>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napToGrid w:val="0"/>
        <w:spacing w:line="360" w:lineRule="auto"/>
        <w:rPr>
          <w:rFonts w:hint="eastAsia" w:ascii="仿宋" w:hAnsi="仿宋" w:eastAsia="仿宋" w:cs="仿宋"/>
          <w:b/>
          <w:sz w:val="30"/>
          <w:szCs w:val="30"/>
          <w:highlight w:val="none"/>
        </w:rPr>
      </w:pPr>
    </w:p>
    <w:p>
      <w:pPr>
        <w:snapToGrid w:val="0"/>
        <w:spacing w:line="360" w:lineRule="auto"/>
        <w:rPr>
          <w:rFonts w:hint="eastAsia" w:ascii="仿宋" w:hAnsi="仿宋" w:eastAsia="仿宋" w:cs="仿宋"/>
          <w:b/>
          <w:sz w:val="30"/>
          <w:szCs w:val="30"/>
          <w:highlight w:val="none"/>
        </w:rPr>
      </w:pPr>
    </w:p>
    <w:p>
      <w:pPr>
        <w:pageBreakBefore/>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sz w:val="32"/>
          <w:szCs w:val="32"/>
          <w:highlight w:val="none"/>
        </w:rPr>
      </w:pPr>
      <w:r>
        <w:rPr>
          <w:rFonts w:hint="eastAsia" w:ascii="仿宋" w:hAnsi="仿宋" w:eastAsia="仿宋" w:cs="仿宋"/>
          <w:sz w:val="24"/>
          <w:highlight w:val="none"/>
        </w:rPr>
        <w:t>（由投标人根据招标公告合格的投标人应具备的特定资格条件要求编制）</w:t>
      </w: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r>
        <w:rPr>
          <w:rFonts w:hint="eastAsia" w:ascii="仿宋" w:hAnsi="仿宋" w:eastAsia="仿宋" w:cs="仿宋"/>
          <w:b/>
          <w:sz w:val="30"/>
          <w:szCs w:val="30"/>
          <w:highlight w:val="none"/>
        </w:rPr>
        <w:t>7、投标人售后服务能力证明材料</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8、</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b/>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Style w:val="194"/>
        <w:pageBreakBefore/>
        <w:ind w:firstLine="0"/>
        <w:jc w:val="both"/>
        <w:rPr>
          <w:rFonts w:hint="eastAsia" w:ascii="仿宋" w:hAnsi="仿宋" w:eastAsia="仿宋" w:cs="仿宋"/>
          <w:highlight w:val="none"/>
        </w:rPr>
      </w:pPr>
      <w:r>
        <w:rPr>
          <w:rFonts w:hint="eastAsia" w:ascii="仿宋" w:hAnsi="仿宋" w:eastAsia="仿宋" w:cs="仿宋"/>
          <w:highlight w:val="none"/>
        </w:rPr>
        <w:t>9、廉政承诺书</w:t>
      </w:r>
    </w:p>
    <w:p>
      <w:pPr>
        <w:autoSpaceDE w:val="0"/>
        <w:autoSpaceDN w:val="0"/>
        <w:spacing w:line="360" w:lineRule="auto"/>
        <w:ind w:left="2"/>
        <w:jc w:val="left"/>
        <w:rPr>
          <w:rFonts w:hint="eastAsia" w:ascii="仿宋" w:hAnsi="仿宋" w:eastAsia="仿宋" w:cs="仿宋"/>
          <w:kern w:val="0"/>
          <w:sz w:val="24"/>
          <w:highlight w:val="none"/>
          <w:lang w:val="zh-CN"/>
        </w:rPr>
      </w:pPr>
      <w:r>
        <w:rPr>
          <w:rFonts w:hint="eastAsia" w:ascii="仿宋" w:hAnsi="仿宋" w:eastAsia="仿宋" w:cs="仿宋"/>
          <w:sz w:val="24"/>
          <w:highlight w:val="none"/>
          <w:lang w:eastAsia="zh-CN"/>
        </w:rPr>
        <w:t>绍兴市中医院</w:t>
      </w:r>
      <w:r>
        <w:rPr>
          <w:rFonts w:hint="eastAsia" w:ascii="仿宋" w:hAnsi="仿宋" w:eastAsia="仿宋" w:cs="仿宋"/>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10、技术解决方案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11、技术偏离说明表</w:t>
      </w:r>
    </w:p>
    <w:p>
      <w:pPr>
        <w:spacing w:line="360" w:lineRule="auto"/>
        <w:rPr>
          <w:rFonts w:hint="eastAsia" w:ascii="仿宋" w:hAnsi="仿宋" w:eastAsia="仿宋" w:cs="仿宋"/>
          <w:b/>
          <w:bCs/>
          <w:sz w:val="32"/>
          <w:szCs w:val="32"/>
          <w:highlight w:val="none"/>
        </w:rPr>
      </w:pPr>
      <w:r>
        <w:rPr>
          <w:rFonts w:hint="eastAsia" w:ascii="仿宋" w:hAnsi="仿宋" w:eastAsia="仿宋" w:cs="仿宋"/>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12、组织实施方案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13、售后服务方案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14、项目小组人员名单</w:t>
      </w:r>
    </w:p>
    <w:p>
      <w:pPr>
        <w:spacing w:line="360" w:lineRule="auto"/>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15、</w:t>
      </w:r>
      <w:r>
        <w:rPr>
          <w:rFonts w:hint="eastAsia" w:ascii="仿宋" w:hAnsi="仿宋" w:eastAsia="仿宋" w:cs="仿宋"/>
          <w:b/>
          <w:kern w:val="0"/>
          <w:sz w:val="32"/>
          <w:szCs w:val="32"/>
          <w:highlight w:val="none"/>
          <w:lang w:val="zh-CN"/>
        </w:rPr>
        <w:t>优惠条件及特殊承诺</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sz w:val="18"/>
          <w:szCs w:val="18"/>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b/>
          <w:bCs/>
          <w:sz w:val="18"/>
          <w:szCs w:val="18"/>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16、</w:t>
      </w:r>
      <w:r>
        <w:rPr>
          <w:rFonts w:hint="eastAsia" w:ascii="仿宋" w:hAnsi="仿宋" w:eastAsia="仿宋" w:cs="仿宋"/>
          <w:b/>
          <w:kern w:val="0"/>
          <w:sz w:val="32"/>
          <w:szCs w:val="32"/>
          <w:highlight w:val="none"/>
          <w:lang w:val="zh-CN"/>
        </w:rPr>
        <w:t>备品备件及供选择的配套零部件清单</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napToGrid w:val="0"/>
        <w:spacing w:line="360" w:lineRule="auto"/>
        <w:ind w:right="144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17、</w:t>
      </w:r>
      <w:r>
        <w:rPr>
          <w:rFonts w:hint="eastAsia" w:ascii="仿宋" w:hAnsi="仿宋" w:eastAsia="仿宋" w:cs="仿宋"/>
          <w:b/>
          <w:kern w:val="0"/>
          <w:sz w:val="32"/>
          <w:szCs w:val="32"/>
          <w:highlight w:val="none"/>
          <w:lang w:val="zh-CN"/>
        </w:rPr>
        <w:t>培训计划</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18、验收方案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19、认为需要的</w:t>
      </w:r>
      <w:r>
        <w:rPr>
          <w:rFonts w:hint="eastAsia" w:ascii="仿宋" w:hAnsi="仿宋" w:eastAsia="仿宋" w:cs="仿宋"/>
          <w:b/>
          <w:kern w:val="0"/>
          <w:sz w:val="32"/>
          <w:szCs w:val="32"/>
          <w:highlight w:val="none"/>
          <w:lang w:val="zh-CN"/>
        </w:rPr>
        <w:t>其他商务技术（资信）文件或说明</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napToGrid w:val="0"/>
        <w:spacing w:line="360" w:lineRule="auto"/>
        <w:ind w:right="480"/>
        <w:rPr>
          <w:rFonts w:hint="eastAsia" w:ascii="仿宋" w:hAnsi="仿宋" w:eastAsia="仿宋" w:cs="仿宋"/>
          <w:b/>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snapToGrid w:val="0"/>
        <w:spacing w:line="360" w:lineRule="auto"/>
        <w:ind w:firstLine="576"/>
        <w:rPr>
          <w:rFonts w:hint="eastAsia" w:ascii="仿宋" w:hAnsi="仿宋" w:eastAsia="仿宋" w:cs="仿宋"/>
          <w:highlight w:val="none"/>
        </w:rPr>
      </w:pPr>
      <w:r>
        <w:rPr>
          <w:rFonts w:hint="eastAsia" w:ascii="仿宋" w:hAnsi="仿宋" w:eastAsia="仿宋" w:cs="仿宋"/>
          <w:kern w:val="0"/>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hint="eastAsia" w:ascii="仿宋" w:hAnsi="仿宋" w:eastAsia="仿宋" w:cs="仿宋"/>
          <w:highlight w:val="none"/>
          <w:u w:val="single"/>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hint="eastAsia" w:ascii="仿宋" w:hAnsi="仿宋" w:eastAsia="仿宋" w:cs="仿宋"/>
          <w:kern w:val="0"/>
          <w:sz w:val="24"/>
          <w:highlight w:val="none"/>
          <w:lang w:val="zh-CN"/>
        </w:rPr>
      </w:pP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u w:val="single"/>
        </w:rPr>
        <w:t>（分包供应商名称）提供的货物全部由小微企业制造，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22、落实政府采购政策需满足的资格要求</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highlight w:val="none"/>
        </w:rPr>
        <w:t>中小企业声明函</w:t>
      </w:r>
      <w:r>
        <w:rPr>
          <w:rFonts w:hint="eastAsia" w:ascii="仿宋" w:hAnsi="仿宋" w:eastAsia="仿宋" w:cs="仿宋"/>
          <w:sz w:val="24"/>
          <w:highlight w:val="none"/>
        </w:rPr>
        <w:t>（附件）。</w:t>
      </w:r>
    </w:p>
    <w:p>
      <w:pPr>
        <w:widowControl/>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要求以联合体形式参加的，提供联合协议和</w:t>
      </w:r>
      <w:r>
        <w:rPr>
          <w:rFonts w:hint="eastAsia" w:ascii="仿宋" w:hAnsi="仿宋" w:eastAsia="仿宋" w:cs="仿宋"/>
          <w:b/>
          <w:sz w:val="24"/>
          <w:highlight w:val="none"/>
        </w:rPr>
        <w:t>中小企业声明函</w:t>
      </w:r>
      <w:r>
        <w:rPr>
          <w:rFonts w:hint="eastAsia" w:ascii="仿宋" w:hAnsi="仿宋" w:eastAsia="仿宋" w:cs="仿宋"/>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联合协议</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sz w:val="24"/>
          <w:highlight w:val="none"/>
        </w:rPr>
        <w:t>中小企业合同金额达到%，小微企业合同金额达到%</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firstLine="480" w:firstLineChars="200"/>
        <w:rPr>
          <w:rFonts w:hint="eastAsia" w:ascii="仿宋" w:hAnsi="仿宋" w:eastAsia="仿宋" w:cs="仿宋"/>
          <w:sz w:val="24"/>
          <w:highlight w:val="none"/>
        </w:rPr>
      </w:pPr>
    </w:p>
    <w:p>
      <w:pPr>
        <w:spacing w:line="360" w:lineRule="auto"/>
        <w:ind w:firstLine="482" w:firstLineChars="200"/>
        <w:rPr>
          <w:rFonts w:hint="eastAsia" w:ascii="仿宋" w:hAnsi="仿宋" w:eastAsia="仿宋" w:cs="仿宋"/>
          <w:b/>
          <w:sz w:val="24"/>
          <w:highlight w:val="none"/>
        </w:rPr>
      </w:pPr>
    </w:p>
    <w:p>
      <w:pPr>
        <w:spacing w:line="360" w:lineRule="auto"/>
        <w:ind w:firstLine="482" w:firstLineChars="200"/>
        <w:rPr>
          <w:rFonts w:hint="eastAsia" w:ascii="仿宋" w:hAnsi="仿宋" w:eastAsia="仿宋" w:cs="仿宋"/>
          <w:b/>
          <w:sz w:val="24"/>
          <w:highlight w:val="none"/>
        </w:rPr>
      </w:pPr>
    </w:p>
    <w:p>
      <w:pPr>
        <w:spacing w:line="360" w:lineRule="auto"/>
        <w:ind w:firstLine="482" w:firstLineChars="200"/>
        <w:rPr>
          <w:rFonts w:hint="eastAsia" w:ascii="仿宋" w:hAnsi="仿宋" w:eastAsia="仿宋" w:cs="仿宋"/>
          <w:b/>
          <w:sz w:val="24"/>
          <w:highlight w:val="none"/>
        </w:rPr>
      </w:pPr>
    </w:p>
    <w:p>
      <w:pPr>
        <w:pageBreakBefore/>
        <w:spacing w:line="360" w:lineRule="auto"/>
        <w:ind w:firstLine="482" w:firstLineChars="200"/>
        <w:rPr>
          <w:rFonts w:hint="eastAsia" w:ascii="仿宋" w:hAnsi="仿宋" w:eastAsia="仿宋" w:cs="仿宋"/>
          <w:b/>
          <w:kern w:val="0"/>
          <w:sz w:val="32"/>
          <w:szCs w:val="32"/>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要求合同分包的，提供分包意向协议和</w:t>
      </w:r>
      <w:r>
        <w:rPr>
          <w:rFonts w:hint="eastAsia" w:ascii="仿宋" w:hAnsi="仿宋" w:eastAsia="仿宋" w:cs="仿宋"/>
          <w:b/>
          <w:color w:val="FF0000"/>
          <w:sz w:val="24"/>
          <w:highlight w:val="none"/>
        </w:rPr>
        <w:t>中小企业声明函（附件）</w:t>
      </w:r>
      <w:r>
        <w:rPr>
          <w:rFonts w:hint="eastAsia" w:ascii="仿宋" w:hAnsi="仿宋" w:eastAsia="仿宋" w:cs="仿宋"/>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w:t>
      </w:r>
      <w:r>
        <w:rPr>
          <w:rFonts w:hint="eastAsia" w:ascii="仿宋" w:hAnsi="仿宋" w:eastAsia="仿宋" w:cs="仿宋"/>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hint="eastAsia" w:ascii="仿宋" w:hAnsi="仿宋" w:eastAsia="仿宋" w:cs="仿宋"/>
          <w:highlight w:val="none"/>
          <w:u w:val="single"/>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hint="eastAsia" w:ascii="仿宋" w:hAnsi="仿宋" w:eastAsia="仿宋" w:cs="仿宋"/>
          <w:kern w:val="0"/>
          <w:sz w:val="24"/>
          <w:highlight w:val="none"/>
          <w:lang w:val="zh-CN"/>
        </w:rPr>
      </w:pP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中小企业合同金额达到%，小微企业合同金额达到%</w:t>
      </w:r>
      <w:r>
        <w:rPr>
          <w:rFonts w:hint="eastAsia" w:ascii="仿宋" w:hAnsi="仿宋" w:eastAsia="仿宋" w:cs="仿宋"/>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ind w:firstLine="6000" w:firstLineChars="25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hint="eastAsia" w:ascii="仿宋" w:hAnsi="仿宋" w:eastAsia="仿宋" w:cs="仿宋"/>
          <w:sz w:val="24"/>
          <w:highlight w:val="none"/>
          <w:u w:val="single"/>
        </w:rPr>
      </w:pPr>
    </w:p>
    <w:p>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你方组织的（项目名称）项目【招标编号：（采购编号）】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sz w:val="24"/>
          <w:highlight w:val="none"/>
        </w:rPr>
        <w:t>投标单位法定名称章（印模）投标单位“XX专用章”（印模）</w:t>
      </w: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pageBreakBefore/>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w:t>
      </w:r>
    </w:p>
    <w:p>
      <w:pPr>
        <w:rPr>
          <w:rFonts w:hint="eastAsia" w:ascii="仿宋" w:hAnsi="仿宋" w:eastAsia="仿宋" w:cs="仿宋"/>
          <w:b/>
          <w:sz w:val="32"/>
          <w:szCs w:val="32"/>
          <w:highlight w:val="none"/>
        </w:rPr>
      </w:pPr>
      <w:r>
        <w:rPr>
          <w:rFonts w:hint="eastAsia" w:ascii="仿宋" w:hAnsi="仿宋" w:eastAsia="仿宋" w:cs="仿宋"/>
          <w:b/>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hint="eastAsia" w:ascii="仿宋" w:hAnsi="仿宋" w:eastAsia="仿宋" w:cs="仿宋"/>
          <w:b/>
          <w:sz w:val="18"/>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rPr>
          <w:rFonts w:hint="eastAsia" w:ascii="仿宋" w:hAnsi="仿宋" w:eastAsia="仿宋" w:cs="仿宋"/>
          <w:b/>
          <w:sz w:val="24"/>
          <w:highlight w:val="none"/>
        </w:rPr>
      </w:pPr>
      <w:r>
        <w:rPr>
          <w:rFonts w:hint="eastAsia" w:ascii="仿宋" w:hAnsi="仿宋" w:eastAsia="仿宋" w:cs="仿宋"/>
          <w:b/>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highlight w:val="none"/>
        </w:rPr>
      </w:pPr>
      <w:r>
        <w:rPr>
          <w:rFonts w:hint="eastAsia" w:ascii="仿宋" w:hAnsi="仿宋" w:eastAsia="仿宋" w:cs="仿宋"/>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 ，属于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b/>
          <w:sz w:val="24"/>
          <w:highlight w:val="none"/>
        </w:rPr>
      </w:pPr>
      <w:r>
        <w:rPr>
          <w:rFonts w:hint="eastAsia" w:ascii="仿宋" w:hAnsi="仿宋" w:eastAsia="仿宋" w:cs="仿宋"/>
          <w:b/>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highlight w:val="none"/>
        </w:rPr>
      </w:pPr>
      <w:r>
        <w:rPr>
          <w:rFonts w:hint="eastAsia" w:ascii="仿宋" w:hAnsi="仿宋" w:eastAsia="仿宋" w:cs="仿宋"/>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highlight w:val="none"/>
        </w:rPr>
      </w:pPr>
    </w:p>
    <w:p>
      <w:pPr>
        <w:pageBreakBefore/>
        <w:spacing w:line="588" w:lineRule="exact"/>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highlight w:val="none"/>
          <w:u w:val="single"/>
        </w:rPr>
        <w:t xml:space="preserve">                 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声明单位（盖章）：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rPr>
          <w:rFonts w:hint="eastAsia" w:ascii="仿宋" w:hAnsi="仿宋" w:eastAsia="仿宋" w:cs="仿宋"/>
          <w:highlight w:val="none"/>
        </w:rPr>
      </w:pPr>
    </w:p>
    <w:p>
      <w:pPr>
        <w:tabs>
          <w:tab w:val="left" w:pos="4860"/>
        </w:tabs>
        <w:ind w:right="1559"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object>
          <v:shape id="_x0000_i1027"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40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 w:hAnsi="仿宋" w:eastAsia="仿宋" w:cs="仿宋"/>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一、质疑供应商基本信息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质疑供应商：</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地址：邮编：</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联系人：联系电话：</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地址：邮编：</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质疑项目的编号：包号：</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p>
    <w:p>
      <w:pPr>
        <w:adjustRightInd w:val="0"/>
        <w:snapToGrid w:val="0"/>
        <w:spacing w:line="360" w:lineRule="auto"/>
        <w:rPr>
          <w:rFonts w:hint="eastAsia" w:ascii="仿宋" w:hAnsi="仿宋" w:eastAsia="仿宋" w:cs="仿宋"/>
          <w:sz w:val="32"/>
          <w:szCs w:val="32"/>
          <w:highlight w:val="none"/>
        </w:rPr>
      </w:pP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p>
    <w:p>
      <w:pPr>
        <w:adjustRightInd w:val="0"/>
        <w:snapToGrid w:val="0"/>
        <w:spacing w:line="360" w:lineRule="auto"/>
        <w:rPr>
          <w:rFonts w:hint="eastAsia" w:ascii="仿宋" w:hAnsi="仿宋" w:eastAsia="仿宋" w:cs="仿宋"/>
          <w:sz w:val="32"/>
          <w:szCs w:val="32"/>
          <w:highlight w:val="none"/>
          <w:u w:val="dotted"/>
        </w:rPr>
      </w:pP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jc w:val="center"/>
        <w:rPr>
          <w:rFonts w:hint="eastAsia" w:ascii="仿宋" w:hAnsi="仿宋" w:eastAsia="仿宋" w:cs="仿宋"/>
          <w:b/>
          <w:bCs/>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2.质疑供应商若委托代理人进行质疑的，质疑函应按要求列明“授权代表”的有关内容，并在附件中提交由质疑</w:t>
      </w:r>
      <w:r>
        <w:rPr>
          <w:rFonts w:hint="eastAsia" w:ascii="仿宋" w:hAnsi="仿宋" w:eastAsia="仿宋" w:cs="仿宋"/>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w:t>
      </w:r>
      <w:r>
        <w:rPr>
          <w:rFonts w:hint="eastAsia" w:ascii="仿宋" w:hAnsi="仿宋" w:eastAsia="仿宋" w:cs="仿宋"/>
          <w:b/>
          <w:bCs/>
          <w:kern w:val="0"/>
          <w:sz w:val="36"/>
          <w:szCs w:val="36"/>
          <w:highlight w:val="none"/>
        </w:rPr>
        <w:br w:type="textWrapping"/>
      </w:r>
      <w:r>
        <w:rPr>
          <w:rFonts w:hint="eastAsia" w:ascii="仿宋" w:hAnsi="仿宋" w:eastAsia="仿宋" w:cs="仿宋"/>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r>
        <w:rPr>
          <w:rFonts w:hint="eastAsia" w:ascii="仿宋" w:hAnsi="仿宋" w:eastAsia="仿宋" w:cs="仿宋"/>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3.企业划分指标以现行统计制度为准。</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（1）从业人员，是指期末从业人员数，没有期末从业人员数的，采用全年平均人员数代替。</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r>
        <w:rPr>
          <w:rFonts w:hint="eastAsia" w:ascii="仿宋" w:hAnsi="仿宋" w:eastAsia="仿宋" w:cs="仿宋"/>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24"/>
          <w:highlight w:val="none"/>
        </w:rPr>
      </w:pPr>
      <w:r>
        <w:rPr>
          <w:rFonts w:hint="eastAsia" w:ascii="仿宋" w:hAnsi="仿宋" w:eastAsia="仿宋" w:cs="仿宋"/>
          <w:kern w:val="0"/>
          <w:sz w:val="18"/>
          <w:szCs w:val="18"/>
          <w:highlight w:val="none"/>
        </w:rPr>
        <w:br w:type="textWrapping"/>
      </w:r>
      <w:r>
        <w:rPr>
          <w:rFonts w:hint="eastAsia" w:ascii="仿宋" w:hAnsi="仿宋" w:eastAsia="仿宋" w:cs="仿宋"/>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r>
        <w:rPr>
          <w:rFonts w:hint="eastAsia" w:ascii="仿宋" w:hAnsi="仿宋" w:eastAsia="仿宋" w:cs="仿宋"/>
          <w:b/>
          <w:bCs/>
          <w:kern w:val="0"/>
          <w:sz w:val="36"/>
          <w:szCs w:val="36"/>
          <w:highlight w:val="none"/>
        </w:rPr>
        <w:br w:type="textWrapping"/>
      </w:r>
      <w:r>
        <w:rPr>
          <w:rFonts w:hint="eastAsia" w:ascii="仿宋" w:hAnsi="仿宋" w:eastAsia="仿宋" w:cs="仿宋"/>
          <w:b/>
          <w:bCs/>
          <w:kern w:val="0"/>
          <w:sz w:val="36"/>
          <w:szCs w:val="36"/>
          <w:highlight w:val="none"/>
        </w:rPr>
        <w:t>中国证券监督管理委员会中国保险监督管理委员会</w:t>
      </w:r>
      <w:r>
        <w:rPr>
          <w:rFonts w:hint="eastAsia" w:ascii="仿宋" w:hAnsi="仿宋" w:eastAsia="仿宋" w:cs="仿宋"/>
          <w:b/>
          <w:bCs/>
          <w:kern w:val="0"/>
          <w:sz w:val="36"/>
          <w:szCs w:val="36"/>
          <w:highlight w:val="none"/>
        </w:rPr>
        <w:br w:type="textWrapping"/>
      </w: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二、适用范围。本规定适用于从事《国民经济行业分类》(GB/T4754-2011)中J门类（金融业）活动的企业。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九、融资担保公司参照本规定中“除贷款公司、小额贷款公司、典当行以外的其他金融机构”标准划型。</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十、本规定由人民银行会同银监会，证监会、保监会和统计局负责解释。</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rPr>
          <w:rFonts w:hint="eastAsia" w:ascii="仿宋" w:hAnsi="仿宋" w:eastAsia="仿宋" w:cs="仿宋"/>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0000000000000000000"/>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186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ascii="仿宋_GB2312" w:eastAsia="宋体"/>
        <w:b/>
        <w:i/>
        <w:u w:val="single"/>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B150DA5"/>
    <w:multiLevelType w:val="multilevel"/>
    <w:tmpl w:val="2B150DA5"/>
    <w:lvl w:ilvl="0" w:tentative="0">
      <w:start w:val="1"/>
      <w:numFmt w:val="decimal"/>
      <w:lvlText w:val="%1"/>
      <w:lvlJc w:val="left"/>
      <w:pPr>
        <w:ind w:left="495" w:hanging="495"/>
      </w:pPr>
      <w:rPr>
        <w:rFonts w:hint="default"/>
      </w:rPr>
    </w:lvl>
    <w:lvl w:ilvl="1" w:tentative="0">
      <w:start w:val="1"/>
      <w:numFmt w:val="decimal"/>
      <w:pStyle w:val="288"/>
      <w:lvlText w:val="%1.%2"/>
      <w:lvlJc w:val="left"/>
      <w:pPr>
        <w:ind w:left="720" w:hanging="720"/>
      </w:pPr>
      <w:rPr>
        <w:rFonts w:hint="default"/>
      </w:rPr>
    </w:lvl>
    <w:lvl w:ilvl="2" w:tentative="0">
      <w:start w:val="1"/>
      <w:numFmt w:val="decimal"/>
      <w:pStyle w:val="289"/>
      <w:lvlText w:val="%1.%2.%3"/>
      <w:lvlJc w:val="left"/>
      <w:pPr>
        <w:ind w:left="1080" w:hanging="1080"/>
      </w:pPr>
      <w:rPr>
        <w:rFonts w:hint="default"/>
        <w:color w:val="auto"/>
      </w:rPr>
    </w:lvl>
    <w:lvl w:ilvl="3" w:tentative="0">
      <w:start w:val="1"/>
      <w:numFmt w:val="decimal"/>
      <w:lvlText w:val="%1.%2.%3.%4"/>
      <w:lvlJc w:val="left"/>
      <w:pPr>
        <w:ind w:left="1080" w:hanging="1080"/>
      </w:pPr>
      <w:rPr>
        <w:rFonts w:hint="default"/>
      </w:rPr>
    </w:lvl>
    <w:lvl w:ilvl="4" w:tentative="0">
      <w:start w:val="1"/>
      <w:numFmt w:val="decimal"/>
      <w:lvlText w:val="（%5）"/>
      <w:lvlJc w:val="left"/>
      <w:pPr>
        <w:ind w:left="1440" w:hanging="1440"/>
      </w:pPr>
      <w:rPr>
        <w:rFonts w:hint="eastAsia"/>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FBE"/>
    <w:rsid w:val="000E1C88"/>
    <w:rsid w:val="000E3723"/>
    <w:rsid w:val="000E4A4F"/>
    <w:rsid w:val="000E5C9B"/>
    <w:rsid w:val="000E6F8C"/>
    <w:rsid w:val="000E72A0"/>
    <w:rsid w:val="000F0D59"/>
    <w:rsid w:val="000F51A7"/>
    <w:rsid w:val="000F5EF4"/>
    <w:rsid w:val="000F7FA8"/>
    <w:rsid w:val="001023D9"/>
    <w:rsid w:val="00103B47"/>
    <w:rsid w:val="0010408F"/>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071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1F02"/>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5E87"/>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56C86"/>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293"/>
    <w:rsid w:val="0041460B"/>
    <w:rsid w:val="00414F64"/>
    <w:rsid w:val="00417C8A"/>
    <w:rsid w:val="0042136D"/>
    <w:rsid w:val="00424C70"/>
    <w:rsid w:val="0042557D"/>
    <w:rsid w:val="00426003"/>
    <w:rsid w:val="00426CA3"/>
    <w:rsid w:val="00427B10"/>
    <w:rsid w:val="004350B7"/>
    <w:rsid w:val="004357E0"/>
    <w:rsid w:val="00436ECF"/>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3A0"/>
    <w:rsid w:val="006A1906"/>
    <w:rsid w:val="006A37DE"/>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4F7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2C1"/>
    <w:rsid w:val="007774FA"/>
    <w:rsid w:val="00777C1A"/>
    <w:rsid w:val="00777DF4"/>
    <w:rsid w:val="00777F21"/>
    <w:rsid w:val="00780272"/>
    <w:rsid w:val="007804F7"/>
    <w:rsid w:val="007809BE"/>
    <w:rsid w:val="007814B9"/>
    <w:rsid w:val="0078178E"/>
    <w:rsid w:val="007822C3"/>
    <w:rsid w:val="00783B90"/>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101E"/>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10A4"/>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31E7"/>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2931"/>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07FCE"/>
    <w:rsid w:val="00B11F7D"/>
    <w:rsid w:val="00B1230F"/>
    <w:rsid w:val="00B127DA"/>
    <w:rsid w:val="00B12ECD"/>
    <w:rsid w:val="00B14C0B"/>
    <w:rsid w:val="00B2146D"/>
    <w:rsid w:val="00B22BA0"/>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19B9"/>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3B15"/>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2A8C"/>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10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0B7"/>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45A"/>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6D95"/>
    <w:rsid w:val="00FC7905"/>
    <w:rsid w:val="00FD0273"/>
    <w:rsid w:val="00FE5E89"/>
    <w:rsid w:val="00FE7260"/>
    <w:rsid w:val="00FF0866"/>
    <w:rsid w:val="00FF0CA9"/>
    <w:rsid w:val="00FF724C"/>
    <w:rsid w:val="00FF7BD2"/>
    <w:rsid w:val="0CD5317F"/>
    <w:rsid w:val="0E614412"/>
    <w:rsid w:val="15F20E41"/>
    <w:rsid w:val="2ACA45ED"/>
    <w:rsid w:val="35602270"/>
    <w:rsid w:val="377A25F9"/>
    <w:rsid w:val="3E6A321B"/>
    <w:rsid w:val="5257614B"/>
    <w:rsid w:val="54D44008"/>
    <w:rsid w:val="5ABC3B17"/>
    <w:rsid w:val="5CA52205"/>
    <w:rsid w:val="64700580"/>
    <w:rsid w:val="6F166144"/>
    <w:rsid w:val="72E87C49"/>
    <w:rsid w:val="75F93477"/>
    <w:rsid w:val="7A5B5283"/>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99"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3"/>
    <w:qFormat/>
    <w:uiPriority w:val="0"/>
    <w:pPr>
      <w:ind w:firstLine="420" w:firstLineChars="200"/>
    </w:pPr>
  </w:style>
  <w:style w:type="paragraph" w:styleId="13">
    <w:name w:val="List Number 2"/>
    <w:basedOn w:val="1"/>
    <w:qFormat/>
    <w:uiPriority w:val="99"/>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w:basedOn w:val="18"/>
    <w:link w:val="202"/>
    <w:qFormat/>
    <w:uiPriority w:val="0"/>
    <w:pPr>
      <w:spacing w:after="120" w:line="240" w:lineRule="auto"/>
      <w:ind w:firstLine="420" w:firstLineChars="100"/>
    </w:pPr>
    <w:rPr>
      <w:rFonts w:eastAsia="宋体"/>
      <w:sz w:val="21"/>
    </w:rPr>
  </w:style>
  <w:style w:type="paragraph" w:styleId="42">
    <w:name w:val="Body Text First Indent 2"/>
    <w:basedOn w:val="19"/>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1 Char"/>
    <w:link w:val="3"/>
    <w:qFormat/>
    <w:uiPriority w:val="0"/>
    <w:rPr>
      <w:rFonts w:eastAsia="仿宋_GB2312"/>
      <w:b/>
      <w:kern w:val="44"/>
      <w:sz w:val="44"/>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rPr>
  </w:style>
  <w:style w:type="character" w:customStyle="1" w:styleId="56">
    <w:name w:val="标题 3 Char"/>
    <w:link w:val="6"/>
    <w:qFormat/>
    <w:uiPriority w:val="0"/>
    <w:rPr>
      <w:rFonts w:eastAsia="仿宋_GB2312"/>
      <w:b/>
      <w:kern w:val="2"/>
      <w:sz w:val="32"/>
    </w:rPr>
  </w:style>
  <w:style w:type="character" w:customStyle="1" w:styleId="57">
    <w:name w:val="标题 4 Char1"/>
    <w:link w:val="7"/>
    <w:qFormat/>
    <w:uiPriority w:val="0"/>
    <w:rPr>
      <w:rFonts w:ascii="Arial" w:hAnsi="Arial" w:eastAsia="黑体"/>
      <w:b/>
      <w:kern w:val="2"/>
      <w:sz w:val="28"/>
    </w:rPr>
  </w:style>
  <w:style w:type="character" w:customStyle="1" w:styleId="58">
    <w:name w:val="标题 5 Char1"/>
    <w:link w:val="8"/>
    <w:qFormat/>
    <w:uiPriority w:val="0"/>
    <w:rPr>
      <w:sz w:val="24"/>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5"/>
    <w:link w:val="26"/>
    <w:semiHidden/>
    <w:qFormat/>
    <w:uiPriority w:val="0"/>
    <w:rPr>
      <w:kern w:val="2"/>
      <w:sz w:val="18"/>
      <w:szCs w:val="18"/>
    </w:rPr>
  </w:style>
  <w:style w:type="character" w:customStyle="1" w:styleId="199">
    <w:name w:val="正文文本缩进 3 Char"/>
    <w:basedOn w:val="45"/>
    <w:link w:val="32"/>
    <w:qFormat/>
    <w:uiPriority w:val="0"/>
    <w:rPr>
      <w:kern w:val="2"/>
      <w:sz w:val="16"/>
      <w:szCs w:val="16"/>
    </w:rPr>
  </w:style>
  <w:style w:type="character" w:customStyle="1" w:styleId="200">
    <w:name w:val="HTML 预设格式 Char"/>
    <w:basedOn w:val="45"/>
    <w:link w:val="36"/>
    <w:qFormat/>
    <w:uiPriority w:val="0"/>
    <w:rPr>
      <w:rFonts w:ascii="黑体" w:hAnsi="Courier New" w:eastAsia="黑体" w:cs="Courier New"/>
    </w:rPr>
  </w:style>
  <w:style w:type="character" w:customStyle="1" w:styleId="201">
    <w:name w:val="批注主题 Char"/>
    <w:basedOn w:val="168"/>
    <w:link w:val="40"/>
    <w:semiHidden/>
    <w:qFormat/>
    <w:uiPriority w:val="0"/>
    <w:rPr>
      <w:rFonts w:eastAsia="宋体"/>
      <w:b/>
      <w:bCs/>
      <w:kern w:val="2"/>
      <w:sz w:val="24"/>
      <w:szCs w:val="24"/>
      <w:lang w:val="en-US" w:eastAsia="zh-CN" w:bidi="ar-SA"/>
    </w:rPr>
  </w:style>
  <w:style w:type="character" w:customStyle="1" w:styleId="202">
    <w:name w:val="正文首行缩进 Char"/>
    <w:basedOn w:val="163"/>
    <w:link w:val="41"/>
    <w:qFormat/>
    <w:uiPriority w:val="0"/>
    <w:rPr>
      <w:rFonts w:eastAsia="仿宋_GB2312"/>
      <w:kern w:val="2"/>
      <w:sz w:val="21"/>
      <w:szCs w:val="24"/>
      <w:lang w:val="en-US" w:eastAsia="zh-CN" w:bidi="ar-SA"/>
    </w:rPr>
  </w:style>
  <w:style w:type="character" w:customStyle="1" w:styleId="203">
    <w:name w:val="正文首行缩进 2 Char"/>
    <w:basedOn w:val="65"/>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5"/>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5"/>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table" w:customStyle="1" w:styleId="286">
    <w:name w:val="网格型1"/>
    <w:basedOn w:val="43"/>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7">
    <w:name w:val="列表段落1"/>
    <w:basedOn w:val="1"/>
    <w:next w:val="18"/>
    <w:qFormat/>
    <w:uiPriority w:val="99"/>
    <w:pPr>
      <w:adjustRightInd w:val="0"/>
      <w:ind w:left="720"/>
      <w:contextualSpacing/>
    </w:pPr>
  </w:style>
  <w:style w:type="paragraph" w:customStyle="1" w:styleId="288">
    <w:name w:val="GP标题2"/>
    <w:basedOn w:val="1"/>
    <w:next w:val="1"/>
    <w:qFormat/>
    <w:uiPriority w:val="0"/>
    <w:pPr>
      <w:numPr>
        <w:ilvl w:val="1"/>
        <w:numId w:val="5"/>
      </w:numPr>
      <w:adjustRightInd w:val="0"/>
      <w:spacing w:beforeLines="50" w:afterLines="50" w:line="360" w:lineRule="auto"/>
      <w:jc w:val="left"/>
      <w:outlineLvl w:val="1"/>
    </w:pPr>
    <w:rPr>
      <w:rFonts w:ascii="仿宋" w:hAnsi="仿宋" w:eastAsia="仿宋"/>
      <w:b/>
      <w:sz w:val="32"/>
      <w:szCs w:val="21"/>
    </w:rPr>
  </w:style>
  <w:style w:type="paragraph" w:customStyle="1" w:styleId="289">
    <w:name w:val="GP标题3"/>
    <w:basedOn w:val="1"/>
    <w:next w:val="1"/>
    <w:qFormat/>
    <w:uiPriority w:val="0"/>
    <w:pPr>
      <w:numPr>
        <w:ilvl w:val="2"/>
        <w:numId w:val="5"/>
      </w:numPr>
      <w:adjustRightInd w:val="0"/>
      <w:spacing w:line="360" w:lineRule="auto"/>
      <w:outlineLvl w:val="2"/>
    </w:pPr>
    <w:rPr>
      <w:rFonts w:ascii="仿宋" w:hAnsi="仿宋" w:eastAsia="仿宋"/>
      <w:b/>
      <w:sz w:val="30"/>
      <w:szCs w:val="30"/>
    </w:rPr>
  </w:style>
  <w:style w:type="paragraph" w:customStyle="1" w:styleId="290">
    <w:name w:val="*正文"/>
    <w:basedOn w:val="1"/>
    <w:qFormat/>
    <w:uiPriority w:val="0"/>
    <w:pPr>
      <w:widowControl/>
      <w:adjustRightInd w:val="0"/>
      <w:ind w:firstLine="200" w:firstLineChars="200"/>
    </w:pPr>
    <w:rPr>
      <w:rFonts w:ascii="仿宋_GB2312"/>
      <w:sz w:val="24"/>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82DC7C-50B7-4FDF-BF0E-8DFA0D243E8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84</Pages>
  <Words>47226</Words>
  <Characters>50464</Characters>
  <Lines>527</Lines>
  <Paragraphs>148</Paragraphs>
  <TotalTime>0</TotalTime>
  <ScaleCrop>false</ScaleCrop>
  <LinksUpToDate>false</LinksUpToDate>
  <CharactersWithSpaces>55355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2022-02-14T11:21:00Z</cp:lastPrinted>
  <dcterms:modified xsi:type="dcterms:W3CDTF">2022-10-08T00:53:16Z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A4762E87D915408B8EE08733F8F35BAC</vt:lpwstr>
  </property>
</Properties>
</file>