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ind w:firstLine="0" w:firstLineChars="0"/>
        <w:jc w:val="center"/>
        <w:rPr>
          <w:rFonts w:hint="eastAsia" w:ascii="仿宋" w:hAnsi="仿宋" w:eastAsia="仿宋" w:cs="仿宋"/>
          <w:b/>
          <w:color w:val="auto"/>
          <w:sz w:val="52"/>
          <w:szCs w:val="52"/>
          <w:highlight w:val="none"/>
        </w:rPr>
      </w:pPr>
    </w:p>
    <w:p>
      <w:pPr>
        <w:pStyle w:val="2"/>
        <w:ind w:firstLine="0" w:firstLineChars="0"/>
        <w:jc w:val="center"/>
        <w:rPr>
          <w:rFonts w:hint="eastAsia" w:ascii="仿宋" w:hAnsi="仿宋" w:eastAsia="仿宋" w:cs="仿宋"/>
          <w:color w:val="auto"/>
          <w:highlight w:val="none"/>
          <w:lang w:val="en-US" w:eastAsia="zh-CN"/>
        </w:rPr>
      </w:pPr>
      <w:r>
        <w:rPr>
          <w:rFonts w:hint="eastAsia" w:ascii="仿宋" w:hAnsi="仿宋" w:eastAsia="仿宋" w:cs="仿宋"/>
          <w:b/>
          <w:color w:val="auto"/>
          <w:sz w:val="52"/>
          <w:szCs w:val="52"/>
          <w:highlight w:val="none"/>
        </w:rPr>
        <w:t>绍兴市中医院</w:t>
      </w:r>
      <w:r>
        <w:rPr>
          <w:rFonts w:hint="eastAsia" w:ascii="仿宋" w:hAnsi="仿宋" w:eastAsia="仿宋" w:cs="仿宋"/>
          <w:b/>
          <w:color w:val="auto"/>
          <w:sz w:val="52"/>
          <w:szCs w:val="52"/>
          <w:highlight w:val="none"/>
          <w:lang w:eastAsia="zh-CN"/>
        </w:rPr>
        <w:t>信息管理系统运行维护</w:t>
      </w:r>
      <w:bookmarkStart w:id="12" w:name="_GoBack"/>
      <w:bookmarkEnd w:id="12"/>
      <w:r>
        <w:rPr>
          <w:rFonts w:hint="eastAsia" w:ascii="仿宋" w:hAnsi="仿宋" w:eastAsia="仿宋" w:cs="仿宋"/>
          <w:b/>
          <w:color w:val="auto"/>
          <w:sz w:val="52"/>
          <w:szCs w:val="52"/>
          <w:highlight w:val="none"/>
          <w:lang w:eastAsia="zh-CN"/>
        </w:rPr>
        <w:t>及运维人员驻场项目</w:t>
      </w:r>
    </w:p>
    <w:p>
      <w:pPr>
        <w:pStyle w:val="2"/>
        <w:rPr>
          <w:rFonts w:hint="eastAsia" w:ascii="仿宋" w:hAnsi="仿宋" w:eastAsia="仿宋" w:cs="仿宋"/>
          <w:color w:val="auto"/>
          <w:highlight w:val="none"/>
          <w:lang w:val="en-US"/>
        </w:rPr>
      </w:pP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pPr>
        <w:jc w:val="center"/>
        <w:outlineLvl w:val="0"/>
        <w:rPr>
          <w:rFonts w:hint="eastAsia" w:ascii="仿宋" w:hAnsi="仿宋" w:eastAsia="仿宋" w:cs="仿宋"/>
          <w:color w:val="auto"/>
          <w:sz w:val="44"/>
          <w:highlight w:val="none"/>
        </w:rPr>
      </w:pPr>
    </w:p>
    <w:p>
      <w:pPr>
        <w:jc w:val="center"/>
        <w:outlineLvl w:val="0"/>
        <w:rPr>
          <w:rFonts w:hint="eastAsia" w:ascii="仿宋" w:hAnsi="仿宋" w:eastAsia="仿宋" w:cs="仿宋"/>
          <w:color w:val="auto"/>
          <w:sz w:val="44"/>
          <w:highlight w:val="none"/>
        </w:rPr>
      </w:pPr>
    </w:p>
    <w:p>
      <w:pPr>
        <w:jc w:val="center"/>
        <w:rPr>
          <w:rFonts w:hint="eastAsia" w:ascii="仿宋" w:hAnsi="仿宋" w:eastAsia="仿宋" w:cs="仿宋"/>
          <w:b/>
          <w:color w:val="auto"/>
          <w:sz w:val="24"/>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TYJZ2022</w:t>
      </w:r>
    </w:p>
    <w:tbl>
      <w:tblPr>
        <w:tblStyle w:val="40"/>
        <w:tblW w:w="0" w:type="auto"/>
        <w:jc w:val="center"/>
        <w:tblLayout w:type="autofit"/>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504" w:hRule="atLeast"/>
          <w:jc w:val="center"/>
        </w:trPr>
        <w:tc>
          <w:tcPr>
            <w:tcW w:w="2356"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tcPr>
          <w:p>
            <w:pPr>
              <w:outlineLvl w:val="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绍兴市中医院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12"/>
                <w:w w:val="93"/>
                <w:kern w:val="0"/>
                <w:sz w:val="28"/>
                <w:szCs w:val="28"/>
                <w:highlight w:val="none"/>
              </w:rPr>
              <w:t>招标代理单</w:t>
            </w:r>
            <w:r>
              <w:rPr>
                <w:rFonts w:hint="eastAsia" w:ascii="仿宋" w:hAnsi="仿宋" w:eastAsia="仿宋" w:cs="仿宋"/>
                <w:color w:val="auto"/>
                <w:w w:val="93"/>
                <w:kern w:val="0"/>
                <w:sz w:val="28"/>
                <w:szCs w:val="28"/>
                <w:highlight w:val="none"/>
              </w:rPr>
              <w:t>位</w:t>
            </w:r>
            <w:r>
              <w:rPr>
                <w:rFonts w:hint="eastAsia" w:ascii="仿宋" w:hAnsi="仿宋" w:eastAsia="仿宋" w:cs="仿宋"/>
                <w:color w:val="auto"/>
                <w:sz w:val="28"/>
                <w:szCs w:val="28"/>
                <w:highlight w:val="none"/>
              </w:rPr>
              <w:t>：</w:t>
            </w:r>
          </w:p>
        </w:tc>
        <w:tc>
          <w:tcPr>
            <w:tcW w:w="5445"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泰宇建筑工程技术咨询有限公司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监督单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tblPrEx>
          <w:tblCellMar>
            <w:top w:w="0" w:type="dxa"/>
            <w:left w:w="108" w:type="dxa"/>
            <w:bottom w:w="0" w:type="dxa"/>
            <w:right w:w="108" w:type="dxa"/>
          </w:tblCellMar>
        </w:tblPrEx>
        <w:trPr>
          <w:trHeight w:val="397" w:hRule="atLeast"/>
          <w:jc w:val="center"/>
        </w:trPr>
        <w:tc>
          <w:tcPr>
            <w:tcW w:w="7801" w:type="dxa"/>
            <w:gridSpan w:val="2"/>
          </w:tcPr>
          <w:p>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eastAsia="zh-CN"/>
              </w:rPr>
              <w:t>二</w:t>
            </w:r>
            <w:r>
              <w:rPr>
                <w:rFonts w:hint="eastAsia" w:ascii="仿宋" w:hAnsi="仿宋" w:eastAsia="仿宋" w:cs="仿宋"/>
                <w:color w:val="auto"/>
                <w:sz w:val="28"/>
                <w:szCs w:val="28"/>
                <w:highlight w:val="none"/>
              </w:rPr>
              <w:t>年九月</w:t>
            </w:r>
          </w:p>
        </w:tc>
      </w:tr>
    </w:tbl>
    <w:p>
      <w:pPr>
        <w:jc w:val="center"/>
        <w:rPr>
          <w:rFonts w:hint="eastAsia" w:ascii="仿宋" w:hAnsi="仿宋" w:eastAsia="仿宋" w:cs="仿宋"/>
          <w:b/>
          <w:color w:val="auto"/>
          <w:sz w:val="44"/>
          <w:szCs w:val="44"/>
          <w:highlight w:val="none"/>
        </w:rPr>
      </w:pPr>
    </w:p>
    <w:p>
      <w:pPr>
        <w:jc w:val="center"/>
        <w:rPr>
          <w:rFonts w:hint="eastAsia" w:ascii="仿宋" w:hAnsi="仿宋" w:eastAsia="仿宋" w:cs="仿宋"/>
          <w:b/>
          <w:color w:val="auto"/>
          <w:sz w:val="44"/>
          <w:szCs w:val="44"/>
          <w:highlight w:val="none"/>
        </w:rPr>
      </w:pPr>
    </w:p>
    <w:p>
      <w:pPr>
        <w:jc w:val="center"/>
        <w:rPr>
          <w:rFonts w:hint="eastAsia" w:ascii="仿宋" w:hAnsi="仿宋" w:eastAsia="仿宋" w:cs="仿宋"/>
          <w:b/>
          <w:color w:val="auto"/>
          <w:sz w:val="44"/>
          <w:szCs w:val="44"/>
          <w:highlight w:val="none"/>
        </w:rPr>
      </w:pPr>
    </w:p>
    <w:p>
      <w:pPr>
        <w:pStyle w:val="18"/>
        <w:rPr>
          <w:rFonts w:hint="eastAsia" w:ascii="仿宋" w:hAnsi="仿宋" w:eastAsia="仿宋" w:cs="仿宋"/>
          <w:b/>
          <w:color w:val="auto"/>
          <w:sz w:val="44"/>
          <w:szCs w:val="44"/>
          <w:highlight w:val="none"/>
        </w:rPr>
      </w:pPr>
    </w:p>
    <w:p>
      <w:pPr>
        <w:pStyle w:val="18"/>
        <w:rPr>
          <w:rFonts w:hint="eastAsia" w:ascii="仿宋" w:hAnsi="仿宋" w:eastAsia="仿宋" w:cs="仿宋"/>
          <w:b/>
          <w:color w:val="auto"/>
          <w:sz w:val="44"/>
          <w:szCs w:val="44"/>
          <w:highlight w:val="none"/>
        </w:rPr>
      </w:pPr>
    </w:p>
    <w:p>
      <w:pPr>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目录</w:t>
      </w:r>
    </w:p>
    <w:p>
      <w:pPr>
        <w:jc w:val="center"/>
        <w:rPr>
          <w:rFonts w:hint="eastAsia" w:ascii="仿宋" w:hAnsi="仿宋" w:eastAsia="仿宋" w:cs="仿宋"/>
          <w:b/>
          <w:color w:val="auto"/>
          <w:sz w:val="44"/>
          <w:szCs w:val="44"/>
          <w:highlight w:val="none"/>
        </w:rPr>
      </w:pPr>
    </w:p>
    <w:p>
      <w:pPr>
        <w:jc w:val="center"/>
        <w:rPr>
          <w:rFonts w:hint="eastAsia" w:ascii="仿宋" w:hAnsi="仿宋" w:eastAsia="仿宋" w:cs="仿宋"/>
          <w:color w:val="auto"/>
          <w:highlight w:val="none"/>
        </w:rPr>
      </w:pP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第一部分招标公告</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第二部分投标须知</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第三部分招标项目范围及要求</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第四部分授予合同</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第五部分评标方法及标准</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第六部分投标文件及其附件格式</w:t>
      </w:r>
    </w:p>
    <w:p>
      <w:pPr>
        <w:snapToGrid w:val="0"/>
        <w:spacing w:line="480" w:lineRule="auto"/>
        <w:jc w:val="left"/>
        <w:rPr>
          <w:rFonts w:hint="eastAsia" w:ascii="仿宋" w:hAnsi="仿宋" w:eastAsia="仿宋" w:cs="仿宋"/>
          <w:color w:val="auto"/>
          <w:sz w:val="36"/>
          <w:szCs w:val="36"/>
          <w:highlight w:val="none"/>
        </w:rPr>
      </w:pPr>
    </w:p>
    <w:p>
      <w:pPr>
        <w:snapToGrid w:val="0"/>
        <w:spacing w:line="480" w:lineRule="auto"/>
        <w:jc w:val="left"/>
        <w:rPr>
          <w:rFonts w:hint="eastAsia" w:ascii="仿宋" w:hAnsi="仿宋" w:eastAsia="仿宋" w:cs="仿宋"/>
          <w:color w:val="auto"/>
          <w:sz w:val="36"/>
          <w:szCs w:val="36"/>
          <w:highlight w:val="none"/>
        </w:rPr>
      </w:pPr>
    </w:p>
    <w:p>
      <w:pPr>
        <w:snapToGrid w:val="0"/>
        <w:spacing w:line="480" w:lineRule="auto"/>
        <w:jc w:val="left"/>
        <w:rPr>
          <w:rFonts w:hint="eastAsia" w:ascii="仿宋" w:hAnsi="仿宋" w:eastAsia="仿宋" w:cs="仿宋"/>
          <w:color w:val="auto"/>
          <w:sz w:val="36"/>
          <w:szCs w:val="36"/>
          <w:highlight w:val="none"/>
        </w:rPr>
      </w:pPr>
    </w:p>
    <w:p>
      <w:pPr>
        <w:pageBreakBefore/>
        <w:snapToGrid w:val="0"/>
        <w:spacing w:line="600" w:lineRule="exact"/>
        <w:jc w:val="center"/>
        <w:rPr>
          <w:rFonts w:hint="eastAsia" w:ascii="仿宋" w:hAnsi="仿宋" w:eastAsia="仿宋" w:cs="仿宋"/>
          <w:color w:val="auto"/>
          <w:highlight w:val="none"/>
        </w:rPr>
      </w:pPr>
      <w:r>
        <w:rPr>
          <w:rFonts w:hint="eastAsia" w:ascii="仿宋" w:hAnsi="仿宋" w:eastAsia="仿宋" w:cs="仿宋"/>
          <w:b/>
          <w:color w:val="auto"/>
          <w:sz w:val="36"/>
          <w:szCs w:val="36"/>
          <w:highlight w:val="none"/>
        </w:rPr>
        <w:t>第一部分 招标公告</w:t>
      </w:r>
    </w:p>
    <w:tbl>
      <w:tblPr>
        <w:tblStyle w:val="40"/>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612" w:type="dxa"/>
          </w:tcPr>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项目概况：    </w:t>
            </w:r>
          </w:p>
          <w:p>
            <w:pPr>
              <w:jc w:val="left"/>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绍兴市中医院</w:t>
            </w:r>
            <w:r>
              <w:rPr>
                <w:rFonts w:hint="eastAsia" w:ascii="仿宋" w:hAnsi="仿宋" w:eastAsia="仿宋" w:cs="仿宋"/>
                <w:color w:val="auto"/>
                <w:kern w:val="0"/>
                <w:sz w:val="24"/>
                <w:highlight w:val="none"/>
                <w:lang w:eastAsia="zh-CN"/>
              </w:rPr>
              <w:t>信息管理系统运行维护及运维人员驻场项目</w:t>
            </w:r>
            <w:r>
              <w:rPr>
                <w:rFonts w:hint="eastAsia" w:ascii="仿宋" w:hAnsi="仿宋" w:eastAsia="仿宋" w:cs="仿宋"/>
                <w:color w:val="auto"/>
                <w:kern w:val="0"/>
                <w:sz w:val="24"/>
                <w:highlight w:val="none"/>
              </w:rPr>
              <w:t>的潜在投标人应向招标代理机构报名获取招标文件，并于202</w:t>
            </w:r>
            <w:r>
              <w:rPr>
                <w:rFonts w:hint="eastAsia" w:ascii="仿宋" w:hAnsi="仿宋" w:eastAsia="仿宋" w:cs="仿宋"/>
                <w:color w:val="auto"/>
                <w:kern w:val="0"/>
                <w:sz w:val="24"/>
                <w:highlight w:val="none"/>
                <w:lang w:val="en-US" w:eastAsia="zh-CN"/>
              </w:rPr>
              <w:t>2</w:t>
            </w:r>
            <w:r>
              <w:rPr>
                <w:rFonts w:hint="eastAsia" w:ascii="仿宋" w:hAnsi="仿宋" w:eastAsia="仿宋" w:cs="仿宋"/>
                <w:color w:val="auto"/>
                <w:kern w:val="0"/>
                <w:sz w:val="24"/>
                <w:highlight w:val="none"/>
              </w:rPr>
              <w:t>年月日 09:00（北京时间）前递交投标文件。</w:t>
            </w:r>
          </w:p>
        </w:tc>
      </w:tr>
    </w:tbl>
    <w:p>
      <w:pPr>
        <w:widowControl/>
        <w:snapToGrid w:val="0"/>
        <w:spacing w:line="440" w:lineRule="exact"/>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一、项目基本情况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项目编号：</w:t>
      </w:r>
      <w:r>
        <w:rPr>
          <w:rFonts w:hint="eastAsia" w:ascii="仿宋" w:hAnsi="仿宋" w:eastAsia="仿宋" w:cs="仿宋"/>
          <w:color w:val="auto"/>
          <w:kern w:val="0"/>
          <w:sz w:val="24"/>
          <w:highlight w:val="none"/>
          <w:lang w:eastAsia="zh-CN"/>
        </w:rPr>
        <w:t>TYJZ2022</w:t>
      </w:r>
      <w:r>
        <w:rPr>
          <w:rFonts w:hint="eastAsia" w:ascii="仿宋" w:hAnsi="仿宋" w:eastAsia="仿宋" w:cs="仿宋"/>
          <w:color w:val="auto"/>
          <w:kern w:val="0"/>
          <w:sz w:val="24"/>
          <w:highlight w:val="none"/>
        </w:rPr>
        <w:t> </w:t>
      </w:r>
    </w:p>
    <w:p>
      <w:pPr>
        <w:widowControl/>
        <w:snapToGrid w:val="0"/>
        <w:spacing w:line="440" w:lineRule="exact"/>
        <w:ind w:firstLine="480" w:firstLineChars="200"/>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rPr>
        <w:t>项目名称：绍兴市中医院</w:t>
      </w:r>
      <w:r>
        <w:rPr>
          <w:rFonts w:hint="eastAsia" w:ascii="仿宋" w:hAnsi="仿宋" w:eastAsia="仿宋" w:cs="仿宋"/>
          <w:color w:val="auto"/>
          <w:kern w:val="0"/>
          <w:sz w:val="24"/>
          <w:highlight w:val="none"/>
          <w:lang w:eastAsia="zh-CN"/>
        </w:rPr>
        <w:t>信息管理系统运行维护及运维人员驻场项目</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预算金额（元）：</w:t>
      </w:r>
      <w:r>
        <w:rPr>
          <w:rFonts w:hint="eastAsia" w:ascii="仿宋" w:hAnsi="仿宋" w:eastAsia="仿宋" w:cs="仿宋"/>
          <w:color w:val="auto"/>
          <w:kern w:val="0"/>
          <w:sz w:val="24"/>
          <w:highlight w:val="none"/>
          <w:lang w:val="en-US" w:eastAsia="zh-CN"/>
        </w:rPr>
        <w:t>650000</w:t>
      </w:r>
      <w:r>
        <w:rPr>
          <w:rFonts w:hint="eastAsia" w:ascii="仿宋" w:hAnsi="仿宋" w:eastAsia="仿宋" w:cs="仿宋"/>
          <w:color w:val="auto"/>
          <w:kern w:val="0"/>
          <w:sz w:val="24"/>
          <w:highlight w:val="none"/>
        </w:rPr>
        <w:t xml:space="preserve">   </w:t>
      </w:r>
    </w:p>
    <w:p>
      <w:pPr>
        <w:widowControl/>
        <w:snapToGrid w:val="0"/>
        <w:spacing w:line="440" w:lineRule="exact"/>
        <w:ind w:left="2399" w:leftChars="228" w:hanging="1920" w:hangingChars="800"/>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rPr>
        <w:t>最高限价（元）：</w:t>
      </w:r>
      <w:r>
        <w:rPr>
          <w:rFonts w:hint="eastAsia" w:ascii="仿宋" w:hAnsi="仿宋" w:eastAsia="仿宋" w:cs="仿宋"/>
          <w:color w:val="auto"/>
          <w:kern w:val="0"/>
          <w:sz w:val="24"/>
          <w:highlight w:val="none"/>
          <w:lang w:eastAsia="zh-CN"/>
        </w:rPr>
        <w:t>650000</w:t>
      </w:r>
    </w:p>
    <w:p>
      <w:pPr>
        <w:widowControl/>
        <w:snapToGrid w:val="0"/>
        <w:spacing w:line="44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kern w:val="0"/>
          <w:sz w:val="24"/>
          <w:highlight w:val="none"/>
        </w:rPr>
        <w:t>采购需求：详见招标文件</w:t>
      </w:r>
    </w:p>
    <w:p>
      <w:pPr>
        <w:pStyle w:val="56"/>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标项</w:t>
      </w:r>
      <w:r>
        <w:rPr>
          <w:rFonts w:hint="eastAsia" w:ascii="仿宋" w:hAnsi="仿宋" w:eastAsia="仿宋" w:cs="仿宋"/>
          <w:color w:val="auto"/>
          <w:szCs w:val="24"/>
          <w:highlight w:val="none"/>
          <w:lang w:eastAsia="zh-CN"/>
        </w:rPr>
        <w:t>一</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rPr>
        <w:br w:type="textWrapping"/>
      </w:r>
      <w:r>
        <w:rPr>
          <w:rFonts w:hint="eastAsia" w:ascii="仿宋" w:hAnsi="仿宋" w:eastAsia="仿宋" w:cs="仿宋"/>
          <w:color w:val="auto"/>
          <w:szCs w:val="24"/>
          <w:highlight w:val="none"/>
        </w:rPr>
        <w:t>  </w:t>
      </w:r>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rPr>
        <w:t>标项名称:</w:t>
      </w:r>
      <w:r>
        <w:rPr>
          <w:rFonts w:hint="eastAsia" w:ascii="仿宋" w:hAnsi="仿宋" w:eastAsia="仿宋" w:cs="仿宋"/>
          <w:color w:val="auto"/>
          <w:highlight w:val="none"/>
          <w:lang w:eastAsia="zh-CN"/>
        </w:rPr>
        <w:t>信息管理系统运行维护及运维人员驻场项目</w:t>
      </w:r>
      <w:r>
        <w:rPr>
          <w:rFonts w:hint="eastAsia" w:ascii="仿宋" w:hAnsi="仿宋" w:eastAsia="仿宋" w:cs="仿宋"/>
          <w:color w:val="auto"/>
          <w:szCs w:val="24"/>
          <w:highlight w:val="none"/>
        </w:rPr>
        <w:br w:type="textWrapping"/>
      </w:r>
      <w:r>
        <w:rPr>
          <w:rFonts w:hint="eastAsia" w:ascii="仿宋" w:hAnsi="仿宋" w:eastAsia="仿宋" w:cs="仿宋"/>
          <w:color w:val="auto"/>
          <w:szCs w:val="24"/>
          <w:highlight w:val="none"/>
        </w:rPr>
        <w:t>  </w:t>
      </w:r>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rPr>
        <w:t>数量:1年</w:t>
      </w:r>
    </w:p>
    <w:p>
      <w:pPr>
        <w:pStyle w:val="56"/>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预算金额（元）:</w:t>
      </w:r>
      <w:r>
        <w:rPr>
          <w:rFonts w:hint="eastAsia" w:ascii="仿宋" w:hAnsi="仿宋" w:eastAsia="仿宋" w:cs="仿宋"/>
          <w:color w:val="auto"/>
          <w:szCs w:val="24"/>
          <w:highlight w:val="none"/>
          <w:lang w:eastAsia="zh-CN"/>
        </w:rPr>
        <w:t>650000</w:t>
      </w:r>
      <w:r>
        <w:rPr>
          <w:rFonts w:hint="eastAsia" w:ascii="仿宋" w:hAnsi="仿宋" w:eastAsia="仿宋" w:cs="仿宋"/>
          <w:color w:val="auto"/>
          <w:szCs w:val="24"/>
          <w:highlight w:val="none"/>
        </w:rPr>
        <w:t> </w:t>
      </w:r>
    </w:p>
    <w:p>
      <w:pPr>
        <w:pStyle w:val="56"/>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highlight w:val="none"/>
        </w:rPr>
        <w:t>简要规格描述或项目基本概况介绍、用途：详见采购文件 </w:t>
      </w:r>
      <w:r>
        <w:rPr>
          <w:rFonts w:hint="eastAsia" w:ascii="仿宋" w:hAnsi="仿宋" w:eastAsia="仿宋" w:cs="仿宋"/>
          <w:color w:val="auto"/>
          <w:szCs w:val="24"/>
          <w:highlight w:val="none"/>
        </w:rPr>
        <w:br w:type="textWrapping"/>
      </w:r>
      <w:r>
        <w:rPr>
          <w:rFonts w:hint="eastAsia" w:ascii="仿宋" w:hAnsi="仿宋" w:eastAsia="仿宋" w:cs="仿宋"/>
          <w:color w:val="auto"/>
          <w:szCs w:val="24"/>
          <w:highlight w:val="none"/>
        </w:rPr>
        <w:t>  </w:t>
      </w:r>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rPr>
        <w:t>备注：无</w:t>
      </w:r>
    </w:p>
    <w:p>
      <w:pPr>
        <w:pStyle w:val="56"/>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合同履约期限：按双方合同约定条款执行。</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本项目（</w:t>
      </w:r>
      <w:r>
        <w:rPr>
          <w:rFonts w:hint="eastAsia" w:ascii="仿宋" w:hAnsi="仿宋" w:eastAsia="仿宋" w:cs="仿宋"/>
          <w:color w:val="auto"/>
          <w:kern w:val="0"/>
          <w:sz w:val="24"/>
          <w:highlight w:val="none"/>
          <w:lang w:eastAsia="zh-CN"/>
        </w:rPr>
        <w:t>否</w:t>
      </w:r>
      <w:r>
        <w:rPr>
          <w:rFonts w:hint="eastAsia" w:ascii="仿宋" w:hAnsi="仿宋" w:eastAsia="仿宋" w:cs="仿宋"/>
          <w:color w:val="auto"/>
          <w:kern w:val="0"/>
          <w:sz w:val="24"/>
          <w:highlight w:val="none"/>
        </w:rPr>
        <w:t>）接受联合体投标。</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二、申请人的资格要求：</w:t>
      </w:r>
    </w:p>
    <w:p>
      <w:pPr>
        <w:widowControl/>
        <w:snapToGrid w:val="0"/>
        <w:spacing w:line="440" w:lineRule="exact"/>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pPr>
        <w:widowControl/>
        <w:spacing w:line="360" w:lineRule="auto"/>
        <w:ind w:firstLine="480" w:firstLineChars="2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highlight w:val="none"/>
        </w:rPr>
        <w:t>2.本项目的特定资格要求：</w:t>
      </w:r>
      <w:r>
        <w:rPr>
          <w:rFonts w:hint="eastAsia" w:ascii="仿宋" w:hAnsi="仿宋" w:eastAsia="仿宋" w:cs="仿宋"/>
          <w:color w:val="auto"/>
          <w:kern w:val="0"/>
          <w:sz w:val="24"/>
          <w:highlight w:val="none"/>
          <w:lang w:eastAsia="zh-CN"/>
        </w:rPr>
        <w:t>无。</w:t>
      </w:r>
    </w:p>
    <w:p>
      <w:pPr>
        <w:pStyle w:val="56"/>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highlight w:val="none"/>
        </w:rPr>
        <w:t>三、获取招标文件 </w:t>
      </w:r>
    </w:p>
    <w:p>
      <w:pPr>
        <w:pStyle w:val="56"/>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招标公告发布：</w:t>
      </w:r>
    </w:p>
    <w:p>
      <w:pPr>
        <w:pStyle w:val="56"/>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eastAsia="zh-CN"/>
        </w:rPr>
        <w:t>浙江政府采购网</w:t>
      </w:r>
      <w:r>
        <w:rPr>
          <w:rFonts w:hint="eastAsia" w:ascii="仿宋" w:hAnsi="仿宋" w:eastAsia="仿宋" w:cs="仿宋"/>
          <w:color w:val="auto"/>
          <w:szCs w:val="24"/>
          <w:highlight w:val="none"/>
        </w:rPr>
        <w:t xml:space="preserve">  https://zfcg.czt.zj.gov.cn/</w:t>
      </w:r>
    </w:p>
    <w:p>
      <w:pPr>
        <w:pStyle w:val="56"/>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绍兴市中医院 http://www.sxzyy.cn</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时间：202</w:t>
      </w:r>
      <w:r>
        <w:rPr>
          <w:rFonts w:hint="eastAsia" w:ascii="仿宋" w:hAnsi="仿宋" w:eastAsia="仿宋" w:cs="仿宋"/>
          <w:color w:val="auto"/>
          <w:kern w:val="0"/>
          <w:sz w:val="24"/>
          <w:highlight w:val="none"/>
          <w:lang w:val="en-US" w:eastAsia="zh-CN"/>
        </w:rPr>
        <w:t>2</w:t>
      </w:r>
      <w:r>
        <w:rPr>
          <w:rFonts w:hint="eastAsia" w:ascii="仿宋" w:hAnsi="仿宋" w:eastAsia="仿宋" w:cs="仿宋"/>
          <w:color w:val="auto"/>
          <w:kern w:val="0"/>
          <w:sz w:val="24"/>
          <w:highlight w:val="none"/>
        </w:rPr>
        <w:t>年月日至202</w:t>
      </w:r>
      <w:r>
        <w:rPr>
          <w:rFonts w:hint="eastAsia" w:ascii="仿宋" w:hAnsi="仿宋" w:eastAsia="仿宋" w:cs="仿宋"/>
          <w:color w:val="auto"/>
          <w:kern w:val="0"/>
          <w:sz w:val="24"/>
          <w:highlight w:val="none"/>
          <w:lang w:val="en-US" w:eastAsia="zh-CN"/>
        </w:rPr>
        <w:t>2</w:t>
      </w:r>
      <w:r>
        <w:rPr>
          <w:rFonts w:hint="eastAsia" w:ascii="仿宋" w:hAnsi="仿宋" w:eastAsia="仿宋" w:cs="仿宋"/>
          <w:color w:val="auto"/>
          <w:kern w:val="0"/>
          <w:sz w:val="24"/>
          <w:highlight w:val="none"/>
        </w:rPr>
        <w:t>年月日上午8:30 — 11:30；下午14:00 — 16:30 (双休日及法定节假日除外）</w:t>
      </w:r>
    </w:p>
    <w:p>
      <w:pPr>
        <w:spacing w:line="288" w:lineRule="auto"/>
        <w:ind w:firstLine="480" w:firstLineChars="200"/>
        <w:rPr>
          <w:rFonts w:hint="eastAsia" w:ascii="仿宋" w:hAnsi="仿宋" w:eastAsia="仿宋" w:cs="仿宋"/>
          <w:bCs/>
          <w:color w:val="auto"/>
          <w:kern w:val="0"/>
          <w:sz w:val="24"/>
          <w:szCs w:val="20"/>
          <w:highlight w:val="none"/>
        </w:rPr>
      </w:pPr>
      <w:r>
        <w:rPr>
          <w:rFonts w:hint="eastAsia" w:ascii="仿宋" w:hAnsi="仿宋" w:eastAsia="仿宋" w:cs="仿宋"/>
          <w:color w:val="auto"/>
          <w:kern w:val="0"/>
          <w:sz w:val="24"/>
          <w:highlight w:val="none"/>
        </w:rPr>
        <w:t>方式：</w:t>
      </w:r>
      <w:r>
        <w:rPr>
          <w:rFonts w:hint="eastAsia" w:ascii="仿宋" w:hAnsi="仿宋" w:eastAsia="仿宋" w:cs="仿宋"/>
          <w:color w:val="auto"/>
          <w:kern w:val="0"/>
          <w:sz w:val="24"/>
          <w:highlight w:val="none"/>
          <w:lang w:eastAsia="zh-CN"/>
        </w:rPr>
        <w:t>网上报名，</w:t>
      </w:r>
      <w:r>
        <w:rPr>
          <w:rFonts w:hint="eastAsia" w:ascii="仿宋" w:hAnsi="仿宋" w:eastAsia="仿宋" w:cs="仿宋"/>
          <w:bCs/>
          <w:color w:val="auto"/>
          <w:kern w:val="0"/>
          <w:sz w:val="24"/>
          <w:szCs w:val="20"/>
          <w:highlight w:val="none"/>
        </w:rPr>
        <w:t>以扫描件邮件形式发至2429136371@qq.com邮箱内。（上述报名资料仅作为报名登记使用，报名时不对投标人资格是否符合作出评判）</w:t>
      </w:r>
    </w:p>
    <w:p>
      <w:pPr>
        <w:pStyle w:val="2"/>
        <w:rPr>
          <w:rFonts w:hint="eastAsia" w:ascii="仿宋" w:hAnsi="仿宋" w:eastAsia="仿宋" w:cs="仿宋"/>
          <w:color w:val="auto"/>
          <w:highlight w:val="none"/>
          <w:lang w:val="en-US"/>
        </w:rPr>
      </w:pPr>
      <w:r>
        <w:rPr>
          <w:rFonts w:hint="eastAsia" w:ascii="仿宋" w:hAnsi="仿宋" w:eastAsia="仿宋" w:cs="仿宋"/>
          <w:bCs/>
          <w:color w:val="auto"/>
          <w:kern w:val="0"/>
          <w:szCs w:val="20"/>
          <w:highlight w:val="none"/>
          <w:lang w:val="en-US"/>
        </w:rPr>
        <w:t>报名资料：营业执照副本复印件、授权委托书或单位介绍信、授权委托人身份证复印件（备注：联系方式、邮箱）等（加盖公章）。</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售价（元）：200元/份（售后不退</w:t>
      </w:r>
      <w:r>
        <w:rPr>
          <w:rFonts w:hint="eastAsia" w:ascii="仿宋" w:hAnsi="仿宋" w:eastAsia="仿宋" w:cs="仿宋"/>
          <w:color w:val="auto"/>
          <w:kern w:val="0"/>
          <w:sz w:val="24"/>
          <w:highlight w:val="none"/>
          <w:lang w:eastAsia="zh-CN"/>
        </w:rPr>
        <w:t>，支付宝账号：</w:t>
      </w:r>
      <w:r>
        <w:rPr>
          <w:rFonts w:hint="eastAsia" w:ascii="仿宋" w:hAnsi="仿宋" w:eastAsia="仿宋" w:cs="仿宋"/>
          <w:color w:val="auto"/>
          <w:kern w:val="0"/>
          <w:sz w:val="24"/>
          <w:highlight w:val="none"/>
          <w:lang w:val="en-US" w:eastAsia="zh-CN"/>
        </w:rPr>
        <w:t>13656752180</w:t>
      </w:r>
      <w:r>
        <w:rPr>
          <w:rFonts w:hint="eastAsia" w:ascii="仿宋" w:hAnsi="仿宋" w:eastAsia="仿宋" w:cs="仿宋"/>
          <w:color w:val="auto"/>
          <w:kern w:val="0"/>
          <w:sz w:val="24"/>
          <w:highlight w:val="none"/>
        </w:rPr>
        <w:t>）</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四、提交投标文件截止时间、开标时间和地点</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提交投标文件截止时间：202</w:t>
      </w:r>
      <w:r>
        <w:rPr>
          <w:rFonts w:hint="eastAsia" w:ascii="仿宋" w:hAnsi="仿宋" w:eastAsia="仿宋" w:cs="仿宋"/>
          <w:color w:val="auto"/>
          <w:kern w:val="0"/>
          <w:sz w:val="24"/>
          <w:highlight w:val="none"/>
          <w:lang w:val="en-US" w:eastAsia="zh-CN"/>
        </w:rPr>
        <w:t>2</w:t>
      </w:r>
      <w:r>
        <w:rPr>
          <w:rFonts w:hint="eastAsia" w:ascii="仿宋" w:hAnsi="仿宋" w:eastAsia="仿宋" w:cs="仿宋"/>
          <w:color w:val="auto"/>
          <w:kern w:val="0"/>
          <w:sz w:val="24"/>
          <w:highlight w:val="none"/>
        </w:rPr>
        <w:t>年月日 09:00（北京时间）</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投标地点（网址）：绍兴市越城区朝皇路58号正大综合楼601泰宇咨询会议室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开标时间：202</w:t>
      </w:r>
      <w:r>
        <w:rPr>
          <w:rFonts w:hint="eastAsia" w:ascii="仿宋" w:hAnsi="仿宋" w:eastAsia="仿宋" w:cs="仿宋"/>
          <w:color w:val="auto"/>
          <w:kern w:val="0"/>
          <w:sz w:val="24"/>
          <w:highlight w:val="none"/>
          <w:lang w:val="en-US" w:eastAsia="zh-CN"/>
        </w:rPr>
        <w:t>2</w:t>
      </w:r>
      <w:r>
        <w:rPr>
          <w:rFonts w:hint="eastAsia" w:ascii="仿宋" w:hAnsi="仿宋" w:eastAsia="仿宋" w:cs="仿宋"/>
          <w:color w:val="auto"/>
          <w:kern w:val="0"/>
          <w:sz w:val="24"/>
          <w:highlight w:val="none"/>
        </w:rPr>
        <w:t>年月日 09:00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开标地点（网址）：绍兴市越城区朝皇路58号正大综合楼601泰宇咨询会议室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五、公告期限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自本公告发布之日起5个工作日。</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六、其他补充事宜</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1.供应商认为采购文件使自己的权益受到损害的，可以自获取采购文件之日或 者采购文件公告期限届满之日（公告期限届满后获取采购文件的，以公告期限届满之日为准）起7个工作日内，以书面形式向采购人和采购代理机构提出质疑。</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2.采购代理机构将拒绝接受未获取招标文件供应商的投标文件。</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3.招标文件的提供期限截止之日之后有潜在供应商提出获取招标文件的，采购代理机构将允许其获取。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七、对本次采购提出询问、质疑、投诉，请按以下方式联系</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1.采购人信息</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名称：绍兴市中医院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地址： 绍兴市越城区人民中路651号</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传真：/</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项目联系人（询问）：王宁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项目联系方式（询问）：0575-89102270</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质疑联系人： 沈科长</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质疑联系方式：0575-89107189</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2.采购代理机构信息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名称：泰宇建筑工程技术咨询有限公司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地址：绍兴市越城区朝皇路58号正大综合楼601</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传真：/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项目联系人（询问）：金锦英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项目联系方式（询问）：0575-88226969/13656752180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质疑联系人：胡工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质疑联系方式：0575-85080066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3.同级政府采购监督管理部门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名称：绍兴市财政局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地址：绍兴市越城区凤林西路151号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传真：0575-85209806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联系人 ：宋晓林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监督投诉电话：0575-85209806       </w:t>
      </w:r>
    </w:p>
    <w:p>
      <w:pPr>
        <w:pStyle w:val="2"/>
        <w:rPr>
          <w:rFonts w:hint="eastAsia" w:ascii="仿宋" w:hAnsi="仿宋" w:eastAsia="仿宋" w:cs="仿宋"/>
          <w:color w:val="auto"/>
          <w:highlight w:val="none"/>
        </w:rPr>
      </w:pPr>
    </w:p>
    <w:p>
      <w:pPr>
        <w:pageBreakBefore/>
        <w:spacing w:line="440" w:lineRule="exact"/>
        <w:ind w:firstLine="2530" w:firstLineChars="700"/>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第二部分投标须知</w:t>
      </w:r>
    </w:p>
    <w:p>
      <w:pPr>
        <w:ind w:left="238"/>
        <w:jc w:val="center"/>
        <w:rPr>
          <w:rFonts w:hint="eastAsia" w:ascii="仿宋" w:hAnsi="仿宋" w:eastAsia="仿宋" w:cs="仿宋"/>
          <w:b/>
          <w:color w:val="auto"/>
          <w:sz w:val="30"/>
          <w:szCs w:val="36"/>
          <w:highlight w:val="none"/>
        </w:rPr>
      </w:pPr>
      <w:r>
        <w:rPr>
          <w:rFonts w:hint="eastAsia" w:ascii="仿宋" w:hAnsi="仿宋" w:eastAsia="仿宋" w:cs="仿宋"/>
          <w:b/>
          <w:color w:val="auto"/>
          <w:sz w:val="30"/>
          <w:szCs w:val="36"/>
          <w:highlight w:val="none"/>
        </w:rPr>
        <w:t>前附表</w:t>
      </w:r>
    </w:p>
    <w:tbl>
      <w:tblPr>
        <w:tblStyle w:val="40"/>
        <w:tblW w:w="94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9"/>
        <w:gridCol w:w="822"/>
        <w:gridCol w:w="77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561" w:type="dxa"/>
            <w:gridSpan w:val="2"/>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561" w:type="dxa"/>
            <w:gridSpan w:val="2"/>
            <w:vAlign w:val="center"/>
          </w:tcPr>
          <w:p>
            <w:pPr>
              <w:snapToGrid w:val="0"/>
              <w:spacing w:line="42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投标人应当提交的资格、资信证明文件</w:t>
            </w:r>
            <w:r>
              <w:rPr>
                <w:rFonts w:hint="eastAsia" w:ascii="仿宋" w:hAnsi="仿宋" w:eastAsia="仿宋" w:cs="仿宋"/>
                <w:color w:val="auto"/>
                <w:sz w:val="24"/>
                <w:highlight w:val="none"/>
              </w:rPr>
              <w:t>：</w:t>
            </w:r>
          </w:p>
          <w:p>
            <w:pPr>
              <w:snapToGrid w:val="0"/>
              <w:spacing w:line="42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（1）相关证明文件：</w:t>
            </w:r>
            <w:r>
              <w:rPr>
                <w:rFonts w:hint="eastAsia" w:ascii="仿宋" w:hAnsi="仿宋" w:eastAsia="仿宋" w:cs="仿宋"/>
                <w:color w:val="auto"/>
                <w:sz w:val="24"/>
                <w:highlight w:val="none"/>
              </w:rPr>
              <w:t>营业执照(或事业法人登记证或其他工商等登记证明材料)复印件、</w:t>
            </w:r>
            <w:r>
              <w:rPr>
                <w:rFonts w:hint="eastAsia" w:ascii="仿宋" w:hAnsi="仿宋" w:eastAsia="仿宋" w:cs="仿宋"/>
                <w:color w:val="auto"/>
                <w:sz w:val="24"/>
                <w:highlight w:val="none"/>
                <w:lang w:eastAsia="zh-CN"/>
              </w:rPr>
              <w:t>2021年度资产负债表</w:t>
            </w:r>
            <w:r>
              <w:rPr>
                <w:rFonts w:hint="eastAsia" w:ascii="仿宋" w:hAnsi="仿宋" w:eastAsia="仿宋" w:cs="仿宋"/>
                <w:color w:val="auto"/>
                <w:sz w:val="24"/>
                <w:highlight w:val="none"/>
              </w:rPr>
              <w:t>等财务报表资料文件(新成立的公司提供情况说明)、参加本次政府采购活动前三年内，在经营活动中没有重大违法记录的声明（详见格式范例）。</w:t>
            </w:r>
          </w:p>
          <w:p>
            <w:pPr>
              <w:snapToGrid w:val="0"/>
              <w:spacing w:line="42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（2）资信证明文件（如果有，按招标文件第三部分招标项目范围及要求和第五部分评分标准提供）。</w:t>
            </w:r>
          </w:p>
          <w:p>
            <w:pPr>
              <w:snapToGrid w:val="0"/>
              <w:spacing w:line="420" w:lineRule="exact"/>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（3）特许资格、资信证明文件（如果有）：</w:t>
            </w:r>
          </w:p>
          <w:p>
            <w:pPr>
              <w:spacing w:line="42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561" w:type="dxa"/>
            <w:gridSpan w:val="2"/>
            <w:vAlign w:val="center"/>
          </w:tcPr>
          <w:p>
            <w:pPr>
              <w:snapToGrid w:val="0"/>
              <w:spacing w:line="42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pPr>
              <w:snapToGrid w:val="0"/>
              <w:spacing w:line="42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pPr>
              <w:snapToGrid w:val="0"/>
              <w:spacing w:line="42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561" w:type="dxa"/>
            <w:gridSpan w:val="2"/>
            <w:vAlign w:val="center"/>
          </w:tcPr>
          <w:p>
            <w:pPr>
              <w:autoSpaceDE w:val="0"/>
              <w:autoSpaceDN w:val="0"/>
              <w:spacing w:line="420" w:lineRule="exact"/>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561" w:type="dxa"/>
            <w:gridSpan w:val="2"/>
            <w:vAlign w:val="center"/>
          </w:tcPr>
          <w:p>
            <w:pPr>
              <w:spacing w:line="42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分包或转包：</w:t>
            </w:r>
            <w:r>
              <w:rPr>
                <w:rFonts w:hint="eastAsia" w:ascii="仿宋" w:hAnsi="仿宋" w:eastAsia="仿宋" w:cs="仿宋"/>
                <w:color w:val="auto"/>
                <w:sz w:val="24"/>
                <w:highlight w:val="none"/>
              </w:rPr>
              <w:t>（1）采购人不同意分包。</w:t>
            </w:r>
          </w:p>
          <w:p>
            <w:pPr>
              <w:spacing w:line="420" w:lineRule="exact"/>
              <w:ind w:firstLine="1288" w:firstLineChars="537"/>
              <w:rPr>
                <w:rFonts w:hint="eastAsia" w:ascii="仿宋" w:hAnsi="仿宋" w:eastAsia="仿宋" w:cs="仿宋"/>
                <w:color w:val="auto"/>
                <w:sz w:val="24"/>
                <w:highlight w:val="none"/>
              </w:rPr>
            </w:pPr>
            <w:r>
              <w:rPr>
                <w:rFonts w:hint="eastAsia" w:ascii="仿宋" w:hAnsi="仿宋" w:eastAsia="仿宋" w:cs="仿宋"/>
                <w:color w:val="auto"/>
                <w:sz w:val="24"/>
                <w:highlight w:val="none"/>
              </w:rPr>
              <w:t>（2）本项目不得转包。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561" w:type="dxa"/>
            <w:gridSpan w:val="2"/>
            <w:vAlign w:val="center"/>
          </w:tcPr>
          <w:p>
            <w:pPr>
              <w:spacing w:line="42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正本一份、副本四份。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561" w:type="dxa"/>
            <w:gridSpan w:val="2"/>
            <w:vAlign w:val="center"/>
          </w:tcPr>
          <w:p>
            <w:pPr>
              <w:autoSpaceDE w:val="0"/>
              <w:autoSpaceDN w:val="0"/>
              <w:spacing w:line="420" w:lineRule="exact"/>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r>
              <w:rPr>
                <w:rFonts w:hint="eastAsia" w:ascii="仿宋" w:hAnsi="仿宋" w:eastAsia="仿宋" w:cs="仿宋"/>
                <w:color w:val="auto"/>
                <w:sz w:val="24"/>
                <w:highlight w:val="none"/>
              </w:rPr>
              <w:t>无</w:t>
            </w:r>
            <w:r>
              <w:rPr>
                <w:rFonts w:hint="eastAsia" w:ascii="仿宋" w:hAnsi="仿宋" w:eastAsia="仿宋" w:cs="仿宋"/>
                <w:b/>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561" w:type="dxa"/>
            <w:gridSpan w:val="2"/>
            <w:vAlign w:val="center"/>
          </w:tcPr>
          <w:p>
            <w:pPr>
              <w:autoSpaceDE w:val="0"/>
              <w:autoSpaceDN w:val="0"/>
              <w:adjustRightInd w:val="0"/>
              <w:spacing w:line="42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561" w:type="dxa"/>
            <w:gridSpan w:val="2"/>
            <w:vAlign w:val="center"/>
          </w:tcPr>
          <w:p>
            <w:pPr>
              <w:spacing w:line="42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现场演示(讲解)：</w:t>
            </w:r>
            <w:r>
              <w:rPr>
                <w:rFonts w:hint="eastAsia" w:ascii="仿宋" w:hAnsi="仿宋" w:eastAsia="仿宋" w:cs="仿宋"/>
                <w:color w:val="auto"/>
                <w:sz w:val="24"/>
                <w:highlight w:val="none"/>
              </w:rPr>
              <w:t>无</w:t>
            </w:r>
            <w:r>
              <w:rPr>
                <w:rFonts w:hint="eastAsia" w:ascii="仿宋" w:hAnsi="仿宋" w:eastAsia="仿宋" w:cs="仿宋"/>
                <w:b/>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22" w:type="dxa"/>
          </w:tcPr>
          <w:p>
            <w:pPr>
              <w:snapToGrid w:val="0"/>
              <w:spacing w:line="42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739" w:type="dxa"/>
            <w:vAlign w:val="center"/>
          </w:tcPr>
          <w:p>
            <w:pPr>
              <w:snapToGrid w:val="0"/>
              <w:spacing w:line="42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本项目不允许采购进口产品，供应商所提供的货物和服务须在我国境内合法生产、销售。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869" w:type="dxa"/>
            <w:vMerge w:val="restart"/>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22" w:type="dxa"/>
            <w:vMerge w:val="restart"/>
            <w:vAlign w:val="center"/>
          </w:tcPr>
          <w:p>
            <w:pPr>
              <w:snapToGrid w:val="0"/>
              <w:spacing w:line="42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739" w:type="dxa"/>
            <w:vAlign w:val="center"/>
          </w:tcPr>
          <w:p>
            <w:pPr>
              <w:snapToGrid w:val="0"/>
              <w:spacing w:line="42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投标截止时间前</w:t>
            </w:r>
            <w:r>
              <w:rPr>
                <w:rFonts w:hint="eastAsia" w:ascii="仿宋" w:hAnsi="仿宋" w:eastAsia="仿宋"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hint="eastAsia" w:ascii="仿宋" w:hAnsi="仿宋" w:eastAsia="仿宋" w:cs="仿宋"/>
                <w:color w:val="auto"/>
                <w:sz w:val="24"/>
                <w:highlight w:val="none"/>
              </w:rPr>
            </w:pPr>
          </w:p>
        </w:tc>
        <w:tc>
          <w:tcPr>
            <w:tcW w:w="822" w:type="dxa"/>
            <w:vMerge w:val="continue"/>
            <w:vAlign w:val="center"/>
          </w:tcPr>
          <w:p>
            <w:pPr>
              <w:snapToGrid w:val="0"/>
              <w:spacing w:line="420" w:lineRule="exact"/>
              <w:rPr>
                <w:rFonts w:hint="eastAsia" w:ascii="仿宋" w:hAnsi="仿宋" w:eastAsia="仿宋" w:cs="仿宋"/>
                <w:b/>
                <w:color w:val="auto"/>
                <w:sz w:val="24"/>
                <w:highlight w:val="none"/>
              </w:rPr>
            </w:pPr>
          </w:p>
        </w:tc>
        <w:tc>
          <w:tcPr>
            <w:tcW w:w="7739" w:type="dxa"/>
            <w:vAlign w:val="center"/>
          </w:tcPr>
          <w:p>
            <w:pPr>
              <w:snapToGrid w:val="0"/>
              <w:spacing w:line="42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hint="eastAsia" w:ascii="仿宋" w:hAnsi="仿宋" w:eastAsia="仿宋" w:cs="仿宋"/>
                <w:color w:val="auto"/>
                <w:sz w:val="24"/>
                <w:highlight w:val="none"/>
              </w:rPr>
            </w:pPr>
          </w:p>
        </w:tc>
        <w:tc>
          <w:tcPr>
            <w:tcW w:w="822" w:type="dxa"/>
            <w:vMerge w:val="continue"/>
            <w:vAlign w:val="center"/>
          </w:tcPr>
          <w:p>
            <w:pPr>
              <w:snapToGrid w:val="0"/>
              <w:spacing w:line="420" w:lineRule="exact"/>
              <w:rPr>
                <w:rFonts w:hint="eastAsia" w:ascii="仿宋" w:hAnsi="仿宋" w:eastAsia="仿宋" w:cs="仿宋"/>
                <w:b/>
                <w:color w:val="auto"/>
                <w:sz w:val="24"/>
                <w:highlight w:val="none"/>
              </w:rPr>
            </w:pPr>
          </w:p>
        </w:tc>
        <w:tc>
          <w:tcPr>
            <w:tcW w:w="7739" w:type="dxa"/>
            <w:vAlign w:val="center"/>
          </w:tcPr>
          <w:p>
            <w:pPr>
              <w:snapToGrid w:val="0"/>
              <w:spacing w:line="42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61" w:type="dxa"/>
            <w:gridSpan w:val="2"/>
            <w:vAlign w:val="center"/>
          </w:tcPr>
          <w:p>
            <w:pPr>
              <w:snapToGrid w:val="0"/>
              <w:spacing w:line="2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61" w:type="dxa"/>
            <w:gridSpan w:val="2"/>
            <w:vAlign w:val="center"/>
          </w:tcPr>
          <w:p>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w:t>
            </w:r>
            <w:r>
              <w:rPr>
                <w:rFonts w:hint="eastAsia" w:ascii="仿宋" w:hAnsi="仿宋" w:eastAsia="仿宋" w:cs="仿宋"/>
                <w:color w:val="auto"/>
                <w:sz w:val="24"/>
                <w:highlight w:val="none"/>
                <w:lang w:eastAsia="zh-CN"/>
              </w:rPr>
              <w:t>浙江省政府采购网</w:t>
            </w:r>
            <w:r>
              <w:rPr>
                <w:rFonts w:hint="eastAsia" w:ascii="仿宋" w:hAnsi="仿宋" w:eastAsia="仿宋" w:cs="仿宋"/>
                <w:color w:val="auto"/>
                <w:sz w:val="24"/>
                <w:highlight w:val="none"/>
              </w:rPr>
              <w:t>、绍兴市中医院官网查看下载。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61" w:type="dxa"/>
            <w:gridSpan w:val="2"/>
            <w:vAlign w:val="center"/>
          </w:tcPr>
          <w:p>
            <w:pPr>
              <w:snapToGrid w:val="0"/>
              <w:spacing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投标与开标注意事项：</w:t>
            </w:r>
          </w:p>
          <w:p>
            <w:pPr>
              <w:snapToGrid w:val="0"/>
              <w:spacing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本项目采用纸质投标文件。若供应商参与投标，自行承担投标一切费用。投标文件允许投标单位通过邮寄快递方式送达（建议采用EMS或顺丰快递。邮寄送达地址：绍兴市朝皇路58号正大综合楼601泰宇建筑工程技术咨询有限公司招标代理部（泰宇建筑工程技术咨询有限公司，接收人：金锦英，联系方式：13656752180。快递寄出后，请将快递底单照片发送邮件至2429136371@qq.com，邮件名称为公司名称+联系人姓名+手机号，以便及时查收）。同时请充分考虑快递时间，确保在投标截止时间前送达。投标文件递交的时间以招标代理机构签收时间为准，除邮寄外包装外，投标文件仍需要按采购文件要求封包，但在邮寄过程中发生的包封缺损或保管过程中发生的一切事宜均由投标人自行承担。</w:t>
            </w:r>
          </w:p>
          <w:p>
            <w:pPr>
              <w:snapToGrid w:val="0"/>
              <w:spacing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 同时允许投标单位现场送达（即交即走）的方式，在投标截止时间前将投标文件递交至绍兴市朝皇路58号正大综合楼601（泰宇建筑工程技术咨询有限公司）会议室。</w:t>
            </w:r>
          </w:p>
          <w:p>
            <w:pPr>
              <w:snapToGrid w:val="0"/>
              <w:spacing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3.投标人的法定代表人或授权代表等均可不参加开标会议。若投标人法定代表人或授权代表不在现场参加开标会议的，取消开标现场的书面签字确认等有关操作要求，投标人需向采购代理机构工作人员告知其联系方式，以备询标等事宜。</w:t>
            </w:r>
          </w:p>
          <w:p>
            <w:pPr>
              <w:snapToGrid w:val="0"/>
              <w:spacing w:line="400" w:lineRule="exact"/>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4.本项目招标文件内对开标现场原件核验不作要求，采购人有权在标后对中标候选人进行原件核验。投标人对所提供的全部资料的真实性承担法律责任。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561" w:type="dxa"/>
            <w:gridSpan w:val="2"/>
            <w:vAlign w:val="center"/>
          </w:tcPr>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参与绍兴市政府采购活动的供应商按照《浙江省政府采购供应商注册和诚信管理暂行办法》要求执行。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561" w:type="dxa"/>
            <w:gridSpan w:val="2"/>
            <w:vAlign w:val="center"/>
          </w:tcPr>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采购代理服务费：</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中标人须向采购代理机构按如下标准和规定交纳代理服务费，并在投标报价中自行考虑：</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以中标通知中确定的中标总金额作为代理服务费的计算基数，具体比例参照《国家计委关于印发&lt;招标代理服务收费管理暂行办法&gt;的通知》（计价格[2002]1980号）规定的标准下浮50%进行收费。服务费不到2000元按照2000元收取。</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（2）代理服务费的交纳方式：</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用银行支票、汇票、电汇、现金等付款方式直接交纳代理服务费。</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公司名称：泰宇建筑工程技术咨询有限公司绍兴分公司</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账号: 85010078801000000518</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开户银行:上海浦东发展银行绍兴分行</w:t>
            </w:r>
          </w:p>
          <w:p>
            <w:pPr>
              <w:numPr>
                <w:ilvl w:val="255"/>
                <w:numId w:val="0"/>
              </w:num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（3）领取中标通知书前交纳。</w:t>
            </w:r>
          </w:p>
          <w:p>
            <w:pPr>
              <w:numPr>
                <w:ilvl w:val="255"/>
                <w:numId w:val="0"/>
              </w:numPr>
              <w:snapToGrid w:val="0"/>
              <w:spacing w:line="440" w:lineRule="exact"/>
              <w:rPr>
                <w:rFonts w:hint="eastAsia" w:ascii="仿宋" w:hAnsi="仿宋" w:eastAsia="仿宋" w:cs="仿宋"/>
                <w:color w:val="auto"/>
                <w:highlight w:val="none"/>
              </w:rPr>
            </w:pPr>
            <w:r>
              <w:rPr>
                <w:rFonts w:hint="eastAsia" w:ascii="仿宋" w:hAnsi="仿宋" w:eastAsia="仿宋" w:cs="仿宋"/>
                <w:color w:val="auto"/>
                <w:sz w:val="24"/>
                <w:highlight w:val="none"/>
              </w:rPr>
              <w:t>（4）招标专家评审费由代理机构垫付，再与招标人进行清算，即专家评审费由招标人承担。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430" w:type="dxa"/>
            <w:gridSpan w:val="3"/>
            <w:vAlign w:val="center"/>
          </w:tcPr>
          <w:p>
            <w:pPr>
              <w:spacing w:line="42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解释：凡涉及本招标文件的解释权属于采购人和采购代理机构。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430" w:type="dxa"/>
            <w:gridSpan w:val="3"/>
            <w:vAlign w:val="center"/>
          </w:tcPr>
          <w:p>
            <w:pPr>
              <w:spacing w:line="42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注：中标人放弃中标资格或因质疑、投诉被取消中标资格或不能履行合同的，本项目重新开展政府采购活动。</w:t>
            </w:r>
          </w:p>
        </w:tc>
      </w:tr>
    </w:tbl>
    <w:p>
      <w:pPr>
        <w:pageBreakBefore/>
        <w:ind w:left="238"/>
        <w:jc w:val="center"/>
        <w:rPr>
          <w:rFonts w:hint="eastAsia" w:ascii="仿宋" w:hAnsi="仿宋" w:eastAsia="仿宋" w:cs="仿宋"/>
          <w:color w:val="auto"/>
          <w:highlight w:val="none"/>
        </w:rPr>
      </w:pPr>
      <w:r>
        <w:rPr>
          <w:rFonts w:hint="eastAsia" w:ascii="仿宋" w:hAnsi="仿宋" w:eastAsia="仿宋" w:cs="仿宋"/>
          <w:b/>
          <w:color w:val="auto"/>
          <w:sz w:val="36"/>
          <w:szCs w:val="36"/>
          <w:highlight w:val="none"/>
        </w:rPr>
        <w:t>一、总则</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 项目说明</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1.1本招标文件适用于该项目的招标、投标、开标、资格审查及信用信息查询、评标、定标、合同、验收等行为（法律、法规另有规定的，从其规定）。</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1.2投标人一旦参与本次招标活动，即被视为接受了本招标文件的所有内容，如有任何异议，均应在法定时间内提出。</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1.4本招标文件所称公章是指单位法定名称章或者冠以法定名称的投标业务专章。</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 定义</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政府采购当事人及监管部门：绍兴市中医院为本项目的采购人（合同中的甲方），泰宇建筑工程技术咨询有限公司为采购代理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 “产品”系指供方按招标文件规定，经合法途径取得的，须向采购人提供的一切产品、保险、税金、安装、施工、调试、备品备件、工具、手册及其它有关技术资料和材料。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 “服务”系指招标文件规定投标人须承担的安装、调试、技术协助、校准、培训、技术指导以及其他类似的义务。</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2.4 “项目”系指投标人按招标文件规定向采购人提供的产品和服务。</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2.5 “授权代表”系指法定代表人的被授权委托人。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2.6“★”系指实质性指标要求条款，“▲”系指主要性能指标要求条款。如任意一条打“★”的指标出现负偏离视为实质性不响应招标文件要求，作无效投标处理；如任意一条打“▲”的指标出现负偏离按评分标准作扣分处理。</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napToGrid w:val="0"/>
        <w:spacing w:beforeLines="50" w:afterLines="50"/>
        <w:jc w:val="center"/>
        <w:rPr>
          <w:rFonts w:hint="eastAsia" w:ascii="仿宋" w:hAnsi="仿宋" w:eastAsia="仿宋" w:cs="仿宋"/>
          <w:color w:val="auto"/>
          <w:sz w:val="24"/>
          <w:highlight w:val="none"/>
        </w:rPr>
      </w:pPr>
      <w:r>
        <w:rPr>
          <w:rFonts w:hint="eastAsia" w:ascii="仿宋" w:hAnsi="仿宋" w:eastAsia="仿宋" w:cs="仿宋"/>
          <w:b/>
          <w:color w:val="auto"/>
          <w:sz w:val="36"/>
          <w:szCs w:val="36"/>
          <w:highlight w:val="none"/>
        </w:rPr>
        <w:t>二、招标文件</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w:t>
      </w:r>
      <w:r>
        <w:rPr>
          <w:rFonts w:hint="eastAsia" w:ascii="仿宋" w:hAnsi="仿宋" w:eastAsia="仿宋" w:cs="仿宋"/>
          <w:b/>
          <w:color w:val="auto"/>
          <w:kern w:val="0"/>
          <w:sz w:val="24"/>
          <w:highlight w:val="none"/>
        </w:rPr>
        <w:t>公开招标</w:t>
      </w:r>
      <w:r>
        <w:rPr>
          <w:rFonts w:hint="eastAsia" w:ascii="仿宋" w:hAnsi="仿宋" w:eastAsia="仿宋" w:cs="仿宋"/>
          <w:color w:val="auto"/>
          <w:sz w:val="24"/>
          <w:highlight w:val="none"/>
        </w:rPr>
        <w:t>方式进行。</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 投标委托</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本项目为现场送达（即交即走）的方式递交投标文件，投标人的法定代表人或其授权代表或个体工商户不需要参加现场投标和开标。</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pPr>
        <w:pStyle w:val="14"/>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投标人应自行承担编制投标文件及参加本次投标所涉及的一切费用。不管投标结果如何，招标人对上述费用不负任何责任。</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4.1 </w:t>
      </w:r>
      <w:r>
        <w:rPr>
          <w:rFonts w:hint="eastAsia" w:ascii="仿宋" w:hAnsi="仿宋" w:eastAsia="仿宋" w:cs="仿宋"/>
          <w:bCs/>
          <w:color w:val="auto"/>
          <w:sz w:val="24"/>
          <w:highlight w:val="none"/>
        </w:rPr>
        <w:t>招标文件包括本招标文件及所有的招标答疑记录（澄清、修改）和发出的补充通知</w:t>
      </w:r>
      <w:r>
        <w:rPr>
          <w:rFonts w:hint="eastAsia" w:ascii="仿宋" w:hAnsi="仿宋" w:eastAsia="仿宋" w:cs="仿宋"/>
          <w:color w:val="auto"/>
          <w:sz w:val="24"/>
          <w:highlight w:val="none"/>
        </w:rPr>
        <w:t>。</w:t>
      </w:r>
    </w:p>
    <w:p>
      <w:pPr>
        <w:pStyle w:val="14"/>
        <w:widowControl w:val="0"/>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4.2招标文件的澄清</w:t>
      </w:r>
    </w:p>
    <w:p>
      <w:pPr>
        <w:pStyle w:val="14"/>
        <w:widowControl w:val="0"/>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4"/>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4.3招标文件的修改</w:t>
      </w:r>
    </w:p>
    <w:p>
      <w:pPr>
        <w:pStyle w:val="14"/>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pPr>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三、投标文件</w:t>
      </w:r>
    </w:p>
    <w:p>
      <w:pPr>
        <w:numPr>
          <w:ilvl w:val="0"/>
          <w:numId w:val="7"/>
        </w:num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投标文件的语言及计量单位</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 投标文件的组成</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投标文件由“报价文件资料”、“商务技术（资信）文件资料”两部分组成：</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 “报价文件资料”应包含以下内容（正本用原件）：</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2.1.1投标响应函（格式见第六部分附件）；</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2.1.2开标一览表（格式见第六部分附件）；</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2.1.3供应商需要说明的其他文件和说明（格式自拟）。</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以上文件组成“报价文件资料”。投标人在“报价文件资料”中应对招标文件作实质性响应，该项内容将作为评标重要指标。</w:t>
      </w:r>
    </w:p>
    <w:p>
      <w:pPr>
        <w:pStyle w:val="20"/>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 “商务技术（资信）文件资料”应包括以下内容：</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2.2.1法定代表人授权委托书(个体工商户不需要提供，格式见第六部分附件)；</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2.2.2授权代表社保证明（格式见第六部分附件）；</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2.2.3法定代表人身份证明书（格式见第六部分附件）；</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2.2.4 企业法人营业执照副本复印件（加盖单位公章）；</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2.2.5相关资质证明或文件复印件（加盖单位公章）；（均需加盖公章）：</w:t>
      </w:r>
      <w:r>
        <w:rPr>
          <w:rFonts w:hint="eastAsia" w:ascii="仿宋" w:hAnsi="仿宋" w:eastAsia="仿宋" w:cs="仿宋"/>
          <w:color w:val="auto"/>
          <w:kern w:val="0"/>
          <w:sz w:val="24"/>
          <w:highlight w:val="none"/>
        </w:rPr>
        <w:t>证明其符合《中华人民共和国政府采购法》规定的供应商基本条件和采购项目对供应商的特定要求</w:t>
      </w:r>
      <w:r>
        <w:rPr>
          <w:rFonts w:hint="eastAsia" w:ascii="仿宋" w:hAnsi="仿宋" w:eastAsia="仿宋" w:cs="仿宋"/>
          <w:color w:val="auto"/>
          <w:sz w:val="24"/>
          <w:highlight w:val="none"/>
        </w:rPr>
        <w:t>（如果项目要求）</w:t>
      </w:r>
      <w:r>
        <w:rPr>
          <w:rFonts w:hint="eastAsia" w:ascii="仿宋" w:hAnsi="仿宋" w:eastAsia="仿宋" w:cs="仿宋"/>
          <w:color w:val="auto"/>
          <w:kern w:val="0"/>
          <w:sz w:val="24"/>
          <w:highlight w:val="none"/>
        </w:rPr>
        <w:t>的有关资格证明文件。</w:t>
      </w:r>
    </w:p>
    <w:p>
      <w:pPr>
        <w:pStyle w:val="22"/>
        <w:spacing w:line="440" w:lineRule="exact"/>
        <w:ind w:firstLine="480" w:firstLineChars="200"/>
        <w:rPr>
          <w:rFonts w:hint="eastAsia" w:ascii="仿宋" w:hAnsi="仿宋" w:eastAsia="仿宋" w:cs="仿宋"/>
          <w:color w:val="auto"/>
          <w:sz w:val="24"/>
          <w:highlight w:val="none"/>
        </w:rPr>
      </w:pPr>
      <w:bookmarkStart w:id="0" w:name="_Hlt68072998"/>
      <w:bookmarkEnd w:id="0"/>
      <w:bookmarkStart w:id="1" w:name="_Hlt68403820"/>
      <w:bookmarkEnd w:id="1"/>
      <w:bookmarkStart w:id="2" w:name="_Hlt68073093"/>
      <w:bookmarkEnd w:id="2"/>
      <w:r>
        <w:rPr>
          <w:rFonts w:hint="eastAsia" w:ascii="仿宋" w:hAnsi="仿宋" w:eastAsia="仿宋" w:cs="仿宋"/>
          <w:color w:val="auto"/>
          <w:sz w:val="24"/>
          <w:highlight w:val="none"/>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w:t>
      </w:r>
    </w:p>
    <w:p>
      <w:pPr>
        <w:pStyle w:val="22"/>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eastAsia="zh-CN"/>
        </w:rPr>
        <w:t>2021年度资产负债表</w:t>
      </w:r>
      <w:r>
        <w:rPr>
          <w:rFonts w:hint="eastAsia" w:ascii="仿宋" w:hAnsi="仿宋" w:eastAsia="仿宋" w:cs="仿宋"/>
          <w:color w:val="auto"/>
          <w:sz w:val="24"/>
          <w:highlight w:val="none"/>
        </w:rPr>
        <w:t>等财务报表资料文件(新成立的公司，必须提供情况说明)；</w:t>
      </w:r>
    </w:p>
    <w:p>
      <w:pPr>
        <w:pStyle w:val="22"/>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（3）具有履行合同所必需的设备和专业技术能力的承诺函；</w:t>
      </w:r>
    </w:p>
    <w:p>
      <w:pPr>
        <w:spacing w:line="440" w:lineRule="exact"/>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sz w:val="24"/>
          <w:highlight w:val="none"/>
        </w:rPr>
        <w:t>（4）参加本次政府采购活动前三年内，在经营活动中没有重大违法记录的声明（</w:t>
      </w:r>
      <w:r>
        <w:rPr>
          <w:rFonts w:hint="eastAsia" w:ascii="仿宋" w:hAnsi="仿宋" w:eastAsia="仿宋" w:cs="仿宋"/>
          <w:color w:val="auto"/>
          <w:sz w:val="24"/>
          <w:szCs w:val="20"/>
          <w:highlight w:val="none"/>
        </w:rPr>
        <w:t>需要特别声明“没有因违反《浙江省政府采购供应商注册及诚信管理暂行办法》被列入‘黑名单’，在处罚有效期”）；</w:t>
      </w:r>
    </w:p>
    <w:p>
      <w:pPr>
        <w:spacing w:line="440" w:lineRule="exact"/>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pPr>
        <w:spacing w:line="440" w:lineRule="exact"/>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kern w:val="0"/>
          <w:sz w:val="24"/>
          <w:highlight w:val="none"/>
        </w:rPr>
        <w:t>(6</w:t>
      </w:r>
      <w:r>
        <w:rPr>
          <w:rFonts w:hint="eastAsia" w:ascii="仿宋" w:hAnsi="仿宋" w:eastAsia="仿宋" w:cs="仿宋"/>
          <w:color w:val="auto"/>
          <w:sz w:val="24"/>
          <w:highlight w:val="none"/>
        </w:rPr>
        <w:t>)</w:t>
      </w:r>
      <w:r>
        <w:rPr>
          <w:rFonts w:hint="eastAsia" w:ascii="仿宋" w:hAnsi="仿宋" w:eastAsia="仿宋" w:cs="仿宋"/>
          <w:color w:val="auto"/>
          <w:sz w:val="24"/>
          <w:szCs w:val="20"/>
          <w:highlight w:val="none"/>
        </w:rPr>
        <w:t>提供依法缴纳税收和社会保障资金的良好记录证明，税收和社保证明打印时间不得早于投标截止时间前1个月；</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(7</w:t>
      </w:r>
      <w:r>
        <w:rPr>
          <w:rFonts w:hint="eastAsia" w:ascii="仿宋" w:hAnsi="仿宋" w:eastAsia="仿宋" w:cs="仿宋"/>
          <w:color w:val="auto"/>
          <w:sz w:val="24"/>
          <w:highlight w:val="none"/>
        </w:rPr>
        <w:t>)符合特定资格条件（如果项目要求）的有关证明材料（复印件）；</w:t>
      </w:r>
    </w:p>
    <w:p>
      <w:pPr>
        <w:pStyle w:val="22"/>
        <w:snapToGrid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2.2.6</w:t>
      </w:r>
      <w:r>
        <w:rPr>
          <w:rFonts w:hint="eastAsia" w:ascii="仿宋" w:hAnsi="仿宋" w:eastAsia="仿宋" w:cs="仿宋"/>
          <w:color w:val="auto"/>
          <w:sz w:val="24"/>
          <w:highlight w:val="none"/>
          <w:lang w:val="zh-CN"/>
        </w:rPr>
        <w:t>投标人应提供针对项目的完整技术解决方案：</w:t>
      </w:r>
    </w:p>
    <w:p>
      <w:pPr>
        <w:snapToGrid w:val="0"/>
        <w:spacing w:line="440" w:lineRule="exact"/>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如果本项目涉及硬件设备采购，还需提供相关设备完整配置方案（设备名称、品牌、规格型号、数量、主要技术参数等）</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提供主要投标产品的技术参数证明材料（如原厂技术说明、官网截图、产品彩页等），</w:t>
      </w:r>
      <w:r>
        <w:rPr>
          <w:rFonts w:hint="eastAsia" w:ascii="仿宋" w:hAnsi="仿宋" w:eastAsia="仿宋" w:cs="仿宋"/>
          <w:color w:val="auto"/>
          <w:sz w:val="24"/>
          <w:highlight w:val="none"/>
        </w:rPr>
        <w:t>明确表示该项指标所涉及的软硬件是标准配置还是选择配置</w:t>
      </w:r>
      <w:r>
        <w:rPr>
          <w:rFonts w:hint="eastAsia" w:ascii="仿宋" w:hAnsi="仿宋" w:eastAsia="仿宋" w:cs="仿宋"/>
          <w:b/>
          <w:color w:val="auto"/>
          <w:sz w:val="24"/>
          <w:highlight w:val="none"/>
        </w:rPr>
        <w:t>（所有技术指标表述均应采用中文，如当前公布的技术指标只有英文表述的，必须由投标人作出中文注释，否则</w:t>
      </w:r>
      <w:r>
        <w:rPr>
          <w:rFonts w:hint="eastAsia" w:ascii="仿宋" w:hAnsi="仿宋" w:eastAsia="仿宋" w:cs="仿宋"/>
          <w:b/>
          <w:color w:val="auto"/>
          <w:kern w:val="0"/>
          <w:sz w:val="24"/>
          <w:highlight w:val="none"/>
          <w:lang w:val="zh-CN"/>
        </w:rPr>
        <w:t>任何含糊不清的</w:t>
      </w:r>
      <w:r>
        <w:rPr>
          <w:rFonts w:hint="eastAsia" w:ascii="仿宋" w:hAnsi="仿宋" w:eastAsia="仿宋" w:cs="仿宋"/>
          <w:b/>
          <w:color w:val="auto"/>
          <w:sz w:val="24"/>
          <w:highlight w:val="none"/>
        </w:rPr>
        <w:t>表述导致</w:t>
      </w:r>
      <w:r>
        <w:rPr>
          <w:rFonts w:hint="eastAsia" w:ascii="仿宋" w:hAnsi="仿宋" w:eastAsia="仿宋" w:cs="仿宋"/>
          <w:b/>
          <w:color w:val="auto"/>
          <w:kern w:val="0"/>
          <w:sz w:val="24"/>
          <w:highlight w:val="none"/>
          <w:lang w:val="zh-CN"/>
        </w:rPr>
        <w:t>评标委员会技术扣分直至认定为投标无效都将是投标人的责任）</w:t>
      </w:r>
      <w:r>
        <w:rPr>
          <w:rFonts w:hint="eastAsia" w:ascii="仿宋" w:hAnsi="仿宋" w:eastAsia="仿宋" w:cs="仿宋"/>
          <w:color w:val="auto"/>
          <w:sz w:val="24"/>
          <w:highlight w:val="none"/>
        </w:rPr>
        <w:t>。（如有）</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2.2.7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如有）</w:t>
      </w:r>
    </w:p>
    <w:p>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rPr>
        <w:t>2.2.9</w:t>
      </w:r>
      <w:r>
        <w:rPr>
          <w:rFonts w:hint="eastAsia" w:ascii="仿宋" w:hAnsi="仿宋" w:eastAsia="仿宋" w:cs="仿宋"/>
          <w:color w:val="auto"/>
          <w:sz w:val="24"/>
          <w:highlight w:val="none"/>
        </w:rPr>
        <w:t>投标人在投标文件技术偏离说明表中，</w:t>
      </w:r>
      <w:r>
        <w:rPr>
          <w:rFonts w:hint="eastAsia" w:ascii="仿宋" w:hAnsi="仿宋" w:eastAsia="仿宋" w:cs="仿宋"/>
          <w:color w:val="auto"/>
          <w:kern w:val="0"/>
          <w:sz w:val="24"/>
          <w:highlight w:val="none"/>
          <w:lang w:val="zh-CN"/>
        </w:rPr>
        <w:t>应对</w:t>
      </w:r>
      <w:r>
        <w:rPr>
          <w:rFonts w:hint="eastAsia" w:ascii="仿宋" w:hAnsi="仿宋" w:eastAsia="仿宋" w:cs="仿宋"/>
          <w:color w:val="auto"/>
          <w:sz w:val="24"/>
          <w:highlight w:val="none"/>
        </w:rPr>
        <w:t>项目技术规范和服务要求</w:t>
      </w:r>
      <w:r>
        <w:rPr>
          <w:rFonts w:hint="eastAsia" w:ascii="仿宋" w:hAnsi="仿宋" w:eastAsia="仿宋" w:cs="仿宋"/>
          <w:color w:val="auto"/>
          <w:kern w:val="0"/>
          <w:sz w:val="24"/>
          <w:highlight w:val="none"/>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2.2.</w:t>
      </w:r>
      <w:r>
        <w:rPr>
          <w:rFonts w:hint="eastAsia" w:ascii="仿宋" w:hAnsi="仿宋" w:eastAsia="仿宋" w:cs="仿宋"/>
          <w:color w:val="auto"/>
          <w:kern w:val="0"/>
          <w:sz w:val="24"/>
          <w:highlight w:val="none"/>
        </w:rPr>
        <w:t>10</w:t>
      </w:r>
      <w:r>
        <w:rPr>
          <w:rFonts w:hint="eastAsia" w:ascii="仿宋" w:hAnsi="仿宋" w:eastAsia="仿宋" w:cs="仿宋"/>
          <w:color w:val="auto"/>
          <w:kern w:val="0"/>
          <w:sz w:val="24"/>
          <w:highlight w:val="none"/>
          <w:lang w:val="zh-CN"/>
        </w:rPr>
        <w:t>针对本项目建设的详细实施计划。本项目详细工作实施组织方案，包括(但不限于)以下内容：组织机构、工作时间进度表、工作程序和步骤、管理和协调方法、关键步骤的思路和要点。（</w:t>
      </w:r>
      <w:r>
        <w:rPr>
          <w:rFonts w:hint="eastAsia" w:ascii="仿宋" w:hAnsi="仿宋" w:eastAsia="仿宋" w:cs="仿宋"/>
          <w:color w:val="auto"/>
          <w:kern w:val="0"/>
          <w:sz w:val="24"/>
          <w:highlight w:val="none"/>
        </w:rPr>
        <w:t>如有）</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2.2.1</w:t>
      </w: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lang w:val="zh-CN"/>
        </w:rPr>
        <w:t>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r>
        <w:rPr>
          <w:rFonts w:hint="eastAsia" w:ascii="仿宋" w:hAnsi="仿宋" w:eastAsia="仿宋" w:cs="仿宋"/>
          <w:color w:val="auto"/>
          <w:kern w:val="0"/>
          <w:sz w:val="24"/>
          <w:highlight w:val="none"/>
        </w:rPr>
        <w:t>如有）</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2.2.1</w:t>
      </w:r>
      <w:r>
        <w:rPr>
          <w:rFonts w:hint="eastAsia" w:ascii="仿宋" w:hAnsi="仿宋" w:eastAsia="仿宋" w:cs="仿宋"/>
          <w:color w:val="auto"/>
          <w:kern w:val="0"/>
          <w:sz w:val="24"/>
          <w:highlight w:val="none"/>
        </w:rPr>
        <w:t>2</w:t>
      </w:r>
      <w:r>
        <w:rPr>
          <w:rFonts w:hint="eastAsia" w:ascii="仿宋" w:hAnsi="仿宋" w:eastAsia="仿宋" w:cs="仿宋"/>
          <w:color w:val="auto"/>
          <w:kern w:val="0"/>
          <w:sz w:val="24"/>
          <w:highlight w:val="none"/>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r>
        <w:rPr>
          <w:rFonts w:hint="eastAsia" w:ascii="仿宋" w:hAnsi="仿宋" w:eastAsia="仿宋" w:cs="仿宋"/>
          <w:color w:val="auto"/>
          <w:kern w:val="0"/>
          <w:sz w:val="24"/>
          <w:highlight w:val="none"/>
        </w:rPr>
        <w:t>如有）</w:t>
      </w:r>
    </w:p>
    <w:p>
      <w:pPr>
        <w:tabs>
          <w:tab w:val="left" w:pos="0"/>
          <w:tab w:val="left" w:pos="840"/>
        </w:tabs>
        <w:autoSpaceDE w:val="0"/>
        <w:autoSpaceDN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w:t>
      </w:r>
      <w:r>
        <w:rPr>
          <w:rFonts w:hint="eastAsia" w:ascii="仿宋" w:hAnsi="仿宋" w:eastAsia="仿宋" w:cs="仿宋"/>
          <w:color w:val="auto"/>
          <w:kern w:val="0"/>
          <w:sz w:val="24"/>
          <w:highlight w:val="none"/>
        </w:rPr>
        <w:t>3</w:t>
      </w:r>
      <w:r>
        <w:rPr>
          <w:rFonts w:hint="eastAsia" w:ascii="仿宋" w:hAnsi="仿宋" w:eastAsia="仿宋" w:cs="仿宋"/>
          <w:color w:val="auto"/>
          <w:kern w:val="0"/>
          <w:sz w:val="24"/>
          <w:highlight w:val="none"/>
          <w:lang w:val="zh-CN"/>
        </w:rPr>
        <w:t>备品备件清单（含随机自带的备品备件和质保期后供采购人选择的备品备件及配套零部件，明细备品备件及价格，且供货价格不高于中标价格；中标货物设备应提供易损部件的备件和整机备品）；（如有）</w:t>
      </w:r>
    </w:p>
    <w:p>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2.2.14</w:t>
      </w:r>
      <w:r>
        <w:rPr>
          <w:rFonts w:hint="eastAsia" w:ascii="仿宋" w:hAnsi="仿宋" w:eastAsia="仿宋" w:cs="仿宋"/>
          <w:color w:val="auto"/>
          <w:kern w:val="0"/>
          <w:sz w:val="24"/>
          <w:highlight w:val="none"/>
          <w:lang w:val="zh-CN"/>
        </w:rPr>
        <w:t>培训计划；（如有）</w:t>
      </w:r>
    </w:p>
    <w:p>
      <w:pPr>
        <w:tabs>
          <w:tab w:val="left" w:pos="0"/>
          <w:tab w:val="left" w:pos="840"/>
        </w:tabs>
        <w:autoSpaceDE w:val="0"/>
        <w:autoSpaceDN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w:t>
      </w:r>
      <w:r>
        <w:rPr>
          <w:rFonts w:hint="eastAsia" w:ascii="仿宋" w:hAnsi="仿宋" w:eastAsia="仿宋" w:cs="仿宋"/>
          <w:color w:val="auto"/>
          <w:kern w:val="0"/>
          <w:sz w:val="24"/>
          <w:highlight w:val="none"/>
        </w:rPr>
        <w:t>5</w:t>
      </w:r>
      <w:r>
        <w:rPr>
          <w:rFonts w:hint="eastAsia" w:ascii="仿宋" w:hAnsi="仿宋" w:eastAsia="仿宋" w:cs="仿宋"/>
          <w:color w:val="auto"/>
          <w:kern w:val="0"/>
          <w:sz w:val="24"/>
          <w:highlight w:val="none"/>
          <w:lang w:val="zh-CN"/>
        </w:rPr>
        <w:t>验收方案；（如有）</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2.2.16</w:t>
      </w:r>
      <w:r>
        <w:rPr>
          <w:rFonts w:hint="eastAsia" w:ascii="仿宋" w:hAnsi="仿宋" w:eastAsia="仿宋" w:cs="仿宋"/>
          <w:snapToGrid w:val="0"/>
          <w:color w:val="auto"/>
          <w:sz w:val="24"/>
          <w:highlight w:val="none"/>
        </w:rPr>
        <w:t>非本地投标人售后服务机构证明材料。非本地投标人</w:t>
      </w:r>
      <w:r>
        <w:rPr>
          <w:rFonts w:hint="eastAsia" w:ascii="仿宋" w:hAnsi="仿宋" w:eastAsia="仿宋" w:cs="仿宋"/>
          <w:color w:val="auto"/>
          <w:sz w:val="24"/>
          <w:highlight w:val="none"/>
          <w:lang w:val="zh-CN"/>
        </w:rPr>
        <w:t>在绍兴的分公司</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lang w:val="zh-CN"/>
        </w:rPr>
        <w:t>需提供本地工商注册</w:t>
      </w:r>
      <w:r>
        <w:rPr>
          <w:rFonts w:hint="eastAsia" w:ascii="仿宋" w:hAnsi="仿宋" w:eastAsia="仿宋" w:cs="仿宋"/>
          <w:color w:val="auto"/>
          <w:sz w:val="24"/>
          <w:highlight w:val="none"/>
        </w:rPr>
        <w:t>登记</w:t>
      </w:r>
      <w:r>
        <w:rPr>
          <w:rFonts w:hint="eastAsia" w:ascii="仿宋" w:hAnsi="仿宋" w:eastAsia="仿宋" w:cs="仿宋"/>
          <w:color w:val="auto"/>
          <w:sz w:val="24"/>
          <w:highlight w:val="none"/>
          <w:lang w:val="zh-CN"/>
        </w:rPr>
        <w:t>资料）或办事处</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lang w:val="zh-CN"/>
        </w:rPr>
        <w:t>需提供本地国内经济合作办注册资料</w:t>
      </w:r>
      <w:r>
        <w:rPr>
          <w:rFonts w:hint="eastAsia" w:ascii="仿宋" w:hAnsi="仿宋" w:eastAsia="仿宋" w:cs="仿宋"/>
          <w:color w:val="auto"/>
          <w:kern w:val="0"/>
          <w:sz w:val="24"/>
          <w:highlight w:val="none"/>
        </w:rPr>
        <w:t>）或符合本项目服务能力并签订合作协议的第三方机构或者在中标（成交）公示后在本地设立售后服务机构作</w:t>
      </w:r>
      <w:r>
        <w:rPr>
          <w:rFonts w:hint="eastAsia" w:ascii="仿宋" w:hAnsi="仿宋" w:eastAsia="仿宋" w:cs="仿宋"/>
          <w:color w:val="auto"/>
          <w:sz w:val="24"/>
          <w:highlight w:val="none"/>
          <w:lang w:val="zh-CN"/>
        </w:rPr>
        <w:t>为常驻服务和技术支持机构；</w:t>
      </w:r>
      <w:r>
        <w:rPr>
          <w:rFonts w:hint="eastAsia" w:ascii="仿宋" w:hAnsi="仿宋" w:eastAsia="仿宋" w:cs="仿宋"/>
          <w:color w:val="auto"/>
          <w:kern w:val="0"/>
          <w:sz w:val="24"/>
          <w:highlight w:val="none"/>
          <w:lang w:val="zh-CN"/>
        </w:rPr>
        <w:t>（如有）</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2.2.17</w:t>
      </w:r>
      <w:r>
        <w:rPr>
          <w:rFonts w:hint="eastAsia" w:ascii="仿宋" w:hAnsi="仿宋" w:eastAsia="仿宋" w:cs="仿宋"/>
          <w:color w:val="auto"/>
          <w:sz w:val="24"/>
          <w:highlight w:val="none"/>
          <w:u w:val="wave"/>
        </w:rPr>
        <w:t>未尽事宜请各投标单位按评分细则和相对应标项相关要求制作(重要)</w:t>
      </w:r>
      <w:r>
        <w:rPr>
          <w:rFonts w:hint="eastAsia" w:ascii="仿宋" w:hAnsi="仿宋" w:eastAsia="仿宋" w:cs="仿宋"/>
          <w:color w:val="auto"/>
          <w:sz w:val="24"/>
          <w:highlight w:val="none"/>
        </w:rPr>
        <w:t>；</w:t>
      </w:r>
    </w:p>
    <w:p>
      <w:pPr>
        <w:pStyle w:val="20"/>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2.2.18投标人需要说明的其他文件和说明（格式自拟）。</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以上文件组成“商务技术（资信）文件资料”。投标人在“商务技术（资信）文件资料”中应对招标文件作实质性响应，该项内容将作为评标重要指标。</w:t>
      </w:r>
    </w:p>
    <w:p>
      <w:pPr>
        <w:pStyle w:val="20"/>
        <w:tabs>
          <w:tab w:val="left" w:pos="1854"/>
          <w:tab w:val="clear" w:pos="482"/>
        </w:tabs>
        <w:spacing w:afterLines="0" w:line="440" w:lineRule="exact"/>
        <w:ind w:left="105" w:right="-78" w:rightChars="-37" w:firstLine="480" w:firstLineChars="200"/>
        <w:rPr>
          <w:rFonts w:hint="eastAsia" w:ascii="仿宋" w:hAnsi="仿宋" w:eastAsia="仿宋" w:cs="仿宋"/>
          <w:b/>
          <w:color w:val="auto"/>
          <w:highlight w:val="none"/>
        </w:rPr>
      </w:pPr>
      <w:r>
        <w:rPr>
          <w:rFonts w:hint="eastAsia" w:ascii="仿宋" w:hAnsi="仿宋" w:eastAsia="仿宋" w:cs="仿宋"/>
          <w:color w:val="auto"/>
          <w:highlight w:val="none"/>
        </w:rPr>
        <w:t>投标人不按招标文件的要求提供的投标文件，可能会被评标委员会视为未实质性响应，其风险应由投标人自行承担。</w:t>
      </w:r>
    </w:p>
    <w:p>
      <w:pPr>
        <w:pStyle w:val="20"/>
        <w:tabs>
          <w:tab w:val="left" w:pos="1854"/>
          <w:tab w:val="clear" w:pos="482"/>
        </w:tabs>
        <w:spacing w:afterLines="0" w:line="440" w:lineRule="exact"/>
        <w:ind w:left="0" w:right="-78" w:rightChars="-37" w:firstLine="482" w:firstLineChars="200"/>
        <w:rPr>
          <w:rFonts w:hint="eastAsia" w:ascii="仿宋" w:hAnsi="仿宋" w:eastAsia="仿宋" w:cs="仿宋"/>
          <w:b/>
          <w:color w:val="auto"/>
          <w:highlight w:val="none"/>
        </w:rPr>
      </w:pPr>
      <w:r>
        <w:rPr>
          <w:rFonts w:hint="eastAsia" w:ascii="仿宋" w:hAnsi="仿宋" w:eastAsia="仿宋" w:cs="仿宋"/>
          <w:b/>
          <w:color w:val="auto"/>
          <w:highlight w:val="none"/>
        </w:rPr>
        <w:t>注：复印件应加盖投标人公章</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投标报价</w:t>
      </w:r>
    </w:p>
    <w:p>
      <w:pPr>
        <w:pStyle w:val="22"/>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3.1投标人应按招标文件中《开标一览表》等附表要求填写。</w:t>
      </w:r>
    </w:p>
    <w:p>
      <w:pPr>
        <w:pStyle w:val="22"/>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3.2报价为采购人可以合格使用产品的价格，包括货款、包装、运输、保险、货到就位以及安装、调试、培训、保修及产品知识产权等一切费用。</w:t>
      </w:r>
    </w:p>
    <w:p>
      <w:pPr>
        <w:pStyle w:val="22"/>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3.3招标文件未列明，而投标人认为必需的费用也需列入报价。</w:t>
      </w:r>
    </w:p>
    <w:p>
      <w:pPr>
        <w:pStyle w:val="22"/>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3.4对于可能有配件、耗材、选件和特殊工具的服务，还应填报投标设备配件、耗材、选件表和备件及特殊工具清单，注明品牌、型号、产地、功能、单价、批量折扣等内容，该表格的格式由投标人自行设计。</w:t>
      </w:r>
    </w:p>
    <w:p>
      <w:pPr>
        <w:tabs>
          <w:tab w:val="left" w:pos="52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3.5</w:t>
      </w:r>
      <w:r>
        <w:rPr>
          <w:rFonts w:hint="eastAsia" w:ascii="仿宋" w:hAnsi="仿宋" w:eastAsia="仿宋" w:cs="仿宋"/>
          <w:b/>
          <w:i/>
          <w:color w:val="auto"/>
          <w:sz w:val="24"/>
          <w:highlight w:val="none"/>
        </w:rPr>
        <w:t>投标报价只允许有一个报价，有选择的报价将不予接受（除指定外）。</w:t>
      </w:r>
    </w:p>
    <w:p>
      <w:pPr>
        <w:pStyle w:val="14"/>
        <w:widowControl w:val="0"/>
        <w:tabs>
          <w:tab w:val="clear" w:pos="454"/>
        </w:tabs>
        <w:spacing w:afterLines="0" w:line="440" w:lineRule="atLeas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4.投标文件的有效期</w:t>
      </w:r>
    </w:p>
    <w:p>
      <w:pPr>
        <w:pStyle w:val="14"/>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4.1</w:t>
      </w:r>
      <w:r>
        <w:rPr>
          <w:rFonts w:hint="eastAsia" w:ascii="仿宋" w:hAnsi="仿宋" w:eastAsia="仿宋" w:cs="仿宋"/>
          <w:color w:val="auto"/>
          <w:highlight w:val="none"/>
        </w:rPr>
        <w:t>投标有效期为从提交投标文件的截止之日起90天。</w:t>
      </w:r>
      <w:r>
        <w:rPr>
          <w:rFonts w:hint="eastAsia" w:ascii="仿宋" w:hAnsi="仿宋" w:eastAsia="仿宋" w:cs="仿宋"/>
          <w:b/>
          <w:color w:val="auto"/>
          <w:highlight w:val="none"/>
        </w:rPr>
        <w:t>投标人的投标文件中承</w:t>
      </w:r>
      <w:r>
        <w:rPr>
          <w:rFonts w:hint="eastAsia" w:ascii="仿宋" w:hAnsi="仿宋" w:eastAsia="仿宋" w:cs="仿宋"/>
          <w:b/>
          <w:color w:val="auto"/>
          <w:szCs w:val="21"/>
          <w:highlight w:val="none"/>
        </w:rPr>
        <w:t>诺的投标有效期少于招标文件中载明的投标有效期的，投标无效。</w:t>
      </w:r>
    </w:p>
    <w:p>
      <w:pPr>
        <w:pStyle w:val="14"/>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4.2在特殊情况下，招标人可与投标人协商延长投标书的有效期，这种要求和答复均以书面形式进行。</w:t>
      </w:r>
    </w:p>
    <w:p>
      <w:pPr>
        <w:pStyle w:val="14"/>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4.3投标人可拒绝接受延期要求而不会导致投标保证金被没收。同意延长有效期的投标人不能修改投标文件。</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5.投标文件的份数和规定</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5.1投标文件的正本需打印或用不褪色的墨水填写，不允许行间插字，并注明“正本”字样，投标文件正本除本招标须知中规定的可提供复印件外均须提供原件。副本为正本的复印件。</w:t>
      </w:r>
    </w:p>
    <w:p>
      <w:pPr>
        <w:pStyle w:val="22"/>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5.2投标文件由“商务技术（资信）文件资料”和“报价文件资料”两部分文件组成，应按统一格式填写，装订成册。并在封面处明确注明“商务技术（资信）文件资料”或“报价文件资料”。</w:t>
      </w:r>
    </w:p>
    <w:p>
      <w:pPr>
        <w:pStyle w:val="22"/>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5.3投标文件一式五份，其中正本一份，副本四份。</w:t>
      </w:r>
    </w:p>
    <w:p>
      <w:pPr>
        <w:pStyle w:val="22"/>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5.4投标文件须由投标人在规定位置盖章并由法定代表人或其授权代表签署，投标人应写全称。</w:t>
      </w:r>
    </w:p>
    <w:p>
      <w:pPr>
        <w:pStyle w:val="22"/>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5.5投标文件不得涂改，若有修改错漏处，须加盖单位公章或者法定代表人或其授权代表签字或盖章。</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5.6投标文件因字迹潦草或表达不清所引起的后果由投标人负责。</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5.7投标人应认真阅读招标文件中所有的内容。如果投标人编制的投标文件实质上不响应招标文件的要求，其投标文件将被招标人拒绝。</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5.8投标文件建议采用A4幅面，按顺序统一编目编码装订成册。</w:t>
      </w:r>
      <w:r>
        <w:rPr>
          <w:rFonts w:hint="eastAsia" w:ascii="仿宋" w:hAnsi="仿宋" w:eastAsia="仿宋" w:cs="仿宋"/>
          <w:b/>
          <w:color w:val="auto"/>
          <w:sz w:val="24"/>
          <w:highlight w:val="none"/>
        </w:rPr>
        <w:t>提倡双面打印</w:t>
      </w:r>
      <w:r>
        <w:rPr>
          <w:rFonts w:hint="eastAsia" w:ascii="仿宋" w:hAnsi="仿宋" w:eastAsia="仿宋" w:cs="仿宋"/>
          <w:color w:val="auto"/>
          <w:sz w:val="24"/>
          <w:highlight w:val="none"/>
        </w:rPr>
        <w:t>。</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 投标文件的密封、盖章和签署</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“商务技术（资信）文件资料”和“报价文件资料”</w:t>
      </w:r>
      <w:r>
        <w:rPr>
          <w:rFonts w:hint="eastAsia" w:ascii="仿宋" w:hAnsi="仿宋" w:eastAsia="仿宋" w:cs="仿宋"/>
          <w:b/>
          <w:color w:val="auto"/>
          <w:sz w:val="24"/>
          <w:highlight w:val="none"/>
        </w:rPr>
        <w:t>应分两部份分别密封封装</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没有密封包装的投标文件，将被拒收。</w:t>
      </w:r>
    </w:p>
    <w:p>
      <w:pPr>
        <w:snapToGrid w:val="0"/>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投标文件的装订采用胶订或线订形式，不采用活页装订方式（胶订或线订以外装订形式视为活页装订）。</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各投标人在编制投标文件时请按照招标文件第六部分规定的格式进行，混乱的编排导致投标文件被误读或评标委员会查找不到有效文件是投标人的风险。并明确注明“商务技术（资信）文件资料或报价文件资料、项目名称、投标人名称”字样，同时封口处加盖骑缝单位公章。</w:t>
      </w:r>
    </w:p>
    <w:p>
      <w:pPr>
        <w:pStyle w:val="148"/>
        <w:spacing w:before="0"/>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7、投标文件的提交</w:t>
      </w:r>
    </w:p>
    <w:p>
      <w:pPr>
        <w:snapToGrid w:val="0"/>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投标人应按“招标公告”规定的时间、地点将投标文件提交给采购机构，</w:t>
      </w:r>
      <w:r>
        <w:rPr>
          <w:rFonts w:hint="eastAsia" w:ascii="仿宋" w:hAnsi="仿宋" w:eastAsia="仿宋" w:cs="仿宋"/>
          <w:b/>
          <w:color w:val="auto"/>
          <w:sz w:val="24"/>
          <w:highlight w:val="none"/>
        </w:rPr>
        <w:t>采购机构将拒绝接受逾期送达的投标文件。</w:t>
      </w:r>
    </w:p>
    <w:p>
      <w:pPr>
        <w:widowControl/>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8．</w:t>
      </w:r>
      <w:r>
        <w:rPr>
          <w:rFonts w:hint="eastAsia" w:ascii="仿宋" w:hAnsi="仿宋" w:eastAsia="仿宋" w:cs="仿宋"/>
          <w:b/>
          <w:color w:val="auto"/>
          <w:kern w:val="0"/>
          <w:sz w:val="24"/>
          <w:highlight w:val="none"/>
        </w:rPr>
        <w:t>投标文件的补充和修改</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投标截止时间前，投标人可以书面形式向招标人提出对投标文件进行补充和修改，相应部分以最后的补充和修改为准。该书面材料应密封，</w:t>
      </w:r>
      <w:r>
        <w:rPr>
          <w:rFonts w:hint="eastAsia" w:ascii="仿宋" w:hAnsi="仿宋" w:eastAsia="仿宋" w:cs="仿宋"/>
          <w:color w:val="auto"/>
          <w:sz w:val="24"/>
          <w:highlight w:val="none"/>
        </w:rPr>
        <w:t>并明确注明“</w:t>
      </w:r>
      <w:r>
        <w:rPr>
          <w:rFonts w:hint="eastAsia" w:ascii="仿宋" w:hAnsi="仿宋" w:eastAsia="仿宋" w:cs="仿宋"/>
          <w:color w:val="auto"/>
          <w:kern w:val="0"/>
          <w:sz w:val="24"/>
          <w:highlight w:val="none"/>
        </w:rPr>
        <w:t>修改（或补充）商务技术（资信）文件资料或报价文件资料、项目名称、投标人名称</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字样</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同时</w:t>
      </w:r>
      <w:r>
        <w:rPr>
          <w:rFonts w:hint="eastAsia" w:ascii="仿宋" w:hAnsi="仿宋" w:eastAsia="仿宋" w:cs="仿宋"/>
          <w:color w:val="auto"/>
          <w:sz w:val="24"/>
          <w:highlight w:val="none"/>
        </w:rPr>
        <w:t>封口处</w:t>
      </w:r>
      <w:r>
        <w:rPr>
          <w:rFonts w:hint="eastAsia" w:ascii="仿宋" w:hAnsi="仿宋" w:eastAsia="仿宋" w:cs="仿宋"/>
          <w:color w:val="auto"/>
          <w:kern w:val="0"/>
          <w:sz w:val="24"/>
          <w:highlight w:val="none"/>
        </w:rPr>
        <w:t>由</w:t>
      </w:r>
      <w:r>
        <w:rPr>
          <w:rFonts w:hint="eastAsia" w:ascii="仿宋" w:hAnsi="仿宋" w:eastAsia="仿宋" w:cs="仿宋"/>
          <w:color w:val="auto"/>
          <w:sz w:val="24"/>
          <w:highlight w:val="none"/>
        </w:rPr>
        <w:t>法定代表人或其授权代表签字或盖章</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投标人应于投标截止以前将该书面材料以现场送达（即交即走）的方式递交。</w:t>
      </w:r>
    </w:p>
    <w:p>
      <w:pPr>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四、开标和评标</w:t>
      </w:r>
    </w:p>
    <w:p>
      <w:pPr>
        <w:snapToGrid w:val="0"/>
        <w:spacing w:line="48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1．开标大会程序</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1.1主持人宣布开标会开始。</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1.2检查投标文件密封情况。</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1.3启封投标文件商务技术（资信）资料。</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1.4评标委员会对商务技术（资信）文件进行评审。</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1.5主持人宣布商务技术得分及无效（废）投标情形（如有），宣读经商务技术（资信）评审符合招标文件要求的投标人名单及其商务技术得分。</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1.6启封报价文件资料，由唱读人当众宣读投标人名称、投标价格和投标文件的其他内容。未宣读的投标报价和招标文件未允许提供的备选投标方案等实质性内容，评标时不予承认。</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1.7评标委员会对投标文件报价文件资料进行评审，核准投标报价及计算价格分，汇总商务技术分、价格分，根据得分排序确定中标候选人并出具评审报告。</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1.8主持人向投标单位公布评审结果。</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2．评标</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2.1评标委员会由招标采购单位依法组建，负责评标活动。评标委员会遵循公开、公平、公正、科学合理、竞争择优的原则。</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2.2评标委员会由采购人代表和有关方面的专家组成，成员人数为三人以上单数。</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2.3评标委员会负责对投标人资格的最终审定。</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2.4评标委员会可以要求投标人对其投标文件中含义不明确的内容作必要的澄清或者说明，但澄清或者说明不得超过投标文件的范围或者改变投标文件的实质性内容。</w:t>
      </w:r>
    </w:p>
    <w:p>
      <w:pPr>
        <w:widowControl/>
        <w:snapToGrid w:val="0"/>
        <w:spacing w:line="48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2.5</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对投标文件的判定，只依据投标文件和招标文件内容本身，不依据任何外来证明。</w:t>
      </w:r>
    </w:p>
    <w:p>
      <w:pPr>
        <w:widowControl/>
        <w:snapToGrid w:val="0"/>
        <w:spacing w:line="48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2.6评标委员会不向落标方解释落标的原因，不退还投标文件。</w:t>
      </w:r>
    </w:p>
    <w:p>
      <w:pPr>
        <w:snapToGrid w:val="0"/>
        <w:spacing w:line="48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3．投标文件的初审鉴定</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3.1资格性审查</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3.1.1依据法律、法规和招标文件规定，评标委员会对投标人进行资格审查，以确定投标人是否具备投标资格。</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3.2符合性审查</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3.3如果投标文件实质不响应招标文件的各项要求，评标委员会将予以拒绝，并且不允许投标人通过修改或撤销其不符合要求的差异或保留，使之成为具有实质性响应的投标。</w:t>
      </w:r>
    </w:p>
    <w:p>
      <w:pPr>
        <w:spacing w:line="48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4. </w:t>
      </w:r>
      <w:r>
        <w:rPr>
          <w:rFonts w:hint="eastAsia" w:ascii="仿宋" w:hAnsi="仿宋" w:eastAsia="仿宋" w:cs="仿宋"/>
          <w:b/>
          <w:color w:val="auto"/>
          <w:sz w:val="24"/>
          <w:highlight w:val="none"/>
        </w:rPr>
        <w:t>投标文件报价出现前后不一致的，按照下列规定修正：</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4.1投标文件中开标一览表（报价表）内容与投标文件中相应内容不一致的，以开标一览表（报价表）为准；</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4.2大写金额和小写金额不一致的，以大写金额为准；</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4.3单价金额小数点或者百分比有明显错位的，以开标一览表的总价为准，并修改单价；</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4.4总价金额与按单价汇总金额不一致的，以单价金额计算结果为准。</w:t>
      </w:r>
    </w:p>
    <w:p>
      <w:pPr>
        <w:spacing w:line="440" w:lineRule="exact"/>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w:t>
      </w:r>
      <w:r>
        <w:rPr>
          <w:rFonts w:hint="eastAsia" w:ascii="仿宋" w:hAnsi="仿宋" w:eastAsia="仿宋" w:cs="仿宋"/>
          <w:bCs/>
          <w:color w:val="auto"/>
          <w:sz w:val="24"/>
          <w:highlight w:val="none"/>
        </w:rPr>
        <w:t>修正后的报价按照财政部公布第87号令《政府采购货物和服务招标投标管理办法》</w:t>
      </w:r>
      <w:r>
        <w:rPr>
          <w:rFonts w:hint="eastAsia" w:ascii="仿宋" w:hAnsi="仿宋" w:eastAsia="仿宋" w:cs="仿宋"/>
          <w:color w:val="auto"/>
          <w:sz w:val="24"/>
          <w:highlight w:val="none"/>
        </w:rPr>
        <w:t>第五十一条第二款的规定经投标人确认后产生约束力，投标人不确认的，其投标无效。</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5.投标文件的评审、比较和否决</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5.1评标委员会将对在实质上响应招标文件要求的投标文件进行评估和比较。</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5.2在评审过程中，评标委员会可以书面形式要求投标人就投标文件含义不明确的内容进行书面说明并提供相关材料，但不得超过投标文件的范围或者改变投标文件的实质性内容。</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5.3在评标过程中，如发现与招标文件要求相偏离的，评标委员会可对其偏离情形进行必要的核实。</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5.4在评审过程中，如属于实质性偏离或符合无效响应条件的，应当询问相关投标人，并可对其进行书面确认，但不允许对偏离条款进行补充、修正或撤回。</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5.5比较与评价。评标委员会应当按照评标标准，对符合性审查合格的投标文件进行商务和技术评估，综合比较与评价。</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5.6汇总（商务技术得分情况）。评标委员会各成员应当独立对每个投标人的商务技术（资信）文件资料文件进行评价，并汇总商务技术得分情况。</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 报价审核。对符合采购需求且通过商务技术（资信）评审的投标人的报价的合理性、准确性等进行审查核实。</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5.7.1评标委员会认为投标人的报价明显低于其他通过符合性审查投标人的报价，有可能影响产品质量或者不能诚信履约的，应当要求其在评标现场合理的时间内提供书面说明，必要时提交相关证明材料。</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5.7.2根据财政部发布的《政府采购促进中小企业发展暂行办法》规定，对于非专门面向中小企业的项目，对小型和微型企业产品的价格给予一定的扣除，用扣除后的价格参与评审。</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5.7.3如需投标价格修正，按财政部87号令第五十九条的规定对投标价格进行修正。</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5.8评标委员会依据招标文件规定的评标标准和方法，对投标文件进行评审和比较后，向采购代理机构提供书面评标报告，并按得分高低排序推荐中标候选供应商。</w:t>
      </w:r>
    </w:p>
    <w:p>
      <w:pPr>
        <w:pStyle w:val="14"/>
        <w:tabs>
          <w:tab w:val="clear" w:pos="454"/>
        </w:tabs>
        <w:spacing w:afterLines="0" w:line="440" w:lineRule="exact"/>
        <w:ind w:left="0" w:firstLine="0"/>
        <w:rPr>
          <w:rFonts w:hint="eastAsia" w:ascii="仿宋" w:hAnsi="仿宋" w:eastAsia="仿宋" w:cs="仿宋"/>
          <w:b/>
          <w:color w:val="auto"/>
          <w:highlight w:val="none"/>
        </w:rPr>
      </w:pPr>
      <w:r>
        <w:rPr>
          <w:rFonts w:hint="eastAsia" w:ascii="仿宋" w:hAnsi="仿宋" w:eastAsia="仿宋" w:cs="仿宋"/>
          <w:b/>
          <w:color w:val="auto"/>
          <w:highlight w:val="none"/>
        </w:rPr>
        <w:t>6.投标文件的澄清</w:t>
      </w:r>
    </w:p>
    <w:p>
      <w:pPr>
        <w:pStyle w:val="14"/>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要求投标人作书面澄清；投标人的书面澄清，应由法定代表人或授权代表签字，作为投标文件的补充部分，但澄清的内容不得改变投标文件的实质性内容。</w:t>
      </w:r>
    </w:p>
    <w:p>
      <w:pPr>
        <w:pStyle w:val="22"/>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7．无效投标的情形</w:t>
      </w:r>
    </w:p>
    <w:p>
      <w:pPr>
        <w:tabs>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7.1未按照招标文件规定要求密封封装、签署、盖章的；</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7.2单位负责人为同一人或者存在直接控股、管理关系的不同供应商参加同一合同项下的政府采购活动的（均无效）；</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7.3为采购项目提供整体设计、规范编制或者项目管理、监理、检测等服务的供应商再参加该采购项目的其他采购活动的；</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7.4投标人不具备招标文件中规定的资格要求的（投标人未提供有效的资格证明文件的，视为投标人不具备招标文件中规定的资格要求）；</w:t>
      </w:r>
    </w:p>
    <w:p>
      <w:pPr>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7.5</w:t>
      </w:r>
      <w:r>
        <w:rPr>
          <w:rFonts w:hint="eastAsia" w:ascii="仿宋" w:hAnsi="仿宋" w:eastAsia="仿宋" w:cs="仿宋"/>
          <w:b/>
          <w:color w:val="auto"/>
          <w:kern w:val="0"/>
          <w:sz w:val="24"/>
          <w:highlight w:val="none"/>
        </w:rPr>
        <w:t>《法定代表人身份证明书》与提供的身份证复印件信息不符的；《法定代表人授权委托书》与提供的身份证复印件信息不符的；</w:t>
      </w:r>
    </w:p>
    <w:p>
      <w:pPr>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7.6《法定代表人授权委托书》或《法定代表人身份证明书》填写不全、错误、未加盖公章(《法定代表人授权委托书》要求“公章”和“签字或盖章”缺一不可）的；7.7授权代表非投标单位正式职工的（以社保证明为准，如授权代表为离退休返聘人员的，需提供退休证明及单位聘用证明）；</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7.8投标文件中的投标函未加盖投标人的企业公章或填写不全的；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7.9</w:t>
      </w:r>
      <w:r>
        <w:rPr>
          <w:rFonts w:hint="eastAsia" w:ascii="仿宋" w:hAnsi="仿宋" w:eastAsia="仿宋" w:cs="仿宋"/>
          <w:b/>
          <w:color w:val="auto"/>
          <w:sz w:val="24"/>
          <w:highlight w:val="none"/>
        </w:rPr>
        <w:t>投标人递交两份或两份以上内容不同的投标书，且未声明哪一份有效的；</w:t>
      </w:r>
    </w:p>
    <w:p>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7.10</w:t>
      </w:r>
      <w:r>
        <w:rPr>
          <w:rFonts w:hint="eastAsia" w:ascii="仿宋" w:hAnsi="仿宋" w:eastAsia="仿宋" w:cs="仿宋"/>
          <w:b/>
          <w:color w:val="auto"/>
          <w:sz w:val="24"/>
          <w:highlight w:val="none"/>
        </w:rPr>
        <w:t>报价一经涂改，未在涂改处加盖投标单位公章或者未经法定代表人或其授权代表签字或盖章的；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7.11</w:t>
      </w:r>
      <w:r>
        <w:rPr>
          <w:rFonts w:hint="eastAsia" w:ascii="仿宋" w:hAnsi="仿宋" w:eastAsia="仿宋" w:cs="仿宋"/>
          <w:b/>
          <w:color w:val="auto"/>
          <w:sz w:val="24"/>
          <w:highlight w:val="none"/>
        </w:rPr>
        <w:t>因未按招标文件规定的格式填写，或</w:t>
      </w:r>
      <w:r>
        <w:rPr>
          <w:rFonts w:hint="eastAsia" w:ascii="仿宋" w:hAnsi="仿宋" w:eastAsia="仿宋" w:cs="仿宋"/>
          <w:b/>
          <w:color w:val="auto"/>
          <w:sz w:val="24"/>
          <w:szCs w:val="20"/>
          <w:highlight w:val="none"/>
        </w:rPr>
        <w:t>对招标</w:t>
      </w:r>
      <w:r>
        <w:rPr>
          <w:rFonts w:hint="eastAsia" w:ascii="仿宋" w:hAnsi="仿宋" w:eastAsia="仿宋" w:cs="仿宋"/>
          <w:b/>
          <w:color w:val="auto"/>
          <w:sz w:val="24"/>
          <w:highlight w:val="none"/>
        </w:rPr>
        <w:t>服务或技术或产品等要求</w:t>
      </w:r>
      <w:r>
        <w:rPr>
          <w:rFonts w:hint="eastAsia" w:ascii="仿宋" w:hAnsi="仿宋" w:eastAsia="仿宋" w:cs="仿宋"/>
          <w:b/>
          <w:color w:val="auto"/>
          <w:sz w:val="24"/>
          <w:szCs w:val="20"/>
          <w:highlight w:val="none"/>
        </w:rPr>
        <w:t>未详细应答或应答</w:t>
      </w:r>
      <w:r>
        <w:rPr>
          <w:rFonts w:hint="eastAsia" w:ascii="仿宋" w:hAnsi="仿宋" w:eastAsia="仿宋" w:cs="仿宋"/>
          <w:b/>
          <w:color w:val="auto"/>
          <w:sz w:val="24"/>
          <w:highlight w:val="none"/>
        </w:rPr>
        <w:t>内容不全、有缺失的,经评标委员会认定为无法评审的；</w:t>
      </w:r>
    </w:p>
    <w:p>
      <w:pPr>
        <w:pStyle w:val="22"/>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7.12出现同一标的物或本次招标产品(服务)内的主要产品(重要组成部分)出现</w:t>
      </w:r>
      <w:r>
        <w:rPr>
          <w:rFonts w:hint="eastAsia" w:ascii="仿宋" w:hAnsi="仿宋" w:eastAsia="仿宋" w:cs="仿宋"/>
          <w:b/>
          <w:color w:val="auto"/>
          <w:sz w:val="24"/>
          <w:highlight w:val="none"/>
        </w:rPr>
        <w:t>商务技术（资信）文件资料</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报价文件资料</w:t>
      </w:r>
      <w:r>
        <w:rPr>
          <w:rFonts w:hint="eastAsia" w:ascii="仿宋" w:hAnsi="仿宋" w:eastAsia="仿宋" w:cs="仿宋"/>
          <w:b/>
          <w:color w:val="auto"/>
          <w:sz w:val="24"/>
          <w:szCs w:val="24"/>
          <w:highlight w:val="none"/>
        </w:rPr>
        <w:t>描述不一致或前后描述不一致，经评标委员会认定后为无法评审的；</w:t>
      </w:r>
    </w:p>
    <w:p>
      <w:pPr>
        <w:pStyle w:val="22"/>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7.13《</w:t>
      </w:r>
      <w:r>
        <w:rPr>
          <w:rFonts w:hint="eastAsia" w:ascii="仿宋" w:hAnsi="仿宋" w:eastAsia="仿宋" w:cs="仿宋"/>
          <w:b/>
          <w:color w:val="auto"/>
          <w:sz w:val="24"/>
          <w:highlight w:val="none"/>
        </w:rPr>
        <w:t>技术偏离说明表</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不真实填写或弄虚作假的；</w:t>
      </w:r>
    </w:p>
    <w:p>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7.14</w:t>
      </w:r>
      <w:r>
        <w:rPr>
          <w:rFonts w:hint="eastAsia" w:ascii="仿宋" w:hAnsi="仿宋" w:eastAsia="仿宋" w:cs="仿宋"/>
          <w:b/>
          <w:color w:val="auto"/>
          <w:kern w:val="0"/>
          <w:sz w:val="24"/>
          <w:highlight w:val="none"/>
        </w:rPr>
        <w:t>投标文件含有采购人不能接受的附加条件；</w:t>
      </w:r>
    </w:p>
    <w:p>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7.15</w:t>
      </w:r>
      <w:r>
        <w:rPr>
          <w:rFonts w:hint="eastAsia" w:ascii="仿宋" w:hAnsi="仿宋" w:eastAsia="仿宋" w:cs="仿宋"/>
          <w:b/>
          <w:color w:val="auto"/>
          <w:sz w:val="24"/>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7.16报价超过招标文件中规定的预算金额或最高限价的；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7.17投标文件“商务技术（资信）文件资料”部分中出现《开标一览表》相关内容的；</w:t>
      </w:r>
    </w:p>
    <w:p>
      <w:pPr>
        <w:tabs>
          <w:tab w:val="left" w:pos="3870"/>
          <w:tab w:val="left" w:pos="4085"/>
        </w:tabs>
        <w:snapToGrid w:val="0"/>
        <w:spacing w:line="440" w:lineRule="exact"/>
        <w:jc w:val="left"/>
        <w:rPr>
          <w:rFonts w:hint="eastAsia" w:ascii="仿宋" w:hAnsi="仿宋" w:eastAsia="仿宋" w:cs="仿宋"/>
          <w:b/>
          <w:color w:val="auto"/>
          <w:sz w:val="24"/>
          <w:szCs w:val="21"/>
          <w:highlight w:val="none"/>
        </w:rPr>
      </w:pPr>
      <w:r>
        <w:rPr>
          <w:rFonts w:hint="eastAsia" w:ascii="仿宋" w:hAnsi="仿宋" w:eastAsia="仿宋" w:cs="仿宋"/>
          <w:b/>
          <w:color w:val="auto"/>
          <w:sz w:val="24"/>
          <w:szCs w:val="21"/>
          <w:highlight w:val="none"/>
        </w:rPr>
        <w:t>7.18采购人拟采购的产品属于政府强制采购的节能产品品目清单范围的，投标人未按招标文件要求提供国家确定的认证机构出具的、处于有效期之内的节能产品认证证书的；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7.19《开标一览表》填写不完整或字迹不能辨认或有漏项的，经评标委员会认定属于重大偏差的；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7.20投标人对根据修正原则修正后的报价不确认的；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7.21投标人提供虚假材料投标的（包括但不限于以下情节）；</w:t>
      </w:r>
    </w:p>
    <w:p>
      <w:pPr>
        <w:tabs>
          <w:tab w:val="left" w:pos="3870"/>
          <w:tab w:val="left" w:pos="4085"/>
        </w:tabs>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7.21.1使用伪造、变造的许可证件；</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7.21.2提供虚假的财务状况或者业绩；</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7.21.3提供虚假的项目负责人或者主要技术人员简历、劳动关系证明；</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7.21.4提供虚假的信用状况；</w:t>
      </w:r>
    </w:p>
    <w:p>
      <w:pPr>
        <w:tabs>
          <w:tab w:val="left" w:pos="3870"/>
          <w:tab w:val="left" w:pos="4085"/>
        </w:tabs>
        <w:snapToGrid w:val="0"/>
        <w:spacing w:line="440" w:lineRule="exact"/>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7.21.5其他弄虚作假的行为。</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7.22有下列情形之一的，视为投标人串通投标，其投标无效：</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7.22.1不同投标人的投标文件由同一单位或者个人编制；</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7.22.2不同投标人委托同一单位或者个人办理投标事宜；</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7.22.3不同投标人的投标文件载明的项目管理成员或者联系人员为同一人；</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7.22.4不同投标人的投标文件异常一致或者投标报价呈规律性差异；</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7.22.5不同投标人的投标文件相互混装；</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7.23有下列情形之一的，属于恶意串通，其投标无效：</w:t>
      </w:r>
    </w:p>
    <w:p>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7.23.1供应商直接或者间接从采购人或者采购机构处获得其他供应商的相关情况并修改其投标文件或者响应文件；</w:t>
      </w:r>
    </w:p>
    <w:p>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7.23.2供应商按照采购人或者采购机构的授意撤换、修改投标文件或者响应文件；</w:t>
      </w:r>
    </w:p>
    <w:p>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7.23.3供应商之间协商报价、技术方案等投标文件或者响应文件的实质性内容；</w:t>
      </w:r>
    </w:p>
    <w:p>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7.23.4属于同一集团、协会、商会等组织成员的供应商按照该组织要求协同参加政府采购活动；</w:t>
      </w:r>
    </w:p>
    <w:p>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7.23.5供应商之间事先约定由某一特定供应商中标、成交；</w:t>
      </w:r>
    </w:p>
    <w:p>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hint="eastAsia" w:ascii="仿宋" w:hAnsi="仿宋" w:eastAsia="仿宋" w:cs="仿宋"/>
          <w:b/>
          <w:color w:val="auto"/>
          <w:sz w:val="24"/>
          <w:highlight w:val="none"/>
        </w:rPr>
      </w:pPr>
      <w:r>
        <w:rPr>
          <w:rFonts w:hint="eastAsia" w:ascii="仿宋" w:hAnsi="仿宋" w:eastAsia="仿宋" w:cs="仿宋"/>
          <w:color w:val="auto"/>
          <w:sz w:val="24"/>
          <w:szCs w:val="21"/>
          <w:highlight w:val="none"/>
        </w:rPr>
        <w:t>7.23.7供应商与采购人或者采购机构之间、供应商相互之间，为谋求特定供应商中标、成交或者排斥其他供应商的其他串通行为。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szCs w:val="21"/>
          <w:highlight w:val="none"/>
        </w:rPr>
        <w:t>7.24</w:t>
      </w:r>
      <w:r>
        <w:rPr>
          <w:rFonts w:hint="eastAsia" w:ascii="仿宋" w:hAnsi="仿宋" w:eastAsia="仿宋" w:cs="仿宋"/>
          <w:b/>
          <w:color w:val="auto"/>
          <w:sz w:val="24"/>
          <w:highlight w:val="none"/>
        </w:rPr>
        <w:t>评标委员会认定有重大偏差或实质性不响应招标文件要求的；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7.25报价文件中出现2个(含)以上的报价或方案的；</w:t>
      </w:r>
    </w:p>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7.26其他违反法律、法规的情形。</w:t>
      </w:r>
    </w:p>
    <w:p>
      <w:pPr>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8. 评标过程保密</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pPr>
        <w:pStyle w:val="22"/>
        <w:spacing w:line="800" w:lineRule="exact"/>
        <w:ind w:firstLine="726"/>
        <w:jc w:val="center"/>
        <w:rPr>
          <w:rFonts w:hint="eastAsia" w:ascii="仿宋" w:hAnsi="仿宋" w:eastAsia="仿宋" w:cs="仿宋"/>
          <w:b/>
          <w:color w:val="auto"/>
          <w:sz w:val="36"/>
          <w:szCs w:val="36"/>
          <w:highlight w:val="none"/>
        </w:rPr>
      </w:pPr>
      <w:bookmarkStart w:id="3" w:name="_Toc81372953"/>
      <w:bookmarkStart w:id="4" w:name="_Toc84325929"/>
      <w:bookmarkStart w:id="5" w:name="_Toc81372776"/>
      <w:r>
        <w:rPr>
          <w:rFonts w:hint="eastAsia" w:ascii="仿宋" w:hAnsi="仿宋" w:eastAsia="仿宋" w:cs="仿宋"/>
          <w:b/>
          <w:color w:val="auto"/>
          <w:sz w:val="36"/>
          <w:szCs w:val="36"/>
          <w:highlight w:val="none"/>
        </w:rPr>
        <w:t>五、授予合同</w:t>
      </w:r>
    </w:p>
    <w:p>
      <w:pPr>
        <w:pStyle w:val="14"/>
        <w:tabs>
          <w:tab w:val="clear" w:pos="454"/>
        </w:tabs>
        <w:spacing w:afterLines="0" w:line="440" w:lineRule="exac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pPr>
        <w:pStyle w:val="14"/>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1.1投标文件基本符合招标文件要求；</w:t>
      </w:r>
    </w:p>
    <w:p>
      <w:pPr>
        <w:pStyle w:val="14"/>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1.2投标人有很好的执行合同的能力；</w:t>
      </w:r>
    </w:p>
    <w:p>
      <w:pPr>
        <w:pStyle w:val="14"/>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1.3实施方案最合理并对招标人最为有利，最大限度满足招标文件的要求；</w:t>
      </w:r>
    </w:p>
    <w:p>
      <w:pPr>
        <w:pStyle w:val="14"/>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1.4投标人能够提供质量技术、商务经济占综合优势的系统及服务。</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bookmarkEnd w:id="3"/>
    <w:bookmarkEnd w:id="4"/>
    <w:bookmarkEnd w:id="5"/>
    <w:p>
      <w:pPr>
        <w:pStyle w:val="148"/>
        <w:tabs>
          <w:tab w:val="left" w:pos="0"/>
        </w:tabs>
        <w:spacing w:before="0" w:line="440" w:lineRule="exact"/>
        <w:ind w:firstLine="0" w:firstLineChars="0"/>
        <w:rPr>
          <w:rFonts w:hint="eastAsia" w:ascii="仿宋" w:hAnsi="仿宋" w:eastAsia="仿宋" w:cs="仿宋"/>
          <w:color w:val="auto"/>
          <w:szCs w:val="24"/>
          <w:highlight w:val="none"/>
        </w:rPr>
      </w:pPr>
      <w:r>
        <w:rPr>
          <w:rFonts w:hint="eastAsia" w:ascii="仿宋" w:hAnsi="仿宋" w:eastAsia="仿宋" w:cs="仿宋"/>
          <w:color w:val="auto"/>
          <w:szCs w:val="24"/>
          <w:highlight w:val="none"/>
        </w:rPr>
        <w:t>3.1</w:t>
      </w:r>
      <w:r>
        <w:rPr>
          <w:rFonts w:hint="eastAsia" w:ascii="仿宋" w:hAnsi="仿宋" w:eastAsia="仿宋" w:cs="仿宋"/>
          <w:color w:val="auto"/>
          <w:kern w:val="0"/>
          <w:highlight w:val="none"/>
        </w:rPr>
        <w:t>采购代理机构</w:t>
      </w:r>
      <w:r>
        <w:rPr>
          <w:rFonts w:hint="eastAsia" w:ascii="仿宋" w:hAnsi="仿宋" w:eastAsia="仿宋" w:cs="仿宋"/>
          <w:color w:val="auto"/>
          <w:highlight w:val="none"/>
        </w:rPr>
        <w:t>对中标结果在指定媒体</w:t>
      </w:r>
      <w:r>
        <w:rPr>
          <w:rFonts w:hint="eastAsia" w:ascii="仿宋" w:hAnsi="仿宋" w:eastAsia="仿宋" w:cs="仿宋"/>
          <w:color w:val="auto"/>
          <w:kern w:val="0"/>
          <w:highlight w:val="none"/>
        </w:rPr>
        <w:t>发布中标公告，中标公告期限为1个工作日。</w:t>
      </w:r>
    </w:p>
    <w:p>
      <w:pPr>
        <w:tabs>
          <w:tab w:val="left" w:pos="0"/>
        </w:tabs>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3.2采购机构发送纸质中标通知书。在采购代理机构发出中标通知书前，中标供应商如有违反有关法律法规和本项目要求行为的，则取消该投标人的中标资格</w:t>
      </w:r>
      <w:r>
        <w:rPr>
          <w:rFonts w:hint="eastAsia" w:ascii="仿宋" w:hAnsi="仿宋" w:eastAsia="仿宋" w:cs="仿宋"/>
          <w:color w:val="auto"/>
          <w:kern w:val="0"/>
          <w:sz w:val="24"/>
          <w:highlight w:val="none"/>
          <w:lang w:val="zh-CN"/>
        </w:rPr>
        <w:t>。</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采购人在签订合同时，按合同法规定可向中标人收取不高于中标额的5％的履约保证金，采购人不得以供应商事先提交履约保证金作为签订合同的条件。鼓励采购人根据项目特点、供应商诚信等情况免收履约保证金或降低缴纳比例。</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4.2供应商在履行完合同约定事项后，采购人应及时退还履约保证金。</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5．合同备案</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w:t>
      </w:r>
      <w:r>
        <w:rPr>
          <w:rFonts w:hint="eastAsia" w:ascii="仿宋" w:hAnsi="仿宋" w:eastAsia="仿宋" w:cs="仿宋"/>
          <w:b/>
          <w:color w:val="auto"/>
          <w:sz w:val="24"/>
          <w:highlight w:val="none"/>
        </w:rPr>
        <w:t>3个工作日内</w:t>
      </w:r>
      <w:r>
        <w:rPr>
          <w:rFonts w:hint="eastAsia" w:ascii="仿宋" w:hAnsi="仿宋" w:eastAsia="仿宋" w:cs="仿宋"/>
          <w:color w:val="auto"/>
          <w:sz w:val="24"/>
          <w:highlight w:val="none"/>
        </w:rPr>
        <w:t>，将</w:t>
      </w:r>
      <w:r>
        <w:rPr>
          <w:rFonts w:hint="eastAsia" w:ascii="仿宋" w:hAnsi="仿宋" w:eastAsia="仿宋" w:cs="仿宋"/>
          <w:b/>
          <w:color w:val="auto"/>
          <w:sz w:val="24"/>
          <w:highlight w:val="none"/>
        </w:rPr>
        <w:t>采购合同原件</w:t>
      </w:r>
      <w:r>
        <w:rPr>
          <w:rFonts w:hint="eastAsia" w:ascii="仿宋" w:hAnsi="仿宋" w:eastAsia="仿宋" w:cs="仿宋"/>
          <w:color w:val="auto"/>
          <w:sz w:val="24"/>
          <w:highlight w:val="none"/>
        </w:rPr>
        <w:t>报采购代理机构备案。</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5.2未领取中标通知书，采购双方自行签订的合同不予备案。</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6.验收</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 售后服务考核</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六、质疑与投诉</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1.供应商询问</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2.供应商质疑</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2.1供应商认为采购文件、采购过程和成交结果使自己的权益受到损害的，可以在知道或者应知其权益受到损害之日起七个工作日内，以书面形式向采购机构提出质疑，否则，采购机构不予受理：</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对采购文件提出质疑的，质疑期限为供应商获得采购文件之日或者招标公告期限届满之日起计算，但采购文件在招标公告期限届满之日后获得的，应当自招标公告截止之日起计算，且应当在采购响应截止时间之前提出。</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（2）对采购过程提出质疑的，质疑期限为各采购程序环节结束之日起计算。</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（3）对采购结果提出质疑的，质疑期限自采购结果公告（包括公示、预公告、结果变更公告等）期限届满之日起计算。</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（4）供应商应在法定质疑期内一次性提出针对同一采购程序环节的质疑。</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3.供应商提交的质疑书需一式三份，质疑书至少应包括下列主要内容：</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（1）质疑人的名称、地址、邮政编码、联系人、联系电话，以及被质疑人名称及联系方式；</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（2）被质疑采购项目名称、编号及采购内容；</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（3）具体、明确的质疑事项和与质疑事项相关的请求</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（4）事实依据；</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（5）必要的法律依据；</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（6）认为自己合法权益受到损害或可能受到损害的相关证据材料；</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（7）提出质疑的日期。</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（8）质疑书应当署名。质疑人为自然人的，应当由本人签字并附有效身份证明；质疑人为法人或其他组织的，应当由法定代表人或主要负责人签字（或盖章）并加盖单位公章。</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（9）质疑人因故不能自行办理质疑事项的，可以委托代理人办理质疑事宜，但应当向被质疑人提交授权委托书，并载明委托代理的具体权限和事项。</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（10）质疑人提供的相关材料中有外文资料的，应当将与质疑相关的外文资料完整、客观、真实地翻译为中文，并注明翻译人员姓名、工作单位、联系方式等信息。</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4.采购机构应当在收到供应商的书面质疑后七个工作日内作出答复，并以书面形式通知质疑供应商和其他与质疑处理结果有利害关系的政府采购当事人，但答复的内容不得涉及商业秘密。</w:t>
      </w:r>
    </w:p>
    <w:p>
      <w:pPr>
        <w:pStyle w:val="22"/>
        <w:spacing w:line="360" w:lineRule="auto"/>
        <w:ind w:firstLine="480" w:firstLineChars="200"/>
        <w:rPr>
          <w:rFonts w:hint="eastAsia" w:ascii="仿宋" w:hAnsi="仿宋" w:eastAsia="仿宋" w:cs="仿宋"/>
          <w:b/>
          <w:color w:val="auto"/>
          <w:sz w:val="36"/>
          <w:szCs w:val="36"/>
          <w:highlight w:val="none"/>
        </w:rPr>
      </w:pPr>
      <w:r>
        <w:rPr>
          <w:rFonts w:hint="eastAsia" w:ascii="仿宋" w:hAnsi="仿宋" w:eastAsia="仿宋" w:cs="仿宋"/>
          <w:color w:val="auto"/>
          <w:sz w:val="24"/>
          <w:highlight w:val="none"/>
        </w:rPr>
        <w:t>5.询问或者质疑事项可能影响采购结果的，采购人应当暂停签订合同，已经签订合同的，应当中止履行合同。</w:t>
      </w:r>
    </w:p>
    <w:p>
      <w:pPr>
        <w:pageBreakBefore/>
        <w:snapToGrid w:val="0"/>
        <w:spacing w:line="8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第三部分招标项目范围及要求</w:t>
      </w:r>
    </w:p>
    <w:p>
      <w:pPr>
        <w:spacing w:line="288" w:lineRule="auto"/>
        <w:jc w:val="left"/>
        <w:rPr>
          <w:rFonts w:hint="eastAsia" w:ascii="仿宋" w:hAnsi="仿宋" w:eastAsia="仿宋" w:cs="仿宋"/>
          <w:b/>
          <w:color w:val="auto"/>
          <w:sz w:val="24"/>
          <w:highlight w:val="none"/>
        </w:rPr>
      </w:pPr>
      <w:bookmarkStart w:id="6" w:name="_Toc81372964"/>
      <w:bookmarkStart w:id="7" w:name="_Toc80157775"/>
      <w:bookmarkStart w:id="8" w:name="_Toc81372787"/>
      <w:bookmarkStart w:id="9" w:name="_Toc84325981"/>
      <w:r>
        <w:rPr>
          <w:rFonts w:hint="eastAsia" w:ascii="仿宋" w:hAnsi="仿宋" w:eastAsia="仿宋" w:cs="仿宋"/>
          <w:b/>
          <w:color w:val="auto"/>
          <w:sz w:val="24"/>
          <w:highlight w:val="none"/>
        </w:rPr>
        <w:t xml:space="preserve"> </w:t>
      </w:r>
      <w:r>
        <w:rPr>
          <w:rFonts w:hint="eastAsia" w:ascii="仿宋" w:hAnsi="仿宋" w:eastAsia="仿宋" w:cs="仿宋"/>
          <w:b/>
          <w:color w:val="auto"/>
          <w:sz w:val="24"/>
          <w:highlight w:val="none"/>
          <w:lang w:eastAsia="zh-CN"/>
        </w:rPr>
        <w:t>信息管理系统运行维护及运维人员驻场项目</w:t>
      </w:r>
      <w:r>
        <w:rPr>
          <w:rFonts w:hint="eastAsia" w:ascii="仿宋" w:hAnsi="仿宋" w:eastAsia="仿宋" w:cs="仿宋"/>
          <w:b/>
          <w:color w:val="auto"/>
          <w:sz w:val="24"/>
          <w:highlight w:val="none"/>
        </w:rPr>
        <w:t>，本项目上限价：</w:t>
      </w:r>
      <w:r>
        <w:rPr>
          <w:rFonts w:hint="eastAsia" w:ascii="仿宋" w:hAnsi="仿宋" w:eastAsia="仿宋" w:cs="仿宋"/>
          <w:b/>
          <w:color w:val="auto"/>
          <w:sz w:val="24"/>
          <w:highlight w:val="none"/>
          <w:lang w:val="en-US" w:eastAsia="zh-CN"/>
        </w:rPr>
        <w:t>65</w:t>
      </w:r>
      <w:r>
        <w:rPr>
          <w:rFonts w:hint="eastAsia" w:ascii="仿宋" w:hAnsi="仿宋" w:eastAsia="仿宋" w:cs="仿宋"/>
          <w:b/>
          <w:color w:val="auto"/>
          <w:sz w:val="24"/>
          <w:highlight w:val="none"/>
        </w:rPr>
        <w:t>万元，合同期限：自合同签订之日起一年。</w:t>
      </w:r>
    </w:p>
    <w:p>
      <w:pPr>
        <w:widowControl/>
        <w:spacing w:line="360" w:lineRule="auto"/>
        <w:ind w:firstLine="413" w:firstLineChars="196"/>
        <w:jc w:val="left"/>
        <w:rPr>
          <w:rFonts w:hint="eastAsia" w:ascii="仿宋" w:hAnsi="仿宋" w:eastAsia="仿宋" w:cs="仿宋"/>
          <w:b/>
          <w:bCs/>
          <w:color w:val="auto"/>
          <w:sz w:val="24"/>
          <w:highlight w:val="none"/>
        </w:rPr>
      </w:pPr>
      <w:r>
        <w:rPr>
          <w:rFonts w:hint="eastAsia" w:ascii="仿宋" w:hAnsi="仿宋" w:eastAsia="仿宋" w:cs="仿宋"/>
          <w:b/>
          <w:bCs/>
          <w:color w:val="auto"/>
          <w:szCs w:val="21"/>
          <w:highlight w:val="none"/>
        </w:rPr>
        <w:t>一、主要参数（系统维护服务内容）</w:t>
      </w:r>
    </w:p>
    <w:p>
      <w:pPr>
        <w:spacing w:line="480" w:lineRule="auto"/>
        <w:ind w:firstLine="42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（一）系统维护清单</w:t>
      </w:r>
    </w:p>
    <w:tbl>
      <w:tblPr>
        <w:tblStyle w:val="4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79"/>
        <w:gridCol w:w="61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79" w:type="dxa"/>
            <w:noWrap w:val="0"/>
            <w:vAlign w:val="center"/>
          </w:tcPr>
          <w:p>
            <w:pPr>
              <w:spacing w:line="48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6120" w:type="dxa"/>
            <w:noWrap w:val="0"/>
            <w:vAlign w:val="center"/>
          </w:tcPr>
          <w:p>
            <w:pPr>
              <w:spacing w:line="48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模块或系统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79" w:type="dxa"/>
            <w:noWrap w:val="0"/>
            <w:vAlign w:val="center"/>
          </w:tcPr>
          <w:p>
            <w:pPr>
              <w:spacing w:line="48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6120" w:type="dxa"/>
            <w:noWrap w:val="0"/>
            <w:vAlign w:val="center"/>
          </w:tcPr>
          <w:p>
            <w:pPr>
              <w:spacing w:line="48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挂号收费系统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79" w:type="dxa"/>
            <w:noWrap w:val="0"/>
            <w:vAlign w:val="center"/>
          </w:tcPr>
          <w:p>
            <w:pPr>
              <w:spacing w:line="48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6120" w:type="dxa"/>
            <w:noWrap w:val="0"/>
            <w:vAlign w:val="center"/>
          </w:tcPr>
          <w:p>
            <w:pPr>
              <w:spacing w:line="48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公用系统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79" w:type="dxa"/>
            <w:noWrap w:val="0"/>
            <w:vAlign w:val="center"/>
          </w:tcPr>
          <w:p>
            <w:pPr>
              <w:spacing w:line="48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6120" w:type="dxa"/>
            <w:noWrap w:val="0"/>
            <w:vAlign w:val="center"/>
          </w:tcPr>
          <w:p>
            <w:pPr>
              <w:spacing w:line="48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财务查询系统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8" w:hRule="atLeast"/>
        </w:trPr>
        <w:tc>
          <w:tcPr>
            <w:tcW w:w="1479" w:type="dxa"/>
            <w:noWrap w:val="0"/>
            <w:vAlign w:val="center"/>
          </w:tcPr>
          <w:p>
            <w:pPr>
              <w:spacing w:line="48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6120" w:type="dxa"/>
            <w:noWrap w:val="0"/>
            <w:vAlign w:val="center"/>
          </w:tcPr>
          <w:p>
            <w:pPr>
              <w:spacing w:line="48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住院收费系统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79" w:type="dxa"/>
            <w:noWrap w:val="0"/>
            <w:vAlign w:val="center"/>
          </w:tcPr>
          <w:p>
            <w:pPr>
              <w:spacing w:line="48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6120" w:type="dxa"/>
            <w:noWrap w:val="0"/>
            <w:vAlign w:val="center"/>
          </w:tcPr>
          <w:p>
            <w:pPr>
              <w:spacing w:line="48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门诊西药房系统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79" w:type="dxa"/>
            <w:noWrap w:val="0"/>
            <w:vAlign w:val="center"/>
          </w:tcPr>
          <w:p>
            <w:pPr>
              <w:spacing w:line="48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6120" w:type="dxa"/>
            <w:noWrap w:val="0"/>
            <w:vAlign w:val="center"/>
          </w:tcPr>
          <w:p>
            <w:pPr>
              <w:spacing w:line="48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门诊中药房系统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79" w:type="dxa"/>
            <w:noWrap w:val="0"/>
            <w:vAlign w:val="center"/>
          </w:tcPr>
          <w:p>
            <w:pPr>
              <w:spacing w:line="48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6120" w:type="dxa"/>
            <w:noWrap w:val="0"/>
            <w:vAlign w:val="center"/>
          </w:tcPr>
          <w:p>
            <w:pPr>
              <w:spacing w:line="48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住院药房系统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79" w:type="dxa"/>
            <w:noWrap w:val="0"/>
            <w:vAlign w:val="center"/>
          </w:tcPr>
          <w:p>
            <w:pPr>
              <w:spacing w:line="48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6120" w:type="dxa"/>
            <w:noWrap w:val="0"/>
            <w:vAlign w:val="center"/>
          </w:tcPr>
          <w:p>
            <w:pPr>
              <w:spacing w:line="48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门诊医生工作站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79" w:type="dxa"/>
            <w:noWrap w:val="0"/>
            <w:vAlign w:val="center"/>
          </w:tcPr>
          <w:p>
            <w:pPr>
              <w:spacing w:line="48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6120" w:type="dxa"/>
            <w:noWrap w:val="0"/>
            <w:vAlign w:val="center"/>
          </w:tcPr>
          <w:p>
            <w:pPr>
              <w:spacing w:line="48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医保系统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79" w:type="dxa"/>
            <w:noWrap w:val="0"/>
            <w:vAlign w:val="center"/>
          </w:tcPr>
          <w:p>
            <w:pPr>
              <w:spacing w:line="48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6120" w:type="dxa"/>
            <w:noWrap w:val="0"/>
            <w:vAlign w:val="center"/>
          </w:tcPr>
          <w:p>
            <w:pPr>
              <w:spacing w:line="48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医嘱系统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79" w:type="dxa"/>
            <w:noWrap w:val="0"/>
            <w:vAlign w:val="center"/>
          </w:tcPr>
          <w:p>
            <w:pPr>
              <w:spacing w:line="48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6120" w:type="dxa"/>
            <w:noWrap w:val="0"/>
            <w:vAlign w:val="center"/>
          </w:tcPr>
          <w:p>
            <w:pPr>
              <w:spacing w:line="48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西药库系统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79" w:type="dxa"/>
            <w:noWrap w:val="0"/>
            <w:vAlign w:val="center"/>
          </w:tcPr>
          <w:p>
            <w:pPr>
              <w:spacing w:line="48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6120" w:type="dxa"/>
            <w:noWrap w:val="0"/>
            <w:vAlign w:val="center"/>
          </w:tcPr>
          <w:p>
            <w:pPr>
              <w:spacing w:line="48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草药库系统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79" w:type="dxa"/>
            <w:noWrap w:val="0"/>
            <w:vAlign w:val="center"/>
          </w:tcPr>
          <w:p>
            <w:pPr>
              <w:spacing w:line="48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6120" w:type="dxa"/>
            <w:noWrap w:val="0"/>
            <w:vAlign w:val="center"/>
          </w:tcPr>
          <w:p>
            <w:pPr>
              <w:spacing w:line="48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电子病历系统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79" w:type="dxa"/>
            <w:noWrap w:val="0"/>
            <w:vAlign w:val="center"/>
          </w:tcPr>
          <w:p>
            <w:pPr>
              <w:spacing w:line="48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6120" w:type="dxa"/>
            <w:noWrap w:val="0"/>
            <w:vAlign w:val="center"/>
          </w:tcPr>
          <w:p>
            <w:pPr>
              <w:spacing w:line="48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病案管理系统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79" w:type="dxa"/>
            <w:noWrap w:val="0"/>
            <w:vAlign w:val="center"/>
          </w:tcPr>
          <w:p>
            <w:pPr>
              <w:spacing w:line="48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6120" w:type="dxa"/>
            <w:noWrap w:val="0"/>
            <w:vAlign w:val="center"/>
          </w:tcPr>
          <w:p>
            <w:pPr>
              <w:spacing w:line="48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移动医护管理系统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79" w:type="dxa"/>
            <w:noWrap w:val="0"/>
            <w:vAlign w:val="center"/>
          </w:tcPr>
          <w:p>
            <w:pPr>
              <w:spacing w:line="48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6120" w:type="dxa"/>
            <w:noWrap w:val="0"/>
            <w:vAlign w:val="center"/>
          </w:tcPr>
          <w:p>
            <w:pPr>
              <w:spacing w:line="48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临床路径系统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79" w:type="dxa"/>
            <w:noWrap w:val="0"/>
            <w:vAlign w:val="center"/>
          </w:tcPr>
          <w:p>
            <w:pPr>
              <w:spacing w:line="48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17</w:t>
            </w:r>
          </w:p>
        </w:tc>
        <w:tc>
          <w:tcPr>
            <w:tcW w:w="6120" w:type="dxa"/>
            <w:noWrap w:val="0"/>
            <w:vAlign w:val="center"/>
          </w:tcPr>
          <w:p>
            <w:pPr>
              <w:spacing w:line="48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门诊电子病历系统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79" w:type="dxa"/>
            <w:noWrap w:val="0"/>
            <w:vAlign w:val="center"/>
          </w:tcPr>
          <w:p>
            <w:pPr>
              <w:spacing w:line="48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6120" w:type="dxa"/>
            <w:noWrap w:val="0"/>
            <w:vAlign w:val="center"/>
          </w:tcPr>
          <w:p>
            <w:pPr>
              <w:spacing w:line="48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自助结算系统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79" w:type="dxa"/>
            <w:noWrap w:val="0"/>
            <w:vAlign w:val="center"/>
          </w:tcPr>
          <w:p>
            <w:pPr>
              <w:spacing w:line="48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19</w:t>
            </w:r>
          </w:p>
        </w:tc>
        <w:tc>
          <w:tcPr>
            <w:tcW w:w="6120" w:type="dxa"/>
            <w:noWrap w:val="0"/>
            <w:vAlign w:val="center"/>
          </w:tcPr>
          <w:p>
            <w:pPr>
              <w:spacing w:line="48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诊间结算系统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79" w:type="dxa"/>
            <w:noWrap w:val="0"/>
            <w:vAlign w:val="center"/>
          </w:tcPr>
          <w:p>
            <w:pPr>
              <w:spacing w:line="48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20</w:t>
            </w:r>
          </w:p>
        </w:tc>
        <w:tc>
          <w:tcPr>
            <w:tcW w:w="6120" w:type="dxa"/>
            <w:noWrap w:val="0"/>
            <w:vAlign w:val="center"/>
          </w:tcPr>
          <w:p>
            <w:pPr>
              <w:spacing w:line="48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LIS系统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79" w:type="dxa"/>
            <w:noWrap w:val="0"/>
            <w:vAlign w:val="center"/>
          </w:tcPr>
          <w:p>
            <w:pPr>
              <w:spacing w:line="48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21</w:t>
            </w:r>
          </w:p>
        </w:tc>
        <w:tc>
          <w:tcPr>
            <w:tcW w:w="6120" w:type="dxa"/>
            <w:noWrap w:val="0"/>
            <w:vAlign w:val="center"/>
          </w:tcPr>
          <w:p>
            <w:pPr>
              <w:spacing w:line="48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医技系统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79" w:type="dxa"/>
            <w:noWrap w:val="0"/>
            <w:vAlign w:val="center"/>
          </w:tcPr>
          <w:p>
            <w:pPr>
              <w:spacing w:line="48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p>
        </w:tc>
        <w:tc>
          <w:tcPr>
            <w:tcW w:w="6120" w:type="dxa"/>
            <w:noWrap w:val="0"/>
            <w:vAlign w:val="center"/>
          </w:tcPr>
          <w:p>
            <w:pPr>
              <w:spacing w:line="48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医保接口系统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79" w:type="dxa"/>
            <w:noWrap w:val="0"/>
            <w:vAlign w:val="center"/>
          </w:tcPr>
          <w:p>
            <w:pPr>
              <w:spacing w:line="48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23</w:t>
            </w:r>
          </w:p>
        </w:tc>
        <w:tc>
          <w:tcPr>
            <w:tcW w:w="6120" w:type="dxa"/>
            <w:noWrap w:val="0"/>
            <w:vAlign w:val="center"/>
          </w:tcPr>
          <w:p>
            <w:pPr>
              <w:spacing w:line="48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与其他厂商系统对接维护</w:t>
            </w:r>
          </w:p>
        </w:tc>
      </w:tr>
    </w:tbl>
    <w:p>
      <w:pPr>
        <w:spacing w:line="480" w:lineRule="auto"/>
        <w:ind w:firstLine="42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（二）服务人员要求</w:t>
      </w:r>
    </w:p>
    <w:p>
      <w:pPr>
        <w:numPr>
          <w:ilvl w:val="0"/>
          <w:numId w:val="8"/>
        </w:numPr>
        <w:spacing w:line="480" w:lineRule="auto"/>
        <w:rPr>
          <w:rFonts w:hint="eastAsia" w:ascii="仿宋" w:hAnsi="仿宋" w:eastAsia="仿宋" w:cs="仿宋"/>
          <w:color w:val="auto"/>
          <w:sz w:val="24"/>
          <w:highlight w:val="none"/>
        </w:rPr>
      </w:pPr>
      <w:r>
        <w:rPr>
          <w:rFonts w:hint="eastAsia" w:ascii="仿宋" w:hAnsi="仿宋" w:eastAsia="仿宋" w:cs="仿宋"/>
          <w:color w:val="auto"/>
          <w:szCs w:val="21"/>
          <w:highlight w:val="none"/>
        </w:rPr>
        <w:t>▲</w:t>
      </w:r>
      <w:r>
        <w:rPr>
          <w:rFonts w:hint="eastAsia" w:ascii="仿宋" w:hAnsi="仿宋" w:eastAsia="仿宋" w:cs="仿宋"/>
          <w:color w:val="auto"/>
          <w:sz w:val="24"/>
          <w:highlight w:val="none"/>
        </w:rPr>
        <w:t>提供一名技术服务人员常驻医院。</w:t>
      </w:r>
    </w:p>
    <w:p>
      <w:pPr>
        <w:numPr>
          <w:ilvl w:val="0"/>
          <w:numId w:val="8"/>
        </w:numPr>
        <w:spacing w:line="480" w:lineRule="auto"/>
        <w:rPr>
          <w:rFonts w:hint="eastAsia" w:ascii="仿宋" w:hAnsi="仿宋" w:eastAsia="仿宋" w:cs="仿宋"/>
          <w:color w:val="auto"/>
          <w:sz w:val="24"/>
          <w:highlight w:val="none"/>
        </w:rPr>
      </w:pPr>
      <w:r>
        <w:rPr>
          <w:rFonts w:hint="eastAsia" w:ascii="仿宋" w:hAnsi="仿宋" w:eastAsia="仿宋" w:cs="仿宋"/>
          <w:color w:val="auto"/>
          <w:szCs w:val="21"/>
          <w:highlight w:val="none"/>
        </w:rPr>
        <w:t>▲</w:t>
      </w:r>
      <w:r>
        <w:rPr>
          <w:rFonts w:hint="eastAsia" w:ascii="仿宋" w:hAnsi="仿宋" w:eastAsia="仿宋" w:cs="仿宋"/>
          <w:color w:val="auto"/>
          <w:sz w:val="24"/>
          <w:highlight w:val="none"/>
        </w:rPr>
        <w:t>技术服务人员必须熟悉医院信息系统，有较强的软件研发实力，有5年以上工作经验。</w:t>
      </w:r>
    </w:p>
    <w:p>
      <w:pPr>
        <w:numPr>
          <w:ilvl w:val="0"/>
          <w:numId w:val="8"/>
        </w:numPr>
        <w:spacing w:line="48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须保证本项目常驻人员的稳定性，在未经业主同意的情况下，不得单方面擅自更换服务组人员。</w:t>
      </w:r>
    </w:p>
    <w:p>
      <w:pPr>
        <w:spacing w:line="480" w:lineRule="auto"/>
        <w:ind w:firstLine="42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（三）医院信息管理系统服务内容</w:t>
      </w:r>
    </w:p>
    <w:p>
      <w:pPr>
        <w:numPr>
          <w:ilvl w:val="0"/>
          <w:numId w:val="8"/>
        </w:numPr>
        <w:spacing w:line="48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做好医院信息系统软件的日常维护，保证软件系统的正常运行。并做好两周一次维护记录。</w:t>
      </w:r>
    </w:p>
    <w:p>
      <w:pPr>
        <w:numPr>
          <w:ilvl w:val="0"/>
          <w:numId w:val="8"/>
        </w:numPr>
        <w:spacing w:line="48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做好对医院信息技术人员的继续培训工作。</w:t>
      </w:r>
    </w:p>
    <w:p>
      <w:pPr>
        <w:numPr>
          <w:ilvl w:val="0"/>
          <w:numId w:val="8"/>
        </w:numPr>
        <w:spacing w:line="48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做好院方的数据安全保密工作，严禁私自调用医院数据做与业务不相干的工作；严禁在正式库上进行数据测试。</w:t>
      </w:r>
    </w:p>
    <w:p>
      <w:pPr>
        <w:numPr>
          <w:ilvl w:val="0"/>
          <w:numId w:val="8"/>
        </w:numPr>
        <w:spacing w:line="48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完成定期的数据管理工作及日常的系统更新和升级工作。</w:t>
      </w:r>
    </w:p>
    <w:p>
      <w:pPr>
        <w:numPr>
          <w:ilvl w:val="0"/>
          <w:numId w:val="8"/>
        </w:numPr>
        <w:spacing w:line="48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利用科学的服务管理工具，对接听电话内容、时间、故障内容、解决方式和时间等维护内容进行详细记录、制表，每年/季定期向医院汇报一次；对于常见问题须进行彻底解决，以免再次发生，并将这些解决方案建立文档，归入知识库。</w:t>
      </w:r>
    </w:p>
    <w:p>
      <w:pPr>
        <w:numPr>
          <w:ilvl w:val="0"/>
          <w:numId w:val="8"/>
        </w:numPr>
        <w:spacing w:line="48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对于紧急事件，填写《紧急事件处理报告》，在24小时之内提交给甲方。</w:t>
      </w:r>
    </w:p>
    <w:p>
      <w:pPr>
        <w:numPr>
          <w:ilvl w:val="0"/>
          <w:numId w:val="8"/>
        </w:numPr>
        <w:spacing w:line="48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每月一次收集该系统相关用户的意见，归纳后形成文档，并根据意见对系统进行更新，以不断完善该系统，提高工作效率。</w:t>
      </w:r>
    </w:p>
    <w:p>
      <w:pPr>
        <w:numPr>
          <w:ilvl w:val="0"/>
          <w:numId w:val="8"/>
        </w:numPr>
        <w:spacing w:line="48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应定期进行现场巡视，了解各应用系统的问题，定期轮流在各个应用点收集使用者问题与意见，并建立文档，及时答复相应科室。</w:t>
      </w:r>
    </w:p>
    <w:p>
      <w:pPr>
        <w:numPr>
          <w:ilvl w:val="0"/>
          <w:numId w:val="8"/>
        </w:numPr>
        <w:spacing w:line="48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重要问题及时与开发工程师沟通并寻求解决方法。涉及需要修改软件重大问题的解决周期小于4周。</w:t>
      </w:r>
    </w:p>
    <w:p>
      <w:pPr>
        <w:numPr>
          <w:ilvl w:val="0"/>
          <w:numId w:val="8"/>
        </w:numPr>
        <w:spacing w:line="48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定期对应急系统数据的下载检查。</w:t>
      </w:r>
    </w:p>
    <w:p>
      <w:pPr>
        <w:numPr>
          <w:ilvl w:val="0"/>
          <w:numId w:val="8"/>
        </w:numPr>
        <w:spacing w:line="48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服务人员每天及时填写工作日志，以确保所有的问题都有记录，项目经理从日志中总结经验性文档，供科室学习。</w:t>
      </w:r>
    </w:p>
    <w:p>
      <w:pPr>
        <w:numPr>
          <w:ilvl w:val="0"/>
          <w:numId w:val="8"/>
        </w:numPr>
        <w:spacing w:line="48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技术人员每周参加医院信息科会议，并提交本周系统维护情况的总结，分析维护过程中出现的问题，制定下周工作计划。</w:t>
      </w:r>
    </w:p>
    <w:p>
      <w:pPr>
        <w:numPr>
          <w:ilvl w:val="0"/>
          <w:numId w:val="8"/>
        </w:numPr>
        <w:spacing w:line="48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提供涉及供应商产品进行医保、农保、商业保险、银行、LIS接口、PACS接口等接口开发的咨询服务,确实需要开发的由双方另行协商接口开发费用。</w:t>
      </w:r>
    </w:p>
    <w:p>
      <w:pPr>
        <w:numPr>
          <w:ilvl w:val="0"/>
          <w:numId w:val="8"/>
        </w:numPr>
        <w:spacing w:line="48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提供新增合理业务变更需求的软件修改服务。确保医院信息管理系统迅速、准确地跟上医院业务流程的变化，保证医院业务正常、稳定、高效的运转。</w:t>
      </w:r>
    </w:p>
    <w:p>
      <w:pPr>
        <w:numPr>
          <w:ilvl w:val="0"/>
          <w:numId w:val="8"/>
        </w:numPr>
        <w:spacing w:line="48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对医院系统所发生的紧急问题，由技术工程师进行处理，并向医院开通URTRacker（事务跟踪处理系统）帐户，让医院可随时追踪问题的处理状态，避免同类问题的重复发生。</w:t>
      </w:r>
    </w:p>
    <w:p>
      <w:pPr>
        <w:numPr>
          <w:ilvl w:val="0"/>
          <w:numId w:val="8"/>
        </w:numPr>
        <w:spacing w:line="48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为医院提供维护性技术资料，使医院及时掌握最新的维护经验和技巧，了解自己所维护软件的一些预防性措施、获得最新的软件产品知识等。</w:t>
      </w:r>
    </w:p>
    <w:p>
      <w:pPr>
        <w:numPr>
          <w:ilvl w:val="0"/>
          <w:numId w:val="8"/>
        </w:numPr>
        <w:spacing w:line="48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每季度总结系统维护情况。</w:t>
      </w:r>
    </w:p>
    <w:p>
      <w:pPr>
        <w:numPr>
          <w:ilvl w:val="0"/>
          <w:numId w:val="8"/>
        </w:numPr>
        <w:spacing w:line="48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总结年度系统维护情况和维修计划完成情况，分析维护过程中出现的问题。</w:t>
      </w:r>
    </w:p>
    <w:p>
      <w:pPr>
        <w:widowControl/>
        <w:spacing w:line="360" w:lineRule="auto"/>
        <w:ind w:firstLine="413" w:firstLineChars="196"/>
        <w:jc w:val="left"/>
        <w:rPr>
          <w:rFonts w:hint="eastAsia" w:ascii="仿宋" w:hAnsi="仿宋" w:eastAsia="仿宋" w:cs="仿宋"/>
          <w:b/>
          <w:bCs/>
          <w:color w:val="auto"/>
          <w:szCs w:val="21"/>
          <w:highlight w:val="none"/>
        </w:rPr>
      </w:pPr>
    </w:p>
    <w:p>
      <w:pPr>
        <w:widowControl/>
        <w:ind w:firstLine="517" w:firstLineChars="245"/>
        <w:jc w:val="left"/>
        <w:rPr>
          <w:rFonts w:hint="eastAsia" w:ascii="仿宋" w:hAnsi="仿宋" w:eastAsia="仿宋" w:cs="仿宋"/>
          <w:b/>
          <w:color w:val="auto"/>
          <w:kern w:val="0"/>
          <w:szCs w:val="21"/>
          <w:highlight w:val="none"/>
          <w:lang w:bidi="ar"/>
        </w:rPr>
      </w:pPr>
      <w:r>
        <w:rPr>
          <w:rFonts w:hint="eastAsia" w:ascii="仿宋" w:hAnsi="仿宋" w:eastAsia="仿宋" w:cs="仿宋"/>
          <w:b/>
          <w:bCs/>
          <w:color w:val="auto"/>
          <w:szCs w:val="21"/>
          <w:highlight w:val="none"/>
        </w:rPr>
        <w:t>二</w:t>
      </w:r>
      <w:r>
        <w:rPr>
          <w:rFonts w:hint="eastAsia" w:ascii="仿宋" w:hAnsi="仿宋" w:eastAsia="仿宋" w:cs="仿宋"/>
          <w:b/>
          <w:color w:val="auto"/>
          <w:kern w:val="0"/>
          <w:szCs w:val="21"/>
          <w:highlight w:val="none"/>
          <w:lang w:bidi="ar"/>
        </w:rPr>
        <w:t>、其他要求</w:t>
      </w:r>
    </w:p>
    <w:p>
      <w:pPr>
        <w:numPr>
          <w:ilvl w:val="0"/>
          <w:numId w:val="8"/>
        </w:numPr>
        <w:spacing w:line="48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Cs w:val="21"/>
          <w:highlight w:val="none"/>
        </w:rPr>
        <w:t>▲</w:t>
      </w:r>
      <w:r>
        <w:rPr>
          <w:rFonts w:hint="eastAsia" w:ascii="仿宋" w:hAnsi="仿宋" w:eastAsia="仿宋" w:cs="仿宋"/>
          <w:color w:val="auto"/>
          <w:sz w:val="24"/>
          <w:highlight w:val="none"/>
        </w:rPr>
        <w:t>中标单位无条件配合我院电子病历评级、互联互通成熟度测评和智慧医院工作；</w:t>
      </w:r>
    </w:p>
    <w:p>
      <w:pPr>
        <w:numPr>
          <w:ilvl w:val="0"/>
          <w:numId w:val="8"/>
        </w:numPr>
        <w:spacing w:line="48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2、中标单位无条件接受我院通过招标决定的信息化监理公司对项目做全流程全链条监控，监理费用为项目中标价的2.78%，监理费用由中标单位负担；</w:t>
      </w:r>
    </w:p>
    <w:p>
      <w:pPr>
        <w:numPr>
          <w:ilvl w:val="0"/>
          <w:numId w:val="8"/>
        </w:numPr>
        <w:spacing w:line="48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3、项目验收所需费用（如：专家费，资料费等等）由中标单位承担；</w:t>
      </w:r>
    </w:p>
    <w:p>
      <w:pPr>
        <w:numPr>
          <w:ilvl w:val="0"/>
          <w:numId w:val="8"/>
        </w:numPr>
        <w:spacing w:line="48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Cs w:val="21"/>
          <w:highlight w:val="none"/>
        </w:rPr>
        <w:t>▲</w:t>
      </w:r>
      <w:r>
        <w:rPr>
          <w:rFonts w:hint="eastAsia" w:ascii="仿宋" w:hAnsi="仿宋" w:eastAsia="仿宋" w:cs="仿宋"/>
          <w:color w:val="auto"/>
          <w:sz w:val="24"/>
          <w:highlight w:val="none"/>
        </w:rPr>
        <w:t>中标方必须在投标文件里对免费维保期限、软件维保费支付/续保费用等问题做专门详细说明和承诺；</w:t>
      </w:r>
    </w:p>
    <w:p>
      <w:pPr>
        <w:numPr>
          <w:ilvl w:val="0"/>
          <w:numId w:val="8"/>
        </w:numPr>
        <w:spacing w:line="48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r>
        <w:rPr>
          <w:rFonts w:hint="eastAsia" w:ascii="仿宋" w:hAnsi="仿宋" w:eastAsia="仿宋" w:cs="仿宋"/>
          <w:color w:val="auto"/>
          <w:szCs w:val="21"/>
          <w:highlight w:val="none"/>
        </w:rPr>
        <w:t>▲</w:t>
      </w:r>
      <w:r>
        <w:rPr>
          <w:rFonts w:hint="eastAsia" w:ascii="仿宋" w:hAnsi="仿宋" w:eastAsia="仿宋" w:cs="仿宋"/>
          <w:color w:val="auto"/>
          <w:sz w:val="24"/>
          <w:highlight w:val="none"/>
        </w:rPr>
        <w:t>项目包括所有与院内系统连接的接口费用。</w:t>
      </w:r>
    </w:p>
    <w:p>
      <w:pPr>
        <w:widowControl/>
        <w:spacing w:line="360" w:lineRule="auto"/>
        <w:ind w:firstLine="413" w:firstLineChars="196"/>
        <w:jc w:val="left"/>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三</w:t>
      </w:r>
      <w:r>
        <w:rPr>
          <w:rFonts w:hint="eastAsia" w:ascii="仿宋" w:hAnsi="仿宋" w:eastAsia="仿宋" w:cs="仿宋"/>
          <w:b/>
          <w:color w:val="auto"/>
          <w:kern w:val="0"/>
          <w:szCs w:val="21"/>
          <w:highlight w:val="none"/>
          <w:lang w:bidi="ar"/>
        </w:rPr>
        <w:t>、付款方式</w:t>
      </w:r>
    </w:p>
    <w:p>
      <w:pPr>
        <w:spacing w:line="360" w:lineRule="auto"/>
        <w:ind w:firstLine="480" w:firstLineChars="200"/>
        <w:rPr>
          <w:rFonts w:hint="eastAsia" w:ascii="仿宋" w:hAnsi="仿宋" w:eastAsia="仿宋" w:cs="仿宋"/>
          <w:color w:val="auto"/>
          <w:kern w:val="0"/>
          <w:szCs w:val="21"/>
          <w:highlight w:val="none"/>
        </w:rPr>
      </w:pPr>
      <w:r>
        <w:rPr>
          <w:rFonts w:hint="eastAsia" w:ascii="仿宋" w:hAnsi="仿宋" w:eastAsia="仿宋" w:cs="仿宋"/>
          <w:color w:val="auto"/>
          <w:sz w:val="24"/>
          <w:highlight w:val="none"/>
        </w:rPr>
        <w:t>抗疫期间，按照浙财采监[2020]3号文件和浙财采监〔2022〕3号文件要求执行，具体付款方式由双方协商后在合同中明确。</w:t>
      </w:r>
    </w:p>
    <w:p>
      <w:pPr>
        <w:pStyle w:val="22"/>
        <w:pageBreakBefore/>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第四部分合同主要条款</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1.合同</w:t>
      </w:r>
      <w:bookmarkStart w:id="10" w:name="OLE_LINK1"/>
      <w:r>
        <w:rPr>
          <w:rFonts w:hint="eastAsia" w:ascii="仿宋" w:hAnsi="仿宋" w:eastAsia="仿宋" w:cs="仿宋"/>
          <w:b/>
          <w:color w:val="auto"/>
          <w:sz w:val="24"/>
          <w:highlight w:val="none"/>
        </w:rPr>
        <w:t>范围</w:t>
      </w:r>
      <w:bookmarkEnd w:id="10"/>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本合同条款适用与本次采购活动。项目实施范围详见附件——招标文件和投标文件及补充文件、采购设计图、承诺书等。</w:t>
      </w:r>
    </w:p>
    <w:p>
      <w:pPr>
        <w:pStyle w:val="55"/>
        <w:spacing w:line="44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2.合同的签订</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2.1中标人须在中标通知书发出30日内按招标文件和中标供应商投标文件的约定，凭中标通知书和采购人在约定的时间、地点，由法定代表人或其授权代表与采购人签订书面合同。</w:t>
      </w:r>
    </w:p>
    <w:p>
      <w:pPr>
        <w:pStyle w:val="13"/>
        <w:widowControl w:val="0"/>
        <w:tabs>
          <w:tab w:val="clear" w:pos="1697"/>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2.1.1交货地点：用户指定地点。</w:t>
      </w:r>
    </w:p>
    <w:p>
      <w:pPr>
        <w:pStyle w:val="13"/>
        <w:widowControl w:val="0"/>
        <w:tabs>
          <w:tab w:val="clear" w:pos="1697"/>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szCs w:val="24"/>
          <w:highlight w:val="none"/>
        </w:rPr>
        <w:t>2.1.2</w:t>
      </w:r>
      <w:r>
        <w:rPr>
          <w:rFonts w:hint="eastAsia" w:ascii="仿宋" w:hAnsi="仿宋" w:eastAsia="仿宋" w:cs="仿宋"/>
          <w:color w:val="auto"/>
          <w:highlight w:val="none"/>
        </w:rPr>
        <w:t>到货期：按标项内具体要求执行。</w:t>
      </w:r>
    </w:p>
    <w:p>
      <w:pPr>
        <w:pStyle w:val="13"/>
        <w:widowControl w:val="0"/>
        <w:tabs>
          <w:tab w:val="clear" w:pos="1697"/>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2.2交货方式：中标人负责运至现场安装调试，在整个设备安装调试验收合格前的所有设备材料的运输、保管、保险均由中标人负责。</w:t>
      </w:r>
    </w:p>
    <w:p>
      <w:pPr>
        <w:pStyle w:val="13"/>
        <w:widowControl w:val="0"/>
        <w:tabs>
          <w:tab w:val="clear" w:pos="1697"/>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b/>
          <w:color w:val="auto"/>
          <w:szCs w:val="24"/>
          <w:highlight w:val="none"/>
        </w:rPr>
        <w:t>3.付款方式：</w:t>
      </w:r>
      <w:r>
        <w:rPr>
          <w:rFonts w:hint="eastAsia" w:ascii="仿宋" w:hAnsi="仿宋" w:eastAsia="仿宋" w:cs="仿宋"/>
          <w:color w:val="auto"/>
          <w:highlight w:val="none"/>
        </w:rPr>
        <w:t>按标项内具体要求执行。</w:t>
      </w:r>
    </w:p>
    <w:p>
      <w:pPr>
        <w:tabs>
          <w:tab w:val="left" w:pos="7950"/>
        </w:tabs>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4.合同修改</w:t>
      </w:r>
    </w:p>
    <w:p>
      <w:pPr>
        <w:pStyle w:val="13"/>
        <w:widowControl w:val="0"/>
        <w:tabs>
          <w:tab w:val="clear" w:pos="1697"/>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4.1双方的任何一方对合同内容提出修改，均应以书面形式通知对方，并达成由双方签署的合同修改书，须报政府采购管理部门批准。</w:t>
      </w:r>
    </w:p>
    <w:p>
      <w:pPr>
        <w:pStyle w:val="13"/>
        <w:widowControl w:val="0"/>
        <w:tabs>
          <w:tab w:val="clear" w:pos="1697"/>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4.2除非招标人对产品的品牌、型号规格和涉及价格因素的技术参数提出修改，中标人不得对合同价格提出修改要求。</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 质量标准和验收</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5.1中标人提供的产品及服务必须是经合法途径取得的。</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5.2中标人应按现行的国家或行业技术及验收标准和招标文件的规定提供工程、货物或服务，因中标人提供的工程、货物或服务达不到约定的质量标准，中标人承担违约责任。</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5.3验收由使用单位按规定组织相关人员或专家进行。</w:t>
      </w:r>
    </w:p>
    <w:p>
      <w:pPr>
        <w:spacing w:line="440" w:lineRule="exact"/>
        <w:ind w:hanging="2"/>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5.4双方对工程、货物或服务的质量有争议的，由双方同意的专业检测机构鉴定，所需费及因此造成的损失由责任方承担，双方均有责任的，双方根据其责任分别承担。</w:t>
      </w:r>
    </w:p>
    <w:p>
      <w:pPr>
        <w:spacing w:line="440" w:lineRule="exact"/>
        <w:ind w:hanging="2"/>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6.违约责任</w:t>
      </w:r>
    </w:p>
    <w:p>
      <w:pPr>
        <w:pStyle w:val="20"/>
        <w:widowControl w:val="0"/>
        <w:tabs>
          <w:tab w:val="left" w:pos="1540"/>
          <w:tab w:val="clear" w:pos="482"/>
        </w:tabs>
        <w:spacing w:afterLines="0" w:line="440" w:lineRule="exact"/>
        <w:ind w:left="-2" w:leftChars="-1"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6.1提供的货物和服务质量必须达到合格，凡安装调试、设备试运转过程中发现的设备质量问题，中标人必须无偿返工直至符合质量要求，承担返工所发生的一切费用和招标人的直接经济损失。</w:t>
      </w:r>
    </w:p>
    <w:p>
      <w:pPr>
        <w:pStyle w:val="20"/>
        <w:widowControl w:val="0"/>
        <w:tabs>
          <w:tab w:val="left" w:pos="1540"/>
          <w:tab w:val="clear" w:pos="482"/>
        </w:tabs>
        <w:spacing w:afterLines="0" w:line="440" w:lineRule="exact"/>
        <w:ind w:left="-2" w:leftChars="-1"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6.2由于招标人保管不善或使用不当造成设备短缺、故障或损坏，中标人协助招标人及时给予补齐或修复。</w:t>
      </w:r>
    </w:p>
    <w:p>
      <w:pPr>
        <w:pStyle w:val="13"/>
        <w:widowControl w:val="0"/>
        <w:tabs>
          <w:tab w:val="left" w:pos="1560"/>
          <w:tab w:val="clear" w:pos="1697"/>
        </w:tabs>
        <w:spacing w:afterLines="0" w:line="440" w:lineRule="exact"/>
        <w:ind w:left="-2" w:leftChars="-1"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7．违约赔偿</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7.1除不可抗力外，如中标人发生不能按期完成供货任务，招标人发生中途变更等情况，应及时以书面形式通知对方。双方应本着友好的态度进行协商，妥善解决。如协商无效，按规定处以违约金。</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 xml:space="preserve">7.2 </w:t>
      </w:r>
      <w:r>
        <w:rPr>
          <w:rFonts w:hint="eastAsia" w:ascii="仿宋" w:hAnsi="仿宋" w:eastAsia="仿宋" w:cs="仿宋"/>
          <w:color w:val="auto"/>
          <w:sz w:val="24"/>
          <w:highlight w:val="none"/>
        </w:rPr>
        <w:t>中标人和采购人签订合同，按合同规定的供货时间供货并安装调试完毕。逾期每推迟一天，扣中标价0.1%的滞纳金给采购人。</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7.3招标人在规定时间无正当理由拒签合同者，以招标违约处理，并赔偿中标人由此造成的直接经济损失。</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8.不可抗力</w:t>
      </w:r>
    </w:p>
    <w:p>
      <w:pPr>
        <w:pStyle w:val="13"/>
        <w:widowControl w:val="0"/>
        <w:tabs>
          <w:tab w:val="clear" w:pos="1697"/>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8.1如果双方中任何一方由于战争、严重火灾、水灾、台风和地震以及其它经双方同意属于不可抗力的事故，致使合同履行受阻时，履行合同的期限应予延长，延长的期限应相当于事故所影响的时间。</w:t>
      </w:r>
    </w:p>
    <w:p>
      <w:pPr>
        <w:pStyle w:val="13"/>
        <w:widowControl w:val="0"/>
        <w:tabs>
          <w:tab w:val="clear" w:pos="1697"/>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8.2受事故影响的一方应在不可抗力的事故发生后尽快以电报或电传通知另一方，并在事故发生后14天内，将有关部门出具的证明文件用挂号信航寄给或送给另一方。如果不可抗力影响时间延续120天以上的，双方应通过友好协商在合理的时间内达成进一步履行合同的协议。</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9.解决合同纠纷的方式</w:t>
      </w:r>
    </w:p>
    <w:p>
      <w:pPr>
        <w:pStyle w:val="13"/>
        <w:widowControl w:val="0"/>
        <w:tabs>
          <w:tab w:val="clear" w:pos="1697"/>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9.1凡有关本合同或与本合同中发生的争端，双方应通过友好协商，妥善解决。如通过协商仍不能解决时，可向当地的仲裁机构申请仲裁或人民法院起诉。</w:t>
      </w:r>
    </w:p>
    <w:p>
      <w:pPr>
        <w:pStyle w:val="13"/>
        <w:widowControl w:val="0"/>
        <w:tabs>
          <w:tab w:val="clear" w:pos="1697"/>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9.2仲裁和诉讼费用除仲裁机构和人民法院另有裁决外，由败诉方承担。</w:t>
      </w:r>
    </w:p>
    <w:p>
      <w:pPr>
        <w:pStyle w:val="13"/>
        <w:widowControl w:val="0"/>
        <w:tabs>
          <w:tab w:val="clear" w:pos="1697"/>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9.3在仲裁和诉讼期间，除正在进行裁定的部分外，本合同其他部分应继续执行。</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9.4合同应在双方签字盖章后开始生效。</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（注：在正式签约时，根据上述精神应拟就更为详尽的合同书）</w:t>
      </w:r>
    </w:p>
    <w:p>
      <w:pPr>
        <w:pStyle w:val="22"/>
        <w:spacing w:line="800" w:lineRule="exact"/>
        <w:ind w:firstLine="723"/>
        <w:jc w:val="center"/>
        <w:rPr>
          <w:rFonts w:hint="eastAsia" w:ascii="仿宋" w:hAnsi="仿宋" w:eastAsia="仿宋" w:cs="仿宋"/>
          <w:b/>
          <w:color w:val="auto"/>
          <w:sz w:val="36"/>
          <w:szCs w:val="36"/>
          <w:highlight w:val="none"/>
        </w:rPr>
      </w:pPr>
    </w:p>
    <w:p>
      <w:pPr>
        <w:pStyle w:val="22"/>
        <w:spacing w:line="800" w:lineRule="exact"/>
        <w:ind w:firstLine="723"/>
        <w:jc w:val="center"/>
        <w:rPr>
          <w:rFonts w:hint="eastAsia" w:ascii="仿宋" w:hAnsi="仿宋" w:eastAsia="仿宋" w:cs="仿宋"/>
          <w:b/>
          <w:color w:val="auto"/>
          <w:sz w:val="36"/>
          <w:szCs w:val="36"/>
          <w:highlight w:val="none"/>
        </w:rPr>
      </w:pPr>
    </w:p>
    <w:p>
      <w:pPr>
        <w:pStyle w:val="22"/>
        <w:spacing w:line="800" w:lineRule="exact"/>
        <w:rPr>
          <w:rFonts w:hint="eastAsia" w:ascii="仿宋" w:hAnsi="仿宋" w:eastAsia="仿宋" w:cs="仿宋"/>
          <w:b/>
          <w:color w:val="auto"/>
          <w:sz w:val="36"/>
          <w:szCs w:val="36"/>
          <w:highlight w:val="none"/>
        </w:rPr>
      </w:pPr>
    </w:p>
    <w:p>
      <w:pP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p>
    <w:p>
      <w:pPr>
        <w:pStyle w:val="22"/>
        <w:pageBreakBefore/>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第五部分评标方法及标准</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spacing w:line="440" w:lineRule="exact"/>
        <w:ind w:firstLine="472" w:firstLineChars="196"/>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共100分，其中商务技术分70分，价格分30分。评分依下述所列为评标打分依据，分值如下（计算分值时，按其算术平均值保留小数2位）。</w:t>
      </w:r>
    </w:p>
    <w:p>
      <w:pPr>
        <w:rPr>
          <w:rFonts w:hint="eastAsia" w:ascii="仿宋" w:hAnsi="仿宋" w:eastAsia="仿宋" w:cs="仿宋"/>
          <w:b/>
          <w:bCs/>
          <w:color w:val="auto"/>
          <w:kern w:val="0"/>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color w:val="auto"/>
          <w:kern w:val="0"/>
          <w:sz w:val="24"/>
          <w:highlight w:val="none"/>
        </w:rPr>
        <w:t>：70分</w:t>
      </w:r>
    </w:p>
    <w:tbl>
      <w:tblPr>
        <w:tblStyle w:val="40"/>
        <w:tblW w:w="91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4"/>
        <w:gridCol w:w="1210"/>
        <w:gridCol w:w="6405"/>
        <w:gridCol w:w="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jc w:val="center"/>
        </w:trPr>
        <w:tc>
          <w:tcPr>
            <w:tcW w:w="784" w:type="dxa"/>
            <w:noWrap/>
            <w:vAlign w:val="center"/>
          </w:tcPr>
          <w:p>
            <w:pPr>
              <w:keepNext w:val="0"/>
              <w:keepLines w:val="0"/>
              <w:pageBreakBefore w:val="0"/>
              <w:kinsoku/>
              <w:wordWrap/>
              <w:overflowPunct/>
              <w:topLinePunct w:val="0"/>
              <w:autoSpaceDE/>
              <w:autoSpaceDN/>
              <w:bidi w:val="0"/>
              <w:adjustRightInd/>
              <w:snapToGrid w:val="0"/>
              <w:spacing w:line="320" w:lineRule="exact"/>
              <w:jc w:val="center"/>
              <w:textAlignment w:val="auto"/>
              <w:rPr>
                <w:rFonts w:hint="eastAsia" w:ascii="仿宋" w:hAnsi="仿宋" w:eastAsia="仿宋" w:cs="仿宋"/>
                <w:bCs/>
                <w:color w:val="auto"/>
                <w:sz w:val="21"/>
                <w:szCs w:val="21"/>
                <w:highlight w:val="none"/>
                <w:lang w:eastAsia="zh-CN"/>
              </w:rPr>
            </w:pPr>
            <w:r>
              <w:rPr>
                <w:rFonts w:hint="eastAsia" w:ascii="仿宋" w:hAnsi="仿宋" w:eastAsia="仿宋" w:cs="仿宋"/>
                <w:bCs/>
                <w:color w:val="auto"/>
                <w:sz w:val="21"/>
                <w:szCs w:val="21"/>
                <w:highlight w:val="none"/>
                <w:lang w:eastAsia="zh-CN"/>
              </w:rPr>
              <w:t>序号</w:t>
            </w:r>
          </w:p>
        </w:tc>
        <w:tc>
          <w:tcPr>
            <w:tcW w:w="1210" w:type="dxa"/>
            <w:noWrap/>
            <w:vAlign w:val="center"/>
          </w:tcPr>
          <w:p>
            <w:pPr>
              <w:keepNext w:val="0"/>
              <w:keepLines w:val="0"/>
              <w:pageBreakBefore w:val="0"/>
              <w:kinsoku/>
              <w:wordWrap/>
              <w:overflowPunct/>
              <w:topLinePunct w:val="0"/>
              <w:autoSpaceDE/>
              <w:autoSpaceDN/>
              <w:bidi w:val="0"/>
              <w:adjustRightInd/>
              <w:snapToGrid w:val="0"/>
              <w:spacing w:line="320" w:lineRule="exact"/>
              <w:jc w:val="center"/>
              <w:textAlignment w:val="auto"/>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评分内容</w:t>
            </w:r>
          </w:p>
        </w:tc>
        <w:tc>
          <w:tcPr>
            <w:tcW w:w="6405" w:type="dxa"/>
            <w:noWrap/>
            <w:vAlign w:val="center"/>
          </w:tcPr>
          <w:p>
            <w:pPr>
              <w:keepNext w:val="0"/>
              <w:keepLines w:val="0"/>
              <w:pageBreakBefore w:val="0"/>
              <w:kinsoku/>
              <w:wordWrap/>
              <w:overflowPunct/>
              <w:topLinePunct w:val="0"/>
              <w:autoSpaceDE/>
              <w:autoSpaceDN/>
              <w:bidi w:val="0"/>
              <w:adjustRightInd/>
              <w:snapToGrid w:val="0"/>
              <w:spacing w:line="32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评议要点</w:t>
            </w:r>
          </w:p>
        </w:tc>
        <w:tc>
          <w:tcPr>
            <w:tcW w:w="755" w:type="dxa"/>
            <w:noWrap/>
            <w:vAlign w:val="center"/>
          </w:tcPr>
          <w:p>
            <w:pPr>
              <w:keepNext w:val="0"/>
              <w:keepLines w:val="0"/>
              <w:pageBreakBefore w:val="0"/>
              <w:kinsoku/>
              <w:wordWrap/>
              <w:overflowPunct/>
              <w:topLinePunct w:val="0"/>
              <w:autoSpaceDE/>
              <w:autoSpaceDN/>
              <w:bidi w:val="0"/>
              <w:adjustRightInd/>
              <w:snapToGrid w:val="0"/>
              <w:spacing w:line="32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4" w:hRule="atLeast"/>
          <w:jc w:val="center"/>
        </w:trPr>
        <w:tc>
          <w:tcPr>
            <w:tcW w:w="784" w:type="dxa"/>
            <w:vMerge w:val="restart"/>
            <w:noWrap/>
            <w:vAlign w:val="center"/>
          </w:tcPr>
          <w:p>
            <w:pPr>
              <w:keepNext w:val="0"/>
              <w:keepLines w:val="0"/>
              <w:pageBreakBefore w:val="0"/>
              <w:kinsoku/>
              <w:wordWrap/>
              <w:overflowPunct/>
              <w:topLinePunct w:val="0"/>
              <w:autoSpaceDE/>
              <w:autoSpaceDN/>
              <w:bidi w:val="0"/>
              <w:adjustRightInd/>
              <w:snapToGrid w:val="0"/>
              <w:spacing w:line="320" w:lineRule="exact"/>
              <w:textAlignment w:val="auto"/>
              <w:rPr>
                <w:rFonts w:hint="eastAsia" w:ascii="仿宋" w:hAnsi="仿宋" w:eastAsia="仿宋" w:cs="仿宋"/>
                <w:color w:val="auto"/>
                <w:sz w:val="21"/>
                <w:szCs w:val="21"/>
                <w:highlight w:val="none"/>
                <w:lang w:val="en-US" w:eastAsia="zh-CN"/>
              </w:rPr>
            </w:pPr>
            <w:bookmarkStart w:id="11" w:name="_Hlk261944696"/>
            <w:r>
              <w:rPr>
                <w:rFonts w:hint="eastAsia" w:ascii="仿宋" w:hAnsi="仿宋" w:eastAsia="仿宋" w:cs="仿宋"/>
                <w:color w:val="auto"/>
                <w:sz w:val="21"/>
                <w:szCs w:val="21"/>
                <w:highlight w:val="none"/>
                <w:lang w:val="en-US" w:eastAsia="zh-CN"/>
              </w:rPr>
              <w:t>1</w:t>
            </w:r>
          </w:p>
        </w:tc>
        <w:tc>
          <w:tcPr>
            <w:tcW w:w="1210" w:type="dxa"/>
            <w:vMerge w:val="restart"/>
            <w:noWrap/>
            <w:vAlign w:val="center"/>
          </w:tcPr>
          <w:p>
            <w:pPr>
              <w:keepNext w:val="0"/>
              <w:keepLines w:val="0"/>
              <w:pageBreakBefore w:val="0"/>
              <w:kinsoku/>
              <w:wordWrap/>
              <w:overflowPunct/>
              <w:topLinePunct w:val="0"/>
              <w:autoSpaceDE/>
              <w:autoSpaceDN/>
              <w:bidi w:val="0"/>
              <w:adjustRightInd/>
              <w:snapToGrid w:val="0"/>
              <w:spacing w:line="32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总体技术整合方案（31分）</w:t>
            </w:r>
          </w:p>
        </w:tc>
        <w:tc>
          <w:tcPr>
            <w:tcW w:w="6405" w:type="dxa"/>
            <w:noWrap/>
            <w:vAlign w:val="center"/>
          </w:tcPr>
          <w:p>
            <w:pPr>
              <w:keepNext w:val="0"/>
              <w:keepLines w:val="0"/>
              <w:pageBreakBefore w:val="0"/>
              <w:kinsoku/>
              <w:wordWrap/>
              <w:overflowPunct/>
              <w:topLinePunct w:val="0"/>
              <w:autoSpaceDE/>
              <w:autoSpaceDN/>
              <w:bidi w:val="0"/>
              <w:adjustRightInd/>
              <w:snapToGrid w:val="0"/>
              <w:spacing w:line="32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rPr>
              <w:t>满足招标文件技术条款和参数，得15分，带▲条件为重点指标，每负偏离一项扣3分，其他性能指标每项偏离的扣1分，扣完为止。</w:t>
            </w:r>
          </w:p>
        </w:tc>
        <w:tc>
          <w:tcPr>
            <w:tcW w:w="755" w:type="dxa"/>
            <w:noWrap/>
            <w:vAlign w:val="center"/>
          </w:tcPr>
          <w:p>
            <w:pPr>
              <w:keepNext w:val="0"/>
              <w:keepLines w:val="0"/>
              <w:pageBreakBefore w:val="0"/>
              <w:kinsoku/>
              <w:wordWrap/>
              <w:overflowPunct/>
              <w:topLinePunct w:val="0"/>
              <w:autoSpaceDE/>
              <w:autoSpaceDN/>
              <w:bidi w:val="0"/>
              <w:adjustRightInd/>
              <w:snapToGrid w:val="0"/>
              <w:spacing w:line="32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0" w:hRule="atLeast"/>
          <w:jc w:val="center"/>
        </w:trPr>
        <w:tc>
          <w:tcPr>
            <w:tcW w:w="784" w:type="dxa"/>
            <w:vMerge w:val="continue"/>
            <w:noWrap/>
            <w:vAlign w:val="center"/>
          </w:tcPr>
          <w:p>
            <w:pPr>
              <w:keepNext w:val="0"/>
              <w:keepLines w:val="0"/>
              <w:pageBreakBefore w:val="0"/>
              <w:kinsoku/>
              <w:wordWrap/>
              <w:overflowPunct/>
              <w:topLinePunct w:val="0"/>
              <w:autoSpaceDE/>
              <w:autoSpaceDN/>
              <w:bidi w:val="0"/>
              <w:adjustRightInd/>
              <w:snapToGrid w:val="0"/>
              <w:spacing w:line="320" w:lineRule="exact"/>
              <w:textAlignment w:val="auto"/>
              <w:rPr>
                <w:rFonts w:hint="eastAsia" w:ascii="仿宋" w:hAnsi="仿宋" w:eastAsia="仿宋" w:cs="仿宋"/>
                <w:color w:val="auto"/>
                <w:sz w:val="21"/>
                <w:szCs w:val="21"/>
                <w:highlight w:val="none"/>
              </w:rPr>
            </w:pPr>
          </w:p>
        </w:tc>
        <w:tc>
          <w:tcPr>
            <w:tcW w:w="1210" w:type="dxa"/>
            <w:vMerge w:val="continue"/>
            <w:noWrap/>
            <w:vAlign w:val="center"/>
          </w:tcPr>
          <w:p>
            <w:pPr>
              <w:keepNext w:val="0"/>
              <w:keepLines w:val="0"/>
              <w:pageBreakBefore w:val="0"/>
              <w:kinsoku/>
              <w:wordWrap/>
              <w:overflowPunct/>
              <w:topLinePunct w:val="0"/>
              <w:autoSpaceDE/>
              <w:autoSpaceDN/>
              <w:bidi w:val="0"/>
              <w:adjustRightInd/>
              <w:snapToGrid w:val="0"/>
              <w:spacing w:line="320" w:lineRule="exact"/>
              <w:textAlignment w:val="auto"/>
              <w:rPr>
                <w:rFonts w:hint="eastAsia" w:ascii="仿宋" w:hAnsi="仿宋" w:eastAsia="仿宋" w:cs="仿宋"/>
                <w:color w:val="auto"/>
                <w:sz w:val="21"/>
                <w:szCs w:val="21"/>
                <w:highlight w:val="none"/>
              </w:rPr>
            </w:pPr>
          </w:p>
        </w:tc>
        <w:tc>
          <w:tcPr>
            <w:tcW w:w="6405" w:type="dxa"/>
            <w:noWrap/>
            <w:vAlign w:val="center"/>
          </w:tcPr>
          <w:p>
            <w:pPr>
              <w:keepNext w:val="0"/>
              <w:keepLines w:val="0"/>
              <w:pageBreakBefore w:val="0"/>
              <w:kinsoku/>
              <w:wordWrap/>
              <w:overflowPunct/>
              <w:topLinePunct w:val="0"/>
              <w:autoSpaceDE/>
              <w:autoSpaceDN/>
              <w:bidi w:val="0"/>
              <w:adjustRightInd/>
              <w:spacing w:line="32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项目总体设计、技术难点分析和风险规避措施合理、完整、可行等</w:t>
            </w:r>
            <w:r>
              <w:rPr>
                <w:rFonts w:hint="eastAsia" w:ascii="仿宋" w:hAnsi="仿宋" w:eastAsia="仿宋" w:cs="仿宋"/>
                <w:color w:val="auto"/>
                <w:sz w:val="21"/>
                <w:szCs w:val="21"/>
                <w:highlight w:val="none"/>
                <w:lang w:eastAsia="zh-CN"/>
              </w:rPr>
              <w:t>进行评审，</w:t>
            </w:r>
            <w:r>
              <w:rPr>
                <w:rFonts w:hint="eastAsia" w:ascii="仿宋" w:hAnsi="仿宋" w:eastAsia="仿宋" w:cs="仿宋"/>
                <w:color w:val="auto"/>
                <w:sz w:val="21"/>
                <w:szCs w:val="21"/>
                <w:highlight w:val="none"/>
              </w:rPr>
              <w:t>优</w:t>
            </w:r>
            <w:r>
              <w:rPr>
                <w:rFonts w:hint="eastAsia" w:ascii="仿宋" w:hAnsi="仿宋" w:eastAsia="仿宋" w:cs="仿宋"/>
                <w:color w:val="auto"/>
                <w:sz w:val="21"/>
                <w:szCs w:val="21"/>
                <w:highlight w:val="none"/>
                <w:lang w:eastAsia="zh-CN"/>
              </w:rPr>
              <w:t>得</w:t>
            </w:r>
            <w:r>
              <w:rPr>
                <w:rFonts w:hint="eastAsia" w:ascii="仿宋" w:hAnsi="仿宋" w:eastAsia="仿宋" w:cs="仿宋"/>
                <w:color w:val="auto"/>
                <w:sz w:val="21"/>
                <w:szCs w:val="21"/>
                <w:highlight w:val="none"/>
                <w:lang w:val="en-US" w:eastAsia="zh-CN"/>
              </w:rPr>
              <w:t>2.1-3.0</w:t>
            </w:r>
            <w:r>
              <w:rPr>
                <w:rFonts w:hint="eastAsia" w:ascii="仿宋" w:hAnsi="仿宋" w:eastAsia="仿宋" w:cs="仿宋"/>
                <w:color w:val="auto"/>
                <w:sz w:val="21"/>
                <w:szCs w:val="21"/>
                <w:highlight w:val="none"/>
              </w:rPr>
              <w:t>分，良</w:t>
            </w:r>
            <w:r>
              <w:rPr>
                <w:rFonts w:hint="eastAsia" w:ascii="仿宋" w:hAnsi="仿宋" w:eastAsia="仿宋" w:cs="仿宋"/>
                <w:color w:val="auto"/>
                <w:sz w:val="21"/>
                <w:szCs w:val="21"/>
                <w:highlight w:val="none"/>
                <w:lang w:eastAsia="zh-CN"/>
              </w:rPr>
              <w:t>得</w:t>
            </w:r>
            <w:r>
              <w:rPr>
                <w:rFonts w:hint="eastAsia" w:ascii="仿宋" w:hAnsi="仿宋" w:eastAsia="仿宋" w:cs="仿宋"/>
                <w:color w:val="auto"/>
                <w:sz w:val="21"/>
                <w:szCs w:val="21"/>
                <w:highlight w:val="none"/>
                <w:lang w:val="en-US" w:eastAsia="zh-CN"/>
              </w:rPr>
              <w:t>1.1-2.0</w:t>
            </w:r>
            <w:r>
              <w:rPr>
                <w:rFonts w:hint="eastAsia" w:ascii="仿宋" w:hAnsi="仿宋" w:eastAsia="仿宋" w:cs="仿宋"/>
                <w:color w:val="auto"/>
                <w:sz w:val="21"/>
                <w:szCs w:val="21"/>
                <w:highlight w:val="none"/>
              </w:rPr>
              <w:t>分，一般</w:t>
            </w:r>
            <w:r>
              <w:rPr>
                <w:rFonts w:hint="eastAsia" w:ascii="仿宋" w:hAnsi="仿宋" w:eastAsia="仿宋" w:cs="仿宋"/>
                <w:color w:val="auto"/>
                <w:sz w:val="21"/>
                <w:szCs w:val="21"/>
                <w:highlight w:val="none"/>
                <w:lang w:val="en-US" w:eastAsia="zh-CN"/>
              </w:rPr>
              <w:t>0.1-1.0</w:t>
            </w:r>
            <w:r>
              <w:rPr>
                <w:rFonts w:hint="eastAsia" w:ascii="仿宋" w:hAnsi="仿宋" w:eastAsia="仿宋" w:cs="仿宋"/>
                <w:color w:val="auto"/>
                <w:sz w:val="21"/>
                <w:szCs w:val="21"/>
                <w:highlight w:val="none"/>
              </w:rPr>
              <w:t>分。</w:t>
            </w:r>
          </w:p>
        </w:tc>
        <w:tc>
          <w:tcPr>
            <w:tcW w:w="755" w:type="dxa"/>
            <w:noWrap/>
            <w:vAlign w:val="center"/>
          </w:tcPr>
          <w:p>
            <w:pPr>
              <w:keepNext w:val="0"/>
              <w:keepLines w:val="0"/>
              <w:pageBreakBefore w:val="0"/>
              <w:kinsoku/>
              <w:wordWrap/>
              <w:overflowPunct/>
              <w:topLinePunct w:val="0"/>
              <w:autoSpaceDE/>
              <w:autoSpaceDN/>
              <w:bidi w:val="0"/>
              <w:adjustRightInd/>
              <w:snapToGrid w:val="0"/>
              <w:spacing w:line="32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0" w:hRule="atLeast"/>
          <w:jc w:val="center"/>
        </w:trPr>
        <w:tc>
          <w:tcPr>
            <w:tcW w:w="784" w:type="dxa"/>
            <w:vMerge w:val="continue"/>
            <w:noWrap/>
            <w:vAlign w:val="center"/>
          </w:tcPr>
          <w:p>
            <w:pPr>
              <w:keepNext w:val="0"/>
              <w:keepLines w:val="0"/>
              <w:pageBreakBefore w:val="0"/>
              <w:kinsoku/>
              <w:wordWrap/>
              <w:overflowPunct/>
              <w:topLinePunct w:val="0"/>
              <w:autoSpaceDE/>
              <w:autoSpaceDN/>
              <w:bidi w:val="0"/>
              <w:adjustRightInd/>
              <w:spacing w:line="320" w:lineRule="exact"/>
              <w:textAlignment w:val="auto"/>
              <w:rPr>
                <w:rFonts w:hint="eastAsia" w:ascii="仿宋" w:hAnsi="仿宋" w:eastAsia="仿宋" w:cs="仿宋"/>
                <w:color w:val="auto"/>
                <w:sz w:val="21"/>
                <w:szCs w:val="21"/>
                <w:highlight w:val="none"/>
              </w:rPr>
            </w:pPr>
          </w:p>
        </w:tc>
        <w:tc>
          <w:tcPr>
            <w:tcW w:w="1210" w:type="dxa"/>
            <w:vMerge w:val="continue"/>
            <w:noWrap/>
            <w:vAlign w:val="center"/>
          </w:tcPr>
          <w:p>
            <w:pPr>
              <w:keepNext w:val="0"/>
              <w:keepLines w:val="0"/>
              <w:pageBreakBefore w:val="0"/>
              <w:kinsoku/>
              <w:wordWrap/>
              <w:overflowPunct/>
              <w:topLinePunct w:val="0"/>
              <w:autoSpaceDE/>
              <w:autoSpaceDN/>
              <w:bidi w:val="0"/>
              <w:adjustRightInd/>
              <w:spacing w:line="320" w:lineRule="exact"/>
              <w:textAlignment w:val="auto"/>
              <w:rPr>
                <w:rFonts w:hint="eastAsia" w:ascii="仿宋" w:hAnsi="仿宋" w:eastAsia="仿宋" w:cs="仿宋"/>
                <w:color w:val="auto"/>
                <w:sz w:val="21"/>
                <w:szCs w:val="21"/>
                <w:highlight w:val="none"/>
              </w:rPr>
            </w:pPr>
          </w:p>
        </w:tc>
        <w:tc>
          <w:tcPr>
            <w:tcW w:w="6405" w:type="dxa"/>
            <w:noWrap/>
            <w:vAlign w:val="center"/>
          </w:tcPr>
          <w:p>
            <w:pPr>
              <w:keepNext w:val="0"/>
              <w:keepLines w:val="0"/>
              <w:pageBreakBefore w:val="0"/>
              <w:kinsoku/>
              <w:wordWrap/>
              <w:overflowPunct/>
              <w:topLinePunct w:val="0"/>
              <w:autoSpaceDE/>
              <w:autoSpaceDN/>
              <w:bidi w:val="0"/>
              <w:adjustRightInd/>
              <w:spacing w:line="32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项目进度计划表明确详细进行</w:t>
            </w:r>
            <w:r>
              <w:rPr>
                <w:rFonts w:hint="eastAsia" w:ascii="仿宋" w:hAnsi="仿宋" w:eastAsia="仿宋" w:cs="仿宋"/>
                <w:color w:val="auto"/>
                <w:sz w:val="21"/>
                <w:szCs w:val="21"/>
                <w:highlight w:val="none"/>
                <w:lang w:eastAsia="zh-CN"/>
              </w:rPr>
              <w:t>评审，</w:t>
            </w:r>
            <w:r>
              <w:rPr>
                <w:rFonts w:hint="eastAsia" w:ascii="仿宋" w:hAnsi="仿宋" w:eastAsia="仿宋" w:cs="仿宋"/>
                <w:color w:val="auto"/>
                <w:sz w:val="21"/>
                <w:szCs w:val="21"/>
                <w:highlight w:val="none"/>
              </w:rPr>
              <w:t>优</w:t>
            </w:r>
            <w:r>
              <w:rPr>
                <w:rFonts w:hint="eastAsia" w:ascii="仿宋" w:hAnsi="仿宋" w:eastAsia="仿宋" w:cs="仿宋"/>
                <w:color w:val="auto"/>
                <w:sz w:val="21"/>
                <w:szCs w:val="21"/>
                <w:highlight w:val="none"/>
                <w:lang w:eastAsia="zh-CN"/>
              </w:rPr>
              <w:t>得</w:t>
            </w:r>
            <w:r>
              <w:rPr>
                <w:rFonts w:hint="eastAsia" w:ascii="仿宋" w:hAnsi="仿宋" w:eastAsia="仿宋" w:cs="仿宋"/>
                <w:color w:val="auto"/>
                <w:sz w:val="21"/>
                <w:szCs w:val="21"/>
                <w:highlight w:val="none"/>
                <w:lang w:val="en-US" w:eastAsia="zh-CN"/>
              </w:rPr>
              <w:t>2.1-3.0</w:t>
            </w:r>
            <w:r>
              <w:rPr>
                <w:rFonts w:hint="eastAsia" w:ascii="仿宋" w:hAnsi="仿宋" w:eastAsia="仿宋" w:cs="仿宋"/>
                <w:color w:val="auto"/>
                <w:sz w:val="21"/>
                <w:szCs w:val="21"/>
                <w:highlight w:val="none"/>
              </w:rPr>
              <w:t>分，良</w:t>
            </w:r>
            <w:r>
              <w:rPr>
                <w:rFonts w:hint="eastAsia" w:ascii="仿宋" w:hAnsi="仿宋" w:eastAsia="仿宋" w:cs="仿宋"/>
                <w:color w:val="auto"/>
                <w:sz w:val="21"/>
                <w:szCs w:val="21"/>
                <w:highlight w:val="none"/>
                <w:lang w:eastAsia="zh-CN"/>
              </w:rPr>
              <w:t>得</w:t>
            </w:r>
            <w:r>
              <w:rPr>
                <w:rFonts w:hint="eastAsia" w:ascii="仿宋" w:hAnsi="仿宋" w:eastAsia="仿宋" w:cs="仿宋"/>
                <w:color w:val="auto"/>
                <w:sz w:val="21"/>
                <w:szCs w:val="21"/>
                <w:highlight w:val="none"/>
                <w:lang w:val="en-US" w:eastAsia="zh-CN"/>
              </w:rPr>
              <w:t>1.1-2.0</w:t>
            </w:r>
            <w:r>
              <w:rPr>
                <w:rFonts w:hint="eastAsia" w:ascii="仿宋" w:hAnsi="仿宋" w:eastAsia="仿宋" w:cs="仿宋"/>
                <w:color w:val="auto"/>
                <w:sz w:val="21"/>
                <w:szCs w:val="21"/>
                <w:highlight w:val="none"/>
              </w:rPr>
              <w:t>分，一般</w:t>
            </w:r>
            <w:r>
              <w:rPr>
                <w:rFonts w:hint="eastAsia" w:ascii="仿宋" w:hAnsi="仿宋" w:eastAsia="仿宋" w:cs="仿宋"/>
                <w:color w:val="auto"/>
                <w:sz w:val="21"/>
                <w:szCs w:val="21"/>
                <w:highlight w:val="none"/>
                <w:lang w:val="en-US" w:eastAsia="zh-CN"/>
              </w:rPr>
              <w:t>0.1-1.0</w:t>
            </w:r>
            <w:r>
              <w:rPr>
                <w:rFonts w:hint="eastAsia" w:ascii="仿宋" w:hAnsi="仿宋" w:eastAsia="仿宋" w:cs="仿宋"/>
                <w:color w:val="auto"/>
                <w:sz w:val="21"/>
                <w:szCs w:val="21"/>
                <w:highlight w:val="none"/>
              </w:rPr>
              <w:t>分。</w:t>
            </w:r>
          </w:p>
        </w:tc>
        <w:tc>
          <w:tcPr>
            <w:tcW w:w="755" w:type="dxa"/>
            <w:noWrap/>
            <w:vAlign w:val="center"/>
          </w:tcPr>
          <w:p>
            <w:pPr>
              <w:keepNext w:val="0"/>
              <w:keepLines w:val="0"/>
              <w:pageBreakBefore w:val="0"/>
              <w:kinsoku/>
              <w:wordWrap/>
              <w:overflowPunct/>
              <w:topLinePunct w:val="0"/>
              <w:autoSpaceDE/>
              <w:autoSpaceDN/>
              <w:bidi w:val="0"/>
              <w:adjustRightInd/>
              <w:snapToGrid w:val="0"/>
              <w:spacing w:line="32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jc w:val="center"/>
        </w:trPr>
        <w:tc>
          <w:tcPr>
            <w:tcW w:w="784" w:type="dxa"/>
            <w:vMerge w:val="continue"/>
            <w:noWrap/>
            <w:vAlign w:val="center"/>
          </w:tcPr>
          <w:p>
            <w:pPr>
              <w:keepNext w:val="0"/>
              <w:keepLines w:val="0"/>
              <w:pageBreakBefore w:val="0"/>
              <w:kinsoku/>
              <w:wordWrap/>
              <w:overflowPunct/>
              <w:topLinePunct w:val="0"/>
              <w:autoSpaceDE/>
              <w:autoSpaceDN/>
              <w:bidi w:val="0"/>
              <w:adjustRightInd/>
              <w:snapToGrid w:val="0"/>
              <w:spacing w:line="320" w:lineRule="exact"/>
              <w:textAlignment w:val="auto"/>
              <w:rPr>
                <w:rFonts w:hint="eastAsia" w:ascii="仿宋" w:hAnsi="仿宋" w:eastAsia="仿宋" w:cs="仿宋"/>
                <w:color w:val="auto"/>
                <w:sz w:val="21"/>
                <w:szCs w:val="21"/>
                <w:highlight w:val="none"/>
              </w:rPr>
            </w:pPr>
          </w:p>
        </w:tc>
        <w:tc>
          <w:tcPr>
            <w:tcW w:w="1210" w:type="dxa"/>
            <w:vMerge w:val="continue"/>
            <w:noWrap/>
            <w:vAlign w:val="center"/>
          </w:tcPr>
          <w:p>
            <w:pPr>
              <w:keepNext w:val="0"/>
              <w:keepLines w:val="0"/>
              <w:pageBreakBefore w:val="0"/>
              <w:kinsoku/>
              <w:wordWrap/>
              <w:overflowPunct/>
              <w:topLinePunct w:val="0"/>
              <w:autoSpaceDE/>
              <w:autoSpaceDN/>
              <w:bidi w:val="0"/>
              <w:adjustRightInd/>
              <w:snapToGrid w:val="0"/>
              <w:spacing w:line="320" w:lineRule="exact"/>
              <w:textAlignment w:val="auto"/>
              <w:rPr>
                <w:rFonts w:hint="eastAsia" w:ascii="仿宋" w:hAnsi="仿宋" w:eastAsia="仿宋" w:cs="仿宋"/>
                <w:color w:val="auto"/>
                <w:sz w:val="21"/>
                <w:szCs w:val="21"/>
                <w:highlight w:val="none"/>
              </w:rPr>
            </w:pPr>
          </w:p>
        </w:tc>
        <w:tc>
          <w:tcPr>
            <w:tcW w:w="6405" w:type="dxa"/>
            <w:noWrap/>
            <w:vAlign w:val="center"/>
          </w:tcPr>
          <w:p>
            <w:pPr>
              <w:keepNext w:val="0"/>
              <w:keepLines w:val="0"/>
              <w:pageBreakBefore w:val="0"/>
              <w:kinsoku/>
              <w:wordWrap/>
              <w:overflowPunct/>
              <w:topLinePunct w:val="0"/>
              <w:autoSpaceDE/>
              <w:autoSpaceDN/>
              <w:bidi w:val="0"/>
              <w:adjustRightInd/>
              <w:spacing w:line="32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4、</w:t>
            </w:r>
            <w:r>
              <w:rPr>
                <w:rFonts w:hint="eastAsia" w:ascii="仿宋" w:hAnsi="仿宋" w:eastAsia="仿宋" w:cs="仿宋"/>
                <w:color w:val="auto"/>
                <w:sz w:val="21"/>
                <w:szCs w:val="21"/>
                <w:highlight w:val="none"/>
              </w:rPr>
              <w:t>系统操作能沿用原有系统的某些使用风格、保留原有系统某些操作习惯进行</w:t>
            </w:r>
            <w:r>
              <w:rPr>
                <w:rFonts w:hint="eastAsia" w:ascii="仿宋" w:hAnsi="仿宋" w:eastAsia="仿宋" w:cs="仿宋"/>
                <w:color w:val="auto"/>
                <w:sz w:val="21"/>
                <w:szCs w:val="21"/>
                <w:highlight w:val="none"/>
                <w:lang w:eastAsia="zh-CN"/>
              </w:rPr>
              <w:t>评审，</w:t>
            </w:r>
            <w:r>
              <w:rPr>
                <w:rFonts w:hint="eastAsia" w:ascii="仿宋" w:hAnsi="仿宋" w:eastAsia="仿宋" w:cs="仿宋"/>
                <w:color w:val="auto"/>
                <w:sz w:val="21"/>
                <w:szCs w:val="21"/>
                <w:highlight w:val="none"/>
              </w:rPr>
              <w:t>优</w:t>
            </w:r>
            <w:r>
              <w:rPr>
                <w:rFonts w:hint="eastAsia" w:ascii="仿宋" w:hAnsi="仿宋" w:eastAsia="仿宋" w:cs="仿宋"/>
                <w:color w:val="auto"/>
                <w:sz w:val="21"/>
                <w:szCs w:val="21"/>
                <w:highlight w:val="none"/>
                <w:lang w:eastAsia="zh-CN"/>
              </w:rPr>
              <w:t>得</w:t>
            </w:r>
            <w:r>
              <w:rPr>
                <w:rFonts w:hint="eastAsia" w:ascii="仿宋" w:hAnsi="仿宋" w:eastAsia="仿宋" w:cs="仿宋"/>
                <w:color w:val="auto"/>
                <w:sz w:val="21"/>
                <w:szCs w:val="21"/>
                <w:highlight w:val="none"/>
                <w:lang w:val="en-US" w:eastAsia="zh-CN"/>
              </w:rPr>
              <w:t>4.1-5.0</w:t>
            </w:r>
            <w:r>
              <w:rPr>
                <w:rFonts w:hint="eastAsia" w:ascii="仿宋" w:hAnsi="仿宋" w:eastAsia="仿宋" w:cs="仿宋"/>
                <w:color w:val="auto"/>
                <w:sz w:val="21"/>
                <w:szCs w:val="21"/>
                <w:highlight w:val="none"/>
              </w:rPr>
              <w:t>分，良</w:t>
            </w:r>
            <w:r>
              <w:rPr>
                <w:rFonts w:hint="eastAsia" w:ascii="仿宋" w:hAnsi="仿宋" w:eastAsia="仿宋" w:cs="仿宋"/>
                <w:color w:val="auto"/>
                <w:sz w:val="21"/>
                <w:szCs w:val="21"/>
                <w:highlight w:val="none"/>
                <w:lang w:eastAsia="zh-CN"/>
              </w:rPr>
              <w:t>得</w:t>
            </w:r>
            <w:r>
              <w:rPr>
                <w:rFonts w:hint="eastAsia" w:ascii="仿宋" w:hAnsi="仿宋" w:eastAsia="仿宋" w:cs="仿宋"/>
                <w:color w:val="auto"/>
                <w:sz w:val="21"/>
                <w:szCs w:val="21"/>
                <w:highlight w:val="none"/>
                <w:lang w:val="en-US" w:eastAsia="zh-CN"/>
              </w:rPr>
              <w:t>2.1-4.0</w:t>
            </w:r>
            <w:r>
              <w:rPr>
                <w:rFonts w:hint="eastAsia" w:ascii="仿宋" w:hAnsi="仿宋" w:eastAsia="仿宋" w:cs="仿宋"/>
                <w:color w:val="auto"/>
                <w:sz w:val="21"/>
                <w:szCs w:val="21"/>
                <w:highlight w:val="none"/>
              </w:rPr>
              <w:t>分，一般</w:t>
            </w:r>
            <w:r>
              <w:rPr>
                <w:rFonts w:hint="eastAsia" w:ascii="仿宋" w:hAnsi="仿宋" w:eastAsia="仿宋" w:cs="仿宋"/>
                <w:color w:val="auto"/>
                <w:sz w:val="21"/>
                <w:szCs w:val="21"/>
                <w:highlight w:val="none"/>
                <w:lang w:val="en-US" w:eastAsia="zh-CN"/>
              </w:rPr>
              <w:t>0.1-2.0</w:t>
            </w:r>
            <w:r>
              <w:rPr>
                <w:rFonts w:hint="eastAsia" w:ascii="仿宋" w:hAnsi="仿宋" w:eastAsia="仿宋" w:cs="仿宋"/>
                <w:color w:val="auto"/>
                <w:sz w:val="21"/>
                <w:szCs w:val="21"/>
                <w:highlight w:val="none"/>
              </w:rPr>
              <w:t>分。</w:t>
            </w:r>
          </w:p>
        </w:tc>
        <w:tc>
          <w:tcPr>
            <w:tcW w:w="755" w:type="dxa"/>
            <w:noWrap/>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jc w:val="center"/>
        </w:trPr>
        <w:tc>
          <w:tcPr>
            <w:tcW w:w="784" w:type="dxa"/>
            <w:vMerge w:val="continue"/>
            <w:noWrap/>
            <w:vAlign w:val="center"/>
          </w:tcPr>
          <w:p>
            <w:pPr>
              <w:keepNext w:val="0"/>
              <w:keepLines w:val="0"/>
              <w:pageBreakBefore w:val="0"/>
              <w:kinsoku/>
              <w:wordWrap/>
              <w:overflowPunct/>
              <w:topLinePunct w:val="0"/>
              <w:autoSpaceDE/>
              <w:autoSpaceDN/>
              <w:bidi w:val="0"/>
              <w:adjustRightInd/>
              <w:snapToGrid w:val="0"/>
              <w:spacing w:line="320" w:lineRule="exact"/>
              <w:textAlignment w:val="auto"/>
              <w:rPr>
                <w:rFonts w:hint="eastAsia" w:ascii="仿宋" w:hAnsi="仿宋" w:eastAsia="仿宋" w:cs="仿宋"/>
                <w:color w:val="auto"/>
                <w:sz w:val="21"/>
                <w:szCs w:val="21"/>
                <w:highlight w:val="none"/>
              </w:rPr>
            </w:pPr>
          </w:p>
        </w:tc>
        <w:tc>
          <w:tcPr>
            <w:tcW w:w="1210" w:type="dxa"/>
            <w:vMerge w:val="continue"/>
            <w:noWrap/>
            <w:vAlign w:val="center"/>
          </w:tcPr>
          <w:p>
            <w:pPr>
              <w:keepNext w:val="0"/>
              <w:keepLines w:val="0"/>
              <w:pageBreakBefore w:val="0"/>
              <w:kinsoku/>
              <w:wordWrap/>
              <w:overflowPunct/>
              <w:topLinePunct w:val="0"/>
              <w:autoSpaceDE/>
              <w:autoSpaceDN/>
              <w:bidi w:val="0"/>
              <w:adjustRightInd/>
              <w:snapToGrid w:val="0"/>
              <w:spacing w:line="320" w:lineRule="exact"/>
              <w:textAlignment w:val="auto"/>
              <w:rPr>
                <w:rFonts w:hint="eastAsia" w:ascii="仿宋" w:hAnsi="仿宋" w:eastAsia="仿宋" w:cs="仿宋"/>
                <w:color w:val="auto"/>
                <w:sz w:val="21"/>
                <w:szCs w:val="21"/>
                <w:highlight w:val="none"/>
              </w:rPr>
            </w:pPr>
          </w:p>
        </w:tc>
        <w:tc>
          <w:tcPr>
            <w:tcW w:w="6405" w:type="dxa"/>
            <w:noWrap/>
            <w:vAlign w:val="center"/>
          </w:tcPr>
          <w:p>
            <w:pPr>
              <w:keepNext w:val="0"/>
              <w:keepLines w:val="0"/>
              <w:pageBreakBefore w:val="0"/>
              <w:kinsoku/>
              <w:wordWrap/>
              <w:overflowPunct/>
              <w:topLinePunct w:val="0"/>
              <w:autoSpaceDE/>
              <w:autoSpaceDN/>
              <w:bidi w:val="0"/>
              <w:adjustRightInd/>
              <w:spacing w:line="320" w:lineRule="exact"/>
              <w:textAlignment w:val="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5、</w:t>
            </w:r>
            <w:r>
              <w:rPr>
                <w:rFonts w:hint="eastAsia" w:ascii="仿宋" w:hAnsi="仿宋" w:eastAsia="仿宋" w:cs="仿宋"/>
                <w:color w:val="auto"/>
                <w:sz w:val="21"/>
                <w:szCs w:val="21"/>
                <w:highlight w:val="none"/>
              </w:rPr>
              <w:t>投标人提供基于现有HIS系统的维护方案</w:t>
            </w:r>
            <w:r>
              <w:rPr>
                <w:rFonts w:hint="eastAsia" w:ascii="仿宋" w:hAnsi="仿宋" w:eastAsia="仿宋" w:cs="仿宋"/>
                <w:color w:val="auto"/>
                <w:sz w:val="21"/>
                <w:szCs w:val="21"/>
                <w:highlight w:val="none"/>
                <w:lang w:eastAsia="zh-CN"/>
              </w:rPr>
              <w:t>的可行性、合理性、完整性等方面进行评审</w:t>
            </w:r>
            <w:r>
              <w:rPr>
                <w:rFonts w:hint="eastAsia" w:ascii="仿宋" w:hAnsi="仿宋" w:eastAsia="仿宋" w:cs="仿宋"/>
                <w:color w:val="auto"/>
                <w:sz w:val="21"/>
                <w:szCs w:val="21"/>
                <w:highlight w:val="none"/>
              </w:rPr>
              <w:t>，优</w:t>
            </w:r>
            <w:r>
              <w:rPr>
                <w:rFonts w:hint="eastAsia" w:ascii="仿宋" w:hAnsi="仿宋" w:eastAsia="仿宋" w:cs="仿宋"/>
                <w:color w:val="auto"/>
                <w:sz w:val="21"/>
                <w:szCs w:val="21"/>
                <w:highlight w:val="none"/>
                <w:lang w:eastAsia="zh-CN"/>
              </w:rPr>
              <w:t>得</w:t>
            </w:r>
            <w:r>
              <w:rPr>
                <w:rFonts w:hint="eastAsia" w:ascii="仿宋" w:hAnsi="仿宋" w:eastAsia="仿宋" w:cs="仿宋"/>
                <w:color w:val="auto"/>
                <w:sz w:val="21"/>
                <w:szCs w:val="21"/>
                <w:highlight w:val="none"/>
                <w:lang w:val="en-US" w:eastAsia="zh-CN"/>
              </w:rPr>
              <w:t>4.1-5.0</w:t>
            </w:r>
            <w:r>
              <w:rPr>
                <w:rFonts w:hint="eastAsia" w:ascii="仿宋" w:hAnsi="仿宋" w:eastAsia="仿宋" w:cs="仿宋"/>
                <w:color w:val="auto"/>
                <w:sz w:val="21"/>
                <w:szCs w:val="21"/>
                <w:highlight w:val="none"/>
              </w:rPr>
              <w:t>分，良</w:t>
            </w:r>
            <w:r>
              <w:rPr>
                <w:rFonts w:hint="eastAsia" w:ascii="仿宋" w:hAnsi="仿宋" w:eastAsia="仿宋" w:cs="仿宋"/>
                <w:color w:val="auto"/>
                <w:sz w:val="21"/>
                <w:szCs w:val="21"/>
                <w:highlight w:val="none"/>
                <w:lang w:eastAsia="zh-CN"/>
              </w:rPr>
              <w:t>得</w:t>
            </w:r>
            <w:r>
              <w:rPr>
                <w:rFonts w:hint="eastAsia" w:ascii="仿宋" w:hAnsi="仿宋" w:eastAsia="仿宋" w:cs="仿宋"/>
                <w:color w:val="auto"/>
                <w:sz w:val="21"/>
                <w:szCs w:val="21"/>
                <w:highlight w:val="none"/>
                <w:lang w:val="en-US" w:eastAsia="zh-CN"/>
              </w:rPr>
              <w:t>2.1-4.0</w:t>
            </w:r>
            <w:r>
              <w:rPr>
                <w:rFonts w:hint="eastAsia" w:ascii="仿宋" w:hAnsi="仿宋" w:eastAsia="仿宋" w:cs="仿宋"/>
                <w:color w:val="auto"/>
                <w:sz w:val="21"/>
                <w:szCs w:val="21"/>
                <w:highlight w:val="none"/>
              </w:rPr>
              <w:t>分，一般</w:t>
            </w:r>
            <w:r>
              <w:rPr>
                <w:rFonts w:hint="eastAsia" w:ascii="仿宋" w:hAnsi="仿宋" w:eastAsia="仿宋" w:cs="仿宋"/>
                <w:color w:val="auto"/>
                <w:sz w:val="21"/>
                <w:szCs w:val="21"/>
                <w:highlight w:val="none"/>
                <w:lang w:val="en-US" w:eastAsia="zh-CN"/>
              </w:rPr>
              <w:t>0.1-2.0</w:t>
            </w:r>
            <w:r>
              <w:rPr>
                <w:rFonts w:hint="eastAsia" w:ascii="仿宋" w:hAnsi="仿宋" w:eastAsia="仿宋" w:cs="仿宋"/>
                <w:color w:val="auto"/>
                <w:sz w:val="21"/>
                <w:szCs w:val="21"/>
                <w:highlight w:val="none"/>
              </w:rPr>
              <w:t>分</w:t>
            </w:r>
            <w:r>
              <w:rPr>
                <w:rFonts w:hint="eastAsia" w:ascii="仿宋" w:hAnsi="仿宋" w:eastAsia="仿宋" w:cs="仿宋"/>
                <w:color w:val="auto"/>
                <w:sz w:val="21"/>
                <w:szCs w:val="21"/>
                <w:highlight w:val="none"/>
                <w:lang w:eastAsia="zh-CN"/>
              </w:rPr>
              <w:t>。</w:t>
            </w:r>
          </w:p>
        </w:tc>
        <w:tc>
          <w:tcPr>
            <w:tcW w:w="755" w:type="dxa"/>
            <w:noWrap/>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7" w:hRule="atLeast"/>
          <w:jc w:val="center"/>
        </w:trPr>
        <w:tc>
          <w:tcPr>
            <w:tcW w:w="784" w:type="dxa"/>
            <w:vMerge w:val="restart"/>
            <w:noWrap/>
            <w:vAlign w:val="center"/>
          </w:tcPr>
          <w:p>
            <w:pPr>
              <w:keepNext w:val="0"/>
              <w:keepLines w:val="0"/>
              <w:pageBreakBefore w:val="0"/>
              <w:kinsoku/>
              <w:wordWrap/>
              <w:overflowPunct/>
              <w:topLinePunct w:val="0"/>
              <w:autoSpaceDE/>
              <w:autoSpaceDN/>
              <w:bidi w:val="0"/>
              <w:adjustRightInd/>
              <w:snapToGrid w:val="0"/>
              <w:spacing w:line="32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w:t>
            </w:r>
          </w:p>
        </w:tc>
        <w:tc>
          <w:tcPr>
            <w:tcW w:w="1210" w:type="dxa"/>
            <w:vMerge w:val="restart"/>
            <w:noWrap/>
            <w:vAlign w:val="center"/>
          </w:tcPr>
          <w:p>
            <w:pPr>
              <w:keepNext w:val="0"/>
              <w:keepLines w:val="0"/>
              <w:pageBreakBefore w:val="0"/>
              <w:kinsoku/>
              <w:wordWrap/>
              <w:overflowPunct/>
              <w:topLinePunct w:val="0"/>
              <w:autoSpaceDE/>
              <w:autoSpaceDN/>
              <w:bidi w:val="0"/>
              <w:adjustRightInd/>
              <w:snapToGrid w:val="0"/>
              <w:spacing w:line="320" w:lineRule="exact"/>
              <w:jc w:val="center"/>
              <w:textAlignment w:val="auto"/>
              <w:rPr>
                <w:rFonts w:hint="eastAsia" w:ascii="仿宋" w:hAnsi="仿宋" w:eastAsia="仿宋" w:cs="仿宋"/>
                <w:bCs/>
                <w:color w:val="auto"/>
                <w:sz w:val="21"/>
                <w:szCs w:val="21"/>
                <w:highlight w:val="none"/>
              </w:rPr>
            </w:pPr>
            <w:r>
              <w:rPr>
                <w:rFonts w:hint="eastAsia" w:ascii="仿宋" w:hAnsi="仿宋" w:eastAsia="仿宋" w:cs="仿宋"/>
                <w:color w:val="auto"/>
                <w:sz w:val="21"/>
                <w:szCs w:val="21"/>
                <w:highlight w:val="none"/>
              </w:rPr>
              <w:t>组织实施方案（7分）</w:t>
            </w:r>
          </w:p>
        </w:tc>
        <w:tc>
          <w:tcPr>
            <w:tcW w:w="6405" w:type="dxa"/>
            <w:noWrap/>
            <w:vAlign w:val="center"/>
          </w:tcPr>
          <w:p>
            <w:pPr>
              <w:keepNext w:val="0"/>
              <w:keepLines w:val="0"/>
              <w:pageBreakBefore w:val="0"/>
              <w:kinsoku/>
              <w:wordWrap/>
              <w:overflowPunct/>
              <w:topLinePunct w:val="0"/>
              <w:autoSpaceDE/>
              <w:autoSpaceDN/>
              <w:bidi w:val="0"/>
              <w:adjustRightInd/>
              <w:snapToGrid w:val="0"/>
              <w:spacing w:line="32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rPr>
              <w:t>投标人项目组织实施方案合理性等工作安排的可行性进行</w:t>
            </w:r>
            <w:r>
              <w:rPr>
                <w:rFonts w:hint="eastAsia" w:ascii="仿宋" w:hAnsi="仿宋" w:eastAsia="仿宋" w:cs="仿宋"/>
                <w:color w:val="auto"/>
                <w:sz w:val="21"/>
                <w:szCs w:val="21"/>
                <w:highlight w:val="none"/>
                <w:lang w:eastAsia="zh-CN"/>
              </w:rPr>
              <w:t>评审，</w:t>
            </w:r>
            <w:r>
              <w:rPr>
                <w:rFonts w:hint="eastAsia" w:ascii="仿宋" w:hAnsi="仿宋" w:eastAsia="仿宋" w:cs="仿宋"/>
                <w:color w:val="auto"/>
                <w:sz w:val="21"/>
                <w:szCs w:val="21"/>
                <w:highlight w:val="none"/>
              </w:rPr>
              <w:t>优</w:t>
            </w:r>
            <w:r>
              <w:rPr>
                <w:rFonts w:hint="eastAsia" w:ascii="仿宋" w:hAnsi="仿宋" w:eastAsia="仿宋" w:cs="仿宋"/>
                <w:color w:val="auto"/>
                <w:sz w:val="21"/>
                <w:szCs w:val="21"/>
                <w:highlight w:val="none"/>
                <w:lang w:eastAsia="zh-CN"/>
              </w:rPr>
              <w:t>得</w:t>
            </w:r>
            <w:r>
              <w:rPr>
                <w:rFonts w:hint="eastAsia" w:ascii="仿宋" w:hAnsi="仿宋" w:eastAsia="仿宋" w:cs="仿宋"/>
                <w:color w:val="auto"/>
                <w:sz w:val="21"/>
                <w:szCs w:val="21"/>
                <w:highlight w:val="none"/>
                <w:lang w:val="en-US" w:eastAsia="zh-CN"/>
              </w:rPr>
              <w:t>2.1-3.0</w:t>
            </w:r>
            <w:r>
              <w:rPr>
                <w:rFonts w:hint="eastAsia" w:ascii="仿宋" w:hAnsi="仿宋" w:eastAsia="仿宋" w:cs="仿宋"/>
                <w:color w:val="auto"/>
                <w:sz w:val="21"/>
                <w:szCs w:val="21"/>
                <w:highlight w:val="none"/>
              </w:rPr>
              <w:t>分，良</w:t>
            </w:r>
            <w:r>
              <w:rPr>
                <w:rFonts w:hint="eastAsia" w:ascii="仿宋" w:hAnsi="仿宋" w:eastAsia="仿宋" w:cs="仿宋"/>
                <w:color w:val="auto"/>
                <w:sz w:val="21"/>
                <w:szCs w:val="21"/>
                <w:highlight w:val="none"/>
                <w:lang w:eastAsia="zh-CN"/>
              </w:rPr>
              <w:t>得</w:t>
            </w:r>
            <w:r>
              <w:rPr>
                <w:rFonts w:hint="eastAsia" w:ascii="仿宋" w:hAnsi="仿宋" w:eastAsia="仿宋" w:cs="仿宋"/>
                <w:color w:val="auto"/>
                <w:sz w:val="21"/>
                <w:szCs w:val="21"/>
                <w:highlight w:val="none"/>
                <w:lang w:val="en-US" w:eastAsia="zh-CN"/>
              </w:rPr>
              <w:t>1.1-2.0</w:t>
            </w:r>
            <w:r>
              <w:rPr>
                <w:rFonts w:hint="eastAsia" w:ascii="仿宋" w:hAnsi="仿宋" w:eastAsia="仿宋" w:cs="仿宋"/>
                <w:color w:val="auto"/>
                <w:sz w:val="21"/>
                <w:szCs w:val="21"/>
                <w:highlight w:val="none"/>
              </w:rPr>
              <w:t>分，一般</w:t>
            </w:r>
            <w:r>
              <w:rPr>
                <w:rFonts w:hint="eastAsia" w:ascii="仿宋" w:hAnsi="仿宋" w:eastAsia="仿宋" w:cs="仿宋"/>
                <w:color w:val="auto"/>
                <w:sz w:val="21"/>
                <w:szCs w:val="21"/>
                <w:highlight w:val="none"/>
                <w:lang w:val="en-US" w:eastAsia="zh-CN"/>
              </w:rPr>
              <w:t>0.1-1.0</w:t>
            </w:r>
            <w:r>
              <w:rPr>
                <w:rFonts w:hint="eastAsia" w:ascii="仿宋" w:hAnsi="仿宋" w:eastAsia="仿宋" w:cs="仿宋"/>
                <w:color w:val="auto"/>
                <w:sz w:val="21"/>
                <w:szCs w:val="21"/>
                <w:highlight w:val="none"/>
              </w:rPr>
              <w:t>分。</w:t>
            </w:r>
          </w:p>
        </w:tc>
        <w:tc>
          <w:tcPr>
            <w:tcW w:w="755" w:type="dxa"/>
            <w:noWrap/>
            <w:vAlign w:val="center"/>
          </w:tcPr>
          <w:p>
            <w:pPr>
              <w:keepNext w:val="0"/>
              <w:keepLines w:val="0"/>
              <w:pageBreakBefore w:val="0"/>
              <w:kinsoku/>
              <w:wordWrap/>
              <w:overflowPunct/>
              <w:topLinePunct w:val="0"/>
              <w:autoSpaceDE/>
              <w:autoSpaceDN/>
              <w:bidi w:val="0"/>
              <w:adjustRightInd/>
              <w:snapToGrid w:val="0"/>
              <w:spacing w:line="32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7" w:hRule="atLeast"/>
          <w:jc w:val="center"/>
        </w:trPr>
        <w:tc>
          <w:tcPr>
            <w:tcW w:w="784" w:type="dxa"/>
            <w:vMerge w:val="continue"/>
            <w:noWrap/>
            <w:vAlign w:val="center"/>
          </w:tcPr>
          <w:p>
            <w:pPr>
              <w:keepNext w:val="0"/>
              <w:keepLines w:val="0"/>
              <w:pageBreakBefore w:val="0"/>
              <w:kinsoku/>
              <w:wordWrap/>
              <w:overflowPunct/>
              <w:topLinePunct w:val="0"/>
              <w:autoSpaceDE/>
              <w:autoSpaceDN/>
              <w:bidi w:val="0"/>
              <w:adjustRightInd/>
              <w:snapToGrid w:val="0"/>
              <w:spacing w:line="320" w:lineRule="exact"/>
              <w:jc w:val="center"/>
              <w:textAlignment w:val="auto"/>
              <w:rPr>
                <w:rFonts w:hint="eastAsia" w:ascii="仿宋" w:hAnsi="仿宋" w:eastAsia="仿宋" w:cs="仿宋"/>
                <w:color w:val="auto"/>
                <w:sz w:val="21"/>
                <w:szCs w:val="21"/>
                <w:highlight w:val="none"/>
              </w:rPr>
            </w:pPr>
          </w:p>
        </w:tc>
        <w:tc>
          <w:tcPr>
            <w:tcW w:w="1210" w:type="dxa"/>
            <w:vMerge w:val="continue"/>
            <w:noWrap/>
            <w:vAlign w:val="center"/>
          </w:tcPr>
          <w:p>
            <w:pPr>
              <w:keepNext w:val="0"/>
              <w:keepLines w:val="0"/>
              <w:pageBreakBefore w:val="0"/>
              <w:kinsoku/>
              <w:wordWrap/>
              <w:overflowPunct/>
              <w:topLinePunct w:val="0"/>
              <w:autoSpaceDE/>
              <w:autoSpaceDN/>
              <w:bidi w:val="0"/>
              <w:adjustRightInd/>
              <w:snapToGrid w:val="0"/>
              <w:spacing w:line="320" w:lineRule="exact"/>
              <w:jc w:val="center"/>
              <w:textAlignment w:val="auto"/>
              <w:rPr>
                <w:rFonts w:hint="eastAsia" w:ascii="仿宋" w:hAnsi="仿宋" w:eastAsia="仿宋" w:cs="仿宋"/>
                <w:color w:val="auto"/>
                <w:sz w:val="21"/>
                <w:szCs w:val="21"/>
                <w:highlight w:val="none"/>
              </w:rPr>
            </w:pPr>
          </w:p>
        </w:tc>
        <w:tc>
          <w:tcPr>
            <w:tcW w:w="6405" w:type="dxa"/>
            <w:noWrap/>
            <w:vAlign w:val="center"/>
          </w:tcPr>
          <w:p>
            <w:pPr>
              <w:keepNext w:val="0"/>
              <w:keepLines w:val="0"/>
              <w:pageBreakBefore w:val="0"/>
              <w:kinsoku/>
              <w:wordWrap/>
              <w:overflowPunct/>
              <w:topLinePunct w:val="0"/>
              <w:autoSpaceDE/>
              <w:autoSpaceDN/>
              <w:bidi w:val="0"/>
              <w:adjustRightInd/>
              <w:snapToGrid w:val="0"/>
              <w:spacing w:line="32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拟投入本项目的管理与作业人员总数、作业设备、软件的综合水平情况</w:t>
            </w:r>
            <w:r>
              <w:rPr>
                <w:rFonts w:hint="eastAsia" w:ascii="仿宋" w:hAnsi="仿宋" w:eastAsia="仿宋" w:cs="仿宋"/>
                <w:color w:val="auto"/>
                <w:sz w:val="21"/>
                <w:szCs w:val="21"/>
                <w:highlight w:val="none"/>
                <w:lang w:eastAsia="zh-CN"/>
              </w:rPr>
              <w:t>进行评审，</w:t>
            </w:r>
            <w:r>
              <w:rPr>
                <w:rFonts w:hint="eastAsia" w:ascii="仿宋" w:hAnsi="仿宋" w:eastAsia="仿宋" w:cs="仿宋"/>
                <w:color w:val="auto"/>
                <w:sz w:val="21"/>
                <w:szCs w:val="21"/>
                <w:highlight w:val="none"/>
              </w:rPr>
              <w:t>优得</w:t>
            </w:r>
            <w:r>
              <w:rPr>
                <w:rFonts w:hint="eastAsia" w:ascii="仿宋" w:hAnsi="仿宋" w:eastAsia="仿宋" w:cs="仿宋"/>
                <w:color w:val="auto"/>
                <w:sz w:val="21"/>
                <w:szCs w:val="21"/>
                <w:highlight w:val="none"/>
                <w:lang w:val="en-US" w:eastAsia="zh-CN"/>
              </w:rPr>
              <w:t>1.6-</w:t>
            </w:r>
            <w:r>
              <w:rPr>
                <w:rFonts w:hint="eastAsia" w:ascii="仿宋" w:hAnsi="仿宋" w:eastAsia="仿宋" w:cs="仿宋"/>
                <w:color w:val="auto"/>
                <w:sz w:val="21"/>
                <w:szCs w:val="21"/>
                <w:highlight w:val="none"/>
              </w:rPr>
              <w:t>2</w:t>
            </w:r>
            <w:r>
              <w:rPr>
                <w:rFonts w:hint="eastAsia" w:ascii="仿宋" w:hAnsi="仿宋" w:eastAsia="仿宋" w:cs="仿宋"/>
                <w:color w:val="auto"/>
                <w:sz w:val="21"/>
                <w:szCs w:val="21"/>
                <w:highlight w:val="none"/>
                <w:lang w:val="en-US" w:eastAsia="zh-CN"/>
              </w:rPr>
              <w:t>.0</w:t>
            </w:r>
            <w:r>
              <w:rPr>
                <w:rFonts w:hint="eastAsia" w:ascii="仿宋" w:hAnsi="仿宋" w:eastAsia="仿宋" w:cs="仿宋"/>
                <w:color w:val="auto"/>
                <w:sz w:val="21"/>
                <w:szCs w:val="21"/>
                <w:highlight w:val="none"/>
              </w:rPr>
              <w:t>分，良得</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val="en-US" w:eastAsia="zh-CN"/>
              </w:rPr>
              <w:t>1.5</w:t>
            </w:r>
            <w:r>
              <w:rPr>
                <w:rFonts w:hint="eastAsia" w:ascii="仿宋" w:hAnsi="仿宋" w:eastAsia="仿宋" w:cs="仿宋"/>
                <w:color w:val="auto"/>
                <w:sz w:val="21"/>
                <w:szCs w:val="21"/>
                <w:highlight w:val="none"/>
              </w:rPr>
              <w:t>分，一般</w:t>
            </w:r>
            <w:r>
              <w:rPr>
                <w:rFonts w:hint="eastAsia" w:ascii="仿宋" w:hAnsi="仿宋" w:eastAsia="仿宋" w:cs="仿宋"/>
                <w:color w:val="auto"/>
                <w:sz w:val="21"/>
                <w:szCs w:val="21"/>
                <w:highlight w:val="none"/>
                <w:lang w:val="en-US" w:eastAsia="zh-CN"/>
              </w:rPr>
              <w:t>0-1.0分</w:t>
            </w:r>
            <w:r>
              <w:rPr>
                <w:rFonts w:hint="eastAsia" w:ascii="仿宋" w:hAnsi="仿宋" w:eastAsia="仿宋" w:cs="仿宋"/>
                <w:color w:val="auto"/>
                <w:sz w:val="21"/>
                <w:szCs w:val="21"/>
                <w:highlight w:val="none"/>
              </w:rPr>
              <w:t>。</w:t>
            </w:r>
          </w:p>
        </w:tc>
        <w:tc>
          <w:tcPr>
            <w:tcW w:w="755" w:type="dxa"/>
            <w:noWrap/>
            <w:vAlign w:val="center"/>
          </w:tcPr>
          <w:p>
            <w:pPr>
              <w:keepNext w:val="0"/>
              <w:keepLines w:val="0"/>
              <w:pageBreakBefore w:val="0"/>
              <w:kinsoku/>
              <w:wordWrap/>
              <w:overflowPunct/>
              <w:topLinePunct w:val="0"/>
              <w:autoSpaceDE/>
              <w:autoSpaceDN/>
              <w:bidi w:val="0"/>
              <w:adjustRightInd/>
              <w:snapToGrid w:val="0"/>
              <w:spacing w:line="32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jc w:val="center"/>
        </w:trPr>
        <w:tc>
          <w:tcPr>
            <w:tcW w:w="784" w:type="dxa"/>
            <w:vMerge w:val="continue"/>
            <w:noWrap/>
            <w:vAlign w:val="center"/>
          </w:tcPr>
          <w:p>
            <w:pPr>
              <w:keepNext w:val="0"/>
              <w:keepLines w:val="0"/>
              <w:pageBreakBefore w:val="0"/>
              <w:kinsoku/>
              <w:wordWrap/>
              <w:overflowPunct/>
              <w:topLinePunct w:val="0"/>
              <w:autoSpaceDE/>
              <w:autoSpaceDN/>
              <w:bidi w:val="0"/>
              <w:adjustRightInd/>
              <w:snapToGrid w:val="0"/>
              <w:spacing w:line="320" w:lineRule="exact"/>
              <w:jc w:val="center"/>
              <w:textAlignment w:val="auto"/>
              <w:rPr>
                <w:rFonts w:hint="eastAsia" w:ascii="仿宋" w:hAnsi="仿宋" w:eastAsia="仿宋" w:cs="仿宋"/>
                <w:color w:val="auto"/>
                <w:sz w:val="21"/>
                <w:szCs w:val="21"/>
                <w:highlight w:val="none"/>
              </w:rPr>
            </w:pPr>
          </w:p>
        </w:tc>
        <w:tc>
          <w:tcPr>
            <w:tcW w:w="1210" w:type="dxa"/>
            <w:vMerge w:val="continue"/>
            <w:noWrap/>
            <w:vAlign w:val="center"/>
          </w:tcPr>
          <w:p>
            <w:pPr>
              <w:keepNext w:val="0"/>
              <w:keepLines w:val="0"/>
              <w:pageBreakBefore w:val="0"/>
              <w:kinsoku/>
              <w:wordWrap/>
              <w:overflowPunct/>
              <w:topLinePunct w:val="0"/>
              <w:autoSpaceDE/>
              <w:autoSpaceDN/>
              <w:bidi w:val="0"/>
              <w:adjustRightInd/>
              <w:snapToGrid w:val="0"/>
              <w:spacing w:line="320" w:lineRule="exact"/>
              <w:jc w:val="center"/>
              <w:textAlignment w:val="auto"/>
              <w:rPr>
                <w:rFonts w:hint="eastAsia" w:ascii="仿宋" w:hAnsi="仿宋" w:eastAsia="仿宋" w:cs="仿宋"/>
                <w:color w:val="auto"/>
                <w:sz w:val="21"/>
                <w:szCs w:val="21"/>
                <w:highlight w:val="none"/>
              </w:rPr>
            </w:pPr>
          </w:p>
        </w:tc>
        <w:tc>
          <w:tcPr>
            <w:tcW w:w="6405" w:type="dxa"/>
            <w:noWrap/>
            <w:vAlign w:val="center"/>
          </w:tcPr>
          <w:p>
            <w:pPr>
              <w:keepNext w:val="0"/>
              <w:keepLines w:val="0"/>
              <w:pageBreakBefore w:val="0"/>
              <w:kinsoku/>
              <w:wordWrap/>
              <w:overflowPunct/>
              <w:topLinePunct w:val="0"/>
              <w:autoSpaceDE/>
              <w:autoSpaceDN/>
              <w:bidi w:val="0"/>
              <w:adjustRightInd/>
              <w:snapToGrid w:val="0"/>
              <w:spacing w:line="32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培训计划的安排与实施是否合理进行</w:t>
            </w:r>
            <w:r>
              <w:rPr>
                <w:rFonts w:hint="eastAsia" w:ascii="仿宋" w:hAnsi="仿宋" w:eastAsia="仿宋" w:cs="仿宋"/>
                <w:color w:val="auto"/>
                <w:sz w:val="21"/>
                <w:szCs w:val="21"/>
                <w:highlight w:val="none"/>
                <w:lang w:eastAsia="zh-CN"/>
              </w:rPr>
              <w:t>评审，</w:t>
            </w:r>
            <w:r>
              <w:rPr>
                <w:rFonts w:hint="eastAsia" w:ascii="仿宋" w:hAnsi="仿宋" w:eastAsia="仿宋" w:cs="仿宋"/>
                <w:color w:val="auto"/>
                <w:sz w:val="21"/>
                <w:szCs w:val="21"/>
                <w:highlight w:val="none"/>
              </w:rPr>
              <w:t>优得</w:t>
            </w:r>
            <w:r>
              <w:rPr>
                <w:rFonts w:hint="eastAsia" w:ascii="仿宋" w:hAnsi="仿宋" w:eastAsia="仿宋" w:cs="仿宋"/>
                <w:color w:val="auto"/>
                <w:sz w:val="21"/>
                <w:szCs w:val="21"/>
                <w:highlight w:val="none"/>
                <w:lang w:val="en-US" w:eastAsia="zh-CN"/>
              </w:rPr>
              <w:t>1.6-</w:t>
            </w:r>
            <w:r>
              <w:rPr>
                <w:rFonts w:hint="eastAsia" w:ascii="仿宋" w:hAnsi="仿宋" w:eastAsia="仿宋" w:cs="仿宋"/>
                <w:color w:val="auto"/>
                <w:sz w:val="21"/>
                <w:szCs w:val="21"/>
                <w:highlight w:val="none"/>
              </w:rPr>
              <w:t>2</w:t>
            </w:r>
            <w:r>
              <w:rPr>
                <w:rFonts w:hint="eastAsia" w:ascii="仿宋" w:hAnsi="仿宋" w:eastAsia="仿宋" w:cs="仿宋"/>
                <w:color w:val="auto"/>
                <w:sz w:val="21"/>
                <w:szCs w:val="21"/>
                <w:highlight w:val="none"/>
                <w:lang w:val="en-US" w:eastAsia="zh-CN"/>
              </w:rPr>
              <w:t>.0</w:t>
            </w:r>
            <w:r>
              <w:rPr>
                <w:rFonts w:hint="eastAsia" w:ascii="仿宋" w:hAnsi="仿宋" w:eastAsia="仿宋" w:cs="仿宋"/>
                <w:color w:val="auto"/>
                <w:sz w:val="21"/>
                <w:szCs w:val="21"/>
                <w:highlight w:val="none"/>
              </w:rPr>
              <w:t>分，良得</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val="en-US" w:eastAsia="zh-CN"/>
              </w:rPr>
              <w:t>1.5</w:t>
            </w:r>
            <w:r>
              <w:rPr>
                <w:rFonts w:hint="eastAsia" w:ascii="仿宋" w:hAnsi="仿宋" w:eastAsia="仿宋" w:cs="仿宋"/>
                <w:color w:val="auto"/>
                <w:sz w:val="21"/>
                <w:szCs w:val="21"/>
                <w:highlight w:val="none"/>
              </w:rPr>
              <w:t>分，一般</w:t>
            </w:r>
            <w:r>
              <w:rPr>
                <w:rFonts w:hint="eastAsia" w:ascii="仿宋" w:hAnsi="仿宋" w:eastAsia="仿宋" w:cs="仿宋"/>
                <w:color w:val="auto"/>
                <w:sz w:val="21"/>
                <w:szCs w:val="21"/>
                <w:highlight w:val="none"/>
                <w:lang w:val="en-US" w:eastAsia="zh-CN"/>
              </w:rPr>
              <w:t>0-1.0分</w:t>
            </w:r>
            <w:r>
              <w:rPr>
                <w:rFonts w:hint="eastAsia" w:ascii="仿宋" w:hAnsi="仿宋" w:eastAsia="仿宋" w:cs="仿宋"/>
                <w:color w:val="auto"/>
                <w:sz w:val="21"/>
                <w:szCs w:val="21"/>
                <w:highlight w:val="none"/>
              </w:rPr>
              <w:t>。</w:t>
            </w:r>
          </w:p>
        </w:tc>
        <w:tc>
          <w:tcPr>
            <w:tcW w:w="755" w:type="dxa"/>
            <w:noWrap/>
            <w:vAlign w:val="center"/>
          </w:tcPr>
          <w:p>
            <w:pPr>
              <w:keepNext w:val="0"/>
              <w:keepLines w:val="0"/>
              <w:pageBreakBefore w:val="0"/>
              <w:kinsoku/>
              <w:wordWrap/>
              <w:overflowPunct/>
              <w:topLinePunct w:val="0"/>
              <w:autoSpaceDE/>
              <w:autoSpaceDN/>
              <w:bidi w:val="0"/>
              <w:adjustRightInd/>
              <w:snapToGrid w:val="0"/>
              <w:spacing w:line="32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0" w:hRule="atLeast"/>
          <w:jc w:val="center"/>
        </w:trPr>
        <w:tc>
          <w:tcPr>
            <w:tcW w:w="784" w:type="dxa"/>
            <w:noWrap/>
            <w:vAlign w:val="center"/>
          </w:tcPr>
          <w:p>
            <w:pPr>
              <w:keepNext w:val="0"/>
              <w:keepLines w:val="0"/>
              <w:pageBreakBefore w:val="0"/>
              <w:kinsoku/>
              <w:wordWrap/>
              <w:overflowPunct/>
              <w:topLinePunct w:val="0"/>
              <w:autoSpaceDE/>
              <w:autoSpaceDN/>
              <w:bidi w:val="0"/>
              <w:adjustRightInd/>
              <w:snapToGrid w:val="0"/>
              <w:spacing w:line="32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w:t>
            </w:r>
          </w:p>
        </w:tc>
        <w:tc>
          <w:tcPr>
            <w:tcW w:w="1210" w:type="dxa"/>
            <w:noWrap/>
            <w:vAlign w:val="center"/>
          </w:tcPr>
          <w:p>
            <w:pPr>
              <w:keepNext w:val="0"/>
              <w:keepLines w:val="0"/>
              <w:pageBreakBefore w:val="0"/>
              <w:kinsoku/>
              <w:wordWrap/>
              <w:overflowPunct/>
              <w:topLinePunct w:val="0"/>
              <w:autoSpaceDE/>
              <w:autoSpaceDN/>
              <w:bidi w:val="0"/>
              <w:adjustRightInd/>
              <w:snapToGrid w:val="0"/>
              <w:spacing w:line="320" w:lineRule="exact"/>
              <w:jc w:val="center"/>
              <w:textAlignment w:val="auto"/>
              <w:rPr>
                <w:rFonts w:hint="eastAsia" w:ascii="仿宋" w:hAnsi="仿宋" w:eastAsia="仿宋" w:cs="仿宋"/>
                <w:bCs/>
                <w:color w:val="auto"/>
                <w:sz w:val="21"/>
                <w:szCs w:val="21"/>
                <w:highlight w:val="none"/>
              </w:rPr>
            </w:pPr>
            <w:r>
              <w:rPr>
                <w:rFonts w:hint="eastAsia" w:ascii="仿宋" w:hAnsi="仿宋" w:eastAsia="仿宋" w:cs="仿宋"/>
                <w:color w:val="auto"/>
                <w:sz w:val="21"/>
                <w:szCs w:val="21"/>
                <w:highlight w:val="none"/>
              </w:rPr>
              <w:t>售后服务方案情况（4分）</w:t>
            </w:r>
          </w:p>
        </w:tc>
        <w:tc>
          <w:tcPr>
            <w:tcW w:w="6405" w:type="dxa"/>
            <w:noWrap/>
            <w:vAlign w:val="center"/>
          </w:tcPr>
          <w:p>
            <w:pPr>
              <w:keepNext w:val="0"/>
              <w:keepLines w:val="0"/>
              <w:pageBreakBefore w:val="0"/>
              <w:kinsoku/>
              <w:wordWrap/>
              <w:overflowPunct/>
              <w:topLinePunct w:val="0"/>
              <w:autoSpaceDE/>
              <w:autoSpaceDN/>
              <w:bidi w:val="0"/>
              <w:adjustRightInd/>
              <w:snapToGrid w:val="0"/>
              <w:spacing w:line="32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根据投标人所提供的售后服务方案,对本地化的服务，服务承诺的保障机制，技术服务培训计划，售后服务技术和维护能力，升级服务，对故障的响应，解决问题的方案，维护人员和服务机构的设立情况，对其服务承诺的可行性、可靠性、完整性等</w:t>
            </w:r>
            <w:r>
              <w:rPr>
                <w:rFonts w:hint="eastAsia" w:ascii="仿宋" w:hAnsi="仿宋" w:eastAsia="仿宋" w:cs="仿宋"/>
                <w:color w:val="auto"/>
                <w:sz w:val="21"/>
                <w:szCs w:val="21"/>
                <w:highlight w:val="none"/>
                <w:lang w:eastAsia="zh-CN"/>
              </w:rPr>
              <w:t>方面</w:t>
            </w:r>
            <w:r>
              <w:rPr>
                <w:rFonts w:hint="eastAsia" w:ascii="仿宋" w:hAnsi="仿宋" w:eastAsia="仿宋" w:cs="仿宋"/>
                <w:color w:val="auto"/>
                <w:sz w:val="21"/>
                <w:szCs w:val="21"/>
                <w:highlight w:val="none"/>
              </w:rPr>
              <w:t>进行</w:t>
            </w:r>
            <w:r>
              <w:rPr>
                <w:rFonts w:hint="eastAsia" w:ascii="仿宋" w:hAnsi="仿宋" w:eastAsia="仿宋" w:cs="仿宋"/>
                <w:color w:val="auto"/>
                <w:sz w:val="21"/>
                <w:szCs w:val="21"/>
                <w:highlight w:val="none"/>
                <w:lang w:eastAsia="zh-CN"/>
              </w:rPr>
              <w:t>综合评审，</w:t>
            </w:r>
            <w:r>
              <w:rPr>
                <w:rFonts w:hint="eastAsia" w:ascii="仿宋" w:hAnsi="仿宋" w:eastAsia="仿宋" w:cs="仿宋"/>
                <w:color w:val="auto"/>
                <w:kern w:val="0"/>
                <w:sz w:val="21"/>
                <w:szCs w:val="21"/>
                <w:highlight w:val="none"/>
              </w:rPr>
              <w:t>优得</w:t>
            </w:r>
            <w:r>
              <w:rPr>
                <w:rFonts w:hint="eastAsia" w:ascii="仿宋" w:hAnsi="仿宋" w:eastAsia="仿宋" w:cs="仿宋"/>
                <w:color w:val="auto"/>
                <w:kern w:val="0"/>
                <w:sz w:val="21"/>
                <w:szCs w:val="21"/>
                <w:highlight w:val="none"/>
                <w:lang w:val="en-US" w:eastAsia="zh-CN"/>
              </w:rPr>
              <w:t>3.1-4.0</w:t>
            </w:r>
            <w:r>
              <w:rPr>
                <w:rFonts w:hint="eastAsia" w:ascii="仿宋" w:hAnsi="仿宋" w:eastAsia="仿宋" w:cs="仿宋"/>
                <w:color w:val="auto"/>
                <w:kern w:val="0"/>
                <w:sz w:val="21"/>
                <w:szCs w:val="21"/>
                <w:highlight w:val="none"/>
              </w:rPr>
              <w:t>分，良得</w:t>
            </w:r>
            <w:r>
              <w:rPr>
                <w:rFonts w:hint="eastAsia" w:ascii="仿宋" w:hAnsi="仿宋" w:eastAsia="仿宋" w:cs="仿宋"/>
                <w:color w:val="auto"/>
                <w:kern w:val="0"/>
                <w:sz w:val="21"/>
                <w:szCs w:val="21"/>
                <w:highlight w:val="none"/>
                <w:lang w:val="en-US" w:eastAsia="zh-CN"/>
              </w:rPr>
              <w:t>2.1-3.0</w:t>
            </w:r>
            <w:r>
              <w:rPr>
                <w:rFonts w:hint="eastAsia" w:ascii="仿宋" w:hAnsi="仿宋" w:eastAsia="仿宋" w:cs="仿宋"/>
                <w:color w:val="auto"/>
                <w:kern w:val="0"/>
                <w:sz w:val="21"/>
                <w:szCs w:val="21"/>
                <w:highlight w:val="none"/>
              </w:rPr>
              <w:t>分，一般得</w:t>
            </w:r>
            <w:r>
              <w:rPr>
                <w:rFonts w:hint="eastAsia" w:ascii="仿宋" w:hAnsi="仿宋" w:eastAsia="仿宋" w:cs="仿宋"/>
                <w:color w:val="auto"/>
                <w:kern w:val="0"/>
                <w:sz w:val="21"/>
                <w:szCs w:val="21"/>
                <w:highlight w:val="none"/>
                <w:lang w:val="en-US" w:eastAsia="zh-CN"/>
              </w:rPr>
              <w:t>0.1-2.0</w:t>
            </w:r>
            <w:r>
              <w:rPr>
                <w:rFonts w:hint="eastAsia" w:ascii="仿宋" w:hAnsi="仿宋" w:eastAsia="仿宋" w:cs="仿宋"/>
                <w:color w:val="auto"/>
                <w:kern w:val="0"/>
                <w:sz w:val="21"/>
                <w:szCs w:val="21"/>
                <w:highlight w:val="none"/>
              </w:rPr>
              <w:t>分。</w:t>
            </w:r>
          </w:p>
        </w:tc>
        <w:tc>
          <w:tcPr>
            <w:tcW w:w="755" w:type="dxa"/>
            <w:noWrap/>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40" w:hRule="atLeast"/>
          <w:jc w:val="center"/>
        </w:trPr>
        <w:tc>
          <w:tcPr>
            <w:tcW w:w="784" w:type="dxa"/>
            <w:vMerge w:val="restart"/>
            <w:noWrap/>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w:t>
            </w:r>
          </w:p>
        </w:tc>
        <w:tc>
          <w:tcPr>
            <w:tcW w:w="1210" w:type="dxa"/>
            <w:vMerge w:val="restart"/>
            <w:noWrap/>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资质证书（</w:t>
            </w:r>
            <w:r>
              <w:rPr>
                <w:rFonts w:hint="eastAsia" w:ascii="仿宋" w:hAnsi="仿宋" w:eastAsia="仿宋" w:cs="仿宋"/>
                <w:color w:val="auto"/>
                <w:sz w:val="21"/>
                <w:szCs w:val="21"/>
                <w:highlight w:val="none"/>
                <w:lang w:val="en-US" w:eastAsia="zh-CN"/>
              </w:rPr>
              <w:t>25</w:t>
            </w:r>
            <w:r>
              <w:rPr>
                <w:rFonts w:hint="eastAsia" w:ascii="仿宋" w:hAnsi="仿宋" w:eastAsia="仿宋" w:cs="仿宋"/>
                <w:color w:val="auto"/>
                <w:sz w:val="21"/>
                <w:szCs w:val="21"/>
                <w:highlight w:val="none"/>
              </w:rPr>
              <w:t>分）</w:t>
            </w:r>
          </w:p>
        </w:tc>
        <w:tc>
          <w:tcPr>
            <w:tcW w:w="6405" w:type="dxa"/>
            <w:noWrap/>
            <w:vAlign w:val="center"/>
          </w:tcPr>
          <w:p>
            <w:pPr>
              <w:keepNext w:val="0"/>
              <w:keepLines w:val="0"/>
              <w:pageBreakBefore w:val="0"/>
              <w:kinsoku/>
              <w:wordWrap/>
              <w:overflowPunct/>
              <w:topLinePunct w:val="0"/>
              <w:autoSpaceDE/>
              <w:autoSpaceDN/>
              <w:bidi w:val="0"/>
              <w:adjustRightInd/>
              <w:snapToGrid w:val="0"/>
              <w:spacing w:line="32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rPr>
              <w:t>投标人拥有信息技术服务运行维护标准符合性证书（ITSS）成熟度等级2级及以上，满足得4分，须提供证书复印件加盖投标人公章</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否则不得分。</w:t>
            </w:r>
          </w:p>
        </w:tc>
        <w:tc>
          <w:tcPr>
            <w:tcW w:w="755" w:type="dxa"/>
            <w:noWrap/>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jc w:val="center"/>
        </w:trPr>
        <w:tc>
          <w:tcPr>
            <w:tcW w:w="784" w:type="dxa"/>
            <w:vMerge w:val="continue"/>
            <w:noWrap/>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eastAsia" w:ascii="仿宋" w:hAnsi="仿宋" w:eastAsia="仿宋" w:cs="仿宋"/>
                <w:color w:val="auto"/>
                <w:sz w:val="21"/>
                <w:szCs w:val="21"/>
                <w:highlight w:val="none"/>
              </w:rPr>
            </w:pPr>
          </w:p>
        </w:tc>
        <w:tc>
          <w:tcPr>
            <w:tcW w:w="1210" w:type="dxa"/>
            <w:vMerge w:val="continue"/>
            <w:noWrap/>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eastAsia" w:ascii="仿宋" w:hAnsi="仿宋" w:eastAsia="仿宋" w:cs="仿宋"/>
                <w:color w:val="auto"/>
                <w:sz w:val="21"/>
                <w:szCs w:val="21"/>
                <w:highlight w:val="none"/>
              </w:rPr>
            </w:pPr>
          </w:p>
        </w:tc>
        <w:tc>
          <w:tcPr>
            <w:tcW w:w="6405" w:type="dxa"/>
            <w:noWrap/>
            <w:vAlign w:val="center"/>
          </w:tcPr>
          <w:p>
            <w:pPr>
              <w:keepNext w:val="0"/>
              <w:keepLines w:val="0"/>
              <w:pageBreakBefore w:val="0"/>
              <w:kinsoku/>
              <w:wordWrap/>
              <w:overflowPunct/>
              <w:topLinePunct w:val="0"/>
              <w:autoSpaceDE/>
              <w:autoSpaceDN/>
              <w:bidi w:val="0"/>
              <w:adjustRightInd/>
              <w:snapToGrid w:val="0"/>
              <w:spacing w:line="32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投标人能够充分考虑本次项目实施的安全性、紧密性、创新性,投标人获得过国家金卡工程获奖证书，满足得5分，须提供证书复印件加盖投标人公章</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否则不得分。</w:t>
            </w:r>
          </w:p>
        </w:tc>
        <w:tc>
          <w:tcPr>
            <w:tcW w:w="755" w:type="dxa"/>
            <w:noWrap/>
            <w:vAlign w:val="center"/>
          </w:tcPr>
          <w:p>
            <w:pPr>
              <w:keepNext w:val="0"/>
              <w:keepLines w:val="0"/>
              <w:pageBreakBefore w:val="0"/>
              <w:kinsoku/>
              <w:wordWrap/>
              <w:overflowPunct/>
              <w:topLinePunct w:val="0"/>
              <w:autoSpaceDE/>
              <w:autoSpaceDN/>
              <w:bidi w:val="0"/>
              <w:adjustRightInd/>
              <w:snapToGrid w:val="0"/>
              <w:spacing w:line="32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784" w:type="dxa"/>
            <w:vMerge w:val="continue"/>
            <w:noWrap/>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eastAsia" w:ascii="仿宋" w:hAnsi="仿宋" w:eastAsia="仿宋" w:cs="仿宋"/>
                <w:color w:val="auto"/>
                <w:sz w:val="21"/>
                <w:szCs w:val="21"/>
                <w:highlight w:val="none"/>
              </w:rPr>
            </w:pPr>
          </w:p>
        </w:tc>
        <w:tc>
          <w:tcPr>
            <w:tcW w:w="1210" w:type="dxa"/>
            <w:vMerge w:val="continue"/>
            <w:noWrap/>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eastAsia" w:ascii="仿宋" w:hAnsi="仿宋" w:eastAsia="仿宋" w:cs="仿宋"/>
                <w:color w:val="auto"/>
                <w:sz w:val="21"/>
                <w:szCs w:val="21"/>
                <w:highlight w:val="none"/>
              </w:rPr>
            </w:pPr>
          </w:p>
        </w:tc>
        <w:tc>
          <w:tcPr>
            <w:tcW w:w="6405" w:type="dxa"/>
            <w:noWrap/>
            <w:vAlign w:val="center"/>
          </w:tcPr>
          <w:p>
            <w:pPr>
              <w:keepNext w:val="0"/>
              <w:keepLines w:val="0"/>
              <w:pageBreakBefore w:val="0"/>
              <w:kinsoku/>
              <w:wordWrap/>
              <w:overflowPunct/>
              <w:topLinePunct w:val="0"/>
              <w:autoSpaceDE/>
              <w:autoSpaceDN/>
              <w:bidi w:val="0"/>
              <w:adjustRightInd/>
              <w:snapToGrid w:val="0"/>
              <w:spacing w:line="320" w:lineRule="exact"/>
              <w:textAlignment w:val="auto"/>
              <w:rPr>
                <w:rFonts w:hint="eastAsia" w:ascii="仿宋" w:hAnsi="仿宋" w:eastAsia="仿宋" w:cs="仿宋"/>
                <w:color w:val="auto"/>
                <w:sz w:val="21"/>
                <w:szCs w:val="21"/>
                <w:highlight w:val="none"/>
                <w:lang w:val="zh-TW"/>
              </w:rPr>
            </w:pPr>
            <w:r>
              <w:rPr>
                <w:rFonts w:hint="eastAsia" w:ascii="仿宋" w:hAnsi="仿宋" w:eastAsia="仿宋" w:cs="仿宋"/>
                <w:color w:val="auto"/>
                <w:sz w:val="21"/>
                <w:szCs w:val="21"/>
                <w:highlight w:val="none"/>
                <w:lang w:val="en-US" w:eastAsia="zh-CN"/>
              </w:rPr>
              <w:t>3、</w:t>
            </w:r>
            <w:r>
              <w:rPr>
                <w:rFonts w:hint="eastAsia" w:ascii="仿宋" w:hAnsi="仿宋" w:eastAsia="仿宋" w:cs="仿宋"/>
                <w:i w:val="0"/>
                <w:iCs w:val="0"/>
                <w:caps w:val="0"/>
                <w:color w:val="auto"/>
                <w:spacing w:val="0"/>
                <w:sz w:val="21"/>
                <w:szCs w:val="21"/>
                <w:highlight w:val="none"/>
                <w:shd w:val="clear"/>
              </w:rPr>
              <w:t>投标人拥有信息化建设及数字化能力评价证书，一级得4分，二级得3分，三级得1分，须提供证书复印件加盖投标人公章，未提供或其他不得分。</w:t>
            </w:r>
          </w:p>
        </w:tc>
        <w:tc>
          <w:tcPr>
            <w:tcW w:w="755" w:type="dxa"/>
            <w:noWrap/>
            <w:vAlign w:val="center"/>
          </w:tcPr>
          <w:p>
            <w:pPr>
              <w:keepNext w:val="0"/>
              <w:keepLines w:val="0"/>
              <w:pageBreakBefore w:val="0"/>
              <w:kinsoku/>
              <w:wordWrap/>
              <w:overflowPunct/>
              <w:topLinePunct w:val="0"/>
              <w:autoSpaceDE/>
              <w:autoSpaceDN/>
              <w:bidi w:val="0"/>
              <w:adjustRightInd/>
              <w:snapToGrid w:val="0"/>
              <w:spacing w:line="32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0" w:hRule="atLeast"/>
          <w:jc w:val="center"/>
        </w:trPr>
        <w:tc>
          <w:tcPr>
            <w:tcW w:w="784" w:type="dxa"/>
            <w:vMerge w:val="continue"/>
            <w:noWrap/>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eastAsia" w:ascii="仿宋" w:hAnsi="仿宋" w:eastAsia="仿宋" w:cs="仿宋"/>
                <w:color w:val="auto"/>
                <w:sz w:val="21"/>
                <w:szCs w:val="21"/>
                <w:highlight w:val="none"/>
              </w:rPr>
            </w:pPr>
          </w:p>
        </w:tc>
        <w:tc>
          <w:tcPr>
            <w:tcW w:w="1210" w:type="dxa"/>
            <w:vMerge w:val="continue"/>
            <w:noWrap/>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eastAsia" w:ascii="仿宋" w:hAnsi="仿宋" w:eastAsia="仿宋" w:cs="仿宋"/>
                <w:color w:val="auto"/>
                <w:sz w:val="21"/>
                <w:szCs w:val="21"/>
                <w:highlight w:val="none"/>
              </w:rPr>
            </w:pPr>
          </w:p>
        </w:tc>
        <w:tc>
          <w:tcPr>
            <w:tcW w:w="6405" w:type="dxa"/>
            <w:noWrap/>
            <w:vAlign w:val="center"/>
          </w:tcPr>
          <w:p>
            <w:pPr>
              <w:keepNext w:val="0"/>
              <w:keepLines w:val="0"/>
              <w:pageBreakBefore w:val="0"/>
              <w:kinsoku/>
              <w:wordWrap/>
              <w:overflowPunct/>
              <w:topLinePunct w:val="0"/>
              <w:autoSpaceDE/>
              <w:autoSpaceDN/>
              <w:bidi w:val="0"/>
              <w:adjustRightInd/>
              <w:snapToGrid w:val="0"/>
              <w:spacing w:line="320" w:lineRule="exact"/>
              <w:textAlignment w:val="auto"/>
              <w:rPr>
                <w:rFonts w:hint="eastAsia" w:ascii="仿宋" w:hAnsi="仿宋" w:eastAsia="仿宋" w:cs="仿宋"/>
                <w:color w:val="auto"/>
                <w:sz w:val="21"/>
                <w:szCs w:val="21"/>
                <w:highlight w:val="none"/>
                <w:lang w:val="zh-TW"/>
              </w:rPr>
            </w:pPr>
            <w:r>
              <w:rPr>
                <w:rFonts w:hint="eastAsia" w:ascii="仿宋" w:hAnsi="仿宋" w:eastAsia="仿宋" w:cs="仿宋"/>
                <w:color w:val="auto"/>
                <w:sz w:val="21"/>
                <w:szCs w:val="21"/>
                <w:highlight w:val="none"/>
                <w:lang w:val="en-US" w:eastAsia="zh-CN"/>
              </w:rPr>
              <w:t>4、</w:t>
            </w:r>
            <w:r>
              <w:rPr>
                <w:rFonts w:hint="eastAsia" w:ascii="仿宋" w:hAnsi="仿宋" w:eastAsia="仿宋" w:cs="仿宋"/>
                <w:color w:val="auto"/>
                <w:sz w:val="21"/>
                <w:szCs w:val="21"/>
                <w:highlight w:val="none"/>
              </w:rPr>
              <w:t>投标人具有HL7认证专家、ITSS应用经理证书、ITIL服务管理工程师证书、IHE中国委员认证证书、智能化系统工程师（高级）证书（相同证书不重复计分），全部提供得5分，缺一项扣1分。须提供证书复印件</w:t>
            </w:r>
            <w:r>
              <w:rPr>
                <w:rFonts w:hint="eastAsia" w:ascii="仿宋" w:hAnsi="仿宋" w:eastAsia="仿宋" w:cs="仿宋"/>
                <w:color w:val="auto"/>
                <w:sz w:val="21"/>
                <w:szCs w:val="21"/>
                <w:highlight w:val="none"/>
                <w:lang w:eastAsia="zh-CN"/>
              </w:rPr>
              <w:t>及人员证书近三个月社保缴费证明材料</w:t>
            </w:r>
            <w:r>
              <w:rPr>
                <w:rFonts w:hint="eastAsia" w:ascii="仿宋" w:hAnsi="仿宋" w:eastAsia="仿宋" w:cs="仿宋"/>
                <w:color w:val="auto"/>
                <w:sz w:val="21"/>
                <w:szCs w:val="21"/>
                <w:highlight w:val="none"/>
              </w:rPr>
              <w:t>加盖投标人公章</w:t>
            </w:r>
          </w:p>
        </w:tc>
        <w:tc>
          <w:tcPr>
            <w:tcW w:w="755" w:type="dxa"/>
            <w:noWrap/>
            <w:vAlign w:val="center"/>
          </w:tcPr>
          <w:p>
            <w:pPr>
              <w:keepNext w:val="0"/>
              <w:keepLines w:val="0"/>
              <w:pageBreakBefore w:val="0"/>
              <w:kinsoku/>
              <w:wordWrap/>
              <w:overflowPunct/>
              <w:topLinePunct w:val="0"/>
              <w:autoSpaceDE/>
              <w:autoSpaceDN/>
              <w:bidi w:val="0"/>
              <w:adjustRightInd/>
              <w:snapToGrid w:val="0"/>
              <w:spacing w:line="32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784" w:type="dxa"/>
            <w:vMerge w:val="continue"/>
            <w:noWrap/>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eastAsia" w:ascii="仿宋" w:hAnsi="仿宋" w:eastAsia="仿宋" w:cs="仿宋"/>
                <w:color w:val="auto"/>
                <w:sz w:val="21"/>
                <w:szCs w:val="21"/>
                <w:highlight w:val="none"/>
              </w:rPr>
            </w:pPr>
          </w:p>
        </w:tc>
        <w:tc>
          <w:tcPr>
            <w:tcW w:w="1210" w:type="dxa"/>
            <w:vMerge w:val="continue"/>
            <w:noWrap/>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eastAsia" w:ascii="仿宋" w:hAnsi="仿宋" w:eastAsia="仿宋" w:cs="仿宋"/>
                <w:color w:val="auto"/>
                <w:sz w:val="21"/>
                <w:szCs w:val="21"/>
                <w:highlight w:val="none"/>
              </w:rPr>
            </w:pPr>
          </w:p>
        </w:tc>
        <w:tc>
          <w:tcPr>
            <w:tcW w:w="6405" w:type="dxa"/>
            <w:noWrap/>
            <w:vAlign w:val="center"/>
          </w:tcPr>
          <w:p>
            <w:pPr>
              <w:keepNext w:val="0"/>
              <w:keepLines w:val="0"/>
              <w:pageBreakBefore w:val="0"/>
              <w:kinsoku/>
              <w:wordWrap/>
              <w:overflowPunct/>
              <w:topLinePunct w:val="0"/>
              <w:autoSpaceDE/>
              <w:autoSpaceDN/>
              <w:bidi w:val="0"/>
              <w:adjustRightInd/>
              <w:snapToGrid w:val="0"/>
              <w:spacing w:line="32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投标人通过安全生产标准化三级及以上企业认证的，得4分，提供证书复印件加盖公章的，否则不得分。</w:t>
            </w:r>
          </w:p>
        </w:tc>
        <w:tc>
          <w:tcPr>
            <w:tcW w:w="755" w:type="dxa"/>
            <w:noWrap/>
            <w:vAlign w:val="center"/>
          </w:tcPr>
          <w:p>
            <w:pPr>
              <w:keepNext w:val="0"/>
              <w:keepLines w:val="0"/>
              <w:pageBreakBefore w:val="0"/>
              <w:kinsoku/>
              <w:wordWrap/>
              <w:overflowPunct/>
              <w:topLinePunct w:val="0"/>
              <w:autoSpaceDE/>
              <w:autoSpaceDN/>
              <w:bidi w:val="0"/>
              <w:adjustRightInd/>
              <w:snapToGrid w:val="0"/>
              <w:spacing w:line="32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84" w:type="dxa"/>
            <w:vMerge w:val="continue"/>
            <w:noWrap/>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eastAsia" w:ascii="仿宋" w:hAnsi="仿宋" w:eastAsia="仿宋" w:cs="仿宋"/>
                <w:color w:val="auto"/>
                <w:sz w:val="21"/>
                <w:szCs w:val="21"/>
                <w:highlight w:val="none"/>
              </w:rPr>
            </w:pPr>
          </w:p>
        </w:tc>
        <w:tc>
          <w:tcPr>
            <w:tcW w:w="1210" w:type="dxa"/>
            <w:vMerge w:val="continue"/>
            <w:noWrap/>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eastAsia" w:ascii="仿宋" w:hAnsi="仿宋" w:eastAsia="仿宋" w:cs="仿宋"/>
                <w:color w:val="auto"/>
                <w:sz w:val="21"/>
                <w:szCs w:val="21"/>
                <w:highlight w:val="none"/>
              </w:rPr>
            </w:pPr>
          </w:p>
        </w:tc>
        <w:tc>
          <w:tcPr>
            <w:tcW w:w="6405" w:type="dxa"/>
            <w:noWrap/>
            <w:vAlign w:val="center"/>
          </w:tcPr>
          <w:p>
            <w:pPr>
              <w:keepNext w:val="0"/>
              <w:keepLines w:val="0"/>
              <w:pageBreakBefore w:val="0"/>
              <w:kinsoku/>
              <w:wordWrap/>
              <w:overflowPunct/>
              <w:topLinePunct w:val="0"/>
              <w:autoSpaceDE/>
              <w:autoSpaceDN/>
              <w:bidi w:val="0"/>
              <w:adjustRightInd/>
              <w:snapToGrid w:val="0"/>
              <w:spacing w:line="32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投标人拥有科技部颁发的电子病历国家火炬计划项目证书，满足得3分，须提供相关证书复印件加盖公章</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否则不得分。</w:t>
            </w:r>
          </w:p>
        </w:tc>
        <w:tc>
          <w:tcPr>
            <w:tcW w:w="755" w:type="dxa"/>
            <w:noWrap/>
            <w:vAlign w:val="center"/>
          </w:tcPr>
          <w:p>
            <w:pPr>
              <w:keepNext w:val="0"/>
              <w:keepLines w:val="0"/>
              <w:pageBreakBefore w:val="0"/>
              <w:kinsoku/>
              <w:wordWrap/>
              <w:overflowPunct/>
              <w:topLinePunct w:val="0"/>
              <w:autoSpaceDE/>
              <w:autoSpaceDN/>
              <w:bidi w:val="0"/>
              <w:adjustRightInd/>
              <w:snapToGrid w:val="0"/>
              <w:spacing w:line="32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784" w:type="dxa"/>
            <w:noWrap/>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w:t>
            </w:r>
          </w:p>
        </w:tc>
        <w:tc>
          <w:tcPr>
            <w:tcW w:w="1210" w:type="dxa"/>
            <w:noWrap/>
            <w:vAlign w:val="center"/>
          </w:tcPr>
          <w:p>
            <w:pPr>
              <w:keepNext w:val="0"/>
              <w:keepLines w:val="0"/>
              <w:pageBreakBefore w:val="0"/>
              <w:kinsoku/>
              <w:wordWrap/>
              <w:overflowPunct/>
              <w:topLinePunct w:val="0"/>
              <w:autoSpaceDE/>
              <w:autoSpaceDN/>
              <w:bidi w:val="0"/>
              <w:adjustRightInd/>
              <w:spacing w:line="32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类似项目</w:t>
            </w:r>
            <w:r>
              <w:rPr>
                <w:rFonts w:hint="eastAsia" w:ascii="仿宋" w:hAnsi="仿宋" w:eastAsia="仿宋" w:cs="仿宋"/>
                <w:color w:val="auto"/>
                <w:sz w:val="21"/>
                <w:szCs w:val="21"/>
                <w:highlight w:val="none"/>
                <w:lang w:eastAsia="zh-CN"/>
              </w:rPr>
              <w:t>业绩</w:t>
            </w:r>
            <w:r>
              <w:rPr>
                <w:rFonts w:hint="eastAsia" w:ascii="仿宋" w:hAnsi="仿宋" w:eastAsia="仿宋" w:cs="仿宋"/>
                <w:color w:val="auto"/>
                <w:sz w:val="21"/>
                <w:szCs w:val="21"/>
                <w:highlight w:val="none"/>
              </w:rPr>
              <w:t>（3分）</w:t>
            </w:r>
          </w:p>
        </w:tc>
        <w:tc>
          <w:tcPr>
            <w:tcW w:w="6405" w:type="dxa"/>
            <w:noWrap/>
            <w:vAlign w:val="center"/>
          </w:tcPr>
          <w:p>
            <w:pPr>
              <w:keepNext w:val="0"/>
              <w:keepLines w:val="0"/>
              <w:pageBreakBefore w:val="0"/>
              <w:kinsoku/>
              <w:wordWrap/>
              <w:overflowPunct/>
              <w:topLinePunct w:val="0"/>
              <w:autoSpaceDE/>
              <w:autoSpaceDN/>
              <w:bidi w:val="0"/>
              <w:adjustRightInd/>
              <w:snapToGrid w:val="0"/>
              <w:spacing w:line="32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投标人</w:t>
            </w:r>
            <w:r>
              <w:rPr>
                <w:rFonts w:hint="eastAsia" w:ascii="仿宋" w:hAnsi="仿宋" w:eastAsia="仿宋" w:cs="仿宋"/>
                <w:color w:val="auto"/>
                <w:sz w:val="21"/>
                <w:szCs w:val="21"/>
                <w:highlight w:val="none"/>
                <w:lang w:eastAsia="zh-CN"/>
              </w:rPr>
              <w:t>需提供</w:t>
            </w:r>
            <w:r>
              <w:rPr>
                <w:rFonts w:hint="eastAsia" w:ascii="仿宋" w:hAnsi="仿宋" w:eastAsia="仿宋" w:cs="仿宋"/>
                <w:color w:val="auto"/>
                <w:sz w:val="21"/>
                <w:szCs w:val="21"/>
                <w:highlight w:val="none"/>
                <w:lang w:val="en-US" w:eastAsia="zh-CN"/>
              </w:rPr>
              <w:t>2019年1月1日至今的</w:t>
            </w:r>
            <w:r>
              <w:rPr>
                <w:rFonts w:hint="eastAsia" w:ascii="仿宋" w:hAnsi="仿宋" w:eastAsia="仿宋" w:cs="仿宋"/>
                <w:color w:val="auto"/>
                <w:sz w:val="21"/>
                <w:szCs w:val="21"/>
                <w:highlight w:val="none"/>
              </w:rPr>
              <w:t>同类项目案例，每</w:t>
            </w:r>
            <w:r>
              <w:rPr>
                <w:rFonts w:hint="eastAsia" w:ascii="仿宋" w:hAnsi="仿宋" w:eastAsia="仿宋" w:cs="仿宋"/>
                <w:color w:val="auto"/>
                <w:sz w:val="21"/>
                <w:szCs w:val="21"/>
                <w:highlight w:val="none"/>
                <w:lang w:eastAsia="zh-CN"/>
              </w:rPr>
              <w:t>提供一份</w:t>
            </w:r>
            <w:r>
              <w:rPr>
                <w:rFonts w:hint="eastAsia" w:ascii="仿宋" w:hAnsi="仿宋" w:eastAsia="仿宋" w:cs="仿宋"/>
                <w:color w:val="auto"/>
                <w:sz w:val="21"/>
                <w:szCs w:val="21"/>
                <w:highlight w:val="none"/>
              </w:rPr>
              <w:t>得1分，最多得3分</w:t>
            </w:r>
            <w:r>
              <w:rPr>
                <w:rFonts w:hint="eastAsia" w:ascii="仿宋" w:hAnsi="仿宋" w:eastAsia="仿宋" w:cs="仿宋"/>
                <w:color w:val="auto"/>
                <w:sz w:val="21"/>
                <w:szCs w:val="21"/>
                <w:highlight w:val="none"/>
                <w:lang w:eastAsia="zh-CN"/>
              </w:rPr>
              <w:t>，需提供</w:t>
            </w:r>
            <w:r>
              <w:rPr>
                <w:rFonts w:hint="eastAsia" w:ascii="仿宋" w:hAnsi="仿宋" w:eastAsia="仿宋" w:cs="仿宋"/>
                <w:color w:val="auto"/>
                <w:sz w:val="21"/>
                <w:szCs w:val="21"/>
                <w:highlight w:val="none"/>
              </w:rPr>
              <w:t>合同复印件并加盖单位公章</w:t>
            </w:r>
            <w:r>
              <w:rPr>
                <w:rFonts w:hint="eastAsia" w:ascii="仿宋" w:hAnsi="仿宋" w:eastAsia="仿宋" w:cs="仿宋"/>
                <w:color w:val="auto"/>
                <w:sz w:val="21"/>
                <w:szCs w:val="21"/>
                <w:highlight w:val="none"/>
                <w:lang w:eastAsia="zh-CN"/>
              </w:rPr>
              <w:t>，未提供不得分</w:t>
            </w:r>
            <w:r>
              <w:rPr>
                <w:rFonts w:hint="eastAsia" w:ascii="仿宋" w:hAnsi="仿宋" w:eastAsia="仿宋" w:cs="仿宋"/>
                <w:color w:val="auto"/>
                <w:sz w:val="21"/>
                <w:szCs w:val="21"/>
                <w:highlight w:val="none"/>
              </w:rPr>
              <w:t>。</w:t>
            </w:r>
          </w:p>
        </w:tc>
        <w:tc>
          <w:tcPr>
            <w:tcW w:w="755" w:type="dxa"/>
            <w:noWrap/>
            <w:vAlign w:val="center"/>
          </w:tcPr>
          <w:p>
            <w:pPr>
              <w:keepNext w:val="0"/>
              <w:keepLines w:val="0"/>
              <w:pageBreakBefore w:val="0"/>
              <w:widowControl/>
              <w:kinsoku/>
              <w:wordWrap/>
              <w:overflowPunct/>
              <w:topLinePunct w:val="0"/>
              <w:autoSpaceDE/>
              <w:autoSpaceDN/>
              <w:bidi w:val="0"/>
              <w:adjustRightInd/>
              <w:spacing w:line="32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p>
        </w:tc>
      </w:tr>
      <w:bookmarkEnd w:id="11"/>
    </w:tbl>
    <w:p>
      <w:pPr>
        <w:spacing w:line="440" w:lineRule="exact"/>
        <w:rPr>
          <w:rFonts w:hint="eastAsia" w:ascii="仿宋" w:hAnsi="仿宋" w:eastAsia="仿宋" w:cs="仿宋"/>
          <w:color w:val="auto"/>
          <w:szCs w:val="21"/>
          <w:highlight w:val="none"/>
        </w:rPr>
      </w:pPr>
      <w:r>
        <w:rPr>
          <w:rFonts w:hint="eastAsia" w:ascii="仿宋" w:hAnsi="仿宋" w:eastAsia="仿宋" w:cs="仿宋"/>
          <w:b/>
          <w:bCs/>
          <w:iCs/>
          <w:color w:val="auto"/>
          <w:sz w:val="24"/>
          <w:highlight w:val="none"/>
        </w:rPr>
        <w:t>2.2价格分：30分</w:t>
      </w:r>
    </w:p>
    <w:p>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r>
        <w:rPr>
          <w:rFonts w:hint="eastAsia" w:ascii="仿宋" w:hAnsi="仿宋" w:eastAsia="仿宋" w:cs="仿宋"/>
          <w:color w:val="auto"/>
          <w:sz w:val="24"/>
          <w:highlight w:val="none"/>
        </w:rPr>
        <w:t>保留小数2位</w:t>
      </w:r>
      <w:r>
        <w:rPr>
          <w:rFonts w:hint="eastAsia" w:ascii="仿宋" w:hAnsi="仿宋" w:eastAsia="仿宋" w:cs="仿宋"/>
          <w:bCs/>
          <w:iCs/>
          <w:color w:val="auto"/>
          <w:sz w:val="24"/>
          <w:highlight w:val="none"/>
        </w:rPr>
        <w:t>)：</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pPr>
        <w:snapToGrid w:val="0"/>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即：投标报价得分=(评标基准价／投标报价)×30</w:t>
      </w:r>
    </w:p>
    <w:p>
      <w:pPr>
        <w:widowControl/>
        <w:snapToGrid w:val="0"/>
        <w:spacing w:line="480" w:lineRule="exact"/>
        <w:rPr>
          <w:rFonts w:hint="eastAsia" w:ascii="仿宋" w:hAnsi="仿宋" w:eastAsia="仿宋" w:cs="仿宋"/>
          <w:bCs/>
          <w:iCs/>
          <w:color w:val="auto"/>
          <w:sz w:val="24"/>
          <w:highlight w:val="none"/>
          <w:u w:val="single"/>
        </w:rPr>
      </w:pPr>
    </w:p>
    <w:bookmarkEnd w:id="6"/>
    <w:bookmarkEnd w:id="7"/>
    <w:bookmarkEnd w:id="8"/>
    <w:bookmarkEnd w:id="9"/>
    <w:p>
      <w:pPr>
        <w:pageBreakBefore/>
        <w:snapToGrid w:val="0"/>
        <w:spacing w:line="360" w:lineRule="auto"/>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r>
        <w:rPr>
          <w:rFonts w:hint="eastAsia" w:ascii="仿宋" w:hAnsi="仿宋" w:eastAsia="仿宋" w:cs="仿宋"/>
          <w:b/>
          <w:color w:val="auto"/>
          <w:sz w:val="36"/>
          <w:szCs w:val="36"/>
          <w:highlight w:val="none"/>
        </w:rPr>
        <w:t>投标文件</w:t>
      </w:r>
      <w:r>
        <w:rPr>
          <w:rFonts w:hint="eastAsia" w:ascii="仿宋" w:hAnsi="仿宋" w:eastAsia="仿宋" w:cs="仿宋"/>
          <w:b/>
          <w:color w:val="auto"/>
          <w:sz w:val="36"/>
          <w:szCs w:val="20"/>
          <w:highlight w:val="none"/>
        </w:rPr>
        <w:t>应提交的有关格式范例</w:t>
      </w:r>
    </w:p>
    <w:p>
      <w:pPr>
        <w:spacing w:line="360" w:lineRule="auto"/>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投标人按照以下格式编制投标文件，并将报价文件、商务技术（资信）文件分别装订成册。</w:t>
      </w:r>
    </w:p>
    <w:p>
      <w:pPr>
        <w:spacing w:line="360" w:lineRule="auto"/>
        <w:ind w:firstLine="480" w:firstLineChars="200"/>
        <w:outlineLvl w:val="0"/>
        <w:rPr>
          <w:rFonts w:hint="eastAsia" w:ascii="仿宋" w:hAnsi="仿宋" w:eastAsia="仿宋" w:cs="仿宋"/>
          <w:color w:val="auto"/>
          <w:sz w:val="24"/>
          <w:highlight w:val="none"/>
        </w:rPr>
      </w:pPr>
    </w:p>
    <w:p>
      <w:pPr>
        <w:spacing w:line="360" w:lineRule="auto"/>
        <w:ind w:firstLine="480" w:firstLineChars="200"/>
        <w:outlineLvl w:val="0"/>
        <w:rPr>
          <w:rFonts w:hint="eastAsia" w:ascii="仿宋" w:hAnsi="仿宋" w:eastAsia="仿宋" w:cs="仿宋"/>
          <w:color w:val="auto"/>
          <w:sz w:val="24"/>
          <w:highlight w:val="none"/>
        </w:rPr>
      </w:pPr>
    </w:p>
    <w:p>
      <w:pPr>
        <w:spacing w:line="360" w:lineRule="auto"/>
        <w:ind w:firstLine="480" w:firstLineChars="200"/>
        <w:outlineLvl w:val="0"/>
        <w:rPr>
          <w:rFonts w:hint="eastAsia" w:ascii="仿宋" w:hAnsi="仿宋" w:eastAsia="仿宋" w:cs="仿宋"/>
          <w:color w:val="auto"/>
          <w:sz w:val="24"/>
          <w:highlight w:val="none"/>
        </w:rPr>
      </w:pPr>
    </w:p>
    <w:p>
      <w:pPr>
        <w:spacing w:line="360" w:lineRule="auto"/>
        <w:ind w:firstLine="480" w:firstLineChars="200"/>
        <w:outlineLvl w:val="0"/>
        <w:rPr>
          <w:rFonts w:hint="eastAsia" w:ascii="仿宋" w:hAnsi="仿宋" w:eastAsia="仿宋" w:cs="仿宋"/>
          <w:color w:val="auto"/>
          <w:sz w:val="24"/>
          <w:highlight w:val="none"/>
        </w:rPr>
      </w:pPr>
    </w:p>
    <w:p>
      <w:pPr>
        <w:spacing w:line="360" w:lineRule="auto"/>
        <w:ind w:firstLine="480" w:firstLineChars="200"/>
        <w:outlineLvl w:val="0"/>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spacing w:line="360" w:lineRule="auto"/>
        <w:jc w:val="center"/>
        <w:outlineLvl w:val="0"/>
        <w:rPr>
          <w:rFonts w:hint="eastAsia" w:ascii="仿宋" w:hAnsi="仿宋" w:eastAsia="仿宋" w:cs="仿宋"/>
          <w:b/>
          <w:color w:val="auto"/>
          <w:kern w:val="0"/>
          <w:sz w:val="24"/>
          <w:highlight w:val="none"/>
        </w:r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（1）投标响应函……………………………………………………（页码）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（2）开标一览表……………………………………………………（页码）</w:t>
      </w:r>
    </w:p>
    <w:p>
      <w:pPr>
        <w:spacing w:line="360" w:lineRule="auto"/>
        <w:ind w:left="2" w:firstLine="480" w:firstLineChars="200"/>
        <w:rPr>
          <w:rFonts w:hint="eastAsia" w:ascii="仿宋" w:hAnsi="仿宋" w:eastAsia="仿宋" w:cs="仿宋"/>
          <w:color w:val="auto"/>
          <w:kern w:val="0"/>
          <w:sz w:val="24"/>
          <w:highlight w:val="none"/>
        </w:rPr>
      </w:pPr>
    </w:p>
    <w:p>
      <w:pPr>
        <w:spacing w:line="360" w:lineRule="auto"/>
        <w:ind w:left="2" w:firstLine="480" w:firstLineChars="200"/>
        <w:rPr>
          <w:rFonts w:hint="eastAsia" w:ascii="仿宋" w:hAnsi="仿宋" w:eastAsia="仿宋" w:cs="仿宋"/>
          <w:color w:val="auto"/>
          <w:kern w:val="0"/>
          <w:sz w:val="24"/>
          <w:highlight w:val="none"/>
        </w:rPr>
      </w:pPr>
    </w:p>
    <w:p>
      <w:pPr>
        <w:spacing w:line="360" w:lineRule="auto"/>
        <w:ind w:left="2" w:firstLine="480" w:firstLineChars="200"/>
        <w:rPr>
          <w:rFonts w:hint="eastAsia" w:ascii="仿宋" w:hAnsi="仿宋" w:eastAsia="仿宋" w:cs="仿宋"/>
          <w:color w:val="auto"/>
          <w:kern w:val="0"/>
          <w:sz w:val="24"/>
          <w:highlight w:val="none"/>
        </w:rPr>
      </w:pPr>
    </w:p>
    <w:p>
      <w:pPr>
        <w:spacing w:line="360" w:lineRule="auto"/>
        <w:ind w:left="2" w:firstLine="480" w:firstLineChars="200"/>
        <w:rPr>
          <w:rFonts w:hint="eastAsia" w:ascii="仿宋" w:hAnsi="仿宋" w:eastAsia="仿宋" w:cs="仿宋"/>
          <w:color w:val="auto"/>
          <w:sz w:val="24"/>
          <w:highlight w:val="none"/>
        </w:rPr>
      </w:pPr>
    </w:p>
    <w:p>
      <w:pPr>
        <w:pStyle w:val="19"/>
        <w:spacing w:line="800" w:lineRule="atLeast"/>
        <w:ind w:left="0" w:leftChars="0"/>
        <w:rPr>
          <w:rFonts w:hint="eastAsia" w:ascii="仿宋" w:hAnsi="仿宋" w:eastAsia="仿宋" w:cs="仿宋"/>
          <w:b/>
          <w:color w:val="auto"/>
          <w:sz w:val="36"/>
          <w:szCs w:val="36"/>
          <w:highlight w:val="none"/>
        </w:rPr>
      </w:pPr>
    </w:p>
    <w:p>
      <w:pPr>
        <w:pStyle w:val="19"/>
        <w:spacing w:line="800" w:lineRule="atLeast"/>
        <w:ind w:left="0" w:leftChars="0"/>
        <w:rPr>
          <w:rFonts w:hint="eastAsia" w:ascii="仿宋" w:hAnsi="仿宋" w:eastAsia="仿宋" w:cs="仿宋"/>
          <w:b/>
          <w:color w:val="auto"/>
          <w:sz w:val="36"/>
          <w:szCs w:val="36"/>
          <w:highlight w:val="none"/>
        </w:rPr>
      </w:pPr>
    </w:p>
    <w:p>
      <w:pPr>
        <w:pStyle w:val="19"/>
        <w:spacing w:line="800" w:lineRule="atLeast"/>
        <w:ind w:left="0" w:leftChars="0"/>
        <w:rPr>
          <w:rFonts w:hint="eastAsia" w:ascii="仿宋" w:hAnsi="仿宋" w:eastAsia="仿宋" w:cs="仿宋"/>
          <w:b/>
          <w:color w:val="auto"/>
          <w:sz w:val="36"/>
          <w:szCs w:val="36"/>
          <w:highlight w:val="none"/>
        </w:rPr>
      </w:pPr>
    </w:p>
    <w:p>
      <w:pPr>
        <w:pStyle w:val="19"/>
        <w:spacing w:line="800" w:lineRule="atLeast"/>
        <w:ind w:left="0" w:leftChars="0"/>
        <w:rPr>
          <w:rFonts w:hint="eastAsia" w:ascii="仿宋" w:hAnsi="仿宋" w:eastAsia="仿宋" w:cs="仿宋"/>
          <w:b/>
          <w:color w:val="auto"/>
          <w:sz w:val="36"/>
          <w:szCs w:val="36"/>
          <w:highlight w:val="none"/>
        </w:rPr>
      </w:pPr>
    </w:p>
    <w:p>
      <w:pPr>
        <w:rPr>
          <w:rFonts w:hint="eastAsia" w:ascii="仿宋" w:hAnsi="仿宋" w:eastAsia="仿宋" w:cs="仿宋"/>
          <w:b/>
          <w:color w:val="auto"/>
          <w:sz w:val="30"/>
          <w:szCs w:val="30"/>
          <w:highlight w:val="none"/>
        </w:rPr>
      </w:pPr>
    </w:p>
    <w:p>
      <w:pPr>
        <w:pageBreakBefore/>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1、投标响应函（格式）</w:t>
      </w:r>
    </w:p>
    <w:p>
      <w:pPr>
        <w:pStyle w:val="56"/>
        <w:spacing w:afterLines="0" w:line="440" w:lineRule="exact"/>
        <w:ind w:firstLine="0" w:firstLineChars="0"/>
        <w:rPr>
          <w:rFonts w:hint="eastAsia" w:ascii="仿宋" w:hAnsi="仿宋" w:eastAsia="仿宋" w:cs="仿宋"/>
          <w:color w:val="auto"/>
          <w:szCs w:val="24"/>
          <w:highlight w:val="none"/>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rPr>
        <w:t>绍兴市中医院、泰宇建筑工程技术咨询有限公司</w:t>
      </w:r>
    </w:p>
    <w:p>
      <w:pPr>
        <w:pStyle w:val="56"/>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）的要求，正式授权下述签字人</w:t>
      </w:r>
      <w:r>
        <w:rPr>
          <w:rFonts w:hint="eastAsia" w:ascii="仿宋" w:hAnsi="仿宋" w:eastAsia="仿宋" w:cs="仿宋"/>
          <w:b/>
          <w:color w:val="auto"/>
          <w:szCs w:val="24"/>
          <w:highlight w:val="none"/>
          <w:u w:val="single"/>
        </w:rPr>
        <w:t>（填写姓名、单位、职务）</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填写单位、地址</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pPr>
        <w:pStyle w:val="56"/>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pPr>
        <w:pStyle w:val="13"/>
        <w:tabs>
          <w:tab w:val="clear" w:pos="1697"/>
        </w:tabs>
        <w:spacing w:afterLines="0" w:line="440" w:lineRule="exact"/>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w:t>
      </w:r>
      <w:r>
        <w:rPr>
          <w:rFonts w:hint="eastAsia" w:ascii="仿宋" w:hAnsi="仿宋" w:eastAsia="仿宋" w:cs="仿宋"/>
          <w:color w:val="auto"/>
          <w:highlight w:val="none"/>
        </w:rPr>
        <w:t>我方同意在投标人</w:t>
      </w:r>
      <w:r>
        <w:rPr>
          <w:rFonts w:hint="eastAsia" w:ascii="仿宋" w:hAnsi="仿宋" w:eastAsia="仿宋" w:cs="仿宋"/>
          <w:color w:val="auto"/>
          <w:kern w:val="44"/>
          <w:highlight w:val="none"/>
        </w:rPr>
        <w:t>须知</w:t>
      </w:r>
      <w:r>
        <w:rPr>
          <w:rFonts w:hint="eastAsia" w:ascii="仿宋" w:hAnsi="仿宋" w:eastAsia="仿宋" w:cs="仿宋"/>
          <w:color w:val="auto"/>
          <w:highlight w:val="none"/>
        </w:rPr>
        <w:t>规定的开标日期起遵守本投标文件中的承诺且在投标有效期满之前均具有约束力</w:t>
      </w:r>
      <w:r>
        <w:rPr>
          <w:rFonts w:hint="eastAsia" w:ascii="仿宋" w:hAnsi="仿宋" w:eastAsia="仿宋" w:cs="仿宋"/>
          <w:color w:val="auto"/>
          <w:szCs w:val="24"/>
          <w:highlight w:val="none"/>
        </w:rPr>
        <w:t>。</w:t>
      </w:r>
    </w:p>
    <w:p>
      <w:pPr>
        <w:pStyle w:val="56"/>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pPr>
        <w:pStyle w:val="56"/>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3.</w:t>
      </w:r>
      <w:r>
        <w:rPr>
          <w:rFonts w:hint="eastAsia" w:ascii="仿宋" w:hAnsi="仿宋" w:eastAsia="仿宋" w:cs="仿宋"/>
          <w:color w:val="auto"/>
          <w:highlight w:val="none"/>
        </w:rPr>
        <w:t>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56"/>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pPr>
        <w:pStyle w:val="13"/>
        <w:tabs>
          <w:tab w:val="clear" w:pos="1697"/>
        </w:tabs>
        <w:spacing w:afterLines="0" w:line="440" w:lineRule="exact"/>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highlight w:val="none"/>
        </w:rPr>
        <w:t>5.</w:t>
      </w:r>
      <w:r>
        <w:rPr>
          <w:rFonts w:hint="eastAsia" w:ascii="仿宋" w:hAnsi="仿宋" w:eastAsia="仿宋" w:cs="仿宋"/>
          <w:color w:val="auto"/>
          <w:szCs w:val="24"/>
          <w:highlight w:val="none"/>
        </w:rPr>
        <w:t>本投标自开标之日（投标截止之日）起90天内有效。</w:t>
      </w:r>
    </w:p>
    <w:p>
      <w:pPr>
        <w:pStyle w:val="56"/>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6</w:t>
      </w:r>
      <w:r>
        <w:rPr>
          <w:rFonts w:hint="eastAsia" w:ascii="仿宋" w:hAnsi="仿宋" w:eastAsia="仿宋" w:cs="仿宋"/>
          <w:color w:val="auto"/>
          <w:highlight w:val="none"/>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pPr>
        <w:snapToGrid w:val="0"/>
        <w:spacing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供应商有前款第a)至e)项情形之一的，中标、成交无效。</w:t>
      </w:r>
    </w:p>
    <w:p>
      <w:pPr>
        <w:pStyle w:val="56"/>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pPr>
        <w:pStyle w:val="56"/>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电话：传真：</w:t>
      </w:r>
    </w:p>
    <w:p>
      <w:pPr>
        <w:pStyle w:val="56"/>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开户银行：帐号：</w:t>
      </w:r>
    </w:p>
    <w:p>
      <w:pPr>
        <w:pStyle w:val="56"/>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法定代表人或其授权代表(签字或签章)：</w:t>
      </w:r>
    </w:p>
    <w:p>
      <w:pPr>
        <w:pStyle w:val="56"/>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投标人(盖章)：　　　　　　　　　　　　　　　　　　　　日期：</w:t>
      </w:r>
    </w:p>
    <w:p>
      <w:pPr>
        <w:rPr>
          <w:rFonts w:hint="eastAsia" w:ascii="仿宋" w:hAnsi="仿宋" w:eastAsia="仿宋" w:cs="仿宋"/>
          <w:color w:val="auto"/>
          <w:highlight w:val="none"/>
        </w:rPr>
      </w:pPr>
    </w:p>
    <w:p>
      <w:pPr>
        <w:rPr>
          <w:rFonts w:hint="eastAsia" w:ascii="仿宋" w:hAnsi="仿宋" w:eastAsia="仿宋" w:cs="仿宋"/>
          <w:color w:val="auto"/>
          <w:highlight w:val="none"/>
        </w:rPr>
        <w:sectPr>
          <w:footerReference r:id="rId5" w:type="first"/>
          <w:headerReference r:id="rId3" w:type="default"/>
          <w:footerReference r:id="rId4" w:type="default"/>
          <w:type w:val="continuous"/>
          <w:pgSz w:w="11906" w:h="16838"/>
          <w:pgMar w:top="1440" w:right="1406" w:bottom="1246" w:left="1758" w:header="1021" w:footer="902" w:gutter="0"/>
          <w:cols w:space="425" w:num="1"/>
          <w:titlePg/>
          <w:docGrid w:type="lines" w:linePitch="312" w:charSpace="0"/>
        </w:sectPr>
      </w:pPr>
    </w:p>
    <w:p>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2、开标一览表（格式）</w:t>
      </w:r>
    </w:p>
    <w:p>
      <w:pPr>
        <w:spacing w:line="400" w:lineRule="exact"/>
        <w:rPr>
          <w:rFonts w:hint="eastAsia" w:ascii="仿宋" w:hAnsi="仿宋" w:eastAsia="仿宋" w:cs="仿宋"/>
          <w:color w:val="auto"/>
          <w:sz w:val="24"/>
          <w:highlight w:val="none"/>
        </w:rPr>
      </w:pPr>
    </w:p>
    <w:p>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w:t>
      </w:r>
    </w:p>
    <w:p>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标    项：</w:t>
      </w:r>
    </w:p>
    <w:p>
      <w:pPr>
        <w:snapToGrid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招标编号：</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单位：元</w:t>
      </w:r>
    </w:p>
    <w:tbl>
      <w:tblPr>
        <w:tblStyle w:val="40"/>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名称</w:t>
            </w:r>
          </w:p>
        </w:tc>
        <w:tc>
          <w:tcPr>
            <w:tcW w:w="1261" w:type="dxa"/>
            <w:tcBorders>
              <w:left w:val="single" w:color="auto" w:sz="4" w:space="0"/>
            </w:tcBorders>
            <w:vAlign w:val="center"/>
          </w:tcPr>
          <w:p>
            <w:pPr>
              <w:adjustRightInd w:val="0"/>
              <w:snapToGrid w:val="0"/>
              <w:ind w:left="-107" w:leftChars="-51" w:right="-107" w:rightChars="-51"/>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货物的制造商或服务的提供商</w:t>
            </w:r>
          </w:p>
        </w:tc>
        <w:tc>
          <w:tcPr>
            <w:tcW w:w="900" w:type="dxa"/>
            <w:vAlign w:val="center"/>
          </w:tcPr>
          <w:p>
            <w:pPr>
              <w:adjustRightInd w:val="0"/>
              <w:snapToGrid w:val="0"/>
              <w:ind w:left="-107" w:leftChars="-51" w:right="-107" w:rightChars="-51" w:firstLine="1"/>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品牌（如有）</w:t>
            </w:r>
          </w:p>
        </w:tc>
        <w:tc>
          <w:tcPr>
            <w:tcW w:w="720" w:type="dxa"/>
            <w:vAlign w:val="center"/>
          </w:tcPr>
          <w:p>
            <w:pPr>
              <w:adjustRightInd w:val="0"/>
              <w:snapToGrid w:val="0"/>
              <w:ind w:left="-107" w:leftChars="-51" w:right="-107" w:rightChars="-51"/>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数量</w:t>
            </w:r>
          </w:p>
        </w:tc>
        <w:tc>
          <w:tcPr>
            <w:tcW w:w="1440" w:type="dxa"/>
            <w:vAlign w:val="center"/>
          </w:tcPr>
          <w:p>
            <w:pPr>
              <w:adjustRightInd w:val="0"/>
              <w:snapToGrid w:val="0"/>
              <w:ind w:left="-107" w:leftChars="-51" w:right="-107" w:rightChars="-51" w:firstLine="1"/>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型号和规格</w:t>
            </w:r>
            <w:r>
              <w:rPr>
                <w:rFonts w:hint="eastAsia" w:ascii="仿宋" w:hAnsi="仿宋" w:eastAsia="仿宋" w:cs="仿宋"/>
                <w:b/>
                <w:color w:val="auto"/>
                <w:sz w:val="18"/>
                <w:szCs w:val="18"/>
                <w:highlight w:val="none"/>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总价</w:t>
            </w:r>
          </w:p>
        </w:tc>
        <w:tc>
          <w:tcPr>
            <w:tcW w:w="720" w:type="dxa"/>
            <w:vAlign w:val="center"/>
          </w:tcPr>
          <w:p>
            <w:pPr>
              <w:adjustRightInd w:val="0"/>
              <w:snapToGrid w:val="0"/>
              <w:ind w:left="0" w:leftChars="-51" w:right="-107" w:rightChars="-51" w:hanging="107" w:hangingChars="49"/>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交货期</w:t>
            </w:r>
          </w:p>
        </w:tc>
        <w:tc>
          <w:tcPr>
            <w:tcW w:w="1078" w:type="dxa"/>
            <w:vAlign w:val="center"/>
          </w:tcPr>
          <w:p>
            <w:pPr>
              <w:tabs>
                <w:tab w:val="left" w:pos="1224"/>
              </w:tabs>
              <w:adjustRightInd w:val="0"/>
              <w:snapToGrid w:val="0"/>
              <w:ind w:right="-107" w:rightChars="-51"/>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1</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44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2</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3</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4</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444" w:firstLineChars="202"/>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hint="eastAsia" w:ascii="仿宋" w:hAnsi="仿宋" w:eastAsia="仿宋" w:cs="仿宋"/>
                <w:color w:val="auto"/>
                <w:spacing w:val="20"/>
                <w:sz w:val="18"/>
                <w:szCs w:val="18"/>
                <w:highlight w:val="none"/>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大写：</w:t>
            </w:r>
          </w:p>
        </w:tc>
      </w:tr>
    </w:tbl>
    <w:p>
      <w:pPr>
        <w:snapToGrid w:val="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 1.报价一经涂改，应在涂改处加盖单位公章或者由法定代表人或其授权代表签字或盖章，否则其投标作无效投标处理。</w:t>
      </w:r>
    </w:p>
    <w:p>
      <w:pPr>
        <w:snapToGrid w:val="0"/>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2.招标人不接受某一标项中有2个(含)以上的报价或方案，若投标人在此表中有2个（含）以上的报价或方案，其投标作无效投标处理。</w:t>
      </w:r>
    </w:p>
    <w:p>
      <w:pPr>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3.投标人需按本表格式填写，如无对应内容，则填写：“无或/”。</w:t>
      </w:r>
    </w:p>
    <w:p>
      <w:pPr>
        <w:snapToGrid w:val="0"/>
        <w:ind w:left="48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4.有关本项目实施所涉及的一切费用均计入报价。</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日期：年月日</w:t>
      </w:r>
    </w:p>
    <w:p>
      <w:pPr>
        <w:ind w:firstLine="420" w:firstLineChars="200"/>
        <w:rPr>
          <w:rFonts w:hint="eastAsia" w:ascii="仿宋" w:hAnsi="仿宋" w:eastAsia="仿宋" w:cs="仿宋"/>
          <w:color w:val="auto"/>
          <w:highlight w:val="none"/>
        </w:rPr>
      </w:pPr>
    </w:p>
    <w:p>
      <w:pPr>
        <w:pageBreakBefore/>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商务技术（资信）文件部分</w:t>
      </w:r>
    </w:p>
    <w:p>
      <w:pPr>
        <w:spacing w:line="360" w:lineRule="auto"/>
        <w:jc w:val="center"/>
        <w:outlineLvl w:val="0"/>
        <w:rPr>
          <w:rFonts w:hint="eastAsia" w:ascii="仿宋" w:hAnsi="仿宋" w:eastAsia="仿宋" w:cs="仿宋"/>
          <w:b/>
          <w:color w:val="auto"/>
          <w:kern w:val="0"/>
          <w:sz w:val="24"/>
          <w:highlight w:val="none"/>
        </w:rPr>
      </w:pPr>
    </w:p>
    <w:p>
      <w:pPr>
        <w:spacing w:line="360"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pStyle w:val="154"/>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（1）法定代表人授权书…………………………………………………………（页码）</w:t>
      </w:r>
    </w:p>
    <w:p>
      <w:pPr>
        <w:pStyle w:val="154"/>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（2）授权代表社保证明（复印件）………………………………………………（页码）</w:t>
      </w:r>
    </w:p>
    <w:p>
      <w:pPr>
        <w:pStyle w:val="154"/>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（3）法定代表人及其授权代表的身份证（复印件）……………………………（页码）（4）法定代表人身份证明书………………………………………………………（页码）</w:t>
      </w:r>
    </w:p>
    <w:p>
      <w:pPr>
        <w:spacing w:line="360" w:lineRule="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（5）营业执照(或事业法人登记证或其他登记证明材料)复印件</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r>
        <w:rPr>
          <w:rFonts w:hint="eastAsia" w:ascii="仿宋" w:hAnsi="仿宋" w:eastAsia="仿宋" w:cs="仿宋"/>
          <w:color w:val="auto"/>
          <w:sz w:val="24"/>
          <w:highlight w:val="none"/>
          <w:lang w:eastAsia="zh-CN"/>
        </w:rPr>
        <w:t>2021年度资产负债表</w:t>
      </w:r>
      <w:r>
        <w:rPr>
          <w:rFonts w:hint="eastAsia" w:ascii="仿宋" w:hAnsi="仿宋" w:eastAsia="仿宋" w:cs="仿宋"/>
          <w:color w:val="auto"/>
          <w:sz w:val="24"/>
          <w:highlight w:val="none"/>
        </w:rPr>
        <w:t>等财务报表资料文件(新成立的公司，提供情况说明)</w:t>
      </w:r>
      <w:r>
        <w:rPr>
          <w:rFonts w:hint="eastAsia" w:ascii="仿宋" w:hAnsi="仿宋" w:eastAsia="仿宋" w:cs="仿宋"/>
          <w:color w:val="auto"/>
          <w:kern w:val="0"/>
          <w:sz w:val="24"/>
          <w:highlight w:val="none"/>
        </w:rPr>
        <w:t>…页码）</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（7）具有履</w:t>
      </w:r>
      <w:r>
        <w:rPr>
          <w:rFonts w:hint="eastAsia" w:ascii="仿宋" w:hAnsi="仿宋" w:eastAsia="仿宋" w:cs="仿宋"/>
          <w:color w:val="auto"/>
          <w:kern w:val="0"/>
          <w:sz w:val="24"/>
          <w:highlight w:val="none"/>
        </w:rPr>
        <w:t>行合同所必需的设备和专业技术能力的承诺函……………………（页码）</w:t>
      </w:r>
    </w:p>
    <w:p>
      <w:pPr>
        <w:pStyle w:val="154"/>
        <w:spacing w:line="360" w:lineRule="auto"/>
        <w:ind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（8）重大违法记录的声明</w:t>
      </w:r>
      <w:r>
        <w:rPr>
          <w:rFonts w:hint="eastAsia" w:ascii="仿宋" w:hAnsi="仿宋" w:eastAsia="仿宋" w:cs="仿宋"/>
          <w:color w:val="auto"/>
          <w:kern w:val="0"/>
          <w:highlight w:val="none"/>
        </w:rPr>
        <w:t>…</w:t>
      </w:r>
      <w:r>
        <w:rPr>
          <w:rFonts w:hint="eastAsia" w:ascii="仿宋" w:hAnsi="仿宋" w:eastAsia="仿宋" w:cs="仿宋"/>
          <w:color w:val="auto"/>
          <w:highlight w:val="none"/>
        </w:rPr>
        <w:t>……………………………………………………</w:t>
      </w:r>
      <w:r>
        <w:rPr>
          <w:rFonts w:hint="eastAsia" w:ascii="仿宋" w:hAnsi="仿宋" w:eastAsia="仿宋" w:cs="仿宋"/>
          <w:color w:val="auto"/>
          <w:kern w:val="0"/>
          <w:highlight w:val="none"/>
        </w:rPr>
        <w:t>（页码）</w:t>
      </w:r>
      <w:r>
        <w:rPr>
          <w:rFonts w:hint="eastAsia" w:ascii="仿宋" w:hAnsi="仿宋" w:eastAsia="仿宋" w:cs="仿宋"/>
          <w:color w:val="auto"/>
          <w:highlight w:val="none"/>
        </w:rPr>
        <w:t>（9）符合特定资格条件（如果项目要求）的有关证明材料（复印件）………（页码）</w:t>
      </w:r>
    </w:p>
    <w:p>
      <w:pPr>
        <w:pStyle w:val="154"/>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（10）</w:t>
      </w:r>
      <w:r>
        <w:rPr>
          <w:rFonts w:hint="eastAsia" w:ascii="仿宋" w:hAnsi="仿宋" w:eastAsia="仿宋" w:cs="仿宋"/>
          <w:snapToGrid w:val="0"/>
          <w:color w:val="auto"/>
          <w:highlight w:val="none"/>
        </w:rPr>
        <w:t>非本地投标人售后服务机构证明材料</w:t>
      </w:r>
      <w:r>
        <w:rPr>
          <w:rFonts w:hint="eastAsia" w:ascii="仿宋" w:hAnsi="仿宋" w:eastAsia="仿宋" w:cs="仿宋"/>
          <w:color w:val="auto"/>
          <w:highlight w:val="none"/>
        </w:rPr>
        <w:t>……………………………………（页码）</w:t>
      </w:r>
    </w:p>
    <w:p>
      <w:pPr>
        <w:pStyle w:val="154"/>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（11）所有与符合性审查有关的资信文件（复印件）………………………（页码）</w:t>
      </w:r>
    </w:p>
    <w:p>
      <w:pPr>
        <w:pStyle w:val="154"/>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（12）</w:t>
      </w:r>
      <w:r>
        <w:rPr>
          <w:rFonts w:hint="eastAsia" w:ascii="仿宋" w:hAnsi="仿宋" w:eastAsia="仿宋" w:cs="仿宋"/>
          <w:color w:val="auto"/>
          <w:highlight w:val="none"/>
          <w:lang w:val="zh-CN"/>
        </w:rPr>
        <w:t>主要业绩证明…………………………………………………</w:t>
      </w:r>
      <w:r>
        <w:rPr>
          <w:rFonts w:hint="eastAsia" w:ascii="仿宋" w:hAnsi="仿宋" w:eastAsia="仿宋" w:cs="仿宋"/>
          <w:color w:val="auto"/>
          <w:highlight w:val="none"/>
        </w:rPr>
        <w:t>…………</w:t>
      </w:r>
      <w:r>
        <w:rPr>
          <w:rFonts w:hint="eastAsia" w:ascii="仿宋" w:hAnsi="仿宋" w:eastAsia="仿宋" w:cs="仿宋"/>
          <w:color w:val="auto"/>
          <w:highlight w:val="none"/>
          <w:lang w:val="zh-CN"/>
        </w:rPr>
        <w:t>…</w:t>
      </w:r>
      <w:r>
        <w:rPr>
          <w:rFonts w:hint="eastAsia" w:ascii="仿宋" w:hAnsi="仿宋" w:eastAsia="仿宋" w:cs="仿宋"/>
          <w:color w:val="auto"/>
          <w:highlight w:val="none"/>
        </w:rPr>
        <w:t>（页码）</w:t>
      </w:r>
    </w:p>
    <w:p>
      <w:pPr>
        <w:pStyle w:val="154"/>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（13）廉政承诺书…………………………………………………………………（页码）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（15）技术偏离说明表………………………………………………</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（16）组织实施方案……………………………………………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（17）售后服务方案……………………………………………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（18）项目小组人员名单………………………………………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（19）</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rPr>
        <w:t>（21）</w:t>
      </w:r>
      <w:r>
        <w:rPr>
          <w:rFonts w:hint="eastAsia" w:ascii="仿宋" w:hAnsi="仿宋" w:eastAsia="仿宋" w:cs="仿宋"/>
          <w:color w:val="auto"/>
          <w:kern w:val="0"/>
          <w:sz w:val="24"/>
          <w:highlight w:val="none"/>
          <w:lang w:val="zh-CN"/>
        </w:rPr>
        <w:t>消耗品、维修零配件购买价格清单…………………………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（22）培训计划………………………………………………………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（23）</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（24）</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注：以上目录是基本格式要求，各投标人可根据自身情况进一步细化。</w:t>
      </w:r>
    </w:p>
    <w:p>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1、法定代表人授权委托书（格式）</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rPr>
        <w:t>绍兴市中医院、泰宇建筑工程技术咨询有限公司</w:t>
      </w:r>
      <w:r>
        <w:rPr>
          <w:rFonts w:hint="eastAsia" w:ascii="仿宋" w:hAnsi="仿宋" w:eastAsia="仿宋" w:cs="仿宋"/>
          <w:color w:val="auto"/>
          <w:sz w:val="24"/>
          <w:highlight w:val="none"/>
        </w:rPr>
        <w:t>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授权代表姓名：性别：年龄：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单位：部门：职务：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办公地址：联系电话：传真：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日期：年月日</w:t>
      </w:r>
    </w:p>
    <w:p>
      <w:pPr>
        <w:ind w:firstLine="4920" w:firstLineChars="2050"/>
        <w:jc w:val="left"/>
        <w:rPr>
          <w:rFonts w:hint="eastAsia" w:ascii="仿宋" w:hAnsi="仿宋" w:eastAsia="仿宋" w:cs="仿宋"/>
          <w:color w:val="auto"/>
          <w:sz w:val="24"/>
          <w:highlight w:val="none"/>
        </w:rPr>
      </w:pPr>
    </w:p>
    <w:p>
      <w:pPr>
        <w:spacing w:line="800" w:lineRule="exact"/>
        <w:rPr>
          <w:rFonts w:hint="eastAsia" w:ascii="仿宋" w:hAnsi="仿宋" w:eastAsia="仿宋" w:cs="仿宋"/>
          <w:b/>
          <w:color w:val="auto"/>
          <w:sz w:val="24"/>
          <w:highlight w:val="none"/>
        </w:rPr>
      </w:pPr>
    </w:p>
    <w:p>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2、授权代表社保证明（复印件）</w:t>
      </w:r>
    </w:p>
    <w:p>
      <w:pPr>
        <w:spacing w:line="800" w:lineRule="exact"/>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加盖投标人公章的委托代理协议复印件），格式自拟。</w:t>
      </w:r>
      <w:r>
        <w:rPr>
          <w:rFonts w:hint="eastAsia" w:ascii="仿宋" w:hAnsi="仿宋" w:eastAsia="仿宋" w:cs="仿宋"/>
          <w:b/>
          <w:color w:val="auto"/>
          <w:sz w:val="24"/>
          <w:highlight w:val="none"/>
        </w:rPr>
        <w:t>未提供上述证明的投标做无效投标处理。</w:t>
      </w:r>
    </w:p>
    <w:p>
      <w:pPr>
        <w:spacing w:line="800" w:lineRule="exact"/>
        <w:ind w:firstLine="4320" w:firstLineChars="1800"/>
        <w:rPr>
          <w:rFonts w:hint="eastAsia" w:ascii="仿宋" w:hAnsi="仿宋" w:eastAsia="仿宋" w:cs="仿宋"/>
          <w:color w:val="auto"/>
          <w:sz w:val="24"/>
          <w:highlight w:val="none"/>
        </w:rPr>
      </w:pPr>
    </w:p>
    <w:p>
      <w:pPr>
        <w:spacing w:line="800" w:lineRule="exact"/>
        <w:ind w:firstLine="4337" w:firstLineChars="1800"/>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3、法定代表人及其授权代表身份证复印件（正反面）</w:t>
      </w: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4、法定代表人身份证明书(格式)</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姓名：</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p>
    <w:p>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职务：</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（填写投标人名称）</w:t>
      </w:r>
      <w:r>
        <w:rPr>
          <w:rFonts w:hint="eastAsia" w:ascii="仿宋" w:hAnsi="仿宋" w:eastAsia="仿宋" w:cs="仿宋"/>
          <w:color w:val="auto"/>
          <w:sz w:val="24"/>
          <w:highlight w:val="none"/>
        </w:rPr>
        <w:t>的法定代表人。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pPr>
        <w:spacing w:line="440" w:lineRule="exact"/>
        <w:rPr>
          <w:rFonts w:hint="eastAsia" w:ascii="仿宋" w:hAnsi="仿宋" w:eastAsia="仿宋" w:cs="仿宋"/>
          <w:color w:val="auto"/>
          <w:sz w:val="24"/>
          <w:highlight w:val="none"/>
        </w:rPr>
      </w:pP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投标人：（盖章）</w:t>
      </w:r>
    </w:p>
    <w:p>
      <w:pPr>
        <w:spacing w:line="440" w:lineRule="exact"/>
        <w:ind w:right="480"/>
        <w:rPr>
          <w:rFonts w:hint="eastAsia" w:ascii="仿宋" w:hAnsi="仿宋" w:eastAsia="仿宋" w:cs="仿宋"/>
          <w:color w:val="auto"/>
          <w:sz w:val="24"/>
          <w:highlight w:val="none"/>
        </w:rPr>
      </w:pPr>
    </w:p>
    <w:p>
      <w:pPr>
        <w:wordWrap w:val="0"/>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年月日</w:t>
      </w:r>
    </w:p>
    <w:p>
      <w:pPr>
        <w:spacing w:line="360" w:lineRule="auto"/>
        <w:jc w:val="center"/>
        <w:rPr>
          <w:rFonts w:hint="eastAsia" w:ascii="仿宋" w:hAnsi="仿宋" w:eastAsia="仿宋" w:cs="仿宋"/>
          <w:b/>
          <w:color w:val="auto"/>
          <w:sz w:val="30"/>
          <w:szCs w:val="30"/>
          <w:highlight w:val="none"/>
        </w:rPr>
      </w:pPr>
    </w:p>
    <w:p>
      <w:pPr>
        <w:pageBreakBefore/>
        <w:spacing w:line="360" w:lineRule="auto"/>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5</w:t>
      </w:r>
      <w:r>
        <w:rPr>
          <w:rFonts w:hint="eastAsia" w:ascii="仿宋" w:hAnsi="仿宋" w:eastAsia="仿宋" w:cs="仿宋"/>
          <w:b/>
          <w:color w:val="auto"/>
          <w:kern w:val="0"/>
          <w:sz w:val="30"/>
          <w:szCs w:val="30"/>
          <w:highlight w:val="none"/>
          <w:lang w:val="zh-CN"/>
        </w:rPr>
        <w:t>、</w:t>
      </w:r>
      <w:r>
        <w:rPr>
          <w:rFonts w:hint="eastAsia" w:ascii="仿宋" w:hAnsi="仿宋" w:eastAsia="仿宋" w:cs="仿宋"/>
          <w:b/>
          <w:color w:val="auto"/>
          <w:sz w:val="30"/>
          <w:szCs w:val="30"/>
          <w:highlight w:val="none"/>
        </w:rPr>
        <w:t>营业执照（或事业法人登记证或其他登记证明材料）（复印件）</w:t>
      </w:r>
    </w:p>
    <w:p>
      <w:pPr>
        <w:spacing w:line="360" w:lineRule="auto"/>
        <w:jc w:val="center"/>
        <w:rPr>
          <w:rFonts w:hint="eastAsia" w:ascii="仿宋" w:hAnsi="仿宋" w:eastAsia="仿宋" w:cs="仿宋"/>
          <w:b/>
          <w:color w:val="auto"/>
          <w:sz w:val="30"/>
          <w:szCs w:val="30"/>
          <w:highlight w:val="none"/>
        </w:rPr>
      </w:pPr>
    </w:p>
    <w:p>
      <w:pPr>
        <w:spacing w:line="360" w:lineRule="auto"/>
        <w:jc w:val="center"/>
        <w:rPr>
          <w:rFonts w:hint="eastAsia" w:ascii="仿宋" w:hAnsi="仿宋" w:eastAsia="仿宋" w:cs="仿宋"/>
          <w:b/>
          <w:color w:val="auto"/>
          <w:sz w:val="30"/>
          <w:szCs w:val="30"/>
          <w:highlight w:val="none"/>
        </w:rPr>
      </w:pPr>
    </w:p>
    <w:p>
      <w:pPr>
        <w:spacing w:line="360" w:lineRule="auto"/>
        <w:jc w:val="center"/>
        <w:rPr>
          <w:rFonts w:hint="eastAsia" w:ascii="仿宋" w:hAnsi="仿宋" w:eastAsia="仿宋" w:cs="仿宋"/>
          <w:b/>
          <w:color w:val="auto"/>
          <w:sz w:val="30"/>
          <w:szCs w:val="30"/>
          <w:highlight w:val="none"/>
        </w:rPr>
      </w:pPr>
    </w:p>
    <w:p>
      <w:pPr>
        <w:spacing w:line="360" w:lineRule="auto"/>
        <w:jc w:val="center"/>
        <w:rPr>
          <w:rFonts w:hint="eastAsia" w:ascii="仿宋" w:hAnsi="仿宋" w:eastAsia="仿宋" w:cs="仿宋"/>
          <w:b/>
          <w:color w:val="auto"/>
          <w:sz w:val="30"/>
          <w:szCs w:val="30"/>
          <w:highlight w:val="none"/>
        </w:rPr>
      </w:pPr>
    </w:p>
    <w:p>
      <w:pPr>
        <w:spacing w:line="360" w:lineRule="auto"/>
        <w:jc w:val="center"/>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6、财务报表资料文件（</w:t>
      </w:r>
      <w:r>
        <w:rPr>
          <w:rFonts w:hint="eastAsia" w:ascii="仿宋" w:hAnsi="仿宋" w:eastAsia="仿宋" w:cs="仿宋"/>
          <w:b/>
          <w:color w:val="auto"/>
          <w:sz w:val="30"/>
          <w:szCs w:val="30"/>
          <w:highlight w:val="none"/>
          <w:lang w:eastAsia="zh-CN"/>
        </w:rPr>
        <w:t>2021年度资产负债表</w:t>
      </w:r>
      <w:r>
        <w:rPr>
          <w:rFonts w:hint="eastAsia" w:ascii="仿宋" w:hAnsi="仿宋" w:eastAsia="仿宋" w:cs="仿宋"/>
          <w:b/>
          <w:color w:val="auto"/>
          <w:sz w:val="30"/>
          <w:szCs w:val="30"/>
          <w:highlight w:val="none"/>
        </w:rPr>
        <w:t>等财务报表资料文件(新成立的公司，提供情况说明，格式自拟)）</w:t>
      </w:r>
    </w:p>
    <w:p>
      <w:pPr>
        <w:spacing w:line="360" w:lineRule="auto"/>
        <w:rPr>
          <w:rFonts w:hint="eastAsia" w:ascii="仿宋" w:hAnsi="仿宋" w:eastAsia="仿宋" w:cs="仿宋"/>
          <w:b/>
          <w:color w:val="auto"/>
          <w:sz w:val="30"/>
          <w:szCs w:val="30"/>
          <w:highlight w:val="none"/>
        </w:rPr>
      </w:pPr>
    </w:p>
    <w:p>
      <w:pPr>
        <w:snapToGrid w:val="0"/>
        <w:spacing w:line="360" w:lineRule="auto"/>
        <w:ind w:right="480"/>
        <w:jc w:val="center"/>
        <w:rPr>
          <w:rFonts w:hint="eastAsia" w:ascii="仿宋" w:hAnsi="仿宋" w:eastAsia="仿宋" w:cs="仿宋"/>
          <w:b/>
          <w:color w:val="auto"/>
          <w:kern w:val="0"/>
          <w:sz w:val="32"/>
          <w:szCs w:val="32"/>
          <w:highlight w:val="none"/>
          <w:lang w:val="zh-CN"/>
        </w:rPr>
      </w:pPr>
    </w:p>
    <w:p>
      <w:pPr>
        <w:snapToGrid w:val="0"/>
        <w:spacing w:line="360" w:lineRule="auto"/>
        <w:ind w:right="480"/>
        <w:jc w:val="center"/>
        <w:rPr>
          <w:rFonts w:hint="eastAsia" w:ascii="仿宋" w:hAnsi="仿宋" w:eastAsia="仿宋" w:cs="仿宋"/>
          <w:b/>
          <w:color w:val="auto"/>
          <w:kern w:val="0"/>
          <w:sz w:val="32"/>
          <w:szCs w:val="32"/>
          <w:highlight w:val="none"/>
          <w:lang w:val="zh-CN"/>
        </w:rPr>
      </w:pPr>
    </w:p>
    <w:p>
      <w:pPr>
        <w:snapToGrid w:val="0"/>
        <w:spacing w:line="360" w:lineRule="auto"/>
        <w:ind w:right="480"/>
        <w:jc w:val="center"/>
        <w:rPr>
          <w:rFonts w:hint="eastAsia" w:ascii="仿宋" w:hAnsi="仿宋" w:eastAsia="仿宋" w:cs="仿宋"/>
          <w:b/>
          <w:color w:val="auto"/>
          <w:kern w:val="0"/>
          <w:sz w:val="32"/>
          <w:szCs w:val="32"/>
          <w:highlight w:val="none"/>
          <w:lang w:val="zh-CN"/>
        </w:rPr>
      </w:pPr>
    </w:p>
    <w:p>
      <w:pPr>
        <w:snapToGrid w:val="0"/>
        <w:spacing w:line="360" w:lineRule="auto"/>
        <w:ind w:right="480"/>
        <w:jc w:val="center"/>
        <w:rPr>
          <w:rFonts w:hint="eastAsia" w:ascii="仿宋" w:hAnsi="仿宋" w:eastAsia="仿宋" w:cs="仿宋"/>
          <w:b/>
          <w:color w:val="auto"/>
          <w:kern w:val="0"/>
          <w:sz w:val="32"/>
          <w:szCs w:val="32"/>
          <w:highlight w:val="none"/>
          <w:lang w:val="zh-CN"/>
        </w:rPr>
      </w:pPr>
    </w:p>
    <w:p>
      <w:pPr>
        <w:snapToGrid w:val="0"/>
        <w:spacing w:line="360" w:lineRule="auto"/>
        <w:ind w:right="48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7、具有履行合同所必需的设备和专业技术能力的承诺函</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绍兴市中医院、泰宇建筑工程技术咨询有限公司</w:t>
      </w:r>
      <w:r>
        <w:rPr>
          <w:rFonts w:hint="eastAsia" w:ascii="仿宋" w:hAnsi="仿宋" w:eastAsia="仿宋" w:cs="仿宋"/>
          <w:color w:val="auto"/>
          <w:kern w:val="0"/>
          <w:sz w:val="24"/>
          <w:highlight w:val="none"/>
          <w:lang w:val="zh-CN"/>
        </w:rPr>
        <w:t>：</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我方郑重承诺，我方具有履行绍兴市中医院</w:t>
      </w:r>
      <w:r>
        <w:rPr>
          <w:rFonts w:hint="eastAsia" w:ascii="仿宋" w:hAnsi="仿宋" w:eastAsia="仿宋" w:cs="仿宋"/>
          <w:color w:val="auto"/>
          <w:sz w:val="24"/>
          <w:highlight w:val="none"/>
          <w:lang w:eastAsia="zh-CN"/>
        </w:rPr>
        <w:t>信息管理系统运行维护及运维人员驻场项目</w:t>
      </w:r>
      <w:r>
        <w:rPr>
          <w:rFonts w:hint="eastAsia" w:ascii="仿宋" w:hAnsi="仿宋" w:eastAsia="仿宋" w:cs="仿宋"/>
          <w:color w:val="auto"/>
          <w:sz w:val="24"/>
          <w:highlight w:val="none"/>
        </w:rPr>
        <w:t>（招标编号:）合同所必需的设备和专业技术能力。如中标，我方将保证合同顺利履行。</w:t>
      </w:r>
    </w:p>
    <w:p>
      <w:pPr>
        <w:snapToGrid w:val="0"/>
        <w:spacing w:line="360" w:lineRule="auto"/>
        <w:rPr>
          <w:rFonts w:hint="eastAsia" w:ascii="仿宋" w:hAnsi="仿宋" w:eastAsia="仿宋" w:cs="仿宋"/>
          <w:color w:val="auto"/>
          <w:kern w:val="0"/>
          <w:sz w:val="24"/>
          <w:highlight w:val="none"/>
          <w:lang w:val="zh-CN"/>
        </w:rPr>
      </w:pPr>
    </w:p>
    <w:p>
      <w:pPr>
        <w:snapToGrid w:val="0"/>
        <w:spacing w:line="360" w:lineRule="auto"/>
        <w:rPr>
          <w:rFonts w:hint="eastAsia" w:ascii="仿宋" w:hAnsi="仿宋" w:eastAsia="仿宋" w:cs="仿宋"/>
          <w:color w:val="auto"/>
          <w:kern w:val="0"/>
          <w:sz w:val="24"/>
          <w:highlight w:val="none"/>
          <w:lang w:val="zh-CN"/>
        </w:rPr>
      </w:pPr>
    </w:p>
    <w:p>
      <w:pPr>
        <w:snapToGrid w:val="0"/>
        <w:spacing w:line="360" w:lineRule="auto"/>
        <w:rPr>
          <w:rFonts w:hint="eastAsia" w:ascii="仿宋" w:hAnsi="仿宋" w:eastAsia="仿宋" w:cs="仿宋"/>
          <w:color w:val="auto"/>
          <w:kern w:val="0"/>
          <w:sz w:val="24"/>
          <w:highlight w:val="none"/>
          <w:lang w:val="zh-CN"/>
        </w:rPr>
      </w:pPr>
    </w:p>
    <w:p>
      <w:pPr>
        <w:snapToGrid w:val="0"/>
        <w:spacing w:line="360" w:lineRule="auto"/>
        <w:ind w:firstLine="5040" w:firstLineChars="21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投标人名称(盖章)：</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：年</w:t>
      </w:r>
      <w:r>
        <w:rPr>
          <w:rFonts w:hint="eastAsia" w:ascii="仿宋" w:hAnsi="仿宋" w:eastAsia="仿宋" w:cs="仿宋"/>
          <w:color w:val="auto"/>
          <w:kern w:val="0"/>
          <w:sz w:val="24"/>
          <w:highlight w:val="none"/>
          <w:lang w:val="zh-CN"/>
        </w:rPr>
        <w:t>月日</w:t>
      </w:r>
    </w:p>
    <w:p>
      <w:pPr>
        <w:spacing w:line="360" w:lineRule="auto"/>
        <w:jc w:val="center"/>
        <w:rPr>
          <w:rFonts w:hint="eastAsia" w:ascii="仿宋" w:hAnsi="仿宋" w:eastAsia="仿宋" w:cs="仿宋"/>
          <w:b/>
          <w:color w:val="auto"/>
          <w:kern w:val="0"/>
          <w:sz w:val="32"/>
          <w:szCs w:val="32"/>
          <w:highlight w:val="none"/>
        </w:rPr>
      </w:pPr>
    </w:p>
    <w:p>
      <w:pPr>
        <w:spacing w:line="360" w:lineRule="auto"/>
        <w:jc w:val="center"/>
        <w:rPr>
          <w:rFonts w:hint="eastAsia" w:ascii="仿宋" w:hAnsi="仿宋" w:eastAsia="仿宋" w:cs="仿宋"/>
          <w:b/>
          <w:color w:val="auto"/>
          <w:kern w:val="0"/>
          <w:sz w:val="32"/>
          <w:szCs w:val="32"/>
          <w:highlight w:val="none"/>
        </w:rPr>
      </w:pPr>
    </w:p>
    <w:p>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rPr>
        <w:t>8、重大违法记录的声明</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绍兴市中医院、泰宇建筑工程技术咨询有限公司</w:t>
      </w:r>
      <w:r>
        <w:rPr>
          <w:rFonts w:hint="eastAsia" w:ascii="仿宋" w:hAnsi="仿宋" w:eastAsia="仿宋" w:cs="仿宋"/>
          <w:color w:val="auto"/>
          <w:kern w:val="0"/>
          <w:sz w:val="24"/>
          <w:highlight w:val="none"/>
          <w:lang w:val="zh-CN"/>
        </w:rPr>
        <w:t>：</w:t>
      </w:r>
    </w:p>
    <w:p>
      <w:pPr>
        <w:spacing w:line="360" w:lineRule="auto"/>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kern w:val="0"/>
          <w:sz w:val="24"/>
          <w:highlight w:val="none"/>
          <w:lang w:val="zh-CN"/>
        </w:rPr>
        <w:t>我公司</w:t>
      </w:r>
      <w:r>
        <w:rPr>
          <w:rFonts w:hint="eastAsia" w:ascii="仿宋" w:hAnsi="仿宋" w:eastAsia="仿宋" w:cs="仿宋"/>
          <w:color w:val="auto"/>
          <w:sz w:val="24"/>
          <w:highlight w:val="none"/>
        </w:rPr>
        <w:t>声明参加本次政府采购活动前三年内，在</w:t>
      </w:r>
      <w:r>
        <w:rPr>
          <w:rFonts w:hint="eastAsia" w:ascii="仿宋" w:hAnsi="仿宋" w:eastAsia="仿宋" w:cs="仿宋"/>
          <w:color w:val="auto"/>
          <w:kern w:val="0"/>
          <w:sz w:val="24"/>
          <w:highlight w:val="none"/>
        </w:rPr>
        <w:t>经营活动中</w:t>
      </w:r>
      <w:r>
        <w:rPr>
          <w:rFonts w:hint="eastAsia" w:ascii="仿宋" w:hAnsi="仿宋" w:eastAsia="仿宋" w:cs="仿宋"/>
          <w:color w:val="auto"/>
          <w:sz w:val="24"/>
          <w:highlight w:val="none"/>
        </w:rPr>
        <w:t>没有重大违法记录；也</w:t>
      </w:r>
      <w:r>
        <w:rPr>
          <w:rFonts w:hint="eastAsia" w:ascii="仿宋" w:hAnsi="仿宋" w:eastAsia="仿宋" w:cs="仿宋"/>
          <w:color w:val="auto"/>
          <w:sz w:val="24"/>
          <w:szCs w:val="20"/>
          <w:highlight w:val="none"/>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：年</w:t>
      </w:r>
      <w:r>
        <w:rPr>
          <w:rFonts w:hint="eastAsia" w:ascii="仿宋" w:hAnsi="仿宋" w:eastAsia="仿宋" w:cs="仿宋"/>
          <w:color w:val="auto"/>
          <w:kern w:val="0"/>
          <w:sz w:val="24"/>
          <w:highlight w:val="none"/>
          <w:lang w:val="zh-CN"/>
        </w:rPr>
        <w:t>月日</w:t>
      </w:r>
    </w:p>
    <w:p>
      <w:pPr>
        <w:spacing w:line="360" w:lineRule="auto"/>
        <w:jc w:val="center"/>
        <w:rPr>
          <w:rFonts w:hint="eastAsia" w:ascii="仿宋" w:hAnsi="仿宋" w:eastAsia="仿宋" w:cs="仿宋"/>
          <w:b/>
          <w:color w:val="auto"/>
          <w:sz w:val="30"/>
          <w:szCs w:val="30"/>
          <w:highlight w:val="none"/>
        </w:rPr>
      </w:pPr>
    </w:p>
    <w:p>
      <w:pPr>
        <w:spacing w:line="360" w:lineRule="auto"/>
        <w:jc w:val="center"/>
        <w:rPr>
          <w:rFonts w:hint="eastAsia" w:ascii="仿宋" w:hAnsi="仿宋" w:eastAsia="仿宋" w:cs="仿宋"/>
          <w:b/>
          <w:color w:val="auto"/>
          <w:sz w:val="30"/>
          <w:szCs w:val="30"/>
          <w:highlight w:val="none"/>
        </w:rPr>
      </w:pPr>
    </w:p>
    <w:p>
      <w:pPr>
        <w:spacing w:line="360" w:lineRule="auto"/>
        <w:jc w:val="center"/>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9、特定资格条件要求的资质文件（复印件）</w:t>
      </w:r>
    </w:p>
    <w:p>
      <w:pPr>
        <w:widowControl/>
        <w:spacing w:line="360" w:lineRule="auto"/>
        <w:ind w:firstLine="480" w:firstLineChars="200"/>
        <w:jc w:val="left"/>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（由投标人根据招标公告合格的投标人应具备的特定资格要求编制）</w:t>
      </w: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10、非本地投标人售后服务机构证明材料</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（由非本地投标人根据采购需求及招标文件要求编制）</w:t>
      </w: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pageBreakBefore/>
        <w:spacing w:line="360" w:lineRule="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11、所有与符合性审查有关的资信文件（复印件）</w:t>
      </w:r>
    </w:p>
    <w:p>
      <w:pPr>
        <w:spacing w:line="360" w:lineRule="auto"/>
        <w:rPr>
          <w:rFonts w:hint="eastAsia" w:ascii="仿宋" w:hAnsi="仿宋" w:eastAsia="仿宋" w:cs="仿宋"/>
          <w:b/>
          <w:bCs/>
          <w:color w:val="auto"/>
          <w:sz w:val="32"/>
          <w:szCs w:val="32"/>
          <w:highlight w:val="none"/>
        </w:rPr>
      </w:pPr>
      <w:r>
        <w:rPr>
          <w:rFonts w:hint="eastAsia" w:ascii="仿宋" w:hAnsi="仿宋" w:eastAsia="仿宋" w:cs="仿宋"/>
          <w:b/>
          <w:color w:val="auto"/>
          <w:sz w:val="24"/>
          <w:highlight w:val="none"/>
        </w:rPr>
        <w:t>（1. 提供依法缴纳税收和社会保障资金的良好记录证明，税收和社保证明打印时间不得早于投标截止时间前1个月；2.</w:t>
      </w:r>
      <w:r>
        <w:rPr>
          <w:rFonts w:hint="eastAsia" w:ascii="仿宋" w:hAnsi="仿宋" w:eastAsia="仿宋" w:cs="仿宋"/>
          <w:color w:val="auto"/>
          <w:sz w:val="24"/>
          <w:highlight w:val="none"/>
        </w:rPr>
        <w:t>其他资料由投标人根据采购需求及招标文件要求编制。</w:t>
      </w:r>
      <w:r>
        <w:rPr>
          <w:rFonts w:hint="eastAsia" w:ascii="仿宋" w:hAnsi="仿宋" w:eastAsia="仿宋" w:cs="仿宋"/>
          <w:b/>
          <w:color w:val="auto"/>
          <w:sz w:val="24"/>
          <w:highlight w:val="none"/>
        </w:rPr>
        <w:t>）</w:t>
      </w: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12、</w:t>
      </w:r>
      <w:r>
        <w:rPr>
          <w:rFonts w:hint="eastAsia" w:ascii="仿宋" w:hAnsi="仿宋" w:eastAsia="仿宋" w:cs="仿宋"/>
          <w:b/>
          <w:color w:val="auto"/>
          <w:kern w:val="0"/>
          <w:sz w:val="32"/>
          <w:szCs w:val="32"/>
          <w:highlight w:val="none"/>
          <w:lang w:val="zh-CN"/>
        </w:rPr>
        <w:t>主要业绩证明</w:t>
      </w:r>
    </w:p>
    <w:p>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40"/>
        <w:tblW w:w="0" w:type="auto"/>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注：投标人可按上述的格式自行编制，须随表提交相应的合同复印件和用户单位验收证明并注明页码。</w:t>
      </w:r>
    </w:p>
    <w:p>
      <w:pPr>
        <w:autoSpaceDE w:val="0"/>
        <w:autoSpaceDN w:val="0"/>
        <w:spacing w:line="360" w:lineRule="auto"/>
        <w:ind w:firstLine="4560" w:firstLineChars="1900"/>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投标人名称（</w:t>
      </w:r>
      <w:r>
        <w:rPr>
          <w:rFonts w:hint="eastAsia" w:ascii="仿宋" w:hAnsi="仿宋" w:eastAsia="仿宋" w:cs="仿宋"/>
          <w:color w:val="auto"/>
          <w:kern w:val="0"/>
          <w:sz w:val="24"/>
          <w:highlight w:val="none"/>
          <w:lang w:val="zh-CN"/>
        </w:rPr>
        <w:t>盖章</w:t>
      </w:r>
      <w:r>
        <w:rPr>
          <w:rFonts w:hint="eastAsia" w:ascii="仿宋" w:hAnsi="仿宋" w:eastAsia="仿宋" w:cs="仿宋"/>
          <w:color w:val="auto"/>
          <w:kern w:val="0"/>
          <w:sz w:val="24"/>
          <w:highlight w:val="none"/>
        </w:rPr>
        <w:t>）：</w:t>
      </w:r>
    </w:p>
    <w:p>
      <w:pPr>
        <w:autoSpaceDE w:val="0"/>
        <w:autoSpaceDN w:val="0"/>
        <w:spacing w:line="360" w:lineRule="auto"/>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法定代表人或其授权代表（签字或</w:t>
      </w:r>
      <w:r>
        <w:rPr>
          <w:rFonts w:hint="eastAsia" w:ascii="仿宋" w:hAnsi="仿宋" w:eastAsia="仿宋" w:cs="仿宋"/>
          <w:color w:val="auto"/>
          <w:kern w:val="0"/>
          <w:sz w:val="24"/>
          <w:highlight w:val="none"/>
          <w:lang w:val="zh-CN"/>
        </w:rPr>
        <w:t>盖章</w:t>
      </w:r>
      <w:r>
        <w:rPr>
          <w:rFonts w:hint="eastAsia" w:ascii="仿宋" w:hAnsi="仿宋" w:eastAsia="仿宋" w:cs="仿宋"/>
          <w:color w:val="auto"/>
          <w:kern w:val="0"/>
          <w:sz w:val="24"/>
          <w:highlight w:val="none"/>
        </w:rPr>
        <w:t>）：</w:t>
      </w:r>
    </w:p>
    <w:p>
      <w:pPr>
        <w:spacing w:line="360" w:lineRule="auto"/>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日期：年月日</w:t>
      </w:r>
    </w:p>
    <w:p>
      <w:pPr>
        <w:pStyle w:val="155"/>
        <w:ind w:firstLine="0"/>
        <w:jc w:val="both"/>
        <w:rPr>
          <w:rFonts w:hint="eastAsia" w:ascii="仿宋" w:hAnsi="仿宋" w:eastAsia="仿宋" w:cs="仿宋"/>
          <w:color w:val="auto"/>
          <w:highlight w:val="none"/>
        </w:rPr>
      </w:pPr>
    </w:p>
    <w:p>
      <w:pPr>
        <w:pStyle w:val="155"/>
        <w:ind w:firstLine="0"/>
        <w:jc w:val="both"/>
        <w:rPr>
          <w:rFonts w:hint="eastAsia" w:ascii="仿宋" w:hAnsi="仿宋" w:eastAsia="仿宋" w:cs="仿宋"/>
          <w:color w:val="auto"/>
          <w:highlight w:val="none"/>
        </w:rPr>
      </w:pPr>
    </w:p>
    <w:p>
      <w:pPr>
        <w:pStyle w:val="155"/>
        <w:ind w:firstLine="0"/>
        <w:jc w:val="both"/>
        <w:rPr>
          <w:rFonts w:hint="eastAsia" w:ascii="仿宋" w:hAnsi="仿宋" w:eastAsia="仿宋" w:cs="仿宋"/>
          <w:color w:val="auto"/>
          <w:highlight w:val="none"/>
        </w:rPr>
      </w:pPr>
    </w:p>
    <w:p>
      <w:pPr>
        <w:pStyle w:val="155"/>
        <w:pageBreakBefore/>
        <w:ind w:firstLine="0"/>
        <w:jc w:val="both"/>
        <w:rPr>
          <w:rFonts w:hint="eastAsia" w:ascii="仿宋" w:hAnsi="仿宋" w:eastAsia="仿宋" w:cs="仿宋"/>
          <w:color w:val="auto"/>
          <w:highlight w:val="none"/>
        </w:rPr>
      </w:pPr>
      <w:r>
        <w:rPr>
          <w:rFonts w:hint="eastAsia" w:ascii="仿宋" w:hAnsi="仿宋" w:eastAsia="仿宋" w:cs="仿宋"/>
          <w:color w:val="auto"/>
          <w:highlight w:val="none"/>
        </w:rPr>
        <w:t>13、廉政承诺书</w:t>
      </w:r>
    </w:p>
    <w:p>
      <w:pPr>
        <w:autoSpaceDE w:val="0"/>
        <w:autoSpaceDN w:val="0"/>
        <w:spacing w:line="360" w:lineRule="auto"/>
        <w:ind w:left="2"/>
        <w:jc w:val="lef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绍兴市中医院</w:t>
      </w:r>
      <w:r>
        <w:rPr>
          <w:rFonts w:hint="eastAsia" w:ascii="仿宋" w:hAnsi="仿宋" w:eastAsia="仿宋" w:cs="仿宋"/>
          <w:color w:val="auto"/>
          <w:kern w:val="0"/>
          <w:sz w:val="24"/>
          <w:highlight w:val="none"/>
          <w:lang w:val="zh-CN"/>
        </w:rPr>
        <w:t>：</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一、不向项目有关人员及部门赠送礼金礼物、有价证券、回扣以及中介费、介绍费、咨询费等好处费；</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二、不为项目有关人员及部门报销应由你方单位或个人支付的费用；</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三、不向项目有关人员及部门提供有可能影响公正的宴请和健身娱乐等活动；</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五、不为项目有关人员个人装修住房、婚丧嫁娶、配偶子女工作安排等提供好处；</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六、严格遵守政府采购法、合同法等法律，诚实守信，合法经营，坚决抵制各种违法违纪行为。</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right"/>
        <w:rPr>
          <w:rFonts w:hint="eastAsia" w:ascii="仿宋" w:hAnsi="仿宋" w:eastAsia="仿宋" w:cs="仿宋"/>
          <w:color w:val="auto"/>
          <w:kern w:val="0"/>
          <w:sz w:val="24"/>
          <w:highlight w:val="none"/>
          <w:lang w:val="zh-CN"/>
        </w:rPr>
      </w:pPr>
    </w:p>
    <w:p>
      <w:pPr>
        <w:autoSpaceDE w:val="0"/>
        <w:autoSpaceDN w:val="0"/>
        <w:spacing w:line="360" w:lineRule="auto"/>
        <w:ind w:left="2" w:leftChars="1" w:right="1120" w:firstLine="5037" w:firstLineChars="2099"/>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投标人名称（盖章）：</w:t>
      </w:r>
    </w:p>
    <w:p>
      <w:pPr>
        <w:spacing w:line="360" w:lineRule="auto"/>
        <w:ind w:left="5040" w:hanging="5040" w:hangingChars="2100"/>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法定代表人或其授权代表（签字或盖章）：</w:t>
      </w:r>
    </w:p>
    <w:p>
      <w:pPr>
        <w:spacing w:line="360" w:lineRule="auto"/>
        <w:ind w:left="5040" w:hanging="5040" w:hangingChars="2100"/>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年月日</w:t>
      </w:r>
    </w:p>
    <w:p>
      <w:pPr>
        <w:spacing w:line="360" w:lineRule="auto"/>
        <w:jc w:val="right"/>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14、技术解决方案</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spacing w:line="360" w:lineRule="auto"/>
        <w:jc w:val="center"/>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40"/>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如果本项目涉及硬件设备采购，须在商务技术（资信）文件中提供此配置清单，提供主要投标产品的技术参数证明材料（如官网截图、产品彩页、原厂技术说明等）。</w:t>
      </w:r>
    </w:p>
    <w:p>
      <w:pPr>
        <w:spacing w:line="360" w:lineRule="auto"/>
        <w:jc w:val="left"/>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本项目如需采购政府强制采购的节能产品的或投标人提供的产品是环境标志产品，投标人须提供节能产品、环境标志产品认证证书复印件。</w:t>
      </w:r>
    </w:p>
    <w:p>
      <w:pPr>
        <w:autoSpaceDE w:val="0"/>
        <w:autoSpaceDN w:val="0"/>
        <w:spacing w:line="360" w:lineRule="auto"/>
        <w:jc w:val="left"/>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8pt;width:442.85pt;" o:ole="t" filled="f" o:preferrelative="t" stroked="f" coordsize="21600,21600">
            <v:path/>
            <v:fill on="f" focussize="0,0"/>
            <v:stroke on="f" joinstyle="miter"/>
            <v:imagedata r:id="rId8" o:title=""/>
            <o:lock v:ext="edit" aspectratio="t"/>
            <w10:wrap type="none"/>
            <w10:anchorlock/>
          </v:shape>
          <o:OLEObject Type="Embed" ProgID="Package" ShapeID="_x0000_i1025" DrawAspect="Content" ObjectID="_1468075725" r:id="rId7">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8pt;width:442.85pt;" o:ole="t" filled="f" o:preferrelative="t" stroked="f" coordsize="21600,21600">
            <v:path/>
            <v:fill on="f" focussize="0,0"/>
            <v:stroke on="f" joinstyle="miter"/>
            <v:imagedata r:id="rId10" o:title=""/>
            <o:lock v:ext="edit" aspectratio="t"/>
            <w10:wrap type="none"/>
            <w10:anchorlock/>
          </v:shape>
          <o:OLEObject Type="Embed" ProgID="Package" ShapeID="_x0000_i1026" DrawAspect="Content" ObjectID="_1468075726" r:id="rId9">
            <o:LockedField>false</o:LockedField>
          </o:OLEObject>
        </w:object>
      </w:r>
    </w:p>
    <w:p>
      <w:pPr>
        <w:autoSpaceDE w:val="0"/>
        <w:autoSpaceDN w:val="0"/>
        <w:spacing w:line="360" w:lineRule="auto"/>
        <w:ind w:firstLine="4560" w:firstLineChars="19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投标人名称（</w:t>
      </w:r>
      <w:r>
        <w:rPr>
          <w:rFonts w:hint="eastAsia" w:ascii="仿宋" w:hAnsi="仿宋" w:eastAsia="仿宋" w:cs="仿宋"/>
          <w:color w:val="auto"/>
          <w:kern w:val="0"/>
          <w:sz w:val="24"/>
          <w:highlight w:val="none"/>
          <w:lang w:val="zh-CN"/>
        </w:rPr>
        <w:t>盖章</w:t>
      </w:r>
      <w:r>
        <w:rPr>
          <w:rFonts w:hint="eastAsia" w:ascii="仿宋" w:hAnsi="仿宋" w:eastAsia="仿宋" w:cs="仿宋"/>
          <w:color w:val="auto"/>
          <w:kern w:val="0"/>
          <w:sz w:val="24"/>
          <w:highlight w:val="none"/>
        </w:rPr>
        <w:t>）：</w:t>
      </w:r>
    </w:p>
    <w:p>
      <w:pPr>
        <w:autoSpaceDE w:val="0"/>
        <w:autoSpaceDN w:val="0"/>
        <w:spacing w:line="360" w:lineRule="auto"/>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法定代表人或其授权代表（签字或</w:t>
      </w:r>
      <w:r>
        <w:rPr>
          <w:rFonts w:hint="eastAsia" w:ascii="仿宋" w:hAnsi="仿宋" w:eastAsia="仿宋" w:cs="仿宋"/>
          <w:color w:val="auto"/>
          <w:kern w:val="0"/>
          <w:sz w:val="24"/>
          <w:highlight w:val="none"/>
          <w:lang w:val="zh-CN"/>
        </w:rPr>
        <w:t>盖章</w:t>
      </w:r>
      <w:r>
        <w:rPr>
          <w:rFonts w:hint="eastAsia" w:ascii="仿宋" w:hAnsi="仿宋" w:eastAsia="仿宋" w:cs="仿宋"/>
          <w:color w:val="auto"/>
          <w:kern w:val="0"/>
          <w:sz w:val="24"/>
          <w:highlight w:val="none"/>
        </w:rPr>
        <w:t>）：</w:t>
      </w:r>
    </w:p>
    <w:p>
      <w:pPr>
        <w:spacing w:line="360" w:lineRule="auto"/>
        <w:jc w:val="right"/>
        <w:rPr>
          <w:rFonts w:hint="eastAsia" w:ascii="仿宋" w:hAnsi="仿宋" w:eastAsia="仿宋" w:cs="仿宋"/>
          <w:b/>
          <w:bCs/>
          <w:color w:val="auto"/>
          <w:kern w:val="0"/>
          <w:sz w:val="24"/>
          <w:highlight w:val="none"/>
          <w:lang w:val="zh-CN"/>
        </w:rPr>
      </w:pPr>
      <w:r>
        <w:rPr>
          <w:rFonts w:hint="eastAsia" w:ascii="仿宋" w:hAnsi="仿宋" w:eastAsia="仿宋" w:cs="仿宋"/>
          <w:color w:val="auto"/>
          <w:kern w:val="0"/>
          <w:sz w:val="24"/>
          <w:highlight w:val="none"/>
        </w:rPr>
        <w:t>日期：年月日</w:t>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15、技术偏离说明表</w:t>
      </w:r>
    </w:p>
    <w:p>
      <w:pPr>
        <w:spacing w:line="360" w:lineRule="auto"/>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（由投标人根据采购需求及招标文件要求编制）</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招标文件技术要求</w:t>
            </w:r>
          </w:p>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bl>
    <w:p>
      <w:pPr>
        <w:tabs>
          <w:tab w:val="left" w:pos="570"/>
        </w:tabs>
        <w:spacing w:line="440" w:lineRule="exact"/>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注：1.此表须与</w:t>
      </w:r>
      <w:r>
        <w:rPr>
          <w:rFonts w:hint="eastAsia" w:ascii="仿宋" w:hAnsi="仿宋" w:eastAsia="仿宋" w:cs="仿宋"/>
          <w:color w:val="auto"/>
          <w:kern w:val="0"/>
          <w:sz w:val="24"/>
          <w:highlight w:val="none"/>
        </w:rPr>
        <w:t>招标文件“</w:t>
      </w:r>
      <w:r>
        <w:rPr>
          <w:rFonts w:hint="eastAsia" w:ascii="仿宋" w:hAnsi="仿宋" w:eastAsia="仿宋" w:cs="仿宋"/>
          <w:color w:val="auto"/>
          <w:sz w:val="24"/>
          <w:highlight w:val="none"/>
        </w:rPr>
        <w:t>招标项目说明及要求</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相应标项内的所有技术规格相比较且一一对应真实逐条填列。</w:t>
      </w:r>
    </w:p>
    <w:p>
      <w:pPr>
        <w:tabs>
          <w:tab w:val="left" w:pos="570"/>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2、投标人递交的技术规格书中必须真实逐条列明，否则由投标人自行承担相关风险。</w:t>
      </w:r>
    </w:p>
    <w:p>
      <w:pPr>
        <w:autoSpaceDE w:val="0"/>
        <w:autoSpaceDN w:val="0"/>
        <w:spacing w:line="360" w:lineRule="auto"/>
        <w:ind w:firstLine="5040" w:firstLineChars="2100"/>
        <w:jc w:val="right"/>
        <w:rPr>
          <w:rFonts w:hint="eastAsia" w:ascii="仿宋" w:hAnsi="仿宋" w:eastAsia="仿宋" w:cs="仿宋"/>
          <w:color w:val="auto"/>
          <w:kern w:val="0"/>
          <w:sz w:val="24"/>
          <w:highlight w:val="none"/>
          <w:lang w:val="zh-CN"/>
        </w:rPr>
      </w:pPr>
    </w:p>
    <w:p>
      <w:pPr>
        <w:autoSpaceDE w:val="0"/>
        <w:autoSpaceDN w:val="0"/>
        <w:spacing w:line="360" w:lineRule="auto"/>
        <w:ind w:firstLine="5040" w:firstLineChars="2100"/>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投标人名称（盖章）：</w:t>
      </w:r>
    </w:p>
    <w:p>
      <w:pPr>
        <w:autoSpaceDE w:val="0"/>
        <w:autoSpaceDN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法定代表人或其授权代表（签字或盖章）：</w:t>
      </w:r>
    </w:p>
    <w:p>
      <w:pPr>
        <w:spacing w:line="360" w:lineRule="auto"/>
        <w:jc w:val="right"/>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val="zh-CN"/>
        </w:rPr>
        <w:t>日期：年月日</w:t>
      </w: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36"/>
          <w:szCs w:val="36"/>
          <w:highlight w:val="none"/>
          <w:lang w:val="zh-CN"/>
        </w:rPr>
      </w:pPr>
    </w:p>
    <w:p>
      <w:pPr>
        <w:pageBreakBefore/>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16、组织实施方案</w:t>
      </w:r>
    </w:p>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40"/>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工作日</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pPr>
        <w:autoSpaceDE w:val="0"/>
        <w:autoSpaceDN w:val="0"/>
        <w:spacing w:line="360" w:lineRule="auto"/>
        <w:ind w:firstLine="4440" w:firstLineChars="1850"/>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投标人名称（</w:t>
      </w:r>
      <w:r>
        <w:rPr>
          <w:rFonts w:hint="eastAsia" w:ascii="仿宋" w:hAnsi="仿宋" w:eastAsia="仿宋" w:cs="仿宋"/>
          <w:color w:val="auto"/>
          <w:kern w:val="0"/>
          <w:sz w:val="24"/>
          <w:highlight w:val="none"/>
          <w:lang w:val="zh-CN"/>
        </w:rPr>
        <w:t>盖章</w:t>
      </w:r>
      <w:r>
        <w:rPr>
          <w:rFonts w:hint="eastAsia" w:ascii="仿宋" w:hAnsi="仿宋" w:eastAsia="仿宋" w:cs="仿宋"/>
          <w:color w:val="auto"/>
          <w:kern w:val="0"/>
          <w:sz w:val="24"/>
          <w:highlight w:val="none"/>
        </w:rPr>
        <w:t>）：</w:t>
      </w:r>
    </w:p>
    <w:p>
      <w:pPr>
        <w:autoSpaceDE w:val="0"/>
        <w:autoSpaceDN w:val="0"/>
        <w:spacing w:line="360" w:lineRule="auto"/>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法定代表人或其授权代表（签字或</w:t>
      </w:r>
      <w:r>
        <w:rPr>
          <w:rFonts w:hint="eastAsia" w:ascii="仿宋" w:hAnsi="仿宋" w:eastAsia="仿宋" w:cs="仿宋"/>
          <w:color w:val="auto"/>
          <w:kern w:val="0"/>
          <w:sz w:val="24"/>
          <w:highlight w:val="none"/>
          <w:lang w:val="zh-CN"/>
        </w:rPr>
        <w:t>盖章</w:t>
      </w:r>
      <w:r>
        <w:rPr>
          <w:rFonts w:hint="eastAsia" w:ascii="仿宋" w:hAnsi="仿宋" w:eastAsia="仿宋" w:cs="仿宋"/>
          <w:color w:val="auto"/>
          <w:kern w:val="0"/>
          <w:sz w:val="24"/>
          <w:highlight w:val="none"/>
        </w:rPr>
        <w:t>）：</w:t>
      </w:r>
    </w:p>
    <w:p>
      <w:pPr>
        <w:spacing w:line="360" w:lineRule="auto"/>
        <w:jc w:val="right"/>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日期：年月日</w:t>
      </w:r>
    </w:p>
    <w:p>
      <w:pPr>
        <w:spacing w:line="360" w:lineRule="auto"/>
        <w:jc w:val="center"/>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17、售后服务方案</w:t>
      </w:r>
    </w:p>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40"/>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bl>
    <w:p>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40"/>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color w:val="auto"/>
          <w:kern w:val="0"/>
          <w:sz w:val="24"/>
          <w:highlight w:val="none"/>
        </w:rPr>
      </w:pPr>
    </w:p>
    <w:p>
      <w:pPr>
        <w:autoSpaceDE w:val="0"/>
        <w:autoSpaceDN w:val="0"/>
        <w:spacing w:line="360" w:lineRule="auto"/>
        <w:ind w:firstLine="4440" w:firstLineChars="1850"/>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投标人名称（</w:t>
      </w:r>
      <w:r>
        <w:rPr>
          <w:rFonts w:hint="eastAsia" w:ascii="仿宋" w:hAnsi="仿宋" w:eastAsia="仿宋" w:cs="仿宋"/>
          <w:color w:val="auto"/>
          <w:kern w:val="0"/>
          <w:sz w:val="24"/>
          <w:highlight w:val="none"/>
          <w:lang w:val="zh-CN"/>
        </w:rPr>
        <w:t>盖章</w:t>
      </w:r>
      <w:r>
        <w:rPr>
          <w:rFonts w:hint="eastAsia" w:ascii="仿宋" w:hAnsi="仿宋" w:eastAsia="仿宋" w:cs="仿宋"/>
          <w:color w:val="auto"/>
          <w:kern w:val="0"/>
          <w:sz w:val="24"/>
          <w:highlight w:val="none"/>
        </w:rPr>
        <w:t>）：</w:t>
      </w:r>
    </w:p>
    <w:p>
      <w:pPr>
        <w:autoSpaceDE w:val="0"/>
        <w:autoSpaceDN w:val="0"/>
        <w:spacing w:line="360" w:lineRule="auto"/>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法定代表人或其授权代表（签字或</w:t>
      </w:r>
      <w:r>
        <w:rPr>
          <w:rFonts w:hint="eastAsia" w:ascii="仿宋" w:hAnsi="仿宋" w:eastAsia="仿宋" w:cs="仿宋"/>
          <w:color w:val="auto"/>
          <w:kern w:val="0"/>
          <w:sz w:val="24"/>
          <w:highlight w:val="none"/>
          <w:lang w:val="zh-CN"/>
        </w:rPr>
        <w:t>盖章</w:t>
      </w:r>
      <w:r>
        <w:rPr>
          <w:rFonts w:hint="eastAsia" w:ascii="仿宋" w:hAnsi="仿宋" w:eastAsia="仿宋" w:cs="仿宋"/>
          <w:color w:val="auto"/>
          <w:kern w:val="0"/>
          <w:sz w:val="24"/>
          <w:highlight w:val="none"/>
        </w:rPr>
        <w:t>）：</w:t>
      </w:r>
    </w:p>
    <w:p>
      <w:pPr>
        <w:spacing w:line="360" w:lineRule="auto"/>
        <w:jc w:val="right"/>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日期：年月日</w:t>
      </w: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18、项目小组人员名单</w:t>
      </w:r>
    </w:p>
    <w:p>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40"/>
        <w:tblW w:w="0" w:type="auto"/>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注：须随表提交相应的证书复印件并注明所在投标商务技术（资信）文件页码。</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40"/>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bl>
    <w:p>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注：投标人可按上述的格式自行编制，须随表提交相应的证书复印件并注明所在投标商务技术（资信）文件页码。</w:t>
      </w:r>
    </w:p>
    <w:p>
      <w:pPr>
        <w:spacing w:line="360" w:lineRule="auto"/>
        <w:jc w:val="right"/>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附表C:本项目的项目经理和小组人员提供近3个月交纳社保记录情况表</w:t>
      </w:r>
      <w:r>
        <w:rPr>
          <w:rFonts w:hint="eastAsia" w:ascii="仿宋" w:hAnsi="仿宋" w:eastAsia="仿宋" w:cs="仿宋"/>
          <w:color w:val="auto"/>
          <w:sz w:val="24"/>
          <w:highlight w:val="none"/>
        </w:rPr>
        <w:t>（以社保局缴纳凭证作附件）</w:t>
      </w:r>
    </w:p>
    <w:p>
      <w:pPr>
        <w:autoSpaceDE w:val="0"/>
        <w:autoSpaceDN w:val="0"/>
        <w:spacing w:line="360" w:lineRule="auto"/>
        <w:ind w:firstLine="4440" w:firstLineChars="1850"/>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投标人名称（</w:t>
      </w:r>
      <w:r>
        <w:rPr>
          <w:rFonts w:hint="eastAsia" w:ascii="仿宋" w:hAnsi="仿宋" w:eastAsia="仿宋" w:cs="仿宋"/>
          <w:color w:val="auto"/>
          <w:kern w:val="0"/>
          <w:sz w:val="24"/>
          <w:highlight w:val="none"/>
          <w:lang w:val="zh-CN"/>
        </w:rPr>
        <w:t>盖章</w:t>
      </w:r>
      <w:r>
        <w:rPr>
          <w:rFonts w:hint="eastAsia" w:ascii="仿宋" w:hAnsi="仿宋" w:eastAsia="仿宋" w:cs="仿宋"/>
          <w:color w:val="auto"/>
          <w:kern w:val="0"/>
          <w:sz w:val="24"/>
          <w:highlight w:val="none"/>
        </w:rPr>
        <w:t>）：</w:t>
      </w:r>
    </w:p>
    <w:p>
      <w:pPr>
        <w:autoSpaceDE w:val="0"/>
        <w:autoSpaceDN w:val="0"/>
        <w:spacing w:line="360" w:lineRule="auto"/>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法定代表人或其授权代表（签字或</w:t>
      </w:r>
      <w:r>
        <w:rPr>
          <w:rFonts w:hint="eastAsia" w:ascii="仿宋" w:hAnsi="仿宋" w:eastAsia="仿宋" w:cs="仿宋"/>
          <w:color w:val="auto"/>
          <w:kern w:val="0"/>
          <w:sz w:val="24"/>
          <w:highlight w:val="none"/>
          <w:lang w:val="zh-CN"/>
        </w:rPr>
        <w:t>盖章</w:t>
      </w:r>
      <w:r>
        <w:rPr>
          <w:rFonts w:hint="eastAsia" w:ascii="仿宋" w:hAnsi="仿宋" w:eastAsia="仿宋" w:cs="仿宋"/>
          <w:color w:val="auto"/>
          <w:kern w:val="0"/>
          <w:sz w:val="24"/>
          <w:highlight w:val="none"/>
        </w:rPr>
        <w:t>）：</w:t>
      </w:r>
    </w:p>
    <w:p>
      <w:pPr>
        <w:spacing w:line="360" w:lineRule="auto"/>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日期：年月日</w:t>
      </w:r>
    </w:p>
    <w:p>
      <w:pPr>
        <w:spacing w:line="360" w:lineRule="auto"/>
        <w:jc w:val="center"/>
        <w:rPr>
          <w:rFonts w:hint="eastAsia" w:ascii="仿宋" w:hAnsi="仿宋" w:eastAsia="仿宋" w:cs="仿宋"/>
          <w:b/>
          <w:bCs/>
          <w:color w:val="auto"/>
          <w:sz w:val="32"/>
          <w:szCs w:val="32"/>
          <w:highlight w:val="none"/>
        </w:rPr>
      </w:pPr>
    </w:p>
    <w:p>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19、</w:t>
      </w:r>
      <w:r>
        <w:rPr>
          <w:rFonts w:hint="eastAsia" w:ascii="仿宋" w:hAnsi="仿宋" w:eastAsia="仿宋" w:cs="仿宋"/>
          <w:b/>
          <w:color w:val="auto"/>
          <w:kern w:val="0"/>
          <w:sz w:val="32"/>
          <w:szCs w:val="32"/>
          <w:highlight w:val="none"/>
          <w:lang w:val="zh-CN"/>
        </w:rPr>
        <w:t>优惠条件及特殊承诺</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hint="eastAsia" w:ascii="仿宋" w:hAnsi="仿宋" w:eastAsia="仿宋" w:cs="仿宋"/>
          <w:color w:val="auto"/>
          <w:sz w:val="18"/>
          <w:szCs w:val="18"/>
          <w:highlight w:val="none"/>
        </w:rPr>
      </w:pPr>
    </w:p>
    <w:p>
      <w:pPr>
        <w:autoSpaceDE w:val="0"/>
        <w:autoSpaceDN w:val="0"/>
        <w:spacing w:line="360" w:lineRule="auto"/>
        <w:ind w:firstLine="4440" w:firstLineChars="1850"/>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投标人名称（</w:t>
      </w:r>
      <w:r>
        <w:rPr>
          <w:rFonts w:hint="eastAsia" w:ascii="仿宋" w:hAnsi="仿宋" w:eastAsia="仿宋" w:cs="仿宋"/>
          <w:color w:val="auto"/>
          <w:kern w:val="0"/>
          <w:sz w:val="24"/>
          <w:highlight w:val="none"/>
          <w:lang w:val="zh-CN"/>
        </w:rPr>
        <w:t>盖章）</w:t>
      </w:r>
      <w:r>
        <w:rPr>
          <w:rFonts w:hint="eastAsia" w:ascii="仿宋" w:hAnsi="仿宋" w:eastAsia="仿宋" w:cs="仿宋"/>
          <w:color w:val="auto"/>
          <w:kern w:val="0"/>
          <w:sz w:val="24"/>
          <w:highlight w:val="none"/>
        </w:rPr>
        <w:t>：</w:t>
      </w:r>
    </w:p>
    <w:p>
      <w:pPr>
        <w:autoSpaceDE w:val="0"/>
        <w:autoSpaceDN w:val="0"/>
        <w:spacing w:line="360" w:lineRule="auto"/>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法定代表人或其授权代表（签字或</w:t>
      </w:r>
      <w:r>
        <w:rPr>
          <w:rFonts w:hint="eastAsia" w:ascii="仿宋" w:hAnsi="仿宋" w:eastAsia="仿宋" w:cs="仿宋"/>
          <w:color w:val="auto"/>
          <w:kern w:val="0"/>
          <w:sz w:val="24"/>
          <w:highlight w:val="none"/>
          <w:lang w:val="zh-CN"/>
        </w:rPr>
        <w:t>盖章</w:t>
      </w:r>
      <w:r>
        <w:rPr>
          <w:rFonts w:hint="eastAsia" w:ascii="仿宋" w:hAnsi="仿宋" w:eastAsia="仿宋" w:cs="仿宋"/>
          <w:color w:val="auto"/>
          <w:kern w:val="0"/>
          <w:sz w:val="24"/>
          <w:highlight w:val="none"/>
        </w:rPr>
        <w:t>）：</w:t>
      </w:r>
    </w:p>
    <w:p>
      <w:pPr>
        <w:spacing w:line="360" w:lineRule="auto"/>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日期：年月日</w:t>
      </w:r>
    </w:p>
    <w:p>
      <w:pPr>
        <w:spacing w:line="360" w:lineRule="auto"/>
        <w:rPr>
          <w:rFonts w:hint="eastAsia" w:ascii="仿宋" w:hAnsi="仿宋" w:eastAsia="仿宋" w:cs="仿宋"/>
          <w:b/>
          <w:bCs/>
          <w:color w:val="auto"/>
          <w:sz w:val="18"/>
          <w:szCs w:val="18"/>
          <w:highlight w:val="none"/>
        </w:rPr>
      </w:pPr>
    </w:p>
    <w:p>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20、</w:t>
      </w:r>
      <w:r>
        <w:rPr>
          <w:rFonts w:hint="eastAsia" w:ascii="仿宋" w:hAnsi="仿宋" w:eastAsia="仿宋" w:cs="仿宋"/>
          <w:b/>
          <w:color w:val="auto"/>
          <w:kern w:val="0"/>
          <w:sz w:val="32"/>
          <w:szCs w:val="32"/>
          <w:highlight w:val="none"/>
          <w:lang w:val="zh-CN"/>
        </w:rPr>
        <w:t>备品备件及供选择的配套零部件清单</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440" w:lineRule="exact"/>
        <w:rPr>
          <w:rFonts w:hint="eastAsia" w:ascii="仿宋" w:hAnsi="仿宋" w:eastAsia="仿宋" w:cs="仿宋"/>
          <w:b/>
          <w:color w:val="auto"/>
          <w:spacing w:val="20"/>
          <w:sz w:val="24"/>
          <w:highlight w:val="none"/>
        </w:rPr>
      </w:pPr>
      <w:r>
        <w:rPr>
          <w:rFonts w:hint="eastAsia" w:ascii="仿宋" w:hAnsi="仿宋" w:eastAsia="仿宋" w:cs="仿宋"/>
          <w:b/>
          <w:color w:val="auto"/>
          <w:sz w:val="32"/>
          <w:szCs w:val="32"/>
          <w:highlight w:val="none"/>
        </w:rPr>
        <w:t>21、</w:t>
      </w:r>
      <w:r>
        <w:rPr>
          <w:rFonts w:hint="eastAsia" w:ascii="仿宋" w:hAnsi="仿宋" w:eastAsia="仿宋" w:cs="仿宋"/>
          <w:b/>
          <w:color w:val="auto"/>
          <w:spacing w:val="20"/>
          <w:sz w:val="32"/>
          <w:szCs w:val="32"/>
          <w:highlight w:val="none"/>
        </w:rPr>
        <w:t>消耗品、维修零配件购买价格清单</w:t>
      </w:r>
      <w:r>
        <w:rPr>
          <w:rFonts w:hint="eastAsia" w:ascii="仿宋" w:hAnsi="仿宋" w:eastAsia="仿宋" w:cs="仿宋"/>
          <w:b/>
          <w:color w:val="auto"/>
          <w:spacing w:val="20"/>
          <w:sz w:val="24"/>
          <w:highlight w:val="none"/>
        </w:rPr>
        <w:t>(如有</w:t>
      </w:r>
      <w:r>
        <w:rPr>
          <w:rFonts w:hint="eastAsia" w:ascii="仿宋" w:hAnsi="仿宋" w:eastAsia="仿宋" w:cs="仿宋"/>
          <w:b/>
          <w:color w:val="auto"/>
          <w:sz w:val="24"/>
          <w:highlight w:val="none"/>
        </w:rPr>
        <w:t>，放入“技术资料部分”</w:t>
      </w:r>
      <w:r>
        <w:rPr>
          <w:rFonts w:hint="eastAsia" w:ascii="仿宋" w:hAnsi="仿宋" w:eastAsia="仿宋" w:cs="仿宋"/>
          <w:b/>
          <w:color w:val="auto"/>
          <w:spacing w:val="20"/>
          <w:sz w:val="24"/>
          <w:highlight w:val="none"/>
        </w:rPr>
        <w:t>)</w:t>
      </w:r>
    </w:p>
    <w:tbl>
      <w:tblPr>
        <w:tblStyle w:val="40"/>
        <w:tblW w:w="8640" w:type="dxa"/>
        <w:tblInd w:w="108"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0"/>
        <w:gridCol w:w="1260"/>
        <w:gridCol w:w="1440"/>
        <w:gridCol w:w="720"/>
        <w:gridCol w:w="1440"/>
        <w:gridCol w:w="900"/>
        <w:gridCol w:w="720"/>
        <w:gridCol w:w="1440"/>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double" w:color="000000" w:sz="6" w:space="0"/>
              <w:left w:val="doub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序号</w:t>
            </w:r>
          </w:p>
        </w:tc>
        <w:tc>
          <w:tcPr>
            <w:tcW w:w="1260" w:type="dxa"/>
            <w:tcBorders>
              <w:top w:val="doub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名称</w:t>
            </w:r>
          </w:p>
        </w:tc>
        <w:tc>
          <w:tcPr>
            <w:tcW w:w="1440" w:type="dxa"/>
            <w:tcBorders>
              <w:top w:val="doub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品牌、型号和规格</w:t>
            </w:r>
          </w:p>
        </w:tc>
        <w:tc>
          <w:tcPr>
            <w:tcW w:w="720" w:type="dxa"/>
            <w:tcBorders>
              <w:top w:val="doub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数量</w:t>
            </w:r>
          </w:p>
        </w:tc>
        <w:tc>
          <w:tcPr>
            <w:tcW w:w="1440" w:type="dxa"/>
            <w:tcBorders>
              <w:top w:val="doub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原产地和制造商名称</w:t>
            </w:r>
          </w:p>
        </w:tc>
        <w:tc>
          <w:tcPr>
            <w:tcW w:w="900" w:type="dxa"/>
            <w:tcBorders>
              <w:top w:val="doub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市场价</w:t>
            </w:r>
          </w:p>
        </w:tc>
        <w:tc>
          <w:tcPr>
            <w:tcW w:w="720" w:type="dxa"/>
            <w:tcBorders>
              <w:top w:val="double" w:color="000000" w:sz="6" w:space="0"/>
              <w:left w:val="single" w:color="auto" w:sz="4" w:space="0"/>
              <w:bottom w:val="single" w:color="000000" w:sz="6" w:space="0"/>
              <w:right w:val="sing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报价</w:t>
            </w:r>
          </w:p>
        </w:tc>
        <w:tc>
          <w:tcPr>
            <w:tcW w:w="1440" w:type="dxa"/>
            <w:tcBorders>
              <w:top w:val="double" w:color="000000" w:sz="6" w:space="0"/>
              <w:left w:val="single" w:color="000000" w:sz="6" w:space="0"/>
              <w:bottom w:val="single" w:color="000000" w:sz="6" w:space="0"/>
              <w:right w:val="doub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对应的投标设备名称</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1.</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hint="eastAsia" w:ascii="仿宋" w:hAnsi="仿宋" w:eastAsia="仿宋" w:cs="仿宋"/>
                <w:color w:val="auto"/>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2.</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hint="eastAsia" w:ascii="仿宋" w:hAnsi="仿宋" w:eastAsia="仿宋" w:cs="仿宋"/>
                <w:color w:val="auto"/>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3.</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hint="eastAsia" w:ascii="仿宋" w:hAnsi="仿宋" w:eastAsia="仿宋" w:cs="仿宋"/>
                <w:color w:val="auto"/>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4.</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hint="eastAsia" w:ascii="仿宋" w:hAnsi="仿宋" w:eastAsia="仿宋" w:cs="仿宋"/>
                <w:color w:val="auto"/>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5.</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hint="eastAsia" w:ascii="仿宋" w:hAnsi="仿宋" w:eastAsia="仿宋" w:cs="仿宋"/>
                <w:color w:val="auto"/>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6.</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hint="eastAsia" w:ascii="仿宋" w:hAnsi="仿宋" w:eastAsia="仿宋" w:cs="仿宋"/>
                <w:color w:val="auto"/>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double" w:color="000000" w:sz="6" w:space="0"/>
              <w:right w:val="sing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7.</w:t>
            </w:r>
          </w:p>
        </w:tc>
        <w:tc>
          <w:tcPr>
            <w:tcW w:w="1260" w:type="dxa"/>
            <w:tcBorders>
              <w:top w:val="single" w:color="000000" w:sz="6" w:space="0"/>
              <w:left w:val="single" w:color="000000" w:sz="6" w:space="0"/>
              <w:bottom w:val="doub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double" w:color="000000" w:sz="6" w:space="0"/>
              <w:right w:val="single" w:color="000000" w:sz="6" w:space="0"/>
            </w:tcBorders>
            <w:vAlign w:val="center"/>
          </w:tcPr>
          <w:p>
            <w:pPr>
              <w:rPr>
                <w:rFonts w:hint="eastAsia" w:ascii="仿宋" w:hAnsi="仿宋" w:eastAsia="仿宋" w:cs="仿宋"/>
                <w:color w:val="auto"/>
                <w:highlight w:val="none"/>
              </w:rPr>
            </w:pPr>
          </w:p>
        </w:tc>
        <w:tc>
          <w:tcPr>
            <w:tcW w:w="720" w:type="dxa"/>
            <w:tcBorders>
              <w:top w:val="single" w:color="000000" w:sz="6" w:space="0"/>
              <w:left w:val="single" w:color="000000" w:sz="6" w:space="0"/>
              <w:bottom w:val="doub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double" w:color="000000" w:sz="6" w:space="0"/>
              <w:right w:val="single" w:color="000000" w:sz="6" w:space="0"/>
            </w:tcBorders>
            <w:vAlign w:val="center"/>
          </w:tcPr>
          <w:p>
            <w:pPr>
              <w:rPr>
                <w:rFonts w:hint="eastAsia" w:ascii="仿宋" w:hAnsi="仿宋" w:eastAsia="仿宋" w:cs="仿宋"/>
                <w:color w:val="auto"/>
                <w:highlight w:val="none"/>
              </w:rPr>
            </w:pPr>
          </w:p>
        </w:tc>
        <w:tc>
          <w:tcPr>
            <w:tcW w:w="900" w:type="dxa"/>
            <w:tcBorders>
              <w:top w:val="single" w:color="000000" w:sz="6" w:space="0"/>
              <w:left w:val="single" w:color="000000" w:sz="6" w:space="0"/>
              <w:bottom w:val="double" w:color="000000" w:sz="6" w:space="0"/>
              <w:right w:val="single" w:color="000000" w:sz="6" w:space="0"/>
            </w:tcBorders>
            <w:vAlign w:val="center"/>
          </w:tcPr>
          <w:p>
            <w:pPr>
              <w:rPr>
                <w:rFonts w:hint="eastAsia" w:ascii="仿宋" w:hAnsi="仿宋" w:eastAsia="仿宋" w:cs="仿宋"/>
                <w:color w:val="auto"/>
                <w:highlight w:val="none"/>
              </w:rPr>
            </w:pPr>
          </w:p>
        </w:tc>
        <w:tc>
          <w:tcPr>
            <w:tcW w:w="720" w:type="dxa"/>
            <w:tcBorders>
              <w:top w:val="single" w:color="000000" w:sz="6" w:space="0"/>
              <w:left w:val="single" w:color="auto" w:sz="4" w:space="0"/>
              <w:bottom w:val="doub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double" w:color="000000" w:sz="6" w:space="0"/>
              <w:right w:val="double" w:color="000000" w:sz="6" w:space="0"/>
            </w:tcBorders>
            <w:vAlign w:val="center"/>
          </w:tcPr>
          <w:p>
            <w:pPr>
              <w:rPr>
                <w:rFonts w:hint="eastAsia" w:ascii="仿宋" w:hAnsi="仿宋" w:eastAsia="仿宋" w:cs="仿宋"/>
                <w:color w:val="auto"/>
                <w:highlight w:val="none"/>
              </w:rPr>
            </w:pPr>
          </w:p>
        </w:tc>
      </w:tr>
    </w:tbl>
    <w:p>
      <w:pPr>
        <w:adjustRightInd w:val="0"/>
        <w:snapToGrid w:val="0"/>
        <w:ind w:right="172" w:rightChars="82"/>
        <w:rPr>
          <w:rFonts w:hint="eastAsia" w:ascii="仿宋" w:hAnsi="仿宋" w:eastAsia="仿宋" w:cs="仿宋"/>
          <w:color w:val="auto"/>
          <w:szCs w:val="21"/>
          <w:highlight w:val="none"/>
        </w:rPr>
      </w:pPr>
      <w:r>
        <w:rPr>
          <w:rFonts w:hint="eastAsia" w:ascii="仿宋" w:hAnsi="仿宋" w:eastAsia="仿宋" w:cs="仿宋"/>
          <w:color w:val="auto"/>
          <w:szCs w:val="21"/>
          <w:highlight w:val="none"/>
        </w:rPr>
        <w:t>注：消耗品和零配件必须是常用的主要部件类品目，此报价的优惠度将作为综合评标的重要依据之一。</w:t>
      </w:r>
    </w:p>
    <w:p>
      <w:pPr>
        <w:adjustRightInd w:val="0"/>
        <w:snapToGrid w:val="0"/>
        <w:ind w:right="172" w:rightChars="82" w:firstLine="606" w:firstLineChars="202"/>
        <w:rPr>
          <w:rFonts w:hint="eastAsia" w:ascii="仿宋" w:hAnsi="仿宋" w:eastAsia="仿宋" w:cs="仿宋"/>
          <w:color w:val="auto"/>
          <w:sz w:val="30"/>
          <w:highlight w:val="none"/>
        </w:rPr>
      </w:pPr>
    </w:p>
    <w:p>
      <w:pPr>
        <w:adjustRightInd w:val="0"/>
        <w:snapToGrid w:val="0"/>
        <w:ind w:right="172" w:rightChars="82" w:firstLine="606" w:firstLineChars="202"/>
        <w:rPr>
          <w:rFonts w:hint="eastAsia" w:ascii="仿宋" w:hAnsi="仿宋" w:eastAsia="仿宋" w:cs="仿宋"/>
          <w:color w:val="auto"/>
          <w:sz w:val="30"/>
          <w:highlight w:val="none"/>
        </w:rPr>
      </w:pPr>
    </w:p>
    <w:p>
      <w:pPr>
        <w:spacing w:line="440" w:lineRule="exact"/>
        <w:ind w:left="-210" w:leftChars="-100" w:firstLine="120" w:firstLineChars="5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spacing w:line="440" w:lineRule="exact"/>
        <w:jc w:val="left"/>
        <w:rPr>
          <w:rFonts w:hint="eastAsia" w:ascii="仿宋" w:hAnsi="仿宋" w:eastAsia="仿宋" w:cs="仿宋"/>
          <w:color w:val="auto"/>
          <w:sz w:val="24"/>
          <w:highlight w:val="none"/>
        </w:rPr>
      </w:pPr>
    </w:p>
    <w:p>
      <w:pPr>
        <w:spacing w:line="440" w:lineRule="exact"/>
        <w:ind w:left="-210" w:leftChars="-100"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法定代表人或其授权代表（签字或盖章）：</w:t>
      </w:r>
      <w:r>
        <w:rPr>
          <w:rFonts w:hint="eastAsia" w:ascii="仿宋" w:hAnsi="仿宋" w:eastAsia="仿宋" w:cs="仿宋"/>
          <w:color w:val="auto"/>
          <w:sz w:val="24"/>
          <w:highlight w:val="none"/>
        </w:rPr>
        <w:tab/>
      </w:r>
    </w:p>
    <w:p>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日期：年月日</w:t>
      </w:r>
    </w:p>
    <w:p>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22、</w:t>
      </w:r>
      <w:r>
        <w:rPr>
          <w:rFonts w:hint="eastAsia" w:ascii="仿宋" w:hAnsi="仿宋" w:eastAsia="仿宋" w:cs="仿宋"/>
          <w:b/>
          <w:color w:val="auto"/>
          <w:kern w:val="0"/>
          <w:sz w:val="32"/>
          <w:szCs w:val="32"/>
          <w:highlight w:val="none"/>
          <w:lang w:val="zh-CN"/>
        </w:rPr>
        <w:t>培训计划</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40"/>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hint="eastAsia" w:ascii="仿宋" w:hAnsi="仿宋" w:eastAsia="仿宋" w:cs="仿宋"/>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hint="eastAsia" w:ascii="仿宋" w:hAnsi="仿宋" w:eastAsia="仿宋" w:cs="仿宋"/>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注：须随表提交相应的证书复印件并注明所在投标商务技术（资信）文件页码。</w:t>
      </w:r>
    </w:p>
    <w:p>
      <w:pPr>
        <w:autoSpaceDE w:val="0"/>
        <w:autoSpaceDN w:val="0"/>
        <w:spacing w:line="360" w:lineRule="auto"/>
        <w:ind w:firstLine="4800" w:firstLineChars="20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投标人名称（</w:t>
      </w:r>
      <w:r>
        <w:rPr>
          <w:rFonts w:hint="eastAsia" w:ascii="仿宋" w:hAnsi="仿宋" w:eastAsia="仿宋" w:cs="仿宋"/>
          <w:color w:val="auto"/>
          <w:kern w:val="0"/>
          <w:sz w:val="24"/>
          <w:highlight w:val="none"/>
          <w:lang w:val="zh-CN"/>
        </w:rPr>
        <w:t>盖章</w:t>
      </w:r>
      <w:r>
        <w:rPr>
          <w:rFonts w:hint="eastAsia" w:ascii="仿宋" w:hAnsi="仿宋" w:eastAsia="仿宋" w:cs="仿宋"/>
          <w:color w:val="auto"/>
          <w:kern w:val="0"/>
          <w:sz w:val="24"/>
          <w:highlight w:val="none"/>
        </w:rPr>
        <w:t>）：</w:t>
      </w:r>
    </w:p>
    <w:p>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法定代表人或其授权代表（签字或</w:t>
      </w:r>
      <w:r>
        <w:rPr>
          <w:rFonts w:hint="eastAsia" w:ascii="仿宋" w:hAnsi="仿宋" w:eastAsia="仿宋" w:cs="仿宋"/>
          <w:color w:val="auto"/>
          <w:kern w:val="0"/>
          <w:sz w:val="24"/>
          <w:highlight w:val="none"/>
          <w:lang w:val="zh-CN"/>
        </w:rPr>
        <w:t>盖章</w:t>
      </w:r>
      <w:r>
        <w:rPr>
          <w:rFonts w:hint="eastAsia" w:ascii="仿宋" w:hAnsi="仿宋" w:eastAsia="仿宋" w:cs="仿宋"/>
          <w:color w:val="auto"/>
          <w:kern w:val="0"/>
          <w:sz w:val="24"/>
          <w:highlight w:val="none"/>
        </w:rPr>
        <w:t>）：</w:t>
      </w:r>
    </w:p>
    <w:p>
      <w:pPr>
        <w:autoSpaceDE w:val="0"/>
        <w:autoSpaceDN w:val="0"/>
        <w:spacing w:line="360" w:lineRule="auto"/>
        <w:ind w:firstLine="12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日期：年月日</w:t>
      </w:r>
    </w:p>
    <w:p>
      <w:pPr>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23、验收方案</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jc w:val="center"/>
        <w:rPr>
          <w:rFonts w:hint="eastAsia" w:ascii="仿宋" w:hAnsi="仿宋" w:eastAsia="仿宋" w:cs="仿宋"/>
          <w:color w:val="auto"/>
          <w:sz w:val="24"/>
          <w:highlight w:val="none"/>
        </w:rPr>
      </w:pPr>
    </w:p>
    <w:p>
      <w:pPr>
        <w:autoSpaceDE w:val="0"/>
        <w:autoSpaceDN w:val="0"/>
        <w:spacing w:line="360" w:lineRule="auto"/>
        <w:ind w:firstLine="4800" w:firstLineChars="2000"/>
        <w:jc w:val="righ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投标人名称（盖章）：</w:t>
      </w:r>
    </w:p>
    <w:p>
      <w:pPr>
        <w:autoSpaceDE w:val="0"/>
        <w:autoSpaceDN w:val="0"/>
        <w:spacing w:line="360" w:lineRule="auto"/>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法定代表人或其授权代表（签字或</w:t>
      </w:r>
      <w:r>
        <w:rPr>
          <w:rFonts w:hint="eastAsia" w:ascii="仿宋" w:hAnsi="仿宋" w:eastAsia="仿宋" w:cs="仿宋"/>
          <w:color w:val="auto"/>
          <w:kern w:val="0"/>
          <w:sz w:val="24"/>
          <w:highlight w:val="none"/>
          <w:lang w:val="zh-CN"/>
        </w:rPr>
        <w:t>盖章</w:t>
      </w:r>
      <w:r>
        <w:rPr>
          <w:rFonts w:hint="eastAsia" w:ascii="仿宋" w:hAnsi="仿宋" w:eastAsia="仿宋" w:cs="仿宋"/>
          <w:color w:val="auto"/>
          <w:kern w:val="0"/>
          <w:sz w:val="24"/>
          <w:highlight w:val="none"/>
        </w:rPr>
        <w:t>）：</w:t>
      </w:r>
    </w:p>
    <w:p>
      <w:pPr>
        <w:spacing w:line="360" w:lineRule="auto"/>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日期：年月日</w:t>
      </w:r>
    </w:p>
    <w:p>
      <w:pPr>
        <w:spacing w:line="360" w:lineRule="auto"/>
        <w:jc w:val="center"/>
        <w:rPr>
          <w:rFonts w:hint="eastAsia" w:ascii="仿宋" w:hAnsi="仿宋" w:eastAsia="仿宋" w:cs="仿宋"/>
          <w:b/>
          <w:bCs/>
          <w:color w:val="auto"/>
          <w:sz w:val="30"/>
          <w:szCs w:val="30"/>
          <w:highlight w:val="none"/>
        </w:rPr>
      </w:pPr>
    </w:p>
    <w:p>
      <w:pPr>
        <w:spacing w:line="360" w:lineRule="auto"/>
        <w:jc w:val="center"/>
        <w:rPr>
          <w:rFonts w:hint="eastAsia" w:ascii="仿宋" w:hAnsi="仿宋" w:eastAsia="仿宋" w:cs="仿宋"/>
          <w:b/>
          <w:bCs/>
          <w:color w:val="auto"/>
          <w:sz w:val="30"/>
          <w:szCs w:val="30"/>
          <w:highlight w:val="none"/>
        </w:rPr>
      </w:pPr>
    </w:p>
    <w:p>
      <w:pPr>
        <w:spacing w:line="360" w:lineRule="auto"/>
        <w:jc w:val="center"/>
        <w:rPr>
          <w:rFonts w:hint="eastAsia" w:ascii="仿宋" w:hAnsi="仿宋" w:eastAsia="仿宋" w:cs="仿宋"/>
          <w:b/>
          <w:bCs/>
          <w:color w:val="auto"/>
          <w:sz w:val="24"/>
          <w:highlight w:val="none"/>
        </w:rPr>
      </w:pPr>
    </w:p>
    <w:p>
      <w:pPr>
        <w:spacing w:line="360" w:lineRule="auto"/>
        <w:jc w:val="center"/>
        <w:rPr>
          <w:rFonts w:hint="eastAsia" w:ascii="仿宋" w:hAnsi="仿宋" w:eastAsia="仿宋" w:cs="仿宋"/>
          <w:b/>
          <w:bCs/>
          <w:color w:val="auto"/>
          <w:sz w:val="24"/>
          <w:highlight w:val="none"/>
        </w:rPr>
      </w:pPr>
    </w:p>
    <w:p>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24、认为需要的</w:t>
      </w:r>
      <w:r>
        <w:rPr>
          <w:rFonts w:hint="eastAsia" w:ascii="仿宋" w:hAnsi="仿宋" w:eastAsia="仿宋" w:cs="仿宋"/>
          <w:b/>
          <w:color w:val="auto"/>
          <w:kern w:val="0"/>
          <w:sz w:val="32"/>
          <w:szCs w:val="32"/>
          <w:highlight w:val="none"/>
          <w:lang w:val="zh-CN"/>
        </w:rPr>
        <w:t>其他商务技术（资信）文件或说明</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jc w:val="right"/>
        <w:rPr>
          <w:rFonts w:hint="eastAsia" w:ascii="仿宋" w:hAnsi="仿宋" w:eastAsia="仿宋" w:cs="仿宋"/>
          <w:color w:val="auto"/>
          <w:sz w:val="24"/>
          <w:highlight w:val="none"/>
        </w:rPr>
      </w:pPr>
    </w:p>
    <w:p>
      <w:pPr>
        <w:autoSpaceDE w:val="0"/>
        <w:autoSpaceDN w:val="0"/>
        <w:spacing w:line="360" w:lineRule="auto"/>
        <w:ind w:firstLine="5040" w:firstLineChars="2100"/>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投标人名称（盖章）：</w:t>
      </w:r>
    </w:p>
    <w:p>
      <w:pPr>
        <w:autoSpaceDE w:val="0"/>
        <w:autoSpaceDN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法定代表人或其授权代表（</w:t>
      </w:r>
      <w:r>
        <w:rPr>
          <w:rFonts w:hint="eastAsia" w:ascii="仿宋" w:hAnsi="仿宋" w:eastAsia="仿宋" w:cs="仿宋"/>
          <w:color w:val="auto"/>
          <w:kern w:val="0"/>
          <w:sz w:val="24"/>
          <w:highlight w:val="none"/>
        </w:rPr>
        <w:t>签字或</w:t>
      </w:r>
      <w:r>
        <w:rPr>
          <w:rFonts w:hint="eastAsia" w:ascii="仿宋" w:hAnsi="仿宋" w:eastAsia="仿宋" w:cs="仿宋"/>
          <w:color w:val="auto"/>
          <w:kern w:val="0"/>
          <w:sz w:val="24"/>
          <w:highlight w:val="none"/>
          <w:lang w:val="zh-CN"/>
        </w:rPr>
        <w:t>盖章）：</w:t>
      </w:r>
    </w:p>
    <w:p>
      <w:pPr>
        <w:spacing w:line="360" w:lineRule="auto"/>
        <w:jc w:val="right"/>
        <w:rPr>
          <w:rFonts w:hint="eastAsia" w:ascii="仿宋" w:hAnsi="仿宋" w:eastAsia="仿宋" w:cs="仿宋"/>
          <w:color w:val="auto"/>
          <w:kern w:val="0"/>
          <w:sz w:val="24"/>
          <w:highlight w:val="none"/>
          <w:lang w:val="zh-CN"/>
        </w:rPr>
        <w:sectPr>
          <w:pgSz w:w="11906" w:h="16838"/>
          <w:pgMar w:top="1440" w:right="1406" w:bottom="1246" w:left="1758" w:header="1021" w:footer="902" w:gutter="0"/>
          <w:cols w:space="425" w:num="1"/>
          <w:titlePg/>
          <w:docGrid w:type="lines" w:linePitch="312" w:charSpace="0"/>
        </w:sectPr>
      </w:pPr>
      <w:r>
        <w:rPr>
          <w:rFonts w:hint="eastAsia" w:ascii="仿宋" w:hAnsi="仿宋" w:eastAsia="仿宋" w:cs="仿宋"/>
          <w:color w:val="auto"/>
          <w:kern w:val="0"/>
          <w:sz w:val="24"/>
          <w:highlight w:val="none"/>
          <w:lang w:val="zh-CN"/>
        </w:rPr>
        <w:t>日期：年月日</w:t>
      </w:r>
    </w:p>
    <w:p>
      <w:pPr>
        <w:rPr>
          <w:rFonts w:hint="eastAsia" w:ascii="仿宋" w:hAnsi="仿宋" w:eastAsia="仿宋" w:cs="仿宋"/>
          <w:color w:val="auto"/>
          <w:kern w:val="0"/>
          <w:sz w:val="24"/>
          <w:highlight w:val="none"/>
          <w:lang w:val="zh-CN"/>
        </w:rPr>
      </w:pPr>
    </w:p>
    <w:sectPr>
      <w:type w:val="continuous"/>
      <w:pgSz w:w="11906" w:h="16838"/>
      <w:pgMar w:top="1440" w:right="1406" w:bottom="1246" w:left="1758" w:header="1021" w:footer="90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roman"/>
    <w:pitch w:val="default"/>
    <w:sig w:usb0="FFFFFFFF" w:usb1="E9FFFFFF" w:usb2="0000003F" w:usb3="00000000" w:csb0="603F01FF" w:csb1="FFFF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w:pict>
        <v:shape id="文本框 1026" o:spid="_x0000_s1027" o:spt="202" type="#_x0000_t202" style="position:absolute;left:0pt;margin-top:0pt;height:10.35pt;width:19.5pt;mso-position-horizontal:center;mso-position-horizontal-relative:margin;mso-wrap-style:none;z-index:251659264;mso-width-relative:page;mso-height-relative:page;" filled="f" stroked="f" coordsize="21600,21600" o:gfxdata="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XsUjg0AAAAAMBAAAPAAAAAAAAAAEAIAAAACIAAABk&#10;cnMvZG93bnJldi54bWxQSwECFAAUAAAACACHTuJA9Dmb6tUBAACoAwAADgAAAAAAAAABACAAAAAf&#10;AQAAZHJzL2Uyb0RvYy54bWxQSwUGAAAAAAYABgBZAQAAZgUAAAAA&#10;">
          <v:path/>
          <v:fill on="f" focussize="0,0"/>
          <v:stroke on="f" joinstyle="miter"/>
          <v:imagedata o:title=""/>
          <o:lock v:ext="edit"/>
          <v:textbox inset="0mm,0mm,0mm,0mm" style="mso-fit-shape-to-text:t;">
            <w:txbxContent>
              <w:p>
                <w:pPr>
                  <w:pStyle w:val="26"/>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27</w:t>
                </w:r>
                <w:r>
                  <w:rPr>
                    <w:kern w:val="0"/>
                    <w:szCs w:val="21"/>
                  </w:rPr>
                  <w:fldChar w:fldCharType="end"/>
                </w:r>
                <w:r>
                  <w:rPr>
                    <w:kern w:val="0"/>
                    <w:szCs w:val="21"/>
                  </w:rPr>
                  <w:t xml:space="preserve"> -</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tabs>
        <w:tab w:val="left" w:pos="4983"/>
        <w:tab w:val="clear" w:pos="4153"/>
      </w:tabs>
    </w:pPr>
    <w:r>
      <w:pict>
        <v:shape id="文本框 1025" o:spid="_x0000_s1026" o:spt="202" type="#_x0000_t202" style="position:absolute;left:0pt;margin-left:216.3pt;margin-top:-0.75pt;height:10.35pt;width:9.05pt;mso-position-horizontal-relative:margin;mso-wrap-style:none;z-index:251660288;mso-width-relative:page;mso-height-relative:page;" filled="f" stroked="f" coordsize="21600,21600" o:gfxdata="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9fn2Y9YAAAAJAQAADwAAAAAAAAABACAA&#10;AAAiAAAAZHJzL2Rvd25yZXYueG1sUEsBAhQAFAAAAAgAh07iQLU8GMbWAQAAqAMAAA4AAAAAAAAA&#10;AQAgAAAAJQEAAGRycy9lMm9Eb2MueG1sUEsFBgAAAAAGAAYAWQEAAG0FAAAAAA==&#10;">
          <v:path/>
          <v:fill on="f" focussize="0,0"/>
          <v:stroke on="f" joinstyle="miter"/>
          <v:imagedata o:title=""/>
          <o:lock v:ext="edit"/>
          <v:textbox inset="0mm,0mm,0mm,0mm" style="mso-fit-shape-to-text:t;">
            <w:txbxContent>
              <w:p>
                <w:pPr>
                  <w:pStyle w:val="26"/>
                </w:pPr>
                <w:r>
                  <w:fldChar w:fldCharType="begin"/>
                </w:r>
                <w:r>
                  <w:instrText xml:space="preserve"> PAGE  \* MERGEFORMAT </w:instrText>
                </w:r>
                <w:r>
                  <w:fldChar w:fldCharType="separate"/>
                </w:r>
                <w:r>
                  <w:t>40</w:t>
                </w:r>
                <w:r>
                  <w:fldChar w:fldCharType="end"/>
                </w:r>
              </w:p>
            </w:txbxContent>
          </v:textbox>
        </v:shape>
      </w:pict>
    </w:r>
    <w:r>
      <w:rPr>
        <w:rFonts w:hint="eastAsia"/>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both"/>
      <w:rPr>
        <w:rFonts w:hint="eastAsia" w:eastAsia="宋体"/>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6"/>
      <w:lvlText w:val="%1."/>
      <w:lvlJc w:val="left"/>
      <w:pPr>
        <w:tabs>
          <w:tab w:val="left" w:pos="1200"/>
        </w:tabs>
        <w:ind w:left="1200" w:leftChars="400" w:hanging="360" w:hangingChars="200"/>
      </w:pPr>
    </w:lvl>
  </w:abstractNum>
  <w:abstractNum w:abstractNumId="1">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0CFE12CA"/>
    <w:multiLevelType w:val="multilevel"/>
    <w:tmpl w:val="0CFE12CA"/>
    <w:lvl w:ilvl="0" w:tentative="0">
      <w:start w:val="1"/>
      <w:numFmt w:val="decimal"/>
      <w:lvlText w:val="%1."/>
      <w:lvlJc w:val="left"/>
      <w:pPr>
        <w:tabs>
          <w:tab w:val="left" w:pos="420"/>
        </w:tabs>
        <w:ind w:left="420" w:hanging="420"/>
      </w:p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upperLetter"/>
      <w:lvlText w:val="%3、"/>
      <w:lvlJc w:val="left"/>
      <w:pPr>
        <w:tabs>
          <w:tab w:val="left" w:pos="1260"/>
        </w:tabs>
        <w:ind w:left="1260" w:hanging="360"/>
      </w:pPr>
      <w:rPr>
        <w:rFonts w:hint="default"/>
      </w:rPr>
    </w:lvl>
    <w:lvl w:ilvl="3" w:tentative="0">
      <w:start w:val="1"/>
      <w:numFmt w:val="decimal"/>
      <w:pStyle w:val="127"/>
      <w:lvlText w:val="%4．"/>
      <w:lvlJc w:val="left"/>
      <w:pPr>
        <w:tabs>
          <w:tab w:val="left" w:pos="1620"/>
        </w:tabs>
        <w:ind w:left="1620" w:hanging="360"/>
      </w:pPr>
      <w:rPr>
        <w:rFonts w:hint="default"/>
      </w:rPr>
    </w:lvl>
    <w:lvl w:ilvl="4" w:tentative="0">
      <w:start w:val="1"/>
      <w:numFmt w:val="decimal"/>
      <w:lvlText w:val="%5）"/>
      <w:lvlJc w:val="left"/>
      <w:pPr>
        <w:tabs>
          <w:tab w:val="left" w:pos="2040"/>
        </w:tabs>
        <w:ind w:left="2040" w:hanging="360"/>
      </w:pPr>
      <w:rPr>
        <w:rFonts w:hint="default"/>
      </w:r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7"/>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5">
    <w:nsid w:val="61345FEE"/>
    <w:multiLevelType w:val="multilevel"/>
    <w:tmpl w:val="61345FEE"/>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6">
    <w:nsid w:val="6A383B68"/>
    <w:multiLevelType w:val="singleLevel"/>
    <w:tmpl w:val="6A383B68"/>
    <w:lvl w:ilvl="0" w:tentative="0">
      <w:start w:val="1"/>
      <w:numFmt w:val="upperLetter"/>
      <w:pStyle w:val="8"/>
      <w:lvlText w:val="%1、"/>
      <w:lvlJc w:val="left"/>
      <w:pPr>
        <w:tabs>
          <w:tab w:val="left" w:pos="405"/>
        </w:tabs>
        <w:ind w:left="405" w:hanging="405"/>
      </w:pPr>
    </w:lvl>
  </w:abstractNum>
  <w:abstractNum w:abstractNumId="7">
    <w:nsid w:val="6CAC619C"/>
    <w:multiLevelType w:val="multilevel"/>
    <w:tmpl w:val="6CAC619C"/>
    <w:lvl w:ilvl="0" w:tentative="0">
      <w:start w:val="1"/>
      <w:numFmt w:val="bullet"/>
      <w:pStyle w:val="121"/>
      <w:lvlText w:val=""/>
      <w:lvlJc w:val="left"/>
      <w:pPr>
        <w:tabs>
          <w:tab w:val="left" w:pos="840"/>
        </w:tabs>
        <w:ind w:left="840" w:hanging="420"/>
      </w:pPr>
      <w:rPr>
        <w:rFonts w:hint="default" w:ascii="Wingdings" w:hAnsi="Wingdings"/>
      </w:rPr>
    </w:lvl>
    <w:lvl w:ilvl="1" w:tentative="0">
      <w:start w:val="1"/>
      <w:numFmt w:val="none"/>
      <w:isLgl/>
      <w:suff w:val="space"/>
      <w:lvlText w:val="  2.2.1.1"/>
      <w:lvlJc w:val="left"/>
      <w:pPr>
        <w:ind w:left="567" w:hanging="567"/>
      </w:pPr>
      <w:rPr>
        <w:rFonts w:hint="eastAsia"/>
      </w:rPr>
    </w:lvl>
    <w:lvl w:ilvl="2" w:tentative="0">
      <w:start w:val="1"/>
      <w:numFmt w:val="none"/>
      <w:isLgl/>
      <w:suff w:val="space"/>
      <w:lvlText w:val="  2.2.1.3"/>
      <w:lvlJc w:val="left"/>
      <w:pPr>
        <w:ind w:left="0" w:firstLine="0"/>
      </w:pPr>
      <w:rPr>
        <w:rFonts w:hint="eastAsia"/>
      </w:rPr>
    </w:lvl>
    <w:lvl w:ilvl="3" w:tentative="0">
      <w:start w:val="1"/>
      <w:numFmt w:val="decimal"/>
      <w:isLgl/>
      <w:suff w:val="space"/>
      <w:lvlText w:val="%1.%2.%3.%4"/>
      <w:lvlJc w:val="left"/>
      <w:pPr>
        <w:ind w:left="851" w:hanging="851"/>
      </w:pPr>
      <w:rPr>
        <w:rFonts w:hint="eastAsia"/>
      </w:rPr>
    </w:lvl>
    <w:lvl w:ilvl="4" w:tentative="0">
      <w:start w:val="1"/>
      <w:numFmt w:val="decimal"/>
      <w:isLgl/>
      <w:suff w:val="space"/>
      <w:lvlText w:val="%1.%2.%3.%4.%5"/>
      <w:lvlJc w:val="left"/>
      <w:pPr>
        <w:ind w:left="992" w:hanging="992"/>
      </w:pPr>
      <w:rPr>
        <w:rFonts w:hint="eastAsia"/>
      </w:rPr>
    </w:lvl>
    <w:lvl w:ilvl="5" w:tentative="0">
      <w:start w:val="1"/>
      <w:numFmt w:val="decimal"/>
      <w:suff w:val="space"/>
      <w:lvlText w:val="%1.%2.%3.%4.%5.%6."/>
      <w:lvlJc w:val="left"/>
      <w:pPr>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8">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1"/>
  </w:num>
  <w:num w:numId="3">
    <w:abstractNumId w:val="0"/>
  </w:num>
  <w:num w:numId="4">
    <w:abstractNumId w:val="6"/>
  </w:num>
  <w:num w:numId="5">
    <w:abstractNumId w:val="7"/>
  </w:num>
  <w:num w:numId="6">
    <w:abstractNumId w:val="3"/>
  </w:num>
  <w:num w:numId="7">
    <w:abstractNumId w:val="8"/>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revisionView w:markup="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ODJiMTc5Mjg0YWFmNjAwZTBjOGFiODc5N2VmNzc1NDQifQ=="/>
  </w:docVars>
  <w:rsids>
    <w:rsidRoot w:val="00172A27"/>
    <w:rsid w:val="00000288"/>
    <w:rsid w:val="00014C26"/>
    <w:rsid w:val="000213BD"/>
    <w:rsid w:val="0002203D"/>
    <w:rsid w:val="0002468D"/>
    <w:rsid w:val="00027D17"/>
    <w:rsid w:val="00030956"/>
    <w:rsid w:val="00031F75"/>
    <w:rsid w:val="000329A7"/>
    <w:rsid w:val="00034829"/>
    <w:rsid w:val="00035491"/>
    <w:rsid w:val="00036451"/>
    <w:rsid w:val="000367D4"/>
    <w:rsid w:val="00037850"/>
    <w:rsid w:val="00040A03"/>
    <w:rsid w:val="000413A3"/>
    <w:rsid w:val="00042FFF"/>
    <w:rsid w:val="00043952"/>
    <w:rsid w:val="00047957"/>
    <w:rsid w:val="000517D0"/>
    <w:rsid w:val="00051C47"/>
    <w:rsid w:val="00051F2D"/>
    <w:rsid w:val="00054AAA"/>
    <w:rsid w:val="0005709D"/>
    <w:rsid w:val="00061571"/>
    <w:rsid w:val="00061B36"/>
    <w:rsid w:val="00065248"/>
    <w:rsid w:val="00065EFB"/>
    <w:rsid w:val="00067179"/>
    <w:rsid w:val="00074373"/>
    <w:rsid w:val="00077669"/>
    <w:rsid w:val="00083E93"/>
    <w:rsid w:val="00087C4A"/>
    <w:rsid w:val="000933A2"/>
    <w:rsid w:val="00094E92"/>
    <w:rsid w:val="00095559"/>
    <w:rsid w:val="00097868"/>
    <w:rsid w:val="000A1105"/>
    <w:rsid w:val="000A2858"/>
    <w:rsid w:val="000A4F03"/>
    <w:rsid w:val="000A5AC0"/>
    <w:rsid w:val="000A6E1E"/>
    <w:rsid w:val="000B625B"/>
    <w:rsid w:val="000C1A63"/>
    <w:rsid w:val="000C1F3C"/>
    <w:rsid w:val="000C21A5"/>
    <w:rsid w:val="000C3344"/>
    <w:rsid w:val="000C3EE7"/>
    <w:rsid w:val="000C4DBA"/>
    <w:rsid w:val="000C74D4"/>
    <w:rsid w:val="000D0DAB"/>
    <w:rsid w:val="000D0E6C"/>
    <w:rsid w:val="000D110F"/>
    <w:rsid w:val="000D158D"/>
    <w:rsid w:val="000D24E4"/>
    <w:rsid w:val="000D44B1"/>
    <w:rsid w:val="000D4D0E"/>
    <w:rsid w:val="000D4FB6"/>
    <w:rsid w:val="000D64D4"/>
    <w:rsid w:val="000E4A4F"/>
    <w:rsid w:val="000E5A4E"/>
    <w:rsid w:val="00104663"/>
    <w:rsid w:val="001109F8"/>
    <w:rsid w:val="00111C9B"/>
    <w:rsid w:val="00111CC8"/>
    <w:rsid w:val="00112B08"/>
    <w:rsid w:val="0011449B"/>
    <w:rsid w:val="00114B03"/>
    <w:rsid w:val="00114C81"/>
    <w:rsid w:val="00115E6F"/>
    <w:rsid w:val="00116EDA"/>
    <w:rsid w:val="0012018C"/>
    <w:rsid w:val="001218E0"/>
    <w:rsid w:val="00122906"/>
    <w:rsid w:val="0012458E"/>
    <w:rsid w:val="00130D54"/>
    <w:rsid w:val="001345B3"/>
    <w:rsid w:val="0013565E"/>
    <w:rsid w:val="00137525"/>
    <w:rsid w:val="001400AB"/>
    <w:rsid w:val="00142AA1"/>
    <w:rsid w:val="00150D5E"/>
    <w:rsid w:val="00157269"/>
    <w:rsid w:val="00161E6C"/>
    <w:rsid w:val="00162D85"/>
    <w:rsid w:val="00165068"/>
    <w:rsid w:val="00165C06"/>
    <w:rsid w:val="00166E3E"/>
    <w:rsid w:val="00172A27"/>
    <w:rsid w:val="00173659"/>
    <w:rsid w:val="001737BE"/>
    <w:rsid w:val="00174AB3"/>
    <w:rsid w:val="001751A8"/>
    <w:rsid w:val="00182BCE"/>
    <w:rsid w:val="001841D9"/>
    <w:rsid w:val="00184C15"/>
    <w:rsid w:val="001869CB"/>
    <w:rsid w:val="00187E3F"/>
    <w:rsid w:val="0019064E"/>
    <w:rsid w:val="00190DB7"/>
    <w:rsid w:val="00191263"/>
    <w:rsid w:val="001915D6"/>
    <w:rsid w:val="00191EE1"/>
    <w:rsid w:val="00192A2F"/>
    <w:rsid w:val="00193494"/>
    <w:rsid w:val="001A0C24"/>
    <w:rsid w:val="001A15C0"/>
    <w:rsid w:val="001A40E8"/>
    <w:rsid w:val="001A5CA3"/>
    <w:rsid w:val="001A622E"/>
    <w:rsid w:val="001A6712"/>
    <w:rsid w:val="001B2770"/>
    <w:rsid w:val="001B485F"/>
    <w:rsid w:val="001B4A44"/>
    <w:rsid w:val="001B4D88"/>
    <w:rsid w:val="001B70E5"/>
    <w:rsid w:val="001C07C7"/>
    <w:rsid w:val="001C1E8B"/>
    <w:rsid w:val="001C3739"/>
    <w:rsid w:val="001C5267"/>
    <w:rsid w:val="001C6042"/>
    <w:rsid w:val="001D108D"/>
    <w:rsid w:val="001D24BB"/>
    <w:rsid w:val="001D509C"/>
    <w:rsid w:val="001D6ED7"/>
    <w:rsid w:val="001D7C85"/>
    <w:rsid w:val="001E0576"/>
    <w:rsid w:val="001E0DE9"/>
    <w:rsid w:val="001E3B20"/>
    <w:rsid w:val="001E4A9F"/>
    <w:rsid w:val="001F2767"/>
    <w:rsid w:val="001F3859"/>
    <w:rsid w:val="001F429B"/>
    <w:rsid w:val="001F43C6"/>
    <w:rsid w:val="001F4C63"/>
    <w:rsid w:val="001F7E31"/>
    <w:rsid w:val="0020010E"/>
    <w:rsid w:val="002020B2"/>
    <w:rsid w:val="0020567D"/>
    <w:rsid w:val="002056F9"/>
    <w:rsid w:val="002062F2"/>
    <w:rsid w:val="002070ED"/>
    <w:rsid w:val="00210CAC"/>
    <w:rsid w:val="00211374"/>
    <w:rsid w:val="00231CB7"/>
    <w:rsid w:val="00231D98"/>
    <w:rsid w:val="00233356"/>
    <w:rsid w:val="0023638E"/>
    <w:rsid w:val="00236750"/>
    <w:rsid w:val="00241007"/>
    <w:rsid w:val="00242F55"/>
    <w:rsid w:val="00247AB8"/>
    <w:rsid w:val="00250440"/>
    <w:rsid w:val="00250675"/>
    <w:rsid w:val="0025749B"/>
    <w:rsid w:val="00264FFB"/>
    <w:rsid w:val="00266447"/>
    <w:rsid w:val="00274841"/>
    <w:rsid w:val="0028096B"/>
    <w:rsid w:val="002825DA"/>
    <w:rsid w:val="00283617"/>
    <w:rsid w:val="00285EAD"/>
    <w:rsid w:val="002860D2"/>
    <w:rsid w:val="00286495"/>
    <w:rsid w:val="002945E5"/>
    <w:rsid w:val="002A0921"/>
    <w:rsid w:val="002A13E9"/>
    <w:rsid w:val="002A168D"/>
    <w:rsid w:val="002A4A75"/>
    <w:rsid w:val="002A586E"/>
    <w:rsid w:val="002A62AE"/>
    <w:rsid w:val="002A683A"/>
    <w:rsid w:val="002A6B48"/>
    <w:rsid w:val="002B006C"/>
    <w:rsid w:val="002B186A"/>
    <w:rsid w:val="002B3711"/>
    <w:rsid w:val="002B3943"/>
    <w:rsid w:val="002B4A4B"/>
    <w:rsid w:val="002B6B66"/>
    <w:rsid w:val="002C2C53"/>
    <w:rsid w:val="002C6158"/>
    <w:rsid w:val="002C6529"/>
    <w:rsid w:val="002C6C46"/>
    <w:rsid w:val="002D27C4"/>
    <w:rsid w:val="002D442B"/>
    <w:rsid w:val="002D57AF"/>
    <w:rsid w:val="002D7F99"/>
    <w:rsid w:val="002E09A1"/>
    <w:rsid w:val="002E2947"/>
    <w:rsid w:val="002E2D73"/>
    <w:rsid w:val="002E34F4"/>
    <w:rsid w:val="002E35C4"/>
    <w:rsid w:val="002E46AD"/>
    <w:rsid w:val="002E4DCA"/>
    <w:rsid w:val="002E7ADA"/>
    <w:rsid w:val="002F1672"/>
    <w:rsid w:val="002F2363"/>
    <w:rsid w:val="002F34ED"/>
    <w:rsid w:val="002F3755"/>
    <w:rsid w:val="002F72E9"/>
    <w:rsid w:val="003006C3"/>
    <w:rsid w:val="00302514"/>
    <w:rsid w:val="00306A17"/>
    <w:rsid w:val="00307917"/>
    <w:rsid w:val="003103BE"/>
    <w:rsid w:val="00310479"/>
    <w:rsid w:val="003110EF"/>
    <w:rsid w:val="0031459C"/>
    <w:rsid w:val="00315E77"/>
    <w:rsid w:val="00316329"/>
    <w:rsid w:val="003263C0"/>
    <w:rsid w:val="0032789C"/>
    <w:rsid w:val="00327BE3"/>
    <w:rsid w:val="00330D20"/>
    <w:rsid w:val="00334AE8"/>
    <w:rsid w:val="00335134"/>
    <w:rsid w:val="00346756"/>
    <w:rsid w:val="00352CD7"/>
    <w:rsid w:val="0036433A"/>
    <w:rsid w:val="00365E4D"/>
    <w:rsid w:val="003676AE"/>
    <w:rsid w:val="00367EAB"/>
    <w:rsid w:val="00371214"/>
    <w:rsid w:val="00372A03"/>
    <w:rsid w:val="0037368A"/>
    <w:rsid w:val="00373B00"/>
    <w:rsid w:val="00375107"/>
    <w:rsid w:val="0037517D"/>
    <w:rsid w:val="00375265"/>
    <w:rsid w:val="00376A59"/>
    <w:rsid w:val="00381405"/>
    <w:rsid w:val="00383216"/>
    <w:rsid w:val="00384E3C"/>
    <w:rsid w:val="0039130B"/>
    <w:rsid w:val="00393589"/>
    <w:rsid w:val="00393A4C"/>
    <w:rsid w:val="003A2040"/>
    <w:rsid w:val="003A25EB"/>
    <w:rsid w:val="003A6E44"/>
    <w:rsid w:val="003A74F5"/>
    <w:rsid w:val="003B0045"/>
    <w:rsid w:val="003B2B02"/>
    <w:rsid w:val="003B2E46"/>
    <w:rsid w:val="003B6B82"/>
    <w:rsid w:val="003C0638"/>
    <w:rsid w:val="003C2D53"/>
    <w:rsid w:val="003C3A74"/>
    <w:rsid w:val="003C4BA8"/>
    <w:rsid w:val="003C637D"/>
    <w:rsid w:val="003C7D51"/>
    <w:rsid w:val="003D1A22"/>
    <w:rsid w:val="003D7052"/>
    <w:rsid w:val="003D7693"/>
    <w:rsid w:val="003E074D"/>
    <w:rsid w:val="003E4007"/>
    <w:rsid w:val="003E6C02"/>
    <w:rsid w:val="003F15E3"/>
    <w:rsid w:val="003F4084"/>
    <w:rsid w:val="003F4F31"/>
    <w:rsid w:val="003F5EF9"/>
    <w:rsid w:val="003F61F8"/>
    <w:rsid w:val="003F77E0"/>
    <w:rsid w:val="003F7BB2"/>
    <w:rsid w:val="00400057"/>
    <w:rsid w:val="004014F5"/>
    <w:rsid w:val="00405C1A"/>
    <w:rsid w:val="00407D88"/>
    <w:rsid w:val="004109FD"/>
    <w:rsid w:val="00411460"/>
    <w:rsid w:val="004126B4"/>
    <w:rsid w:val="004138A3"/>
    <w:rsid w:val="0041394C"/>
    <w:rsid w:val="0041468F"/>
    <w:rsid w:val="004169D9"/>
    <w:rsid w:val="00417C8A"/>
    <w:rsid w:val="00420156"/>
    <w:rsid w:val="00422031"/>
    <w:rsid w:val="00423A07"/>
    <w:rsid w:val="00426003"/>
    <w:rsid w:val="00426E6F"/>
    <w:rsid w:val="004307B2"/>
    <w:rsid w:val="00431F99"/>
    <w:rsid w:val="00432686"/>
    <w:rsid w:val="004350B7"/>
    <w:rsid w:val="00442935"/>
    <w:rsid w:val="0044422F"/>
    <w:rsid w:val="00445C1C"/>
    <w:rsid w:val="004531C3"/>
    <w:rsid w:val="00454A5B"/>
    <w:rsid w:val="00454E74"/>
    <w:rsid w:val="00457241"/>
    <w:rsid w:val="00460753"/>
    <w:rsid w:val="00460D42"/>
    <w:rsid w:val="00461637"/>
    <w:rsid w:val="004627E0"/>
    <w:rsid w:val="00464359"/>
    <w:rsid w:val="00465438"/>
    <w:rsid w:val="00471407"/>
    <w:rsid w:val="00471778"/>
    <w:rsid w:val="00476C0B"/>
    <w:rsid w:val="00477EFE"/>
    <w:rsid w:val="004823E8"/>
    <w:rsid w:val="00485E04"/>
    <w:rsid w:val="00487128"/>
    <w:rsid w:val="00487707"/>
    <w:rsid w:val="00493946"/>
    <w:rsid w:val="00494596"/>
    <w:rsid w:val="00495B26"/>
    <w:rsid w:val="004964DA"/>
    <w:rsid w:val="00497699"/>
    <w:rsid w:val="00497B43"/>
    <w:rsid w:val="00497DB2"/>
    <w:rsid w:val="004A0174"/>
    <w:rsid w:val="004A19C4"/>
    <w:rsid w:val="004A1C81"/>
    <w:rsid w:val="004A236E"/>
    <w:rsid w:val="004A7A78"/>
    <w:rsid w:val="004B5136"/>
    <w:rsid w:val="004C0238"/>
    <w:rsid w:val="004C1A9C"/>
    <w:rsid w:val="004C2F11"/>
    <w:rsid w:val="004D0EA8"/>
    <w:rsid w:val="004D2D24"/>
    <w:rsid w:val="004D314A"/>
    <w:rsid w:val="004D42D8"/>
    <w:rsid w:val="004D4938"/>
    <w:rsid w:val="004D5BFF"/>
    <w:rsid w:val="004D6FCA"/>
    <w:rsid w:val="004E04D2"/>
    <w:rsid w:val="004E1AB8"/>
    <w:rsid w:val="004E22FC"/>
    <w:rsid w:val="004E2A2F"/>
    <w:rsid w:val="004E4899"/>
    <w:rsid w:val="004F5E51"/>
    <w:rsid w:val="004F63C8"/>
    <w:rsid w:val="004F69CA"/>
    <w:rsid w:val="004F7507"/>
    <w:rsid w:val="005017DB"/>
    <w:rsid w:val="005041C0"/>
    <w:rsid w:val="005042A7"/>
    <w:rsid w:val="00511FD6"/>
    <w:rsid w:val="00513E17"/>
    <w:rsid w:val="005144B2"/>
    <w:rsid w:val="005148A4"/>
    <w:rsid w:val="00516C98"/>
    <w:rsid w:val="00517C86"/>
    <w:rsid w:val="005228D8"/>
    <w:rsid w:val="005240D9"/>
    <w:rsid w:val="00524F0F"/>
    <w:rsid w:val="00524FD6"/>
    <w:rsid w:val="005314CB"/>
    <w:rsid w:val="00533917"/>
    <w:rsid w:val="00536FBF"/>
    <w:rsid w:val="0054018C"/>
    <w:rsid w:val="0054254A"/>
    <w:rsid w:val="00544130"/>
    <w:rsid w:val="0055182F"/>
    <w:rsid w:val="005522C5"/>
    <w:rsid w:val="00555780"/>
    <w:rsid w:val="0056065C"/>
    <w:rsid w:val="0057066B"/>
    <w:rsid w:val="0057223E"/>
    <w:rsid w:val="00572BAD"/>
    <w:rsid w:val="00573BCB"/>
    <w:rsid w:val="00576529"/>
    <w:rsid w:val="00577014"/>
    <w:rsid w:val="00584301"/>
    <w:rsid w:val="00585E68"/>
    <w:rsid w:val="00586C3A"/>
    <w:rsid w:val="00587796"/>
    <w:rsid w:val="005879E7"/>
    <w:rsid w:val="00590E09"/>
    <w:rsid w:val="00591584"/>
    <w:rsid w:val="00594CDD"/>
    <w:rsid w:val="005967FC"/>
    <w:rsid w:val="005A0348"/>
    <w:rsid w:val="005A32FB"/>
    <w:rsid w:val="005A38C6"/>
    <w:rsid w:val="005A3E6E"/>
    <w:rsid w:val="005A7A4A"/>
    <w:rsid w:val="005B280F"/>
    <w:rsid w:val="005B5915"/>
    <w:rsid w:val="005C0B8A"/>
    <w:rsid w:val="005C16E4"/>
    <w:rsid w:val="005C1CD8"/>
    <w:rsid w:val="005C3154"/>
    <w:rsid w:val="005C3A22"/>
    <w:rsid w:val="005C3D96"/>
    <w:rsid w:val="005C54A7"/>
    <w:rsid w:val="005C6F10"/>
    <w:rsid w:val="005D2C66"/>
    <w:rsid w:val="005D2F62"/>
    <w:rsid w:val="005D6253"/>
    <w:rsid w:val="005D7D2C"/>
    <w:rsid w:val="005E282B"/>
    <w:rsid w:val="005E68E7"/>
    <w:rsid w:val="005F26CD"/>
    <w:rsid w:val="005F2EC2"/>
    <w:rsid w:val="005F37E8"/>
    <w:rsid w:val="005F5691"/>
    <w:rsid w:val="00600E63"/>
    <w:rsid w:val="006050C1"/>
    <w:rsid w:val="00605DB2"/>
    <w:rsid w:val="0060696F"/>
    <w:rsid w:val="006120C0"/>
    <w:rsid w:val="006154F0"/>
    <w:rsid w:val="00615A32"/>
    <w:rsid w:val="00625BC2"/>
    <w:rsid w:val="0063038E"/>
    <w:rsid w:val="006329C9"/>
    <w:rsid w:val="006351A3"/>
    <w:rsid w:val="006366FE"/>
    <w:rsid w:val="00647236"/>
    <w:rsid w:val="00651C90"/>
    <w:rsid w:val="00655480"/>
    <w:rsid w:val="00655744"/>
    <w:rsid w:val="00656E00"/>
    <w:rsid w:val="00660A99"/>
    <w:rsid w:val="00667E4E"/>
    <w:rsid w:val="0067526F"/>
    <w:rsid w:val="00675C4B"/>
    <w:rsid w:val="006839B6"/>
    <w:rsid w:val="006854BE"/>
    <w:rsid w:val="00694B34"/>
    <w:rsid w:val="006964A9"/>
    <w:rsid w:val="00697E44"/>
    <w:rsid w:val="006A1906"/>
    <w:rsid w:val="006A69A8"/>
    <w:rsid w:val="006A6E74"/>
    <w:rsid w:val="006B183A"/>
    <w:rsid w:val="006B1AA2"/>
    <w:rsid w:val="006B4058"/>
    <w:rsid w:val="006B456B"/>
    <w:rsid w:val="006B4C67"/>
    <w:rsid w:val="006B502C"/>
    <w:rsid w:val="006B5BB8"/>
    <w:rsid w:val="006B6203"/>
    <w:rsid w:val="006B6B67"/>
    <w:rsid w:val="006C02F5"/>
    <w:rsid w:val="006C5FEF"/>
    <w:rsid w:val="006D34D0"/>
    <w:rsid w:val="006E64A5"/>
    <w:rsid w:val="006E6C77"/>
    <w:rsid w:val="006E797A"/>
    <w:rsid w:val="006F0A0C"/>
    <w:rsid w:val="006F10EE"/>
    <w:rsid w:val="006F2510"/>
    <w:rsid w:val="007014C0"/>
    <w:rsid w:val="00702458"/>
    <w:rsid w:val="0070332B"/>
    <w:rsid w:val="00703A32"/>
    <w:rsid w:val="00705E50"/>
    <w:rsid w:val="00707395"/>
    <w:rsid w:val="007122EB"/>
    <w:rsid w:val="0071292E"/>
    <w:rsid w:val="00715B4B"/>
    <w:rsid w:val="00721BF4"/>
    <w:rsid w:val="00722C35"/>
    <w:rsid w:val="00722CB9"/>
    <w:rsid w:val="00727E2C"/>
    <w:rsid w:val="00727FEB"/>
    <w:rsid w:val="007367B3"/>
    <w:rsid w:val="007402C2"/>
    <w:rsid w:val="00743859"/>
    <w:rsid w:val="00743C5C"/>
    <w:rsid w:val="0074525D"/>
    <w:rsid w:val="00746B00"/>
    <w:rsid w:val="007474FA"/>
    <w:rsid w:val="0075094E"/>
    <w:rsid w:val="00757BAC"/>
    <w:rsid w:val="007626A0"/>
    <w:rsid w:val="00762B5C"/>
    <w:rsid w:val="00763A08"/>
    <w:rsid w:val="0076668A"/>
    <w:rsid w:val="0077137D"/>
    <w:rsid w:val="00772AC2"/>
    <w:rsid w:val="00775269"/>
    <w:rsid w:val="0077587F"/>
    <w:rsid w:val="00777C1A"/>
    <w:rsid w:val="00780334"/>
    <w:rsid w:val="007822C3"/>
    <w:rsid w:val="0078258D"/>
    <w:rsid w:val="00782AB5"/>
    <w:rsid w:val="00791C5A"/>
    <w:rsid w:val="00794F1B"/>
    <w:rsid w:val="007954F2"/>
    <w:rsid w:val="00795702"/>
    <w:rsid w:val="007977F6"/>
    <w:rsid w:val="007A06F3"/>
    <w:rsid w:val="007A3154"/>
    <w:rsid w:val="007A5361"/>
    <w:rsid w:val="007A74DD"/>
    <w:rsid w:val="007C2B7A"/>
    <w:rsid w:val="007C5716"/>
    <w:rsid w:val="007D0704"/>
    <w:rsid w:val="007D3E95"/>
    <w:rsid w:val="007D4361"/>
    <w:rsid w:val="007D4726"/>
    <w:rsid w:val="007D4C69"/>
    <w:rsid w:val="007D59FE"/>
    <w:rsid w:val="007D610F"/>
    <w:rsid w:val="007D7005"/>
    <w:rsid w:val="007E592B"/>
    <w:rsid w:val="007E765C"/>
    <w:rsid w:val="007F0976"/>
    <w:rsid w:val="007F4A8F"/>
    <w:rsid w:val="007F52CF"/>
    <w:rsid w:val="008007F7"/>
    <w:rsid w:val="00804990"/>
    <w:rsid w:val="00811C45"/>
    <w:rsid w:val="008125CD"/>
    <w:rsid w:val="00812A93"/>
    <w:rsid w:val="00813057"/>
    <w:rsid w:val="008130EB"/>
    <w:rsid w:val="00815230"/>
    <w:rsid w:val="00817564"/>
    <w:rsid w:val="0082016A"/>
    <w:rsid w:val="0082176B"/>
    <w:rsid w:val="00821954"/>
    <w:rsid w:val="008219AD"/>
    <w:rsid w:val="00822021"/>
    <w:rsid w:val="00822072"/>
    <w:rsid w:val="00822430"/>
    <w:rsid w:val="008231ED"/>
    <w:rsid w:val="0082403F"/>
    <w:rsid w:val="00824851"/>
    <w:rsid w:val="008249F4"/>
    <w:rsid w:val="008325F0"/>
    <w:rsid w:val="00840769"/>
    <w:rsid w:val="008419D8"/>
    <w:rsid w:val="008423DF"/>
    <w:rsid w:val="00842C80"/>
    <w:rsid w:val="00845510"/>
    <w:rsid w:val="0084613D"/>
    <w:rsid w:val="00850FEA"/>
    <w:rsid w:val="008532F1"/>
    <w:rsid w:val="008557E8"/>
    <w:rsid w:val="00856440"/>
    <w:rsid w:val="008564BD"/>
    <w:rsid w:val="0085672E"/>
    <w:rsid w:val="00857B1C"/>
    <w:rsid w:val="00863478"/>
    <w:rsid w:val="00863945"/>
    <w:rsid w:val="008730BE"/>
    <w:rsid w:val="008737A3"/>
    <w:rsid w:val="008755E6"/>
    <w:rsid w:val="0088347A"/>
    <w:rsid w:val="00885D8E"/>
    <w:rsid w:val="00886234"/>
    <w:rsid w:val="008863A7"/>
    <w:rsid w:val="008863D4"/>
    <w:rsid w:val="00886634"/>
    <w:rsid w:val="00887B85"/>
    <w:rsid w:val="00890DCD"/>
    <w:rsid w:val="00896FB1"/>
    <w:rsid w:val="00897356"/>
    <w:rsid w:val="00897AF3"/>
    <w:rsid w:val="008A357F"/>
    <w:rsid w:val="008A4822"/>
    <w:rsid w:val="008A5161"/>
    <w:rsid w:val="008B079F"/>
    <w:rsid w:val="008B1F5C"/>
    <w:rsid w:val="008B43D4"/>
    <w:rsid w:val="008C4974"/>
    <w:rsid w:val="008C4A9E"/>
    <w:rsid w:val="008C4E5B"/>
    <w:rsid w:val="008C6DCD"/>
    <w:rsid w:val="008D18FD"/>
    <w:rsid w:val="008D1CE8"/>
    <w:rsid w:val="008D1F65"/>
    <w:rsid w:val="008D2080"/>
    <w:rsid w:val="008D23C5"/>
    <w:rsid w:val="008D4AB1"/>
    <w:rsid w:val="008D69B8"/>
    <w:rsid w:val="008D71A8"/>
    <w:rsid w:val="008D7398"/>
    <w:rsid w:val="008D7B31"/>
    <w:rsid w:val="008E0F6F"/>
    <w:rsid w:val="008E19EE"/>
    <w:rsid w:val="008E1E11"/>
    <w:rsid w:val="008E316D"/>
    <w:rsid w:val="008E4628"/>
    <w:rsid w:val="008E5F0C"/>
    <w:rsid w:val="008E612F"/>
    <w:rsid w:val="008F03D5"/>
    <w:rsid w:val="008F07DF"/>
    <w:rsid w:val="008F08A0"/>
    <w:rsid w:val="008F1219"/>
    <w:rsid w:val="008F366B"/>
    <w:rsid w:val="008F3E4C"/>
    <w:rsid w:val="008F7903"/>
    <w:rsid w:val="008F7DDE"/>
    <w:rsid w:val="0090287D"/>
    <w:rsid w:val="00907974"/>
    <w:rsid w:val="00910AD3"/>
    <w:rsid w:val="00912BD2"/>
    <w:rsid w:val="00912D79"/>
    <w:rsid w:val="00916794"/>
    <w:rsid w:val="0092030F"/>
    <w:rsid w:val="00920F72"/>
    <w:rsid w:val="00926541"/>
    <w:rsid w:val="009271D3"/>
    <w:rsid w:val="00930220"/>
    <w:rsid w:val="009309E4"/>
    <w:rsid w:val="00933465"/>
    <w:rsid w:val="00933FD9"/>
    <w:rsid w:val="00934ED5"/>
    <w:rsid w:val="00936426"/>
    <w:rsid w:val="00936632"/>
    <w:rsid w:val="009415ED"/>
    <w:rsid w:val="00946CEA"/>
    <w:rsid w:val="0094780E"/>
    <w:rsid w:val="00947F2D"/>
    <w:rsid w:val="00947FE6"/>
    <w:rsid w:val="00950D07"/>
    <w:rsid w:val="00954C7E"/>
    <w:rsid w:val="009557D2"/>
    <w:rsid w:val="009568D3"/>
    <w:rsid w:val="009568DF"/>
    <w:rsid w:val="00963B11"/>
    <w:rsid w:val="0096450C"/>
    <w:rsid w:val="00966F91"/>
    <w:rsid w:val="00970F9E"/>
    <w:rsid w:val="00974C57"/>
    <w:rsid w:val="00976C85"/>
    <w:rsid w:val="009829FC"/>
    <w:rsid w:val="00987666"/>
    <w:rsid w:val="009921C2"/>
    <w:rsid w:val="009924D5"/>
    <w:rsid w:val="00995623"/>
    <w:rsid w:val="00995FD6"/>
    <w:rsid w:val="009A266F"/>
    <w:rsid w:val="009A2D5B"/>
    <w:rsid w:val="009A5E9D"/>
    <w:rsid w:val="009B1C17"/>
    <w:rsid w:val="009B206E"/>
    <w:rsid w:val="009B3D13"/>
    <w:rsid w:val="009B44CF"/>
    <w:rsid w:val="009B55F5"/>
    <w:rsid w:val="009C3597"/>
    <w:rsid w:val="009C3B05"/>
    <w:rsid w:val="009C725B"/>
    <w:rsid w:val="009C7646"/>
    <w:rsid w:val="009C76D3"/>
    <w:rsid w:val="009D1860"/>
    <w:rsid w:val="009D384E"/>
    <w:rsid w:val="009D3E5A"/>
    <w:rsid w:val="009D4270"/>
    <w:rsid w:val="009D4691"/>
    <w:rsid w:val="009D5067"/>
    <w:rsid w:val="009D5C27"/>
    <w:rsid w:val="009D7183"/>
    <w:rsid w:val="009D744F"/>
    <w:rsid w:val="009E2C1B"/>
    <w:rsid w:val="009E35EE"/>
    <w:rsid w:val="009E3626"/>
    <w:rsid w:val="009E3F0D"/>
    <w:rsid w:val="009E55E0"/>
    <w:rsid w:val="009E6D86"/>
    <w:rsid w:val="009E7112"/>
    <w:rsid w:val="009F2035"/>
    <w:rsid w:val="009F5CDD"/>
    <w:rsid w:val="009F6F5D"/>
    <w:rsid w:val="00A0299D"/>
    <w:rsid w:val="00A039DC"/>
    <w:rsid w:val="00A12612"/>
    <w:rsid w:val="00A140B8"/>
    <w:rsid w:val="00A15C91"/>
    <w:rsid w:val="00A2031E"/>
    <w:rsid w:val="00A20F2A"/>
    <w:rsid w:val="00A216B1"/>
    <w:rsid w:val="00A21F10"/>
    <w:rsid w:val="00A23D3B"/>
    <w:rsid w:val="00A26379"/>
    <w:rsid w:val="00A27EE2"/>
    <w:rsid w:val="00A32EA8"/>
    <w:rsid w:val="00A41EAC"/>
    <w:rsid w:val="00A41EDA"/>
    <w:rsid w:val="00A42B9E"/>
    <w:rsid w:val="00A4718E"/>
    <w:rsid w:val="00A546F9"/>
    <w:rsid w:val="00A551BB"/>
    <w:rsid w:val="00A55AF4"/>
    <w:rsid w:val="00A55F87"/>
    <w:rsid w:val="00A56E2E"/>
    <w:rsid w:val="00A62C6F"/>
    <w:rsid w:val="00A63A39"/>
    <w:rsid w:val="00A714BB"/>
    <w:rsid w:val="00A7154B"/>
    <w:rsid w:val="00A733D2"/>
    <w:rsid w:val="00A81059"/>
    <w:rsid w:val="00A87265"/>
    <w:rsid w:val="00A9044C"/>
    <w:rsid w:val="00A90951"/>
    <w:rsid w:val="00A9106B"/>
    <w:rsid w:val="00A915BC"/>
    <w:rsid w:val="00A91F9A"/>
    <w:rsid w:val="00A926FB"/>
    <w:rsid w:val="00A93AC6"/>
    <w:rsid w:val="00A93E9E"/>
    <w:rsid w:val="00A95DBC"/>
    <w:rsid w:val="00A96926"/>
    <w:rsid w:val="00A97D3D"/>
    <w:rsid w:val="00AA17DC"/>
    <w:rsid w:val="00AA3B9C"/>
    <w:rsid w:val="00AA493F"/>
    <w:rsid w:val="00AB2650"/>
    <w:rsid w:val="00AB29D3"/>
    <w:rsid w:val="00AB370A"/>
    <w:rsid w:val="00AB39F3"/>
    <w:rsid w:val="00AC2B19"/>
    <w:rsid w:val="00AC346A"/>
    <w:rsid w:val="00AC4A89"/>
    <w:rsid w:val="00AD032A"/>
    <w:rsid w:val="00AD212B"/>
    <w:rsid w:val="00AD5414"/>
    <w:rsid w:val="00AD5F30"/>
    <w:rsid w:val="00AE2286"/>
    <w:rsid w:val="00AE2ED6"/>
    <w:rsid w:val="00AE7E12"/>
    <w:rsid w:val="00AF039F"/>
    <w:rsid w:val="00AF0A13"/>
    <w:rsid w:val="00AF4A99"/>
    <w:rsid w:val="00AF65F7"/>
    <w:rsid w:val="00B00F7A"/>
    <w:rsid w:val="00B012D5"/>
    <w:rsid w:val="00B01A6C"/>
    <w:rsid w:val="00B0332B"/>
    <w:rsid w:val="00B127DA"/>
    <w:rsid w:val="00B12ECD"/>
    <w:rsid w:val="00B138A5"/>
    <w:rsid w:val="00B14C0B"/>
    <w:rsid w:val="00B15124"/>
    <w:rsid w:val="00B2146D"/>
    <w:rsid w:val="00B22071"/>
    <w:rsid w:val="00B31EF4"/>
    <w:rsid w:val="00B3313A"/>
    <w:rsid w:val="00B34302"/>
    <w:rsid w:val="00B35C4D"/>
    <w:rsid w:val="00B36043"/>
    <w:rsid w:val="00B367CF"/>
    <w:rsid w:val="00B37781"/>
    <w:rsid w:val="00B37BCC"/>
    <w:rsid w:val="00B41EA2"/>
    <w:rsid w:val="00B475BB"/>
    <w:rsid w:val="00B51EFD"/>
    <w:rsid w:val="00B54A1C"/>
    <w:rsid w:val="00B55791"/>
    <w:rsid w:val="00B56FBC"/>
    <w:rsid w:val="00B61CB2"/>
    <w:rsid w:val="00B63318"/>
    <w:rsid w:val="00B66525"/>
    <w:rsid w:val="00B702D9"/>
    <w:rsid w:val="00B729E1"/>
    <w:rsid w:val="00B808B4"/>
    <w:rsid w:val="00B80D7D"/>
    <w:rsid w:val="00B812CD"/>
    <w:rsid w:val="00B8314C"/>
    <w:rsid w:val="00B850D2"/>
    <w:rsid w:val="00B869D2"/>
    <w:rsid w:val="00B91124"/>
    <w:rsid w:val="00B91C47"/>
    <w:rsid w:val="00B936D8"/>
    <w:rsid w:val="00B94480"/>
    <w:rsid w:val="00BA093C"/>
    <w:rsid w:val="00BA1AF6"/>
    <w:rsid w:val="00BA4929"/>
    <w:rsid w:val="00BC02D7"/>
    <w:rsid w:val="00BC3D6F"/>
    <w:rsid w:val="00BC4DE1"/>
    <w:rsid w:val="00BC6117"/>
    <w:rsid w:val="00BC61AC"/>
    <w:rsid w:val="00BC7E9B"/>
    <w:rsid w:val="00BD0550"/>
    <w:rsid w:val="00BD0EBD"/>
    <w:rsid w:val="00BD312A"/>
    <w:rsid w:val="00BD4F3D"/>
    <w:rsid w:val="00BD504E"/>
    <w:rsid w:val="00BD5BF9"/>
    <w:rsid w:val="00BD6622"/>
    <w:rsid w:val="00BD72D6"/>
    <w:rsid w:val="00BE6FA5"/>
    <w:rsid w:val="00BF15C0"/>
    <w:rsid w:val="00BF28ED"/>
    <w:rsid w:val="00BF63C6"/>
    <w:rsid w:val="00C0150B"/>
    <w:rsid w:val="00C01E03"/>
    <w:rsid w:val="00C025A9"/>
    <w:rsid w:val="00C02D7A"/>
    <w:rsid w:val="00C036EC"/>
    <w:rsid w:val="00C0598F"/>
    <w:rsid w:val="00C05D6B"/>
    <w:rsid w:val="00C13CEC"/>
    <w:rsid w:val="00C13CF5"/>
    <w:rsid w:val="00C1781A"/>
    <w:rsid w:val="00C20683"/>
    <w:rsid w:val="00C20DC8"/>
    <w:rsid w:val="00C24B6E"/>
    <w:rsid w:val="00C256B4"/>
    <w:rsid w:val="00C304D6"/>
    <w:rsid w:val="00C31EB2"/>
    <w:rsid w:val="00C329C3"/>
    <w:rsid w:val="00C40CD1"/>
    <w:rsid w:val="00C52C7F"/>
    <w:rsid w:val="00C607B3"/>
    <w:rsid w:val="00C62563"/>
    <w:rsid w:val="00C628DA"/>
    <w:rsid w:val="00C6395F"/>
    <w:rsid w:val="00C667E7"/>
    <w:rsid w:val="00C66EE6"/>
    <w:rsid w:val="00C670AB"/>
    <w:rsid w:val="00C721C3"/>
    <w:rsid w:val="00C73213"/>
    <w:rsid w:val="00C7421C"/>
    <w:rsid w:val="00C74BFB"/>
    <w:rsid w:val="00C75DA4"/>
    <w:rsid w:val="00C765AF"/>
    <w:rsid w:val="00C81992"/>
    <w:rsid w:val="00C83068"/>
    <w:rsid w:val="00C833B7"/>
    <w:rsid w:val="00C83429"/>
    <w:rsid w:val="00C84785"/>
    <w:rsid w:val="00C8637A"/>
    <w:rsid w:val="00C87311"/>
    <w:rsid w:val="00C87F1E"/>
    <w:rsid w:val="00C90AF0"/>
    <w:rsid w:val="00C93022"/>
    <w:rsid w:val="00C96B1D"/>
    <w:rsid w:val="00CA1881"/>
    <w:rsid w:val="00CA27AA"/>
    <w:rsid w:val="00CA374D"/>
    <w:rsid w:val="00CA45AE"/>
    <w:rsid w:val="00CA6080"/>
    <w:rsid w:val="00CA627A"/>
    <w:rsid w:val="00CA6806"/>
    <w:rsid w:val="00CA70BF"/>
    <w:rsid w:val="00CA7348"/>
    <w:rsid w:val="00CB1316"/>
    <w:rsid w:val="00CB16E8"/>
    <w:rsid w:val="00CB7229"/>
    <w:rsid w:val="00CC0BE0"/>
    <w:rsid w:val="00CC1D36"/>
    <w:rsid w:val="00CD1CAB"/>
    <w:rsid w:val="00CD3E5C"/>
    <w:rsid w:val="00CD62C7"/>
    <w:rsid w:val="00CD6DE5"/>
    <w:rsid w:val="00CE10A2"/>
    <w:rsid w:val="00CE3AD7"/>
    <w:rsid w:val="00CE50F5"/>
    <w:rsid w:val="00CE5EE3"/>
    <w:rsid w:val="00CF33C3"/>
    <w:rsid w:val="00CF3431"/>
    <w:rsid w:val="00CF37D2"/>
    <w:rsid w:val="00CF7251"/>
    <w:rsid w:val="00CF7F2A"/>
    <w:rsid w:val="00CF7F8F"/>
    <w:rsid w:val="00D01299"/>
    <w:rsid w:val="00D01F9D"/>
    <w:rsid w:val="00D026F7"/>
    <w:rsid w:val="00D056B2"/>
    <w:rsid w:val="00D05917"/>
    <w:rsid w:val="00D05BBB"/>
    <w:rsid w:val="00D07AA9"/>
    <w:rsid w:val="00D10648"/>
    <w:rsid w:val="00D1373D"/>
    <w:rsid w:val="00D200E4"/>
    <w:rsid w:val="00D2049A"/>
    <w:rsid w:val="00D212FB"/>
    <w:rsid w:val="00D23BFA"/>
    <w:rsid w:val="00D24803"/>
    <w:rsid w:val="00D353FF"/>
    <w:rsid w:val="00D369AC"/>
    <w:rsid w:val="00D36FF4"/>
    <w:rsid w:val="00D40795"/>
    <w:rsid w:val="00D41C06"/>
    <w:rsid w:val="00D460AD"/>
    <w:rsid w:val="00D47043"/>
    <w:rsid w:val="00D51479"/>
    <w:rsid w:val="00D54C72"/>
    <w:rsid w:val="00D56345"/>
    <w:rsid w:val="00D56B35"/>
    <w:rsid w:val="00D56E7A"/>
    <w:rsid w:val="00D625F8"/>
    <w:rsid w:val="00D643EF"/>
    <w:rsid w:val="00D71AFA"/>
    <w:rsid w:val="00D72324"/>
    <w:rsid w:val="00D73693"/>
    <w:rsid w:val="00D74A49"/>
    <w:rsid w:val="00D75066"/>
    <w:rsid w:val="00D832F2"/>
    <w:rsid w:val="00D840D8"/>
    <w:rsid w:val="00D93A13"/>
    <w:rsid w:val="00D97508"/>
    <w:rsid w:val="00DA1E37"/>
    <w:rsid w:val="00DA3FC7"/>
    <w:rsid w:val="00DA4EC4"/>
    <w:rsid w:val="00DA55DB"/>
    <w:rsid w:val="00DA5D11"/>
    <w:rsid w:val="00DA5F2F"/>
    <w:rsid w:val="00DA68FB"/>
    <w:rsid w:val="00DA7361"/>
    <w:rsid w:val="00DA737C"/>
    <w:rsid w:val="00DA7BFE"/>
    <w:rsid w:val="00DB3061"/>
    <w:rsid w:val="00DB5A96"/>
    <w:rsid w:val="00DB663C"/>
    <w:rsid w:val="00DB6F25"/>
    <w:rsid w:val="00DC10A7"/>
    <w:rsid w:val="00DC12B0"/>
    <w:rsid w:val="00DC4AA0"/>
    <w:rsid w:val="00DC6568"/>
    <w:rsid w:val="00DC6EE6"/>
    <w:rsid w:val="00DD29D3"/>
    <w:rsid w:val="00DD4B24"/>
    <w:rsid w:val="00DD5C85"/>
    <w:rsid w:val="00DD62B4"/>
    <w:rsid w:val="00DE12F4"/>
    <w:rsid w:val="00DE1DFC"/>
    <w:rsid w:val="00DF000E"/>
    <w:rsid w:val="00DF1475"/>
    <w:rsid w:val="00DF18AE"/>
    <w:rsid w:val="00DF3E27"/>
    <w:rsid w:val="00DF4624"/>
    <w:rsid w:val="00DF46D3"/>
    <w:rsid w:val="00DF4743"/>
    <w:rsid w:val="00DF532C"/>
    <w:rsid w:val="00DF7A21"/>
    <w:rsid w:val="00DF7B2B"/>
    <w:rsid w:val="00E01909"/>
    <w:rsid w:val="00E032F3"/>
    <w:rsid w:val="00E04FDF"/>
    <w:rsid w:val="00E05F15"/>
    <w:rsid w:val="00E0608C"/>
    <w:rsid w:val="00E07D2B"/>
    <w:rsid w:val="00E10531"/>
    <w:rsid w:val="00E17D79"/>
    <w:rsid w:val="00E20A02"/>
    <w:rsid w:val="00E21681"/>
    <w:rsid w:val="00E239A5"/>
    <w:rsid w:val="00E27A41"/>
    <w:rsid w:val="00E30390"/>
    <w:rsid w:val="00E35D90"/>
    <w:rsid w:val="00E3742A"/>
    <w:rsid w:val="00E41FB0"/>
    <w:rsid w:val="00E42DE4"/>
    <w:rsid w:val="00E45909"/>
    <w:rsid w:val="00E46623"/>
    <w:rsid w:val="00E47210"/>
    <w:rsid w:val="00E47EEF"/>
    <w:rsid w:val="00E51C1B"/>
    <w:rsid w:val="00E533C4"/>
    <w:rsid w:val="00E53964"/>
    <w:rsid w:val="00E56E06"/>
    <w:rsid w:val="00E56FC4"/>
    <w:rsid w:val="00E57296"/>
    <w:rsid w:val="00E575C3"/>
    <w:rsid w:val="00E622B2"/>
    <w:rsid w:val="00E65055"/>
    <w:rsid w:val="00E65A9B"/>
    <w:rsid w:val="00E66918"/>
    <w:rsid w:val="00E72A91"/>
    <w:rsid w:val="00E75340"/>
    <w:rsid w:val="00E81C57"/>
    <w:rsid w:val="00E85789"/>
    <w:rsid w:val="00E91B94"/>
    <w:rsid w:val="00E93356"/>
    <w:rsid w:val="00E938AF"/>
    <w:rsid w:val="00E9512A"/>
    <w:rsid w:val="00E96A92"/>
    <w:rsid w:val="00EA3654"/>
    <w:rsid w:val="00EA37AB"/>
    <w:rsid w:val="00EA42EA"/>
    <w:rsid w:val="00EA4736"/>
    <w:rsid w:val="00EA4812"/>
    <w:rsid w:val="00EA62B8"/>
    <w:rsid w:val="00EA6B0D"/>
    <w:rsid w:val="00EB0AE3"/>
    <w:rsid w:val="00EB4A72"/>
    <w:rsid w:val="00EB72A5"/>
    <w:rsid w:val="00EB7E69"/>
    <w:rsid w:val="00EC075C"/>
    <w:rsid w:val="00EC155E"/>
    <w:rsid w:val="00EC209C"/>
    <w:rsid w:val="00EC2864"/>
    <w:rsid w:val="00EC3182"/>
    <w:rsid w:val="00EC57BD"/>
    <w:rsid w:val="00EC7697"/>
    <w:rsid w:val="00EC77D6"/>
    <w:rsid w:val="00ED1F25"/>
    <w:rsid w:val="00ED29D1"/>
    <w:rsid w:val="00ED3096"/>
    <w:rsid w:val="00ED3A96"/>
    <w:rsid w:val="00EE2519"/>
    <w:rsid w:val="00EE54FE"/>
    <w:rsid w:val="00EE5E15"/>
    <w:rsid w:val="00EF0648"/>
    <w:rsid w:val="00EF0988"/>
    <w:rsid w:val="00EF394B"/>
    <w:rsid w:val="00EF40B3"/>
    <w:rsid w:val="00F01C96"/>
    <w:rsid w:val="00F051F8"/>
    <w:rsid w:val="00F0661F"/>
    <w:rsid w:val="00F07A83"/>
    <w:rsid w:val="00F07BDA"/>
    <w:rsid w:val="00F12CBB"/>
    <w:rsid w:val="00F1355C"/>
    <w:rsid w:val="00F15F80"/>
    <w:rsid w:val="00F222DA"/>
    <w:rsid w:val="00F2566F"/>
    <w:rsid w:val="00F26477"/>
    <w:rsid w:val="00F27259"/>
    <w:rsid w:val="00F33527"/>
    <w:rsid w:val="00F33DF7"/>
    <w:rsid w:val="00F35DF7"/>
    <w:rsid w:val="00F360DB"/>
    <w:rsid w:val="00F37C1A"/>
    <w:rsid w:val="00F405B5"/>
    <w:rsid w:val="00F41632"/>
    <w:rsid w:val="00F42267"/>
    <w:rsid w:val="00F4255B"/>
    <w:rsid w:val="00F454C9"/>
    <w:rsid w:val="00F46AE7"/>
    <w:rsid w:val="00F477E2"/>
    <w:rsid w:val="00F515FC"/>
    <w:rsid w:val="00F5295B"/>
    <w:rsid w:val="00F54935"/>
    <w:rsid w:val="00F57CCC"/>
    <w:rsid w:val="00F63771"/>
    <w:rsid w:val="00F63922"/>
    <w:rsid w:val="00F65BA4"/>
    <w:rsid w:val="00F6668D"/>
    <w:rsid w:val="00F70C83"/>
    <w:rsid w:val="00F76826"/>
    <w:rsid w:val="00F76A15"/>
    <w:rsid w:val="00F77CA1"/>
    <w:rsid w:val="00F82E38"/>
    <w:rsid w:val="00F9042A"/>
    <w:rsid w:val="00F916ED"/>
    <w:rsid w:val="00F9250E"/>
    <w:rsid w:val="00F94D2A"/>
    <w:rsid w:val="00F95492"/>
    <w:rsid w:val="00FA4064"/>
    <w:rsid w:val="00FA4846"/>
    <w:rsid w:val="00FB1EB6"/>
    <w:rsid w:val="00FB28F5"/>
    <w:rsid w:val="00FB466D"/>
    <w:rsid w:val="00FB4E10"/>
    <w:rsid w:val="00FB57EB"/>
    <w:rsid w:val="00FB5905"/>
    <w:rsid w:val="00FB5FF6"/>
    <w:rsid w:val="00FB6FF9"/>
    <w:rsid w:val="00FC0201"/>
    <w:rsid w:val="00FC066F"/>
    <w:rsid w:val="00FC16C6"/>
    <w:rsid w:val="00FC3901"/>
    <w:rsid w:val="00FC5B79"/>
    <w:rsid w:val="00FC7E58"/>
    <w:rsid w:val="00FD5EB9"/>
    <w:rsid w:val="00FD65DA"/>
    <w:rsid w:val="00FD69EA"/>
    <w:rsid w:val="00FD714E"/>
    <w:rsid w:val="00FE5780"/>
    <w:rsid w:val="00FE5E89"/>
    <w:rsid w:val="00FE7260"/>
    <w:rsid w:val="00FF0866"/>
    <w:rsid w:val="00FF21AE"/>
    <w:rsid w:val="00FF724C"/>
    <w:rsid w:val="00FF7A04"/>
    <w:rsid w:val="00FF7BD2"/>
    <w:rsid w:val="01F86547"/>
    <w:rsid w:val="020B1352"/>
    <w:rsid w:val="027D0F8C"/>
    <w:rsid w:val="04655A2E"/>
    <w:rsid w:val="06033D70"/>
    <w:rsid w:val="096822C4"/>
    <w:rsid w:val="0B14246B"/>
    <w:rsid w:val="0CC71CCD"/>
    <w:rsid w:val="0D1F2EFB"/>
    <w:rsid w:val="0DF10E84"/>
    <w:rsid w:val="12967551"/>
    <w:rsid w:val="13006F54"/>
    <w:rsid w:val="136D6ED3"/>
    <w:rsid w:val="13866CDF"/>
    <w:rsid w:val="138F580D"/>
    <w:rsid w:val="174D5402"/>
    <w:rsid w:val="182F1BE9"/>
    <w:rsid w:val="19CB26FB"/>
    <w:rsid w:val="1C0C0C95"/>
    <w:rsid w:val="1D38533F"/>
    <w:rsid w:val="1EB65C73"/>
    <w:rsid w:val="203A3ADA"/>
    <w:rsid w:val="21E9513C"/>
    <w:rsid w:val="22640736"/>
    <w:rsid w:val="234A5ADA"/>
    <w:rsid w:val="23CE2E51"/>
    <w:rsid w:val="24A87D17"/>
    <w:rsid w:val="24BF1EF4"/>
    <w:rsid w:val="263C7165"/>
    <w:rsid w:val="2A27300C"/>
    <w:rsid w:val="2ABC209E"/>
    <w:rsid w:val="2B0C63C3"/>
    <w:rsid w:val="2CEC504B"/>
    <w:rsid w:val="2D3E7E1F"/>
    <w:rsid w:val="2FB44E79"/>
    <w:rsid w:val="33B05C54"/>
    <w:rsid w:val="36AA5FB7"/>
    <w:rsid w:val="37E207E0"/>
    <w:rsid w:val="3A3D27CE"/>
    <w:rsid w:val="3ADC3279"/>
    <w:rsid w:val="3AF720E1"/>
    <w:rsid w:val="3D7D4874"/>
    <w:rsid w:val="3DD32704"/>
    <w:rsid w:val="3F1F6E61"/>
    <w:rsid w:val="438F3969"/>
    <w:rsid w:val="43AB35FA"/>
    <w:rsid w:val="43E40661"/>
    <w:rsid w:val="44A86AEF"/>
    <w:rsid w:val="46A75CF0"/>
    <w:rsid w:val="49D037AD"/>
    <w:rsid w:val="4BD42C46"/>
    <w:rsid w:val="4D473578"/>
    <w:rsid w:val="4FEA6EDE"/>
    <w:rsid w:val="4FEC4AC6"/>
    <w:rsid w:val="504170C8"/>
    <w:rsid w:val="51127997"/>
    <w:rsid w:val="511B0DCD"/>
    <w:rsid w:val="52320CE8"/>
    <w:rsid w:val="53293D6C"/>
    <w:rsid w:val="53CE78AB"/>
    <w:rsid w:val="557C6D9E"/>
    <w:rsid w:val="578B5375"/>
    <w:rsid w:val="579E6661"/>
    <w:rsid w:val="58B96466"/>
    <w:rsid w:val="5A830ECD"/>
    <w:rsid w:val="5B5C4BD9"/>
    <w:rsid w:val="5BA57A9F"/>
    <w:rsid w:val="5C0E3E63"/>
    <w:rsid w:val="5DD3249C"/>
    <w:rsid w:val="5E192021"/>
    <w:rsid w:val="5EC87223"/>
    <w:rsid w:val="607629FB"/>
    <w:rsid w:val="60C05AC1"/>
    <w:rsid w:val="618B39CD"/>
    <w:rsid w:val="62110416"/>
    <w:rsid w:val="62A42A78"/>
    <w:rsid w:val="64E95889"/>
    <w:rsid w:val="675A1911"/>
    <w:rsid w:val="68A624C1"/>
    <w:rsid w:val="69AE4645"/>
    <w:rsid w:val="6B1328B3"/>
    <w:rsid w:val="6B872EA8"/>
    <w:rsid w:val="6F1448E1"/>
    <w:rsid w:val="706A291D"/>
    <w:rsid w:val="70921C01"/>
    <w:rsid w:val="71E06781"/>
    <w:rsid w:val="72827EF7"/>
    <w:rsid w:val="73D968CF"/>
    <w:rsid w:val="763464B7"/>
    <w:rsid w:val="7BA62F16"/>
    <w:rsid w:val="7D9D3491"/>
    <w:rsid w:val="7ECF35A2"/>
    <w:rsid w:val="7EE1751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uiPriority="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qFormat="1"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0"/>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5"/>
    <w:link w:val="106"/>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6">
    <w:name w:val="heading 3"/>
    <w:basedOn w:val="1"/>
    <w:next w:val="5"/>
    <w:link w:val="49"/>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7">
    <w:name w:val="heading 4"/>
    <w:basedOn w:val="1"/>
    <w:next w:val="5"/>
    <w:link w:val="52"/>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8">
    <w:name w:val="heading 5"/>
    <w:basedOn w:val="1"/>
    <w:next w:val="5"/>
    <w:link w:val="53"/>
    <w:qFormat/>
    <w:uiPriority w:val="0"/>
    <w:pPr>
      <w:keepNext/>
      <w:widowControl/>
      <w:numPr>
        <w:ilvl w:val="0"/>
        <w:numId w:val="4"/>
      </w:numPr>
      <w:jc w:val="left"/>
      <w:outlineLvl w:val="4"/>
    </w:pPr>
    <w:rPr>
      <w:kern w:val="0"/>
      <w:sz w:val="24"/>
      <w:szCs w:val="20"/>
    </w:rPr>
  </w:style>
  <w:style w:type="paragraph" w:styleId="9">
    <w:name w:val="heading 6"/>
    <w:basedOn w:val="1"/>
    <w:next w:val="1"/>
    <w:link w:val="109"/>
    <w:qFormat/>
    <w:uiPriority w:val="0"/>
    <w:pPr>
      <w:widowControl/>
      <w:spacing w:before="60" w:after="60" w:line="440" w:lineRule="atLeast"/>
      <w:textAlignment w:val="baseline"/>
      <w:outlineLvl w:val="5"/>
    </w:pPr>
    <w:rPr>
      <w:rFonts w:ascii="宋体" w:hAnsi="Arial"/>
      <w:kern w:val="0"/>
      <w:sz w:val="24"/>
      <w:szCs w:val="20"/>
    </w:rPr>
  </w:style>
  <w:style w:type="paragraph" w:styleId="10">
    <w:name w:val="heading 7"/>
    <w:basedOn w:val="1"/>
    <w:next w:val="1"/>
    <w:link w:val="110"/>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1">
    <w:name w:val="heading 8"/>
    <w:basedOn w:val="1"/>
    <w:next w:val="1"/>
    <w:link w:val="111"/>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112"/>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2">
    <w:name w:val="Default Paragraph Font"/>
    <w:semiHidden/>
    <w:unhideWhenUsed/>
    <w:qFormat/>
    <w:uiPriority w:val="1"/>
  </w:style>
  <w:style w:type="table" w:default="1" w:styleId="40">
    <w:name w:val="Normal Table"/>
    <w:semiHidden/>
    <w:unhideWhenUsed/>
    <w:qFormat/>
    <w:uiPriority w:val="99"/>
    <w:tblPr>
      <w:tblCellMar>
        <w:top w:w="0" w:type="dxa"/>
        <w:left w:w="108" w:type="dxa"/>
        <w:bottom w:w="0" w:type="dxa"/>
        <w:right w:w="108" w:type="dxa"/>
      </w:tblCellMar>
    </w:tblPr>
  </w:style>
  <w:style w:type="paragraph" w:customStyle="1" w:styleId="2">
    <w:name w:val="首行缩进"/>
    <w:basedOn w:val="1"/>
    <w:qFormat/>
    <w:uiPriority w:val="99"/>
    <w:pPr>
      <w:spacing w:line="360" w:lineRule="auto"/>
      <w:ind w:firstLine="480" w:firstLineChars="200"/>
    </w:pPr>
    <w:rPr>
      <w:sz w:val="24"/>
      <w:szCs w:val="22"/>
      <w:lang w:val="zh-CN"/>
    </w:rPr>
  </w:style>
  <w:style w:type="paragraph" w:styleId="5">
    <w:name w:val="Normal Indent"/>
    <w:basedOn w:val="1"/>
    <w:link w:val="51"/>
    <w:qFormat/>
    <w:uiPriority w:val="0"/>
    <w:pPr>
      <w:ind w:firstLine="420" w:firstLineChars="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Number"/>
    <w:basedOn w:val="1"/>
    <w:qFormat/>
    <w:uiPriority w:val="0"/>
    <w:pPr>
      <w:widowControl/>
      <w:tabs>
        <w:tab w:val="left" w:pos="454"/>
      </w:tabs>
      <w:spacing w:afterLines="50"/>
      <w:ind w:left="454" w:hanging="284"/>
      <w:jc w:val="left"/>
    </w:pPr>
    <w:rPr>
      <w:kern w:val="0"/>
      <w:sz w:val="24"/>
      <w:szCs w:val="20"/>
    </w:rPr>
  </w:style>
  <w:style w:type="paragraph" w:styleId="15">
    <w:name w:val="caption"/>
    <w:basedOn w:val="1"/>
    <w:next w:val="1"/>
    <w:qFormat/>
    <w:uiPriority w:val="0"/>
    <w:pPr>
      <w:spacing w:line="360" w:lineRule="auto"/>
      <w:jc w:val="center"/>
    </w:pPr>
    <w:rPr>
      <w:rFonts w:ascii="Calibri" w:hAnsi="Calibri"/>
      <w:sz w:val="20"/>
      <w:szCs w:val="20"/>
    </w:rPr>
  </w:style>
  <w:style w:type="paragraph" w:styleId="16">
    <w:name w:val="Document Map"/>
    <w:basedOn w:val="1"/>
    <w:link w:val="118"/>
    <w:semiHidden/>
    <w:qFormat/>
    <w:uiPriority w:val="0"/>
    <w:pPr>
      <w:shd w:val="clear" w:color="auto" w:fill="000080"/>
    </w:pPr>
  </w:style>
  <w:style w:type="paragraph" w:styleId="17">
    <w:name w:val="annotation text"/>
    <w:basedOn w:val="1"/>
    <w:link w:val="120"/>
    <w:semiHidden/>
    <w:qFormat/>
    <w:uiPriority w:val="0"/>
    <w:pPr>
      <w:jc w:val="left"/>
    </w:pPr>
  </w:style>
  <w:style w:type="paragraph" w:styleId="18">
    <w:name w:val="Body Text"/>
    <w:basedOn w:val="1"/>
    <w:link w:val="68"/>
    <w:qFormat/>
    <w:uiPriority w:val="0"/>
    <w:pPr>
      <w:spacing w:line="360" w:lineRule="auto"/>
    </w:pPr>
    <w:rPr>
      <w:rFonts w:eastAsia="仿宋_GB2312"/>
      <w:sz w:val="28"/>
    </w:rPr>
  </w:style>
  <w:style w:type="paragraph" w:styleId="19">
    <w:name w:val="Body Text Indent"/>
    <w:basedOn w:val="1"/>
    <w:link w:val="103"/>
    <w:qFormat/>
    <w:uiPriority w:val="0"/>
    <w:pPr>
      <w:spacing w:after="120"/>
      <w:ind w:left="420" w:leftChars="200"/>
    </w:pPr>
  </w:style>
  <w:style w:type="paragraph" w:styleId="20">
    <w:name w:val="List Number 3"/>
    <w:basedOn w:val="1"/>
    <w:qFormat/>
    <w:uiPriority w:val="0"/>
    <w:pPr>
      <w:widowControl/>
      <w:tabs>
        <w:tab w:val="left" w:pos="482"/>
      </w:tabs>
      <w:spacing w:afterLines="50"/>
      <w:ind w:left="482" w:hanging="340"/>
      <w:jc w:val="left"/>
    </w:pPr>
    <w:rPr>
      <w:kern w:val="0"/>
      <w:sz w:val="24"/>
      <w:szCs w:val="20"/>
    </w:rPr>
  </w:style>
  <w:style w:type="paragraph" w:styleId="21">
    <w:name w:val="Block Text"/>
    <w:basedOn w:val="1"/>
    <w:qFormat/>
    <w:uiPriority w:val="0"/>
    <w:pPr>
      <w:spacing w:before="120" w:line="360" w:lineRule="auto"/>
      <w:ind w:left="824" w:right="202"/>
    </w:pPr>
    <w:rPr>
      <w:rFonts w:ascii="宋体" w:hAnsi="宋体"/>
      <w:sz w:val="24"/>
      <w:szCs w:val="21"/>
    </w:rPr>
  </w:style>
  <w:style w:type="paragraph" w:styleId="22">
    <w:name w:val="Plain Text"/>
    <w:basedOn w:val="1"/>
    <w:link w:val="54"/>
    <w:qFormat/>
    <w:uiPriority w:val="0"/>
    <w:rPr>
      <w:rFonts w:ascii="宋体" w:hAnsi="Courier New"/>
      <w:szCs w:val="20"/>
    </w:rPr>
  </w:style>
  <w:style w:type="paragraph" w:styleId="23">
    <w:name w:val="Date"/>
    <w:basedOn w:val="1"/>
    <w:next w:val="1"/>
    <w:link w:val="113"/>
    <w:qFormat/>
    <w:uiPriority w:val="0"/>
    <w:rPr>
      <w:rFonts w:ascii="楷体_GB2312" w:eastAsia="楷体_GB2312"/>
      <w:b/>
      <w:sz w:val="28"/>
      <w:szCs w:val="20"/>
    </w:rPr>
  </w:style>
  <w:style w:type="paragraph" w:styleId="24">
    <w:name w:val="Body Text Indent 2"/>
    <w:basedOn w:val="1"/>
    <w:link w:val="64"/>
    <w:qFormat/>
    <w:uiPriority w:val="0"/>
    <w:pPr>
      <w:spacing w:after="120" w:line="480" w:lineRule="auto"/>
      <w:ind w:left="420" w:leftChars="200"/>
    </w:pPr>
  </w:style>
  <w:style w:type="paragraph" w:styleId="25">
    <w:name w:val="Balloon Text"/>
    <w:basedOn w:val="1"/>
    <w:link w:val="158"/>
    <w:semiHidden/>
    <w:qFormat/>
    <w:uiPriority w:val="99"/>
    <w:rPr>
      <w:sz w:val="18"/>
      <w:szCs w:val="18"/>
    </w:rPr>
  </w:style>
  <w:style w:type="paragraph" w:styleId="26">
    <w:name w:val="footer"/>
    <w:basedOn w:val="1"/>
    <w:link w:val="157"/>
    <w:qFormat/>
    <w:uiPriority w:val="99"/>
    <w:pPr>
      <w:tabs>
        <w:tab w:val="center" w:pos="4153"/>
        <w:tab w:val="right" w:pos="8306"/>
      </w:tabs>
      <w:snapToGrid w:val="0"/>
      <w:jc w:val="left"/>
    </w:pPr>
    <w:rPr>
      <w:sz w:val="18"/>
      <w:szCs w:val="18"/>
    </w:rPr>
  </w:style>
  <w:style w:type="paragraph" w:styleId="27">
    <w:name w:val="header"/>
    <w:basedOn w:val="1"/>
    <w:link w:val="117"/>
    <w:qFormat/>
    <w:uiPriority w:val="99"/>
    <w:pPr>
      <w:pBdr>
        <w:bottom w:val="single" w:color="auto" w:sz="6" w:space="1"/>
      </w:pBdr>
      <w:tabs>
        <w:tab w:val="center" w:pos="4153"/>
        <w:tab w:val="right" w:pos="8306"/>
      </w:tabs>
      <w:snapToGrid w:val="0"/>
      <w:jc w:val="center"/>
    </w:pPr>
    <w:rPr>
      <w:sz w:val="18"/>
      <w:szCs w:val="18"/>
    </w:rPr>
  </w:style>
  <w:style w:type="paragraph" w:styleId="28">
    <w:name w:val="toc 1"/>
    <w:basedOn w:val="1"/>
    <w:next w:val="1"/>
    <w:semiHidden/>
    <w:qFormat/>
    <w:uiPriority w:val="0"/>
  </w:style>
  <w:style w:type="paragraph" w:styleId="29">
    <w:name w:val="toc 4"/>
    <w:basedOn w:val="1"/>
    <w:next w:val="1"/>
    <w:semiHidden/>
    <w:qFormat/>
    <w:uiPriority w:val="0"/>
    <w:pPr>
      <w:tabs>
        <w:tab w:val="right" w:leader="dot" w:pos="8314"/>
      </w:tabs>
      <w:ind w:firstLine="588" w:firstLineChars="245"/>
    </w:pPr>
  </w:style>
  <w:style w:type="paragraph" w:styleId="30">
    <w:name w:val="Body Text Indent 3"/>
    <w:basedOn w:val="1"/>
    <w:qFormat/>
    <w:uiPriority w:val="0"/>
    <w:pPr>
      <w:spacing w:after="120"/>
      <w:ind w:left="420" w:leftChars="200"/>
    </w:pPr>
    <w:rPr>
      <w:sz w:val="16"/>
      <w:szCs w:val="16"/>
    </w:rPr>
  </w:style>
  <w:style w:type="paragraph" w:styleId="31">
    <w:name w:val="toc 2"/>
    <w:basedOn w:val="1"/>
    <w:next w:val="1"/>
    <w:semiHidden/>
    <w:qFormat/>
    <w:uiPriority w:val="0"/>
    <w:pPr>
      <w:ind w:left="420" w:leftChars="200"/>
    </w:pPr>
  </w:style>
  <w:style w:type="paragraph" w:styleId="32">
    <w:name w:val="Body Text 2"/>
    <w:basedOn w:val="1"/>
    <w:link w:val="125"/>
    <w:qFormat/>
    <w:uiPriority w:val="0"/>
    <w:pPr>
      <w:widowControl/>
      <w:spacing w:afterLines="50" w:line="216" w:lineRule="auto"/>
      <w:jc w:val="center"/>
    </w:pPr>
    <w:rPr>
      <w:rFonts w:ascii="隶书" w:eastAsia="隶书"/>
      <w:bCs/>
      <w:kern w:val="0"/>
      <w:sz w:val="72"/>
      <w:szCs w:val="84"/>
    </w:rPr>
  </w:style>
  <w:style w:type="paragraph" w:styleId="33">
    <w:name w:val="List Continue 2"/>
    <w:basedOn w:val="1"/>
    <w:qFormat/>
    <w:uiPriority w:val="0"/>
    <w:pPr>
      <w:spacing w:after="120"/>
      <w:ind w:left="840" w:leftChars="400"/>
    </w:pPr>
  </w:style>
  <w:style w:type="paragraph" w:styleId="34">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5">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6">
    <w:name w:val="index 1"/>
    <w:basedOn w:val="1"/>
    <w:next w:val="1"/>
    <w:semiHidden/>
    <w:qFormat/>
    <w:uiPriority w:val="0"/>
    <w:pPr>
      <w:spacing w:line="320" w:lineRule="exact"/>
    </w:pPr>
    <w:rPr>
      <w:b/>
      <w:snapToGrid w:val="0"/>
      <w:color w:val="FF6600"/>
      <w:kern w:val="0"/>
      <w:sz w:val="18"/>
      <w:szCs w:val="21"/>
    </w:rPr>
  </w:style>
  <w:style w:type="paragraph" w:styleId="37">
    <w:name w:val="annotation subject"/>
    <w:basedOn w:val="17"/>
    <w:next w:val="17"/>
    <w:semiHidden/>
    <w:qFormat/>
    <w:uiPriority w:val="0"/>
    <w:pPr>
      <w:widowControl/>
      <w:spacing w:afterLines="50"/>
    </w:pPr>
    <w:rPr>
      <w:b/>
      <w:bCs/>
      <w:kern w:val="0"/>
      <w:sz w:val="24"/>
      <w:szCs w:val="20"/>
    </w:rPr>
  </w:style>
  <w:style w:type="paragraph" w:styleId="38">
    <w:name w:val="Body Text First Indent"/>
    <w:basedOn w:val="18"/>
    <w:qFormat/>
    <w:uiPriority w:val="0"/>
    <w:pPr>
      <w:spacing w:after="120" w:line="240" w:lineRule="auto"/>
      <w:ind w:firstLine="420" w:firstLineChars="100"/>
    </w:pPr>
    <w:rPr>
      <w:rFonts w:eastAsia="宋体"/>
      <w:sz w:val="21"/>
    </w:rPr>
  </w:style>
  <w:style w:type="paragraph" w:styleId="39">
    <w:name w:val="Body Text First Indent 2"/>
    <w:basedOn w:val="19"/>
    <w:qFormat/>
    <w:uiPriority w:val="0"/>
    <w:pPr>
      <w:ind w:firstLine="420" w:firstLineChars="200"/>
    </w:pPr>
  </w:style>
  <w:style w:type="table" w:styleId="41">
    <w:name w:val="Table Grid"/>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3">
    <w:name w:val="Strong"/>
    <w:basedOn w:val="42"/>
    <w:qFormat/>
    <w:uiPriority w:val="0"/>
    <w:rPr>
      <w:b/>
      <w:bCs/>
    </w:rPr>
  </w:style>
  <w:style w:type="character" w:styleId="44">
    <w:name w:val="page number"/>
    <w:basedOn w:val="42"/>
    <w:qFormat/>
    <w:uiPriority w:val="0"/>
  </w:style>
  <w:style w:type="character" w:styleId="45">
    <w:name w:val="FollowedHyperlink"/>
    <w:basedOn w:val="42"/>
    <w:qFormat/>
    <w:uiPriority w:val="0"/>
    <w:rPr>
      <w:color w:val="800080"/>
      <w:u w:val="single"/>
    </w:rPr>
  </w:style>
  <w:style w:type="character" w:styleId="46">
    <w:name w:val="Emphasis"/>
    <w:basedOn w:val="42"/>
    <w:qFormat/>
    <w:uiPriority w:val="0"/>
    <w:rPr>
      <w:color w:val="CC0000"/>
    </w:rPr>
  </w:style>
  <w:style w:type="character" w:styleId="47">
    <w:name w:val="Hyperlink"/>
    <w:basedOn w:val="42"/>
    <w:qFormat/>
    <w:uiPriority w:val="0"/>
    <w:rPr>
      <w:color w:val="0000FF"/>
      <w:u w:val="single"/>
    </w:rPr>
  </w:style>
  <w:style w:type="character" w:styleId="48">
    <w:name w:val="annotation reference"/>
    <w:basedOn w:val="42"/>
    <w:semiHidden/>
    <w:qFormat/>
    <w:uiPriority w:val="0"/>
    <w:rPr>
      <w:sz w:val="21"/>
      <w:szCs w:val="21"/>
    </w:rPr>
  </w:style>
  <w:style w:type="character" w:customStyle="1" w:styleId="49">
    <w:name w:val="标题 3 Char"/>
    <w:link w:val="6"/>
    <w:qFormat/>
    <w:uiPriority w:val="0"/>
    <w:rPr>
      <w:rFonts w:eastAsia="仿宋_GB2312"/>
      <w:b/>
      <w:kern w:val="2"/>
      <w:sz w:val="32"/>
      <w:lang w:val="en-US" w:eastAsia="zh-CN" w:bidi="ar-SA"/>
    </w:rPr>
  </w:style>
  <w:style w:type="character" w:customStyle="1" w:styleId="50">
    <w:name w:val="标题 1 Char"/>
    <w:link w:val="3"/>
    <w:qFormat/>
    <w:uiPriority w:val="0"/>
    <w:rPr>
      <w:rFonts w:eastAsia="仿宋_GB2312"/>
      <w:b/>
      <w:kern w:val="44"/>
      <w:sz w:val="44"/>
      <w:lang w:val="en-US" w:eastAsia="zh-CN" w:bidi="ar-SA"/>
    </w:rPr>
  </w:style>
  <w:style w:type="character" w:customStyle="1" w:styleId="51">
    <w:name w:val="正文缩进 Char"/>
    <w:basedOn w:val="42"/>
    <w:link w:val="5"/>
    <w:qFormat/>
    <w:uiPriority w:val="0"/>
    <w:rPr>
      <w:rFonts w:eastAsia="宋体"/>
      <w:kern w:val="2"/>
      <w:sz w:val="21"/>
      <w:szCs w:val="24"/>
      <w:lang w:val="en-US" w:eastAsia="zh-CN" w:bidi="ar-SA"/>
    </w:rPr>
  </w:style>
  <w:style w:type="character" w:customStyle="1" w:styleId="52">
    <w:name w:val="标题 4 Char"/>
    <w:link w:val="7"/>
    <w:qFormat/>
    <w:uiPriority w:val="0"/>
    <w:rPr>
      <w:rFonts w:ascii="Arial" w:hAnsi="Arial" w:eastAsia="黑体"/>
      <w:b/>
      <w:kern w:val="2"/>
      <w:sz w:val="28"/>
      <w:lang w:val="en-US" w:eastAsia="zh-CN" w:bidi="ar-SA"/>
    </w:rPr>
  </w:style>
  <w:style w:type="character" w:customStyle="1" w:styleId="53">
    <w:name w:val="标题 5 Char"/>
    <w:link w:val="8"/>
    <w:qFormat/>
    <w:uiPriority w:val="0"/>
    <w:rPr>
      <w:rFonts w:eastAsia="宋体"/>
      <w:sz w:val="24"/>
      <w:lang w:val="en-US" w:eastAsia="zh-CN" w:bidi="ar-SA"/>
    </w:rPr>
  </w:style>
  <w:style w:type="character" w:customStyle="1" w:styleId="54">
    <w:name w:val="纯文本 Char"/>
    <w:basedOn w:val="42"/>
    <w:link w:val="22"/>
    <w:qFormat/>
    <w:uiPriority w:val="0"/>
    <w:rPr>
      <w:rFonts w:ascii="宋体" w:hAnsi="Courier New" w:eastAsia="宋体"/>
      <w:kern w:val="2"/>
      <w:sz w:val="21"/>
      <w:lang w:val="en-US" w:eastAsia="zh-CN" w:bidi="ar-SA"/>
    </w:rPr>
  </w:style>
  <w:style w:type="paragraph" w:customStyle="1" w:styleId="55">
    <w:name w:val="表正文"/>
    <w:basedOn w:val="1"/>
    <w:next w:val="22"/>
    <w:qFormat/>
    <w:uiPriority w:val="0"/>
    <w:rPr>
      <w:rFonts w:ascii="宋体" w:hAnsi="Courier New"/>
      <w:szCs w:val="20"/>
    </w:rPr>
  </w:style>
  <w:style w:type="paragraph" w:customStyle="1" w:styleId="56">
    <w:name w:val="正文段"/>
    <w:basedOn w:val="1"/>
    <w:link w:val="151"/>
    <w:qFormat/>
    <w:uiPriority w:val="0"/>
    <w:pPr>
      <w:widowControl/>
      <w:snapToGrid w:val="0"/>
      <w:spacing w:afterLines="50"/>
      <w:ind w:firstLine="200" w:firstLineChars="200"/>
    </w:pPr>
    <w:rPr>
      <w:kern w:val="0"/>
      <w:sz w:val="24"/>
      <w:szCs w:val="20"/>
    </w:rPr>
  </w:style>
  <w:style w:type="paragraph" w:customStyle="1" w:styleId="57">
    <w:name w:val="Char"/>
    <w:basedOn w:val="1"/>
    <w:qFormat/>
    <w:uiPriority w:val="0"/>
    <w:rPr>
      <w:rFonts w:ascii="仿宋_GB2312" w:eastAsia="仿宋_GB2312"/>
      <w:b/>
      <w:sz w:val="32"/>
      <w:szCs w:val="32"/>
    </w:rPr>
  </w:style>
  <w:style w:type="paragraph" w:customStyle="1" w:styleId="58">
    <w:name w:val="Table Text"/>
    <w:link w:val="59"/>
    <w:qFormat/>
    <w:uiPriority w:val="0"/>
    <w:pPr>
      <w:snapToGrid w:val="0"/>
      <w:spacing w:before="80" w:after="80"/>
    </w:pPr>
    <w:rPr>
      <w:rFonts w:ascii="Arial" w:hAnsi="Arial" w:eastAsia="宋体" w:cs="Times New Roman"/>
      <w:sz w:val="18"/>
      <w:lang w:val="en-US" w:eastAsia="zh-CN" w:bidi="ar-SA"/>
    </w:rPr>
  </w:style>
  <w:style w:type="character" w:customStyle="1" w:styleId="59">
    <w:name w:val="Table Text Char1"/>
    <w:basedOn w:val="42"/>
    <w:link w:val="58"/>
    <w:qFormat/>
    <w:uiPriority w:val="0"/>
    <w:rPr>
      <w:rFonts w:ascii="Arial" w:hAnsi="Arial"/>
      <w:sz w:val="18"/>
      <w:lang w:val="en-US" w:eastAsia="zh-CN" w:bidi="ar-SA"/>
    </w:rPr>
  </w:style>
  <w:style w:type="character" w:customStyle="1" w:styleId="60">
    <w:name w:val="正文（缩进2汉字） Char"/>
    <w:basedOn w:val="42"/>
    <w:link w:val="61"/>
    <w:qFormat/>
    <w:uiPriority w:val="0"/>
    <w:rPr>
      <w:rFonts w:ascii="宋体"/>
      <w:kern w:val="2"/>
      <w:sz w:val="21"/>
      <w:lang w:bidi="ar-SA"/>
    </w:rPr>
  </w:style>
  <w:style w:type="paragraph" w:customStyle="1" w:styleId="61">
    <w:name w:val="正文（缩进2汉字）"/>
    <w:basedOn w:val="1"/>
    <w:link w:val="60"/>
    <w:qFormat/>
    <w:uiPriority w:val="0"/>
    <w:pPr>
      <w:tabs>
        <w:tab w:val="left" w:pos="525"/>
      </w:tabs>
      <w:spacing w:before="100" w:beforeAutospacing="1" w:after="100" w:afterAutospacing="1"/>
      <w:ind w:left="120" w:leftChars="50" w:firstLine="494" w:firstLineChars="206"/>
    </w:pPr>
    <w:rPr>
      <w:rFonts w:ascii="宋体" w:eastAsia="Times New Roman"/>
      <w:szCs w:val="20"/>
    </w:rPr>
  </w:style>
  <w:style w:type="paragraph" w:customStyle="1" w:styleId="62">
    <w:name w:val="Char11"/>
    <w:basedOn w:val="1"/>
    <w:qFormat/>
    <w:uiPriority w:val="0"/>
    <w:pPr>
      <w:tabs>
        <w:tab w:val="left" w:pos="432"/>
      </w:tabs>
      <w:spacing w:beforeLines="50" w:afterLines="50"/>
      <w:ind w:left="432" w:hanging="432"/>
      <w:jc w:val="center"/>
    </w:pPr>
    <w:rPr>
      <w:sz w:val="24"/>
    </w:rPr>
  </w:style>
  <w:style w:type="paragraph" w:customStyle="1" w:styleId="63">
    <w:name w:val="模板普通正文"/>
    <w:basedOn w:val="19"/>
    <w:qFormat/>
    <w:uiPriority w:val="0"/>
    <w:pPr>
      <w:spacing w:beforeLines="50" w:after="10" w:line="360" w:lineRule="auto"/>
      <w:ind w:left="0" w:leftChars="0" w:firstLine="175" w:firstLineChars="175"/>
      <w:jc w:val="left"/>
    </w:pPr>
    <w:rPr>
      <w:sz w:val="24"/>
    </w:rPr>
  </w:style>
  <w:style w:type="character" w:customStyle="1" w:styleId="64">
    <w:name w:val="正文文本缩进 2 Char"/>
    <w:link w:val="24"/>
    <w:qFormat/>
    <w:locked/>
    <w:uiPriority w:val="0"/>
    <w:rPr>
      <w:rFonts w:eastAsia="宋体"/>
      <w:kern w:val="2"/>
      <w:sz w:val="21"/>
      <w:szCs w:val="24"/>
      <w:lang w:val="en-US" w:eastAsia="zh-CN" w:bidi="ar-SA"/>
    </w:rPr>
  </w:style>
  <w:style w:type="paragraph" w:customStyle="1" w:styleId="65">
    <w:name w:val="缺省文本"/>
    <w:basedOn w:val="1"/>
    <w:qFormat/>
    <w:uiPriority w:val="0"/>
    <w:pPr>
      <w:autoSpaceDE w:val="0"/>
      <w:autoSpaceDN w:val="0"/>
      <w:adjustRightInd w:val="0"/>
      <w:jc w:val="left"/>
    </w:pPr>
    <w:rPr>
      <w:kern w:val="0"/>
      <w:sz w:val="24"/>
    </w:rPr>
  </w:style>
  <w:style w:type="paragraph" w:customStyle="1" w:styleId="66">
    <w:name w:val="WW-正文文字缩进 2"/>
    <w:basedOn w:val="1"/>
    <w:qFormat/>
    <w:uiPriority w:val="0"/>
    <w:pPr>
      <w:suppressAutoHyphens/>
      <w:ind w:firstLine="420"/>
    </w:pPr>
    <w:rPr>
      <w:kern w:val="1"/>
      <w:szCs w:val="20"/>
    </w:rPr>
  </w:style>
  <w:style w:type="paragraph" w:customStyle="1" w:styleId="67">
    <w:name w:val="默认段落字体 Para Char Char Char Char Char Char Char Char Char1 Char Char Char Char"/>
    <w:basedOn w:val="1"/>
    <w:qFormat/>
    <w:uiPriority w:val="0"/>
    <w:rPr>
      <w:rFonts w:ascii="Tahoma" w:hAnsi="Tahoma"/>
      <w:sz w:val="24"/>
      <w:szCs w:val="20"/>
    </w:rPr>
  </w:style>
  <w:style w:type="character" w:customStyle="1" w:styleId="68">
    <w:name w:val="正文文本 Char"/>
    <w:link w:val="18"/>
    <w:qFormat/>
    <w:locked/>
    <w:uiPriority w:val="0"/>
    <w:rPr>
      <w:rFonts w:eastAsia="仿宋_GB2312"/>
      <w:kern w:val="2"/>
      <w:sz w:val="28"/>
      <w:szCs w:val="24"/>
      <w:lang w:val="en-US" w:eastAsia="zh-CN" w:bidi="ar-SA"/>
    </w:rPr>
  </w:style>
  <w:style w:type="paragraph" w:customStyle="1" w:styleId="69">
    <w:name w:val="项目排列"/>
    <w:basedOn w:val="1"/>
    <w:link w:val="70"/>
    <w:qFormat/>
    <w:uiPriority w:val="0"/>
    <w:pPr>
      <w:tabs>
        <w:tab w:val="left" w:pos="900"/>
      </w:tabs>
      <w:spacing w:beforeLines="50" w:afterLines="50" w:line="300" w:lineRule="auto"/>
      <w:ind w:left="900" w:hanging="420"/>
    </w:pPr>
    <w:rPr>
      <w:sz w:val="24"/>
    </w:rPr>
  </w:style>
  <w:style w:type="character" w:customStyle="1" w:styleId="70">
    <w:name w:val="项目排列 Char"/>
    <w:basedOn w:val="42"/>
    <w:link w:val="69"/>
    <w:qFormat/>
    <w:uiPriority w:val="0"/>
    <w:rPr>
      <w:kern w:val="2"/>
      <w:sz w:val="24"/>
      <w:szCs w:val="24"/>
    </w:rPr>
  </w:style>
  <w:style w:type="character" w:customStyle="1" w:styleId="71">
    <w:name w:val="style21"/>
    <w:basedOn w:val="42"/>
    <w:qFormat/>
    <w:uiPriority w:val="0"/>
    <w:rPr>
      <w:sz w:val="15"/>
      <w:szCs w:val="15"/>
    </w:rPr>
  </w:style>
  <w:style w:type="paragraph" w:customStyle="1" w:styleId="72">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73">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74">
    <w:name w:val="Char1"/>
    <w:basedOn w:val="1"/>
    <w:qFormat/>
    <w:uiPriority w:val="0"/>
    <w:rPr>
      <w:szCs w:val="20"/>
    </w:rPr>
  </w:style>
  <w:style w:type="paragraph" w:customStyle="1" w:styleId="75">
    <w:name w:val="列出段落1"/>
    <w:basedOn w:val="1"/>
    <w:qFormat/>
    <w:uiPriority w:val="0"/>
    <w:pPr>
      <w:ind w:firstLine="420" w:firstLineChars="200"/>
    </w:pPr>
    <w:rPr>
      <w:rFonts w:ascii="Calibri" w:hAnsi="Calibri"/>
      <w:szCs w:val="22"/>
    </w:rPr>
  </w:style>
  <w:style w:type="paragraph" w:customStyle="1" w:styleId="76">
    <w:name w:val="默认段落字体 Para Char Char Char Char"/>
    <w:basedOn w:val="1"/>
    <w:qFormat/>
    <w:uiPriority w:val="0"/>
  </w:style>
  <w:style w:type="paragraph" w:customStyle="1" w:styleId="77">
    <w:name w:val="Char Char Char1 Char Char Char1 Char Char Char Char"/>
    <w:basedOn w:val="1"/>
    <w:qFormat/>
    <w:uiPriority w:val="0"/>
  </w:style>
  <w:style w:type="character" w:customStyle="1" w:styleId="78">
    <w:name w:val="font1"/>
    <w:basedOn w:val="42"/>
    <w:qFormat/>
    <w:uiPriority w:val="0"/>
    <w:rPr>
      <w:color w:val="999999"/>
      <w:sz w:val="18"/>
      <w:szCs w:val="18"/>
      <w:u w:val="none"/>
    </w:rPr>
  </w:style>
  <w:style w:type="paragraph" w:customStyle="1" w:styleId="7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80">
    <w:name w:val="Char Char Char Char Char Char Char Char Char Char"/>
    <w:basedOn w:val="1"/>
    <w:qFormat/>
    <w:uiPriority w:val="0"/>
    <w:rPr>
      <w:rFonts w:ascii="Tahoma" w:hAnsi="Tahoma"/>
      <w:sz w:val="24"/>
      <w:szCs w:val="20"/>
    </w:rPr>
  </w:style>
  <w:style w:type="character" w:customStyle="1" w:styleId="81">
    <w:name w:val="apple-style-span"/>
    <w:basedOn w:val="42"/>
    <w:qFormat/>
    <w:uiPriority w:val="0"/>
  </w:style>
  <w:style w:type="paragraph" w:customStyle="1" w:styleId="82">
    <w:name w:val="正文无缩进"/>
    <w:basedOn w:val="1"/>
    <w:link w:val="83"/>
    <w:qFormat/>
    <w:uiPriority w:val="0"/>
    <w:pPr>
      <w:spacing w:line="360" w:lineRule="auto"/>
    </w:pPr>
    <w:rPr>
      <w:rFonts w:ascii="宋体"/>
      <w:color w:val="000000"/>
      <w:sz w:val="24"/>
    </w:rPr>
  </w:style>
  <w:style w:type="character" w:customStyle="1" w:styleId="83">
    <w:name w:val="正文无缩进 Char"/>
    <w:basedOn w:val="42"/>
    <w:link w:val="82"/>
    <w:qFormat/>
    <w:uiPriority w:val="0"/>
    <w:rPr>
      <w:rFonts w:ascii="宋体" w:eastAsia="宋体"/>
      <w:color w:val="000000"/>
      <w:kern w:val="2"/>
      <w:sz w:val="24"/>
      <w:szCs w:val="24"/>
      <w:lang w:val="en-US" w:eastAsia="zh-CN" w:bidi="ar-SA"/>
    </w:rPr>
  </w:style>
  <w:style w:type="paragraph" w:customStyle="1" w:styleId="84">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85">
    <w:name w:val="ca-3"/>
    <w:basedOn w:val="42"/>
    <w:qFormat/>
    <w:uiPriority w:val="0"/>
  </w:style>
  <w:style w:type="paragraph" w:customStyle="1" w:styleId="86">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87">
    <w:name w:val="表格 Char Char"/>
    <w:link w:val="88"/>
    <w:qFormat/>
    <w:locked/>
    <w:uiPriority w:val="0"/>
    <w:rPr>
      <w:rFonts w:ascii="宋体" w:hAnsi="宋体" w:eastAsia="宋体"/>
      <w:lang w:val="en-US" w:eastAsia="zh-CN" w:bidi="ar-SA"/>
    </w:rPr>
  </w:style>
  <w:style w:type="paragraph" w:customStyle="1" w:styleId="88">
    <w:name w:val="表格"/>
    <w:basedOn w:val="1"/>
    <w:link w:val="87"/>
    <w:qFormat/>
    <w:uiPriority w:val="0"/>
    <w:pPr>
      <w:snapToGrid w:val="0"/>
      <w:ind w:firstLine="42" w:firstLineChars="21"/>
    </w:pPr>
    <w:rPr>
      <w:rFonts w:ascii="宋体" w:hAnsi="宋体"/>
      <w:kern w:val="0"/>
      <w:sz w:val="20"/>
      <w:szCs w:val="20"/>
    </w:rPr>
  </w:style>
  <w:style w:type="paragraph" w:customStyle="1" w:styleId="89">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90">
    <w:name w:val="Char Char1 Char Char Char Char Char Char"/>
    <w:basedOn w:val="1"/>
    <w:qFormat/>
    <w:uiPriority w:val="0"/>
    <w:pPr>
      <w:widowControl/>
      <w:spacing w:after="160" w:line="240" w:lineRule="exact"/>
      <w:jc w:val="left"/>
    </w:pPr>
  </w:style>
  <w:style w:type="character" w:customStyle="1" w:styleId="91">
    <w:name w:val="Char Char"/>
    <w:qFormat/>
    <w:uiPriority w:val="0"/>
    <w:rPr>
      <w:rFonts w:hint="eastAsia" w:ascii="宋体" w:hAnsi="Courier New" w:eastAsia="宋体"/>
      <w:kern w:val="2"/>
      <w:sz w:val="21"/>
      <w:lang w:val="en-US" w:eastAsia="zh-CN" w:bidi="ar-SA"/>
    </w:rPr>
  </w:style>
  <w:style w:type="character" w:customStyle="1" w:styleId="92">
    <w:name w:val="style51"/>
    <w:basedOn w:val="42"/>
    <w:qFormat/>
    <w:uiPriority w:val="0"/>
    <w:rPr>
      <w:sz w:val="21"/>
      <w:szCs w:val="21"/>
    </w:rPr>
  </w:style>
  <w:style w:type="paragraph" w:customStyle="1" w:styleId="93">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94">
    <w:name w:val="标准文本"/>
    <w:basedOn w:val="1"/>
    <w:link w:val="95"/>
    <w:qFormat/>
    <w:uiPriority w:val="0"/>
    <w:pPr>
      <w:spacing w:line="360" w:lineRule="auto"/>
      <w:ind w:firstLine="480" w:firstLineChars="200"/>
    </w:pPr>
    <w:rPr>
      <w:rFonts w:cs="宋体"/>
      <w:sz w:val="24"/>
      <w:szCs w:val="20"/>
    </w:rPr>
  </w:style>
  <w:style w:type="character" w:customStyle="1" w:styleId="95">
    <w:name w:val="标准文本 Char"/>
    <w:basedOn w:val="42"/>
    <w:link w:val="94"/>
    <w:qFormat/>
    <w:uiPriority w:val="0"/>
    <w:rPr>
      <w:rFonts w:eastAsia="宋体" w:cs="宋体"/>
      <w:kern w:val="2"/>
      <w:sz w:val="24"/>
      <w:lang w:val="en-US" w:eastAsia="zh-CN" w:bidi="ar-SA"/>
    </w:rPr>
  </w:style>
  <w:style w:type="paragraph" w:customStyle="1" w:styleId="96">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97">
    <w:name w:val="自定义正文"/>
    <w:basedOn w:val="1"/>
    <w:link w:val="98"/>
    <w:qFormat/>
    <w:uiPriority w:val="0"/>
    <w:pPr>
      <w:spacing w:line="480" w:lineRule="exact"/>
      <w:ind w:firstLine="200" w:firstLineChars="200"/>
      <w:jc w:val="left"/>
    </w:pPr>
    <w:rPr>
      <w:rFonts w:ascii="仿宋_GB2312" w:eastAsia="仿宋_GB2312"/>
      <w:sz w:val="28"/>
    </w:rPr>
  </w:style>
  <w:style w:type="character" w:customStyle="1" w:styleId="98">
    <w:name w:val="自定义正文 Char"/>
    <w:basedOn w:val="42"/>
    <w:link w:val="97"/>
    <w:qFormat/>
    <w:uiPriority w:val="0"/>
    <w:rPr>
      <w:rFonts w:ascii="仿宋_GB2312" w:eastAsia="仿宋_GB2312"/>
      <w:kern w:val="2"/>
      <w:sz w:val="28"/>
      <w:szCs w:val="24"/>
      <w:lang w:val="en-US" w:eastAsia="zh-CN" w:bidi="ar-SA"/>
    </w:rPr>
  </w:style>
  <w:style w:type="paragraph" w:customStyle="1" w:styleId="99">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00">
    <w:name w:val="自定义表格文字"/>
    <w:basedOn w:val="1"/>
    <w:qFormat/>
    <w:uiPriority w:val="0"/>
    <w:pPr>
      <w:spacing w:before="60" w:after="60" w:line="320" w:lineRule="exact"/>
      <w:jc w:val="left"/>
    </w:pPr>
    <w:rPr>
      <w:rFonts w:ascii="宋体" w:eastAsia="楷体_GB2312"/>
    </w:rPr>
  </w:style>
  <w:style w:type="paragraph" w:customStyle="1" w:styleId="101">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02">
    <w:name w:val="Char Char Char1 Char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03">
    <w:name w:val="正文文本缩进 Char"/>
    <w:link w:val="19"/>
    <w:qFormat/>
    <w:uiPriority w:val="0"/>
    <w:rPr>
      <w:rFonts w:eastAsia="宋体"/>
      <w:kern w:val="2"/>
      <w:sz w:val="21"/>
      <w:szCs w:val="24"/>
      <w:lang w:val="en-US" w:eastAsia="zh-CN" w:bidi="ar-SA"/>
    </w:rPr>
  </w:style>
  <w:style w:type="character" w:customStyle="1" w:styleId="104">
    <w:name w:val="Char Char1"/>
    <w:qFormat/>
    <w:uiPriority w:val="0"/>
    <w:rPr>
      <w:rFonts w:ascii="宋体" w:hAnsi="Courier New" w:eastAsia="宋体"/>
      <w:kern w:val="2"/>
      <w:sz w:val="21"/>
      <w:lang w:val="en-US" w:eastAsia="zh-CN" w:bidi="ar-SA"/>
    </w:rPr>
  </w:style>
  <w:style w:type="paragraph" w:customStyle="1" w:styleId="105">
    <w:name w:val="Char Char Char Char1"/>
    <w:basedOn w:val="1"/>
    <w:qFormat/>
    <w:uiPriority w:val="0"/>
    <w:rPr>
      <w:rFonts w:ascii="Tahoma" w:hAnsi="Tahoma"/>
      <w:sz w:val="24"/>
      <w:szCs w:val="20"/>
    </w:rPr>
  </w:style>
  <w:style w:type="character" w:customStyle="1" w:styleId="106">
    <w:name w:val="标题 2 Char"/>
    <w:link w:val="4"/>
    <w:qFormat/>
    <w:uiPriority w:val="0"/>
    <w:rPr>
      <w:rFonts w:ascii="Arial" w:hAnsi="Arial" w:eastAsia="黑体"/>
      <w:b/>
      <w:kern w:val="2"/>
      <w:sz w:val="32"/>
      <w:lang w:val="en-US" w:eastAsia="zh-CN" w:bidi="ar-SA"/>
    </w:rPr>
  </w:style>
  <w:style w:type="character" w:customStyle="1" w:styleId="107">
    <w:name w:val="H4 Char"/>
    <w:qFormat/>
    <w:uiPriority w:val="0"/>
    <w:rPr>
      <w:rFonts w:ascii="宋体" w:hAnsi="宋体" w:eastAsia="黑体"/>
      <w:b/>
      <w:bCs/>
      <w:color w:val="000000"/>
      <w:spacing w:val="-4"/>
      <w:kern w:val="2"/>
      <w:sz w:val="24"/>
      <w:szCs w:val="30"/>
      <w:lang w:val="en-US" w:eastAsia="zh-CN" w:bidi="ar-SA"/>
    </w:rPr>
  </w:style>
  <w:style w:type="character" w:customStyle="1" w:styleId="108">
    <w:name w:val="H5 Char"/>
    <w:qFormat/>
    <w:uiPriority w:val="0"/>
    <w:rPr>
      <w:rFonts w:ascii="Arial" w:hAnsi="Arial" w:eastAsia="宋体"/>
      <w:sz w:val="24"/>
      <w:lang w:val="en-US" w:eastAsia="zh-CN" w:bidi="ar-SA"/>
    </w:rPr>
  </w:style>
  <w:style w:type="character" w:customStyle="1" w:styleId="109">
    <w:name w:val="标题 6 Char"/>
    <w:link w:val="9"/>
    <w:qFormat/>
    <w:uiPriority w:val="0"/>
    <w:rPr>
      <w:rFonts w:ascii="宋体" w:hAnsi="Arial" w:eastAsia="宋体"/>
      <w:sz w:val="24"/>
      <w:lang w:val="en-US" w:eastAsia="zh-CN" w:bidi="ar-SA"/>
    </w:rPr>
  </w:style>
  <w:style w:type="character" w:customStyle="1" w:styleId="110">
    <w:name w:val="标题 7 Char"/>
    <w:link w:val="10"/>
    <w:qFormat/>
    <w:uiPriority w:val="0"/>
    <w:rPr>
      <w:rFonts w:ascii="宋体" w:hAnsi="Arial" w:eastAsia="宋体"/>
      <w:b/>
      <w:sz w:val="24"/>
      <w:lang w:val="en-US" w:eastAsia="zh-CN" w:bidi="ar-SA"/>
    </w:rPr>
  </w:style>
  <w:style w:type="character" w:customStyle="1" w:styleId="111">
    <w:name w:val="标题 8 Char"/>
    <w:link w:val="11"/>
    <w:qFormat/>
    <w:uiPriority w:val="0"/>
    <w:rPr>
      <w:rFonts w:ascii="Arial" w:hAnsi="Arial" w:eastAsia="黑体"/>
      <w:sz w:val="24"/>
      <w:lang w:val="en-US" w:eastAsia="zh-CN" w:bidi="ar-SA"/>
    </w:rPr>
  </w:style>
  <w:style w:type="character" w:customStyle="1" w:styleId="112">
    <w:name w:val="标题 9 Char"/>
    <w:link w:val="12"/>
    <w:qFormat/>
    <w:uiPriority w:val="0"/>
    <w:rPr>
      <w:rFonts w:ascii="Arial" w:hAnsi="Arial" w:eastAsia="黑体"/>
      <w:sz w:val="24"/>
      <w:lang w:val="en-US" w:eastAsia="zh-CN" w:bidi="ar-SA"/>
    </w:rPr>
  </w:style>
  <w:style w:type="character" w:customStyle="1" w:styleId="113">
    <w:name w:val="日期 Char"/>
    <w:link w:val="23"/>
    <w:qFormat/>
    <w:uiPriority w:val="0"/>
    <w:rPr>
      <w:rFonts w:ascii="楷体_GB2312" w:eastAsia="楷体_GB2312"/>
      <w:b/>
      <w:kern w:val="2"/>
      <w:sz w:val="28"/>
      <w:lang w:val="en-US" w:eastAsia="zh-CN" w:bidi="ar-SA"/>
    </w:rPr>
  </w:style>
  <w:style w:type="character" w:customStyle="1" w:styleId="114">
    <w:name w:val="Char Char8"/>
    <w:qFormat/>
    <w:uiPriority w:val="0"/>
    <w:rPr>
      <w:rFonts w:ascii="宋体" w:eastAsia="宋体"/>
      <w:kern w:val="2"/>
      <w:sz w:val="28"/>
      <w:lang w:val="en-US" w:eastAsia="zh-CN" w:bidi="ar-SA"/>
    </w:rPr>
  </w:style>
  <w:style w:type="character" w:customStyle="1" w:styleId="115">
    <w:name w:val="Char Char7"/>
    <w:qFormat/>
    <w:uiPriority w:val="0"/>
    <w:rPr>
      <w:rFonts w:eastAsia="仿宋_GB2312"/>
      <w:kern w:val="2"/>
      <w:sz w:val="24"/>
      <w:szCs w:val="24"/>
      <w:lang w:val="en-US" w:eastAsia="zh-CN" w:bidi="ar-SA"/>
    </w:rPr>
  </w:style>
  <w:style w:type="paragraph" w:customStyle="1" w:styleId="116">
    <w:name w:val="表内文字"/>
    <w:basedOn w:val="1"/>
    <w:qFormat/>
    <w:uiPriority w:val="0"/>
    <w:pPr>
      <w:jc w:val="center"/>
    </w:pPr>
    <w:rPr>
      <w:color w:val="FF0000"/>
      <w:kern w:val="0"/>
      <w:sz w:val="24"/>
    </w:rPr>
  </w:style>
  <w:style w:type="character" w:customStyle="1" w:styleId="117">
    <w:name w:val="页眉 Char"/>
    <w:link w:val="27"/>
    <w:qFormat/>
    <w:uiPriority w:val="99"/>
    <w:rPr>
      <w:rFonts w:eastAsia="宋体"/>
      <w:kern w:val="2"/>
      <w:sz w:val="18"/>
      <w:szCs w:val="18"/>
      <w:lang w:val="en-US" w:eastAsia="zh-CN" w:bidi="ar-SA"/>
    </w:rPr>
  </w:style>
  <w:style w:type="character" w:customStyle="1" w:styleId="118">
    <w:name w:val="文档结构图 Char"/>
    <w:link w:val="16"/>
    <w:semiHidden/>
    <w:qFormat/>
    <w:uiPriority w:val="0"/>
    <w:rPr>
      <w:rFonts w:eastAsia="宋体"/>
      <w:kern w:val="2"/>
      <w:sz w:val="21"/>
      <w:szCs w:val="24"/>
      <w:lang w:val="en-US" w:eastAsia="zh-CN" w:bidi="ar-SA"/>
    </w:rPr>
  </w:style>
  <w:style w:type="character" w:customStyle="1" w:styleId="119">
    <w:name w:val="Char Char3"/>
    <w:qFormat/>
    <w:uiPriority w:val="0"/>
    <w:rPr>
      <w:rFonts w:eastAsia="仿宋_GB2312"/>
      <w:kern w:val="2"/>
      <w:sz w:val="28"/>
      <w:szCs w:val="24"/>
      <w:lang w:val="en-US" w:eastAsia="zh-CN" w:bidi="ar-SA"/>
    </w:rPr>
  </w:style>
  <w:style w:type="character" w:customStyle="1" w:styleId="120">
    <w:name w:val="批注文字 Char"/>
    <w:link w:val="17"/>
    <w:semiHidden/>
    <w:qFormat/>
    <w:uiPriority w:val="0"/>
    <w:rPr>
      <w:rFonts w:eastAsia="宋体"/>
      <w:kern w:val="2"/>
      <w:sz w:val="21"/>
      <w:szCs w:val="24"/>
      <w:lang w:val="en-US" w:eastAsia="zh-CN" w:bidi="ar-SA"/>
    </w:rPr>
  </w:style>
  <w:style w:type="paragraph" w:customStyle="1" w:styleId="121">
    <w:name w:val="xl25"/>
    <w:basedOn w:val="1"/>
    <w:qFormat/>
    <w:uiPriority w:val="0"/>
    <w:pPr>
      <w:widowControl/>
      <w:numPr>
        <w:ilvl w:val="0"/>
        <w:numId w:val="5"/>
      </w:numPr>
      <w:tabs>
        <w:tab w:val="clear" w:pos="840"/>
      </w:tabs>
      <w:spacing w:before="100" w:beforeAutospacing="1" w:after="100" w:afterAutospacing="1"/>
      <w:ind w:left="0" w:firstLine="0"/>
      <w:jc w:val="center"/>
      <w:textAlignment w:val="center"/>
    </w:pPr>
    <w:rPr>
      <w:rFonts w:ascii="宋体" w:hAnsi="宋体"/>
      <w:kern w:val="0"/>
      <w:sz w:val="20"/>
      <w:szCs w:val="20"/>
    </w:rPr>
  </w:style>
  <w:style w:type="paragraph" w:customStyle="1" w:styleId="122">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3">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24">
    <w:name w:val="font6"/>
    <w:basedOn w:val="1"/>
    <w:qFormat/>
    <w:uiPriority w:val="0"/>
    <w:pPr>
      <w:widowControl/>
      <w:spacing w:before="100" w:beforeAutospacing="1" w:after="100" w:afterAutospacing="1"/>
      <w:jc w:val="left"/>
    </w:pPr>
    <w:rPr>
      <w:rFonts w:hint="eastAsia" w:ascii="宋体" w:hAnsi="宋体"/>
      <w:kern w:val="0"/>
      <w:sz w:val="18"/>
      <w:szCs w:val="18"/>
    </w:rPr>
  </w:style>
  <w:style w:type="character" w:customStyle="1" w:styleId="125">
    <w:name w:val="正文文本 2 Char"/>
    <w:link w:val="32"/>
    <w:qFormat/>
    <w:uiPriority w:val="0"/>
    <w:rPr>
      <w:rFonts w:ascii="隶书" w:eastAsia="隶书"/>
      <w:bCs/>
      <w:sz w:val="72"/>
      <w:szCs w:val="84"/>
      <w:lang w:val="en-US" w:eastAsia="zh-CN" w:bidi="ar-SA"/>
    </w:rPr>
  </w:style>
  <w:style w:type="paragraph" w:customStyle="1" w:styleId="126">
    <w:name w:val="项目1"/>
    <w:basedOn w:val="1"/>
    <w:qFormat/>
    <w:uiPriority w:val="0"/>
    <w:pPr>
      <w:tabs>
        <w:tab w:val="left" w:pos="840"/>
      </w:tabs>
      <w:spacing w:after="60"/>
      <w:ind w:left="840" w:hanging="420"/>
    </w:pPr>
    <w:rPr>
      <w:rFonts w:ascii="宋体"/>
      <w:spacing w:val="4"/>
      <w:szCs w:val="20"/>
    </w:rPr>
  </w:style>
  <w:style w:type="paragraph" w:customStyle="1" w:styleId="127">
    <w:name w:val="编10号"/>
    <w:basedOn w:val="1"/>
    <w:qFormat/>
    <w:uiPriority w:val="0"/>
    <w:pPr>
      <w:numPr>
        <w:ilvl w:val="3"/>
        <w:numId w:val="6"/>
      </w:numPr>
    </w:pPr>
  </w:style>
  <w:style w:type="paragraph" w:customStyle="1" w:styleId="128">
    <w:name w:val="段"/>
    <w:basedOn w:val="1"/>
    <w:qFormat/>
    <w:uiPriority w:val="0"/>
    <w:pPr>
      <w:ind w:firstLine="425"/>
    </w:pPr>
    <w:rPr>
      <w:rFonts w:ascii="宋体"/>
      <w:szCs w:val="20"/>
    </w:rPr>
  </w:style>
  <w:style w:type="paragraph" w:customStyle="1" w:styleId="129">
    <w:name w:val="Char Char Char Char"/>
    <w:basedOn w:val="1"/>
    <w:qFormat/>
    <w:uiPriority w:val="0"/>
    <w:pPr>
      <w:widowControl/>
      <w:spacing w:after="160" w:line="240" w:lineRule="exact"/>
      <w:jc w:val="left"/>
    </w:pPr>
    <w:rPr>
      <w:kern w:val="0"/>
      <w:sz w:val="24"/>
    </w:rPr>
  </w:style>
  <w:style w:type="paragraph" w:customStyle="1" w:styleId="130">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1">
    <w:name w:val="bulletintext1"/>
    <w:qFormat/>
    <w:uiPriority w:val="0"/>
    <w:rPr>
      <w:rFonts w:hint="eastAsia" w:ascii="宋体" w:hAnsi="宋体" w:eastAsia="宋体"/>
      <w:sz w:val="18"/>
      <w:szCs w:val="18"/>
    </w:rPr>
  </w:style>
  <w:style w:type="paragraph" w:customStyle="1" w:styleId="132">
    <w:name w:val="Char1 Char Char Char Char Char Char"/>
    <w:basedOn w:val="1"/>
    <w:qFormat/>
    <w:uiPriority w:val="0"/>
    <w:rPr>
      <w:rFonts w:ascii="Tahoma" w:hAnsi="Tahoma"/>
      <w:sz w:val="24"/>
      <w:szCs w:val="20"/>
    </w:rPr>
  </w:style>
  <w:style w:type="paragraph" w:customStyle="1" w:styleId="133">
    <w:name w:val="Char Char2 Char Char Char Char"/>
    <w:basedOn w:val="16"/>
    <w:qFormat/>
    <w:uiPriority w:val="0"/>
    <w:rPr>
      <w:rFonts w:ascii="Tahoma" w:hAnsi="Tahoma"/>
      <w:sz w:val="24"/>
    </w:rPr>
  </w:style>
  <w:style w:type="paragraph" w:customStyle="1" w:styleId="134">
    <w:name w:val="Char Char Char"/>
    <w:basedOn w:val="16"/>
    <w:qFormat/>
    <w:uiPriority w:val="0"/>
    <w:rPr>
      <w:rFonts w:ascii="Tahoma" w:hAnsi="Tahoma"/>
      <w:sz w:val="24"/>
    </w:rPr>
  </w:style>
  <w:style w:type="paragraph" w:customStyle="1" w:styleId="135">
    <w:name w:val="正文缩进 New"/>
    <w:basedOn w:val="1"/>
    <w:qFormat/>
    <w:uiPriority w:val="0"/>
    <w:pPr>
      <w:ind w:firstLine="420" w:firstLineChars="200"/>
    </w:pPr>
    <w:rPr>
      <w:szCs w:val="20"/>
    </w:rPr>
  </w:style>
  <w:style w:type="paragraph" w:customStyle="1" w:styleId="136">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37">
    <w:name w:val="tpc_content1"/>
    <w:qFormat/>
    <w:uiPriority w:val="0"/>
    <w:rPr>
      <w:sz w:val="20"/>
      <w:szCs w:val="20"/>
    </w:rPr>
  </w:style>
  <w:style w:type="character" w:customStyle="1" w:styleId="138">
    <w:name w:val="Char Char11"/>
    <w:qFormat/>
    <w:uiPriority w:val="0"/>
    <w:rPr>
      <w:b/>
      <w:kern w:val="44"/>
      <w:sz w:val="44"/>
    </w:rPr>
  </w:style>
  <w:style w:type="character" w:customStyle="1" w:styleId="139">
    <w:name w:val="Char Char10"/>
    <w:qFormat/>
    <w:uiPriority w:val="0"/>
    <w:rPr>
      <w:b/>
      <w:kern w:val="2"/>
      <w:sz w:val="28"/>
      <w:szCs w:val="28"/>
    </w:rPr>
  </w:style>
  <w:style w:type="character" w:customStyle="1" w:styleId="140">
    <w:name w:val="Char Char9"/>
    <w:qFormat/>
    <w:uiPriority w:val="0"/>
    <w:rPr>
      <w:b/>
      <w:kern w:val="2"/>
      <w:sz w:val="24"/>
      <w:szCs w:val="24"/>
    </w:rPr>
  </w:style>
  <w:style w:type="paragraph" w:customStyle="1" w:styleId="141">
    <w:name w:val="Char Char Char 字元 字元"/>
    <w:basedOn w:val="1"/>
    <w:qFormat/>
    <w:uiPriority w:val="0"/>
    <w:pPr>
      <w:spacing w:line="360" w:lineRule="auto"/>
      <w:ind w:firstLine="200" w:firstLineChars="200"/>
    </w:pPr>
    <w:rPr>
      <w:szCs w:val="20"/>
    </w:rPr>
  </w:style>
  <w:style w:type="paragraph" w:customStyle="1" w:styleId="142">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3">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4">
    <w:name w:val="style11"/>
    <w:basedOn w:val="42"/>
    <w:qFormat/>
    <w:uiPriority w:val="0"/>
    <w:rPr>
      <w:b/>
      <w:bCs/>
      <w:color w:val="FF0000"/>
    </w:rPr>
  </w:style>
  <w:style w:type="character" w:customStyle="1" w:styleId="145">
    <w:name w:val="info"/>
    <w:basedOn w:val="42"/>
    <w:qFormat/>
    <w:uiPriority w:val="0"/>
  </w:style>
  <w:style w:type="paragraph" w:customStyle="1" w:styleId="146">
    <w:name w:val="样式 正文缩进 + 首行缩进:  2 字符"/>
    <w:basedOn w:val="5"/>
    <w:link w:val="147"/>
    <w:qFormat/>
    <w:uiPriority w:val="0"/>
    <w:pPr>
      <w:spacing w:line="360" w:lineRule="auto"/>
      <w:ind w:firstLine="480"/>
    </w:pPr>
    <w:rPr>
      <w:rFonts w:ascii="宋体" w:hAnsi="宋体"/>
      <w:color w:val="000000"/>
      <w:kern w:val="0"/>
      <w:sz w:val="24"/>
      <w:szCs w:val="20"/>
    </w:rPr>
  </w:style>
  <w:style w:type="character" w:customStyle="1" w:styleId="147">
    <w:name w:val="样式 正文缩进 + 首行缩进:  2 字符 Char"/>
    <w:link w:val="146"/>
    <w:qFormat/>
    <w:locked/>
    <w:uiPriority w:val="0"/>
    <w:rPr>
      <w:rFonts w:ascii="宋体" w:hAnsi="宋体" w:eastAsia="宋体"/>
      <w:color w:val="000000"/>
      <w:sz w:val="24"/>
      <w:lang w:bidi="ar-SA"/>
    </w:rPr>
  </w:style>
  <w:style w:type="paragraph" w:customStyle="1" w:styleId="148">
    <w:name w:val="正文2"/>
    <w:basedOn w:val="1"/>
    <w:link w:val="149"/>
    <w:qFormat/>
    <w:uiPriority w:val="0"/>
    <w:pPr>
      <w:spacing w:before="156" w:line="360" w:lineRule="auto"/>
      <w:ind w:firstLine="510" w:firstLineChars="200"/>
    </w:pPr>
    <w:rPr>
      <w:sz w:val="24"/>
      <w:szCs w:val="20"/>
    </w:rPr>
  </w:style>
  <w:style w:type="character" w:customStyle="1" w:styleId="149">
    <w:name w:val="正文2 Char"/>
    <w:link w:val="148"/>
    <w:qFormat/>
    <w:uiPriority w:val="0"/>
    <w:rPr>
      <w:rFonts w:eastAsia="宋体"/>
      <w:kern w:val="2"/>
      <w:sz w:val="24"/>
      <w:lang w:val="en-US" w:eastAsia="zh-CN" w:bidi="ar-SA"/>
    </w:rPr>
  </w:style>
  <w:style w:type="paragraph" w:customStyle="1" w:styleId="150">
    <w:name w:val="p0"/>
    <w:basedOn w:val="1"/>
    <w:qFormat/>
    <w:uiPriority w:val="0"/>
    <w:pPr>
      <w:widowControl/>
    </w:pPr>
    <w:rPr>
      <w:kern w:val="0"/>
      <w:szCs w:val="21"/>
    </w:rPr>
  </w:style>
  <w:style w:type="character" w:customStyle="1" w:styleId="151">
    <w:name w:val="正文段 Char"/>
    <w:link w:val="56"/>
    <w:qFormat/>
    <w:uiPriority w:val="0"/>
    <w:rPr>
      <w:rFonts w:eastAsia="宋体"/>
      <w:sz w:val="24"/>
      <w:lang w:val="en-US" w:eastAsia="zh-CN" w:bidi="ar-SA"/>
    </w:rPr>
  </w:style>
  <w:style w:type="paragraph" w:customStyle="1" w:styleId="15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53">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154">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55">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56">
    <w:name w:val="日期 Char2"/>
    <w:qFormat/>
    <w:uiPriority w:val="0"/>
    <w:rPr>
      <w:rFonts w:ascii="楷体_GB2312" w:eastAsia="楷体_GB2312"/>
      <w:b/>
      <w:kern w:val="2"/>
      <w:sz w:val="28"/>
      <w:lang w:val="en-US" w:eastAsia="zh-CN" w:bidi="ar-SA"/>
    </w:rPr>
  </w:style>
  <w:style w:type="character" w:customStyle="1" w:styleId="157">
    <w:name w:val="页脚 Char"/>
    <w:link w:val="26"/>
    <w:qFormat/>
    <w:uiPriority w:val="99"/>
    <w:rPr>
      <w:kern w:val="2"/>
      <w:sz w:val="18"/>
      <w:szCs w:val="18"/>
    </w:rPr>
  </w:style>
  <w:style w:type="character" w:customStyle="1" w:styleId="158">
    <w:name w:val="批注框文本 Char"/>
    <w:link w:val="25"/>
    <w:semiHidden/>
    <w:qFormat/>
    <w:uiPriority w:val="99"/>
    <w:rPr>
      <w:kern w:val="2"/>
      <w:sz w:val="18"/>
      <w:szCs w:val="18"/>
    </w:rPr>
  </w:style>
  <w:style w:type="character" w:customStyle="1" w:styleId="159">
    <w:name w:val="正文文本 2 Char1"/>
    <w:qFormat/>
    <w:uiPriority w:val="0"/>
    <w:rPr>
      <w:rFonts w:ascii="隶书" w:eastAsia="隶书"/>
      <w:bCs/>
      <w:sz w:val="72"/>
      <w:szCs w:val="84"/>
      <w:lang w:val="en-US" w:eastAsia="zh-CN" w:bidi="ar-SA"/>
    </w:rPr>
  </w:style>
  <w:style w:type="paragraph" w:customStyle="1" w:styleId="160">
    <w:name w:val="_Style 2"/>
    <w:basedOn w:val="1"/>
    <w:qFormat/>
    <w:uiPriority w:val="0"/>
    <w:pPr>
      <w:widowControl/>
      <w:ind w:firstLine="420"/>
    </w:pPr>
    <w:rPr>
      <w:rFonts w:ascii="Calibri" w:hAnsi="Calibri" w:eastAsia="Calibri"/>
      <w:kern w:val="0"/>
      <w:sz w:val="20"/>
      <w:szCs w:val="20"/>
    </w:rPr>
  </w:style>
  <w:style w:type="paragraph" w:customStyle="1" w:styleId="161">
    <w:name w:val="Table Paragraph"/>
    <w:basedOn w:val="1"/>
    <w:qFormat/>
    <w:uiPriority w:val="1"/>
    <w:rPr>
      <w:rFonts w:ascii="宋体" w:hAnsi="宋体" w:cs="宋体"/>
      <w:lang w:val="zh-CN" w:bidi="zh-CN"/>
    </w:rPr>
  </w:style>
  <w:style w:type="paragraph" w:customStyle="1" w:styleId="162">
    <w:name w:val="reader-word-layer reader-word-s5-9"/>
    <w:basedOn w:val="1"/>
    <w:qFormat/>
    <w:uiPriority w:val="0"/>
    <w:pPr>
      <w:widowControl/>
      <w:spacing w:before="100" w:beforeAutospacing="1" w:after="100" w:afterAutospacing="1"/>
      <w:jc w:val="left"/>
    </w:pPr>
    <w:rPr>
      <w:rFonts w:ascii="宋体" w:hAnsi="宋体" w:cs="宋体"/>
      <w:kern w:val="0"/>
      <w:sz w:val="24"/>
    </w:rPr>
  </w:style>
  <w:style w:type="character" w:customStyle="1" w:styleId="163">
    <w:name w:val="font61"/>
    <w:qFormat/>
    <w:uiPriority w:val="0"/>
    <w:rPr>
      <w:rFonts w:hint="eastAsia" w:ascii="宋体" w:hAnsi="宋体" w:eastAsia="宋体" w:cs="宋体"/>
      <w:color w:val="000000"/>
      <w:sz w:val="22"/>
      <w:szCs w:val="22"/>
      <w:u w:val="none"/>
    </w:rPr>
  </w:style>
  <w:style w:type="character" w:customStyle="1" w:styleId="164">
    <w:name w:val="font01"/>
    <w:basedOn w:val="42"/>
    <w:qFormat/>
    <w:uiPriority w:val="0"/>
    <w:rPr>
      <w:rFonts w:hint="eastAsia" w:ascii="宋体" w:hAnsi="宋体" w:eastAsia="宋体" w:cs="宋体"/>
      <w:color w:val="000000"/>
      <w:sz w:val="20"/>
      <w:szCs w:val="20"/>
      <w:u w:val="none"/>
    </w:rPr>
  </w:style>
  <w:style w:type="character" w:customStyle="1" w:styleId="165">
    <w:name w:val="NormalCharacter"/>
    <w:qFormat/>
    <w:uiPriority w:val="0"/>
  </w:style>
  <w:style w:type="paragraph" w:customStyle="1" w:styleId="166">
    <w:name w:val="正文3"/>
    <w:qFormat/>
    <w:uiPriority w:val="0"/>
    <w:pPr>
      <w:jc w:val="both"/>
    </w:pPr>
    <w:rPr>
      <w:rFonts w:ascii="Calibri" w:hAnsi="Calibri" w:eastAsia="微软雅黑" w:cs="Times New Roman"/>
      <w:kern w:val="2"/>
      <w:sz w:val="21"/>
      <w:szCs w:val="21"/>
      <w:lang w:val="en-US" w:eastAsia="zh-CN" w:bidi="ar-SA"/>
    </w:rPr>
  </w:style>
  <w:style w:type="paragraph" w:customStyle="1" w:styleId="167">
    <w:name w:val="样式 列表编号 + 段后: 0.5 行"/>
    <w:basedOn w:val="14"/>
    <w:qFormat/>
    <w:uiPriority w:val="0"/>
    <w:pPr>
      <w:tabs>
        <w:tab w:val="left" w:pos="360"/>
      </w:tabs>
      <w:spacing w:before="100" w:beforeAutospacing="1" w:after="120"/>
      <w:ind w:left="4315" w:hanging="420"/>
    </w:pPr>
    <w:rPr>
      <w:rFonts w:cs="宋体"/>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7"/>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137027-3E0D-4DE6-94C4-749F859E4683}">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48</Pages>
  <Words>25381</Words>
  <Characters>26749</Characters>
  <Lines>247</Lines>
  <Paragraphs>69</Paragraphs>
  <TotalTime>11</TotalTime>
  <ScaleCrop>false</ScaleCrop>
  <LinksUpToDate>false</LinksUpToDate>
  <CharactersWithSpaces>27059</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2020-09-30T08:40:00Z</dcterms:created>
  <dc:creator>USER</dc:creator>
  <cp:lastModifiedBy>無珂鲰玳k&amp;o_O</cp:lastModifiedBy>
  <cp:lastPrinted>2020-09-18T07:16:00Z</cp:lastPrinted>
  <dcterms:modified xsi:type="dcterms:W3CDTF">2022-09-08T05:17:01Z</dcterms:modified>
  <dc:title>绍兴文理学院计算机机房设备及录播系统供货项目</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3B20A1D08FD14B4FA7BD455D5F80CD2C</vt:lpwstr>
  </property>
</Properties>
</file>