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rPr>
      </w:pPr>
    </w:p>
    <w:p>
      <w:pPr>
        <w:jc w:val="center"/>
        <w:outlineLvl w:val="0"/>
        <w:rPr>
          <w:rFonts w:ascii="仿宋" w:hAnsi="仿宋" w:eastAsia="仿宋" w:cs="仿宋"/>
          <w:b/>
          <w:spacing w:val="-12"/>
          <w:sz w:val="48"/>
          <w:szCs w:val="48"/>
        </w:rPr>
      </w:pPr>
      <w:bookmarkStart w:id="175" w:name="_GoBack"/>
      <w:r>
        <w:rPr>
          <w:rFonts w:hint="eastAsia" w:ascii="仿宋" w:hAnsi="仿宋" w:eastAsia="仿宋" w:cs="仿宋"/>
          <w:b/>
          <w:spacing w:val="-12"/>
          <w:sz w:val="48"/>
          <w:szCs w:val="48"/>
        </w:rPr>
        <w:t>绍兴市中医院防疫三合一自控系统项目</w:t>
      </w:r>
    </w:p>
    <w:bookmarkEnd w:id="175"/>
    <w:p>
      <w:pPr>
        <w:outlineLvl w:val="0"/>
        <w:rPr>
          <w:rFonts w:ascii="仿宋" w:hAnsi="仿宋" w:eastAsia="仿宋" w:cs="仿宋"/>
          <w:sz w:val="44"/>
        </w:rPr>
      </w:pP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jc w:val="center"/>
        <w:outlineLvl w:val="0"/>
        <w:rPr>
          <w:rFonts w:ascii="仿宋" w:hAnsi="仿宋" w:eastAsia="仿宋" w:cs="仿宋"/>
          <w:sz w:val="44"/>
        </w:rPr>
      </w:pPr>
    </w:p>
    <w:p>
      <w:pPr>
        <w:jc w:val="center"/>
        <w:outlineLvl w:val="0"/>
        <w:rPr>
          <w:rFonts w:ascii="仿宋" w:hAnsi="仿宋" w:eastAsia="仿宋" w:cs="仿宋"/>
          <w:sz w:val="44"/>
        </w:rPr>
      </w:pPr>
    </w:p>
    <w:p>
      <w:pPr>
        <w:jc w:val="center"/>
        <w:outlineLvl w:val="0"/>
        <w:rPr>
          <w:rFonts w:ascii="仿宋" w:hAnsi="仿宋" w:eastAsia="仿宋" w:cs="仿宋"/>
          <w:sz w:val="44"/>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TYJZ2022070</w:t>
      </w:r>
    </w:p>
    <w:tbl>
      <w:tblPr>
        <w:tblStyle w:val="4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二○二二年七月</w:t>
            </w:r>
          </w:p>
        </w:tc>
      </w:tr>
    </w:tbl>
    <w:p>
      <w:pPr>
        <w:jc w:val="center"/>
        <w:rPr>
          <w:rFonts w:ascii="仿宋" w:hAnsi="仿宋" w:eastAsia="仿宋" w:cs="仿宋"/>
          <w:b/>
          <w:sz w:val="44"/>
          <w:szCs w:val="44"/>
        </w:rPr>
      </w:pPr>
    </w:p>
    <w:p>
      <w:pPr>
        <w:pageBreakBefore/>
        <w:jc w:val="center"/>
        <w:rPr>
          <w:rFonts w:ascii="仿宋" w:hAnsi="仿宋" w:eastAsia="仿宋" w:cs="仿宋"/>
          <w:b/>
          <w:sz w:val="44"/>
          <w:szCs w:val="44"/>
        </w:rPr>
      </w:pPr>
      <w:r>
        <w:rPr>
          <w:rFonts w:hint="eastAsia" w:ascii="仿宋" w:hAnsi="仿宋" w:eastAsia="仿宋" w:cs="仿宋"/>
          <w:b/>
          <w:sz w:val="44"/>
          <w:szCs w:val="44"/>
        </w:rPr>
        <w:t xml:space="preserve">  </w:t>
      </w: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 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44"/>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ascii="仿宋" w:hAnsi="仿宋" w:eastAsia="仿宋" w:cs="仿宋"/>
              </w:rPr>
            </w:pPr>
            <w:r>
              <w:rPr>
                <w:rFonts w:hint="eastAsia" w:ascii="仿宋" w:hAnsi="仿宋" w:eastAsia="仿宋" w:cs="仿宋"/>
              </w:rPr>
              <w:br w:type="page"/>
            </w:r>
          </w:p>
          <w:tbl>
            <w:tblPr>
              <w:tblStyle w:val="44"/>
              <w:tblW w:w="81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8191" w:type="dxa"/>
                </w:tcPr>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项目概况：</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绍兴市中医院防疫三合一自控系统项目的潜在投标人应在</w:t>
                  </w:r>
                  <w:r>
                    <w:rPr>
                      <w:rStyle w:val="279"/>
                      <w:rFonts w:hint="eastAsia" w:ascii="仿宋" w:hAnsi="仿宋" w:eastAsia="仿宋" w:cs="仿宋"/>
                      <w:sz w:val="27"/>
                      <w:szCs w:val="27"/>
                    </w:rPr>
                    <w:t>https://www.zcygov.cn</w:t>
                  </w:r>
                  <w:r>
                    <w:rPr>
                      <w:rFonts w:hint="eastAsia" w:ascii="仿宋" w:hAnsi="仿宋" w:eastAsia="仿宋" w:cs="仿宋"/>
                      <w:szCs w:val="24"/>
                    </w:rPr>
                    <w:t>获取（下载）招标文件，并于2022年07月日 09:00（北京时间）前递交（上传）投标文件。</w:t>
                  </w:r>
                </w:p>
              </w:tc>
            </w:tr>
          </w:tbl>
          <w:p>
            <w:pPr>
              <w:pStyle w:val="70"/>
              <w:spacing w:afterLines="0" w:line="440" w:lineRule="exact"/>
              <w:ind w:firstLine="480"/>
              <w:jc w:val="left"/>
              <w:rPr>
                <w:rFonts w:ascii="仿宋" w:hAnsi="仿宋" w:eastAsia="仿宋" w:cs="仿宋"/>
                <w:szCs w:val="24"/>
              </w:rPr>
            </w:pPr>
            <w:r>
              <w:rPr>
                <w:rFonts w:hint="eastAsia" w:ascii="仿宋" w:hAnsi="仿宋" w:eastAsia="仿宋" w:cs="仿宋"/>
                <w:szCs w:val="24"/>
              </w:rPr>
              <w:t>一、项目基本情况</w:t>
            </w:r>
          </w:p>
          <w:p>
            <w:pPr>
              <w:pStyle w:val="70"/>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项目编号：</w:t>
            </w:r>
            <w:r>
              <w:rPr>
                <w:rFonts w:hint="eastAsia" w:ascii="仿宋" w:hAnsi="仿宋" w:eastAsia="仿宋" w:cs="仿宋"/>
                <w:szCs w:val="24"/>
                <w:lang w:eastAsia="zh-CN"/>
              </w:rPr>
              <w:t>TYJZ2022070</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项目名称：绍兴市中医院防疫三合一自控系统项目</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采购方式：公开招标</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预算金额（元）：152000</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最高限价（元）：152000</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标项一:</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标项名称:绍兴市中医院防疫三合一自控系统项目</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数量:1</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预算金额（元）:152000</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简要规格描述或项目基本概况介绍、用途：详见采购文件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备注：无</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合同履约期限：详见招标文件。</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本项目（是）接受联合体投标。</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二、申请人的资格要求：</w:t>
            </w:r>
          </w:p>
          <w:p>
            <w:pPr>
              <w:pStyle w:val="70"/>
              <w:spacing w:after="120" w:line="440" w:lineRule="exact"/>
              <w:ind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2.落实政府采购政策需满足的资格要求：</w:t>
            </w:r>
          </w:p>
          <w:p>
            <w:pPr>
              <w:pStyle w:val="70"/>
              <w:spacing w:afterLines="0" w:line="440" w:lineRule="exact"/>
              <w:ind w:firstLine="480"/>
              <w:rPr>
                <w:rFonts w:ascii="仿宋" w:hAnsi="仿宋" w:eastAsia="仿宋" w:cs="仿宋"/>
                <w:szCs w:val="24"/>
              </w:rPr>
            </w:pPr>
            <w:r>
              <w:rPr>
                <w:rFonts w:hint="eastAsia" w:ascii="仿宋" w:hAnsi="仿宋" w:eastAsia="仿宋" w:cs="仿宋"/>
              </w:rPr>
              <w:sym w:font="Wingdings" w:char="F0FE"/>
            </w:r>
            <w:r>
              <w:rPr>
                <w:rFonts w:hint="eastAsia" w:ascii="仿宋" w:hAnsi="仿宋" w:eastAsia="仿宋" w:cs="仿宋"/>
              </w:rPr>
              <w:t>无；</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14289630"/>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sdt>
                      <w:sdtPr>
                        <w:rPr>
                          <w:rFonts w:hint="eastAsia" w:ascii="仿宋" w:hAnsi="仿宋" w:eastAsia="仿宋" w:cs="仿宋"/>
                        </w:rPr>
                        <w:id w:val="725337177"/>
                      </w:sdtPr>
                      <w:sdtEndPr>
                        <w:rPr>
                          <w:rFonts w:hint="eastAsia" w:ascii="仿宋" w:hAnsi="仿宋" w:eastAsia="仿宋" w:cs="仿宋"/>
                        </w:rPr>
                      </w:sdtEndPr>
                      <w:sdtContent>
                        <w:sdt>
                          <w:sdtPr>
                            <w:rPr>
                              <w:rFonts w:hint="eastAsia" w:ascii="仿宋" w:hAnsi="仿宋" w:eastAsia="仿宋" w:cs="仿宋"/>
                              <w:kern w:val="0"/>
                              <w:sz w:val="24"/>
                            </w:rPr>
                            <w:id w:val="1428963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3.本项目的特定资格要求：无</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三、获取招标文件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时间：/至2022年月日，每天上午00:00至12:00，下午12:00至23:59（北京时间，线上获取法定节假日均可，线下获取文件法定节假日除外）</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地点（网址）：</w:t>
            </w:r>
            <w:r>
              <w:rPr>
                <w:rFonts w:hint="eastAsia" w:ascii="仿宋" w:hAnsi="仿宋" w:eastAsia="仿宋" w:cs="仿宋"/>
                <w:bCs/>
              </w:rPr>
              <w:t>http://www.zcygov.cn/</w:t>
            </w:r>
            <w:r>
              <w:rPr>
                <w:rFonts w:hint="eastAsia" w:ascii="仿宋" w:hAnsi="仿宋" w:eastAsia="仿宋" w:cs="仿宋"/>
                <w:szCs w:val="24"/>
              </w:rPr>
              <w:t>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方式：</w:t>
            </w:r>
            <w:r>
              <w:rPr>
                <w:rFonts w:hint="eastAsia" w:ascii="仿宋" w:hAnsi="仿宋" w:eastAsia="仿宋" w:cs="仿宋"/>
                <w:bCs/>
              </w:rPr>
              <w:t>供应商登陆政采云平台http://www.zcygov.cn/，在线申请获取采购文件（进入“项目采购”应用，在获取采购文件菜单中选择项目，申请获取采购文件）。</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售价（元）：0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四、提交投标文件截止时间、开标时间和地点</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提交投标文件截止时间：2022年月日 09:00（北京时间）</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投标地点（网址）：</w:t>
            </w:r>
            <w:r>
              <w:rPr>
                <w:rFonts w:hint="eastAsia" w:ascii="仿宋" w:hAnsi="仿宋" w:eastAsia="仿宋" w:cs="仿宋"/>
                <w:bCs/>
              </w:rPr>
              <w:t>http://www.zcygov.cn/</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开标时间：2022年月日 09:00</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开标地点（网址）：</w:t>
            </w:r>
            <w:r>
              <w:rPr>
                <w:rFonts w:hint="eastAsia" w:ascii="仿宋" w:hAnsi="仿宋" w:eastAsia="仿宋" w:cs="仿宋"/>
              </w:rPr>
              <w:t>绍兴市越城区朝皇路58号正大综合楼601泰宇咨询会议室</w:t>
            </w:r>
            <w:r>
              <w:rPr>
                <w:rFonts w:hint="eastAsia" w:ascii="仿宋" w:hAnsi="仿宋" w:eastAsia="仿宋" w:cs="仿宋"/>
                <w:szCs w:val="24"/>
              </w:rPr>
              <w:t>，在政府采购云平台（www.zcygov.cn）上开启响应文件。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五、公告期限 </w:t>
            </w:r>
          </w:p>
          <w:p>
            <w:pPr>
              <w:pStyle w:val="70"/>
              <w:spacing w:afterLines="0" w:line="440" w:lineRule="exact"/>
              <w:ind w:left="0" w:leftChars="0" w:firstLine="480"/>
              <w:rPr>
                <w:rFonts w:ascii="仿宋" w:hAnsi="仿宋" w:eastAsia="仿宋" w:cs="仿宋"/>
                <w:szCs w:val="24"/>
              </w:rPr>
            </w:pPr>
            <w:r>
              <w:rPr>
                <w:rFonts w:hint="eastAsia" w:ascii="仿宋" w:hAnsi="仿宋" w:eastAsia="仿宋" w:cs="仿宋"/>
                <w:szCs w:val="24"/>
              </w:rPr>
              <w:t>自本公告发布之日起5个工作日。</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六、其他补充事宜</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2.其他事项：</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七、对本次采购提出询问、质疑、投诉，请按以下方式联系</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名称：绍兴市中医院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绍兴市越城区人民中路651号</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项目联系人（询问）：王宁</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项目联系方式（询问）：0575-89102270</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质疑联系人： 沈勇</w:t>
            </w:r>
          </w:p>
          <w:p>
            <w:pPr>
              <w:widowControl/>
              <w:snapToGrid w:val="0"/>
              <w:spacing w:line="440" w:lineRule="exact"/>
              <w:ind w:firstLine="480" w:firstLineChars="200"/>
              <w:rPr>
                <w:rFonts w:ascii="仿宋" w:hAnsi="仿宋" w:eastAsia="仿宋" w:cs="仿宋"/>
              </w:rPr>
            </w:pPr>
            <w:r>
              <w:rPr>
                <w:rFonts w:hint="eastAsia" w:ascii="仿宋" w:hAnsi="仿宋" w:eastAsia="仿宋" w:cs="仿宋"/>
                <w:kern w:val="0"/>
                <w:sz w:val="24"/>
              </w:rPr>
              <w:t>质疑联系方式：0575-89107189</w:t>
            </w:r>
            <w:r>
              <w:rPr>
                <w:rFonts w:hint="eastAsia" w:ascii="仿宋" w:hAnsi="仿宋" w:eastAsia="仿宋" w:cs="仿宋"/>
              </w:rPr>
              <w:t> </w:t>
            </w:r>
          </w:p>
          <w:p>
            <w:pPr>
              <w:pStyle w:val="70"/>
              <w:spacing w:afterLines="0" w:line="440" w:lineRule="exact"/>
              <w:ind w:firstLine="480"/>
              <w:rPr>
                <w:rFonts w:ascii="仿宋" w:hAnsi="仿宋" w:eastAsia="仿宋" w:cs="仿宋"/>
              </w:rPr>
            </w:pPr>
            <w:r>
              <w:rPr>
                <w:rFonts w:hint="eastAsia" w:ascii="仿宋" w:hAnsi="仿宋" w:eastAsia="仿宋" w:cs="仿宋"/>
                <w:szCs w:val="24"/>
              </w:rPr>
              <w:t>2.采购代理机构信息       </w:t>
            </w:r>
            <w:r>
              <w:rPr>
                <w:rFonts w:hint="eastAsia" w:ascii="仿宋" w:hAnsi="仿宋" w:eastAsia="仿宋" w:cs="仿宋"/>
              </w:rPr>
              <w:t xml:space="preserve">     </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 xml:space="preserve">名称：泰宇建筑工程技术咨询有限公司       </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地址：绍兴市越城区朝皇路58号正大综合楼601</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传真：/</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 xml:space="preserve">项目联系人（询问）：金锦英        </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 xml:space="preserve">项目联系方式（询问）：0575-88226969/13656752180 </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质疑联系人：胡泽宇    </w:t>
            </w:r>
          </w:p>
          <w:p>
            <w:pPr>
              <w:pStyle w:val="70"/>
              <w:spacing w:afterLines="0" w:line="440" w:lineRule="exact"/>
              <w:ind w:firstLine="480"/>
              <w:rPr>
                <w:rFonts w:ascii="仿宋" w:hAnsi="仿宋" w:eastAsia="仿宋" w:cs="仿宋"/>
                <w:szCs w:val="24"/>
              </w:rPr>
            </w:pPr>
            <w:r>
              <w:rPr>
                <w:rFonts w:hint="eastAsia" w:ascii="仿宋" w:hAnsi="仿宋" w:eastAsia="仿宋" w:cs="仿宋"/>
              </w:rPr>
              <w:t>质疑联系方式：0575-85080066</w:t>
            </w:r>
            <w:r>
              <w:rPr>
                <w:rFonts w:hint="eastAsia" w:ascii="仿宋" w:hAnsi="仿宋" w:eastAsia="仿宋" w:cs="仿宋"/>
                <w:szCs w:val="24"/>
              </w:rPr>
              <w:t>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联系人 ：宋晓林       </w:t>
            </w:r>
          </w:p>
          <w:p>
            <w:pPr>
              <w:pStyle w:val="70"/>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监督投诉电话：0575-85209697    </w:t>
            </w:r>
          </w:p>
          <w:p>
            <w:pPr>
              <w:pStyle w:val="70"/>
              <w:spacing w:afterLines="0" w:line="440" w:lineRule="exact"/>
              <w:ind w:firstLine="480"/>
              <w:jc w:val="left"/>
              <w:rPr>
                <w:rFonts w:ascii="仿宋" w:hAnsi="仿宋" w:eastAsia="仿宋" w:cs="仿宋"/>
                <w:szCs w:val="24"/>
              </w:rPr>
            </w:pP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bl>
    <w:p>
      <w:pPr>
        <w:widowControl/>
        <w:jc w:val="left"/>
        <w:rPr>
          <w:rFonts w:ascii="仿宋" w:hAnsi="仿宋" w:eastAsia="仿宋" w:cs="仿宋"/>
          <w:kern w:val="0"/>
          <w:sz w:val="24"/>
        </w:rPr>
      </w:pPr>
      <w:r>
        <w:rPr>
          <w:rFonts w:hint="eastAsia" w:ascii="仿宋" w:hAnsi="仿宋" w:eastAsia="仿宋" w:cs="仿宋"/>
        </w:rPr>
        <w:br w:type="page"/>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营业执照复印件、2021年度资产负债表等财务报表资料文件、依法缴纳税收和社会保障资金的良好记录证明、参加本次政府采购活动前三年内，在经营活动中没有重大违法记录的声明（详见格式范例）。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440" w:lineRule="exact"/>
              <w:rPr>
                <w:rFonts w:ascii="仿宋" w:hAnsi="仿宋" w:eastAsia="仿宋" w:cs="仿宋"/>
                <w:sz w:val="24"/>
                <w:u w:val="single"/>
              </w:rPr>
            </w:pPr>
            <w:r>
              <w:rPr>
                <w:rFonts w:hint="eastAsia" w:ascii="仿宋" w:hAnsi="仿宋" w:eastAsia="仿宋" w:cs="仿宋"/>
                <w:b/>
                <w:sz w:val="24"/>
              </w:rPr>
              <w:t>（3）特许资格、资信证明文件（如果有）：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本项目实行网上投标，供应商于“政采云”上提供电子投标文件。供应商须在收到中标通知书5个工作日内提供二份与电子投标文件一致的纸质投标文件，并邮寄到绍兴市越城区朝皇路正大综合楼601。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360" w:lineRule="auto"/>
              <w:rPr>
                <w:rFonts w:ascii="仿宋" w:hAnsi="仿宋" w:eastAsia="仿宋" w:cs="仿宋"/>
                <w:sz w:val="24"/>
              </w:rPr>
            </w:pPr>
            <w:sdt>
              <w:sdtPr>
                <w:rPr>
                  <w:rFonts w:hint="eastAsia" w:ascii="仿宋" w:hAnsi="仿宋" w:eastAsia="仿宋" w:cs="仿宋"/>
                  <w:kern w:val="0"/>
                  <w:sz w:val="24"/>
                </w:rPr>
                <w:id w:val="-8838549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ascii="仿宋" w:hAnsi="仿宋" w:eastAsia="仿宋" w:cs="仿宋"/>
                <w:kern w:val="0"/>
                <w:sz w:val="24"/>
              </w:rPr>
            </w:pPr>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sdt>
            <w:sdt>
              <w:sdtPr>
                <w:rPr>
                  <w:rFonts w:hint="eastAsia" w:ascii="仿宋" w:hAnsi="仿宋" w:eastAsia="仿宋" w:cs="仿宋"/>
                  <w:kern w:val="0"/>
                  <w:sz w:val="24"/>
                </w:rPr>
                <w:id w:val="5185954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B要求提供，</w:t>
            </w:r>
          </w:p>
          <w:p>
            <w:pPr>
              <w:spacing w:line="360"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1" w:type="dxa"/>
            <w:gridSpan w:val="2"/>
            <w:vAlign w:val="center"/>
          </w:tcPr>
          <w:p>
            <w:pPr>
              <w:spacing w:line="440" w:lineRule="exact"/>
              <w:rPr>
                <w:rFonts w:ascii="仿宋_GB2312" w:hAnsi="仿宋" w:eastAsia="仿宋_GB2312" w:cs="仿宋_GB2312"/>
                <w:color w:val="auto"/>
                <w:kern w:val="0"/>
                <w:sz w:val="24"/>
                <w:lang w:val="zh-CN"/>
              </w:rPr>
            </w:pPr>
            <w:r>
              <w:rPr>
                <w:rFonts w:hint="eastAsia" w:ascii="仿宋" w:hAnsi="仿宋" w:eastAsia="仿宋" w:cs="仿宋"/>
                <w:b/>
                <w:sz w:val="24"/>
              </w:rPr>
              <w:t>演示(讲解)：</w:t>
            </w:r>
            <w:r>
              <w:rPr>
                <w:rFonts w:hint="eastAsia" w:ascii="仿宋_GB2312" w:hAnsi="仿宋" w:eastAsia="仿宋_GB2312" w:cs="仿宋_GB2312"/>
                <w:color w:val="auto"/>
                <w:kern w:val="0"/>
                <w:sz w:val="24"/>
                <w:lang w:val="zh-CN"/>
              </w:rPr>
              <w:t>在评标时安排每个投标人进行视频录制演示（</w:t>
            </w:r>
            <w:r>
              <w:rPr>
                <w:rFonts w:hint="eastAsia" w:ascii="仿宋_GB2312" w:hAnsi="仿宋" w:eastAsia="仿宋_GB2312" w:cs="仿宋_GB2312"/>
                <w:color w:val="auto"/>
                <w:kern w:val="0"/>
                <w:sz w:val="24"/>
                <w:szCs w:val="24"/>
                <w:lang w:val="zh-CN"/>
              </w:rPr>
              <w:t>使用图片、PPT演示不得分</w:t>
            </w:r>
            <w:r>
              <w:rPr>
                <w:rFonts w:hint="eastAsia" w:ascii="仿宋_GB2312" w:hAnsi="仿宋" w:eastAsia="仿宋_GB2312" w:cs="仿宋_GB2312"/>
                <w:color w:val="auto"/>
                <w:kern w:val="0"/>
                <w:sz w:val="24"/>
                <w:lang w:val="zh-CN"/>
              </w:rPr>
              <w:t>）。</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演示时间：</w:t>
            </w:r>
            <w:r>
              <w:rPr>
                <w:rFonts w:hint="eastAsia" w:ascii="仿宋_GB2312" w:hAnsi="仿宋" w:eastAsia="仿宋_GB2312" w:cs="仿宋_GB2312"/>
                <w:color w:val="auto"/>
                <w:kern w:val="0"/>
                <w:sz w:val="24"/>
                <w:lang w:val="zh-CN"/>
              </w:rPr>
              <w:t>每个投标人演示时间不超过</w:t>
            </w:r>
            <w:r>
              <w:rPr>
                <w:rFonts w:hint="eastAsia" w:ascii="仿宋_GB2312" w:hAnsi="仿宋" w:eastAsia="仿宋_GB2312" w:cs="仿宋_GB2312"/>
                <w:color w:val="auto"/>
                <w:kern w:val="0"/>
                <w:sz w:val="24"/>
                <w:lang w:val="en-US" w:eastAsia="zh-CN"/>
              </w:rPr>
              <w:t>20</w:t>
            </w:r>
            <w:r>
              <w:rPr>
                <w:rFonts w:hint="eastAsia" w:ascii="仿宋_GB2312" w:hAnsi="仿宋" w:eastAsia="仿宋_GB2312" w:cs="仿宋_GB2312"/>
                <w:color w:val="auto"/>
                <w:kern w:val="0"/>
                <w:sz w:val="24"/>
                <w:lang w:val="zh-CN"/>
              </w:rPr>
              <w:t>分钟</w:t>
            </w:r>
            <w:r>
              <w:rPr>
                <w:rFonts w:hint="eastAsia" w:ascii="仿宋_GB2312" w:hAnsi="仿宋_GB2312" w:eastAsia="仿宋_GB2312" w:cs="仿宋_GB2312"/>
                <w:color w:val="auto"/>
                <w:sz w:val="24"/>
              </w:rPr>
              <w:t>。</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演示次序：</w:t>
            </w:r>
            <w:r>
              <w:rPr>
                <w:rFonts w:hint="eastAsia" w:ascii="仿宋_GB2312" w:hAnsi="仿宋" w:eastAsia="仿宋_GB2312" w:cs="仿宋_GB2312"/>
                <w:color w:val="auto"/>
                <w:kern w:val="0"/>
                <w:sz w:val="24"/>
                <w:lang w:val="zh-CN"/>
              </w:rPr>
              <w:t>以政采云平台中</w:t>
            </w:r>
            <w:r>
              <w:rPr>
                <w:rFonts w:hint="eastAsia" w:ascii="仿宋_GB2312" w:hAnsi="仿宋" w:eastAsia="仿宋_GB2312" w:cs="Arial"/>
                <w:bCs/>
                <w:color w:val="auto"/>
                <w:sz w:val="24"/>
              </w:rPr>
              <w:t>递交投标</w:t>
            </w:r>
            <w:r>
              <w:rPr>
                <w:rFonts w:hint="eastAsia" w:ascii="仿宋_GB2312" w:hAnsi="仿宋" w:eastAsia="仿宋_GB2312" w:cs="仿宋_GB2312"/>
                <w:color w:val="auto"/>
                <w:kern w:val="0"/>
                <w:sz w:val="24"/>
                <w:lang w:val="zh-CN"/>
              </w:rPr>
              <w:t>文件先后顺序为准。</w:t>
            </w:r>
          </w:p>
          <w:p>
            <w:pPr>
              <w:spacing w:line="420" w:lineRule="exact"/>
              <w:rPr>
                <w:rFonts w:hint="eastAsia" w:ascii="仿宋_GB2312" w:hAnsi="仿宋" w:eastAsia="仿宋_GB2312" w:cs="仿宋_GB2312"/>
                <w:b/>
                <w:color w:val="auto"/>
                <w:kern w:val="0"/>
                <w:sz w:val="24"/>
                <w:lang w:val="en-US" w:eastAsia="zh-CN"/>
              </w:rPr>
            </w:pPr>
            <w:r>
              <w:rPr>
                <w:rFonts w:hint="eastAsia" w:ascii="仿宋_GB2312" w:hAnsi="仿宋" w:eastAsia="仿宋_GB2312" w:cs="仿宋_GB2312"/>
                <w:b/>
                <w:color w:val="auto"/>
                <w:kern w:val="0"/>
                <w:sz w:val="24"/>
                <w:lang w:val="zh-CN"/>
              </w:rPr>
              <w:t>视频邮寄地址及联系方式：</w:t>
            </w:r>
            <w:r>
              <w:rPr>
                <w:rFonts w:hint="eastAsia" w:ascii="仿宋_GB2312" w:hAnsi="仿宋" w:eastAsia="仿宋_GB2312" w:cs="仿宋_GB2312"/>
                <w:b w:val="0"/>
                <w:bCs/>
                <w:color w:val="auto"/>
                <w:kern w:val="0"/>
                <w:sz w:val="24"/>
                <w:lang w:val="zh-CN"/>
              </w:rPr>
              <w:t>绍兴市越城区朝皇路</w:t>
            </w:r>
            <w:r>
              <w:rPr>
                <w:rFonts w:hint="eastAsia" w:ascii="仿宋_GB2312" w:hAnsi="仿宋" w:eastAsia="仿宋_GB2312" w:cs="仿宋_GB2312"/>
                <w:b w:val="0"/>
                <w:bCs/>
                <w:color w:val="auto"/>
                <w:kern w:val="0"/>
                <w:sz w:val="24"/>
                <w:lang w:val="en-US" w:eastAsia="zh-CN"/>
              </w:rPr>
              <w:t>58号正大综合楼601招标室，收件人：金锦英，联系电话：13656752180。</w:t>
            </w:r>
          </w:p>
          <w:p>
            <w:pPr>
              <w:spacing w:line="420" w:lineRule="exact"/>
              <w:rPr>
                <w:rFonts w:hint="eastAsia" w:ascii="仿宋_GB2312" w:hAnsi="宋体" w:eastAsia="仿宋_GB2312" w:cs="宋体"/>
                <w:color w:val="auto"/>
                <w:sz w:val="24"/>
                <w:lang w:eastAsia="zh-CN"/>
              </w:rPr>
            </w:pPr>
            <w:r>
              <w:rPr>
                <w:rFonts w:hint="eastAsia" w:ascii="仿宋_GB2312" w:hAnsi="仿宋" w:eastAsia="仿宋_GB2312" w:cs="仿宋_GB2312"/>
                <w:b/>
                <w:color w:val="auto"/>
                <w:kern w:val="0"/>
                <w:sz w:val="24"/>
                <w:lang w:val="zh-CN"/>
              </w:rPr>
              <w:t>录制视频接收时间：</w:t>
            </w:r>
            <w:r>
              <w:rPr>
                <w:rFonts w:hint="eastAsia" w:ascii="仿宋_GB2312" w:hAnsi="宋体" w:eastAsia="仿宋_GB2312" w:cs="宋体"/>
                <w:color w:val="auto"/>
                <w:sz w:val="24"/>
                <w:lang w:eastAsia="zh-CN"/>
              </w:rPr>
              <w:t>投标截止前</w:t>
            </w:r>
          </w:p>
          <w:p>
            <w:pPr>
              <w:spacing w:line="440" w:lineRule="exact"/>
              <w:rPr>
                <w:rFonts w:ascii="仿宋" w:hAnsi="仿宋" w:eastAsia="仿宋" w:cs="仿宋"/>
                <w:sz w:val="24"/>
              </w:rPr>
            </w:pPr>
            <w:r>
              <w:rPr>
                <w:rFonts w:hint="eastAsia" w:ascii="仿宋_GB2312" w:hAnsi="宋体" w:eastAsia="仿宋_GB2312" w:cs="宋体"/>
                <w:b/>
                <w:bCs/>
                <w:color w:val="auto"/>
                <w:sz w:val="24"/>
              </w:rPr>
              <w:t>其他：</w:t>
            </w:r>
            <w:r>
              <w:rPr>
                <w:rFonts w:hint="eastAsia" w:ascii="仿宋_GB2312" w:hAnsi="宋体" w:eastAsia="仿宋_GB2312" w:cs="宋体"/>
                <w:color w:val="auto"/>
                <w:sz w:val="24"/>
              </w:rPr>
              <w:br w:type="textWrapping"/>
            </w:r>
            <w:r>
              <w:rPr>
                <w:rFonts w:hint="eastAsia" w:ascii="仿宋_GB2312" w:hAnsi="宋体" w:eastAsia="仿宋_GB2312" w:cs="宋体"/>
                <w:color w:val="auto"/>
                <w:sz w:val="24"/>
              </w:rPr>
              <w:t>1）</w:t>
            </w:r>
            <w:r>
              <w:rPr>
                <w:rFonts w:hint="eastAsia" w:ascii="仿宋_GB2312" w:hAnsi="宋体" w:eastAsia="仿宋_GB2312" w:cs="宋体"/>
                <w:color w:val="auto"/>
                <w:sz w:val="24"/>
                <w:lang w:eastAsia="zh-CN"/>
              </w:rPr>
              <w:t>视频录制后存储</w:t>
            </w:r>
            <w:r>
              <w:rPr>
                <w:rFonts w:hint="eastAsia" w:ascii="仿宋_GB2312" w:hAnsi="宋体" w:eastAsia="仿宋_GB2312" w:cs="宋体"/>
                <w:color w:val="auto"/>
                <w:sz w:val="24"/>
                <w:lang w:val="en-US" w:eastAsia="zh-CN"/>
              </w:rPr>
              <w:t>U盘内（投标人需自行承担U盘内视频破坏或无法打开等风险），</w:t>
            </w:r>
            <w:r>
              <w:rPr>
                <w:rFonts w:hint="eastAsia" w:ascii="仿宋_GB2312" w:hAnsi="宋体" w:eastAsia="仿宋_GB2312" w:cs="宋体"/>
                <w:color w:val="auto"/>
                <w:sz w:val="24"/>
              </w:rPr>
              <w:t>需</w:t>
            </w:r>
            <w:r>
              <w:rPr>
                <w:rFonts w:hint="eastAsia" w:ascii="仿宋_GB2312" w:hAnsi="宋体" w:eastAsia="仿宋_GB2312" w:cs="宋体"/>
                <w:color w:val="auto"/>
                <w:sz w:val="24"/>
                <w:lang w:eastAsia="zh-CN"/>
              </w:rPr>
              <w:t>密封包装、</w:t>
            </w:r>
            <w:r>
              <w:rPr>
                <w:rFonts w:hint="eastAsia" w:ascii="仿宋_GB2312" w:hAnsi="宋体" w:eastAsia="仿宋_GB2312" w:cs="宋体"/>
                <w:color w:val="auto"/>
                <w:sz w:val="24"/>
              </w:rPr>
              <w:t>贴有标注供应商名称且加盖</w:t>
            </w:r>
            <w:r>
              <w:rPr>
                <w:rFonts w:hint="eastAsia" w:ascii="仿宋_GB2312" w:hAnsi="宋体" w:eastAsia="仿宋_GB2312" w:cs="宋体"/>
                <w:color w:val="auto"/>
                <w:sz w:val="24"/>
                <w:lang w:eastAsia="zh-CN"/>
              </w:rPr>
              <w:t>投标人</w:t>
            </w:r>
            <w:r>
              <w:rPr>
                <w:rFonts w:hint="eastAsia" w:ascii="仿宋_GB2312" w:hAnsi="宋体" w:eastAsia="仿宋_GB2312" w:cs="宋体"/>
                <w:color w:val="auto"/>
                <w:sz w:val="24"/>
              </w:rPr>
              <w:t>公章的标签。</w:t>
            </w:r>
            <w:r>
              <w:rPr>
                <w:rFonts w:hint="eastAsia" w:ascii="仿宋_GB2312" w:hAnsi="宋体" w:eastAsia="仿宋_GB2312" w:cs="宋体"/>
                <w:color w:val="auto"/>
                <w:sz w:val="24"/>
              </w:rPr>
              <w:br w:type="textWrapping"/>
            </w:r>
            <w:r>
              <w:rPr>
                <w:rFonts w:hint="eastAsia" w:ascii="仿宋_GB2312" w:hAnsi="宋体" w:eastAsia="仿宋_GB2312" w:cs="宋体"/>
                <w:color w:val="auto"/>
                <w:sz w:val="24"/>
              </w:rPr>
              <w:t>2）中标人</w:t>
            </w:r>
            <w:r>
              <w:rPr>
                <w:rFonts w:hint="eastAsia" w:ascii="仿宋_GB2312" w:hAnsi="宋体" w:eastAsia="仿宋_GB2312" w:cs="宋体"/>
                <w:color w:val="auto"/>
                <w:sz w:val="24"/>
                <w:lang w:eastAsia="zh-CN"/>
              </w:rPr>
              <w:t>视频</w:t>
            </w:r>
            <w:r>
              <w:rPr>
                <w:rFonts w:hint="eastAsia" w:ascii="仿宋_GB2312" w:hAnsi="宋体" w:eastAsia="仿宋_GB2312" w:cs="宋体"/>
                <w:color w:val="auto"/>
                <w:sz w:val="24"/>
              </w:rPr>
              <w:t>不予退还，由采购人带回并妥善保管作为验收的参考；未中标人</w:t>
            </w:r>
            <w:r>
              <w:rPr>
                <w:rFonts w:hint="eastAsia" w:ascii="仿宋_GB2312" w:hAnsi="宋体" w:eastAsia="仿宋_GB2312" w:cs="宋体"/>
                <w:color w:val="auto"/>
                <w:sz w:val="24"/>
                <w:lang w:eastAsia="zh-CN"/>
              </w:rPr>
              <w:t>视频</w:t>
            </w:r>
            <w:r>
              <w:rPr>
                <w:rFonts w:hint="eastAsia" w:ascii="仿宋_GB2312" w:hAnsi="宋体" w:eastAsia="仿宋_GB2312" w:cs="宋体"/>
                <w:color w:val="auto"/>
                <w:sz w:val="24"/>
              </w:rPr>
              <w:t>开标结束后请自行带回，本</w:t>
            </w:r>
            <w:r>
              <w:rPr>
                <w:rFonts w:hint="eastAsia" w:ascii="仿宋_GB2312" w:hAnsi="宋体" w:eastAsia="仿宋_GB2312" w:cs="宋体"/>
                <w:color w:val="auto"/>
                <w:sz w:val="24"/>
                <w:lang w:eastAsia="zh-CN"/>
              </w:rPr>
              <w:t>采购代理机构</w:t>
            </w:r>
            <w:r>
              <w:rPr>
                <w:rFonts w:hint="eastAsia" w:ascii="仿宋_GB2312" w:hAnsi="宋体" w:eastAsia="仿宋_GB2312" w:cs="宋体"/>
                <w:color w:val="auto"/>
                <w:sz w:val="24"/>
              </w:rPr>
              <w:t>不予保管。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6" w:type="dxa"/>
            <w:vAlign w:val="center"/>
          </w:tcPr>
          <w:p>
            <w:pPr>
              <w:spacing w:line="360"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ind w:left="-18" w:leftChars="-9" w:right="-50" w:rightChars="-24" w:hanging="1"/>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p>
            <w:pPr>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rPr>
              <w:t>软件和信息技术服务业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6"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6"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1"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440" w:lineRule="exact"/>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440" w:lineRule="exact"/>
              <w:rPr>
                <w:rFonts w:ascii="仿宋" w:hAnsi="仿宋" w:eastAsia="仿宋" w:cs="仿宋"/>
                <w:sz w:val="24"/>
              </w:rPr>
            </w:pPr>
            <w:r>
              <w:rPr>
                <w:rFonts w:hint="eastAsia" w:ascii="仿宋" w:hAnsi="仿宋" w:eastAsia="仿宋" w:cs="仿宋"/>
                <w:sz w:val="24"/>
              </w:rPr>
              <w:t>《CA驱动和申领流程》:</w:t>
            </w:r>
          </w:p>
          <w:p>
            <w:pPr>
              <w:snapToGrid w:val="0"/>
              <w:spacing w:line="440" w:lineRule="exact"/>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51"/>
                <w:rFonts w:hint="eastAsia" w:ascii="仿宋" w:hAnsi="仿宋" w:eastAsia="仿宋" w:cs="仿宋"/>
                <w:color w:val="auto"/>
                <w:sz w:val="24"/>
              </w:rPr>
              <w:t>https://help.zcygov.cn/web/site_2/2018/12-28/2573.html</w:t>
            </w:r>
            <w:r>
              <w:rPr>
                <w:rStyle w:val="51"/>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1" w:type="dxa"/>
            <w:gridSpan w:val="2"/>
            <w:vAlign w:val="center"/>
          </w:tcPr>
          <w:p>
            <w:pPr>
              <w:snapToGrid w:val="0"/>
              <w:spacing w:line="440" w:lineRule="exact"/>
              <w:jc w:val="left"/>
              <w:rPr>
                <w:rFonts w:ascii="仿宋" w:hAnsi="仿宋" w:eastAsia="仿宋" w:cs="仿宋"/>
                <w:sz w:val="24"/>
              </w:rPr>
            </w:pPr>
            <w:r>
              <w:rPr>
                <w:rFonts w:hint="eastAsia" w:ascii="仿宋" w:hAnsi="仿宋" w:eastAsia="仿宋" w:cs="仿宋"/>
                <w:sz w:val="24"/>
              </w:rPr>
              <w:t>采购代理服务费：</w:t>
            </w:r>
          </w:p>
          <w:p>
            <w:pPr>
              <w:snapToGrid w:val="0"/>
              <w:spacing w:line="440" w:lineRule="exact"/>
              <w:jc w:val="lef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napToGrid w:val="0"/>
              <w:spacing w:line="440" w:lineRule="exact"/>
              <w:rPr>
                <w:rFonts w:ascii="仿宋" w:hAnsi="仿宋" w:eastAsia="仿宋" w:cs="仿宋"/>
                <w:sz w:val="24"/>
              </w:rPr>
            </w:pPr>
            <w:r>
              <w:rPr>
                <w:rFonts w:hint="eastAsia" w:ascii="仿宋" w:hAnsi="仿宋" w:eastAsia="仿宋" w:cs="仿宋"/>
                <w:sz w:val="24"/>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 w:hAnsi="仿宋" w:eastAsia="仿宋" w:cs="仿宋"/>
                <w:sz w:val="24"/>
              </w:rPr>
            </w:pPr>
            <w:r>
              <w:rPr>
                <w:rFonts w:hint="eastAsia" w:ascii="仿宋" w:hAnsi="仿宋" w:eastAsia="仿宋" w:cs="仿宋"/>
                <w:sz w:val="24"/>
              </w:rPr>
              <w:t>（2）代理服务费的交纳方式：</w:t>
            </w:r>
          </w:p>
          <w:p>
            <w:pPr>
              <w:snapToGrid w:val="0"/>
              <w:spacing w:line="440" w:lineRule="exact"/>
              <w:jc w:val="lef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napToGrid w:val="0"/>
              <w:spacing w:line="440" w:lineRule="exact"/>
              <w:jc w:val="left"/>
              <w:rPr>
                <w:rFonts w:ascii="仿宋" w:hAnsi="仿宋" w:eastAsia="仿宋" w:cs="仿宋"/>
                <w:sz w:val="24"/>
              </w:rPr>
            </w:pPr>
            <w:r>
              <w:rPr>
                <w:rFonts w:hint="eastAsia" w:ascii="仿宋" w:hAnsi="仿宋" w:eastAsia="仿宋" w:cs="仿宋"/>
                <w:sz w:val="24"/>
              </w:rPr>
              <w:t>公司名称：泰宇建筑工程技术咨询有限公司绍兴分公司</w:t>
            </w:r>
          </w:p>
          <w:p>
            <w:pPr>
              <w:snapToGrid w:val="0"/>
              <w:spacing w:line="440" w:lineRule="exact"/>
              <w:jc w:val="left"/>
              <w:rPr>
                <w:rFonts w:ascii="仿宋" w:hAnsi="仿宋" w:eastAsia="仿宋" w:cs="仿宋"/>
                <w:sz w:val="24"/>
              </w:rPr>
            </w:pPr>
            <w:r>
              <w:rPr>
                <w:rFonts w:hint="eastAsia" w:ascii="仿宋" w:hAnsi="仿宋" w:eastAsia="仿宋" w:cs="仿宋"/>
                <w:sz w:val="24"/>
              </w:rPr>
              <w:t>账号: 85010078801000000518</w:t>
            </w:r>
          </w:p>
          <w:p>
            <w:pPr>
              <w:snapToGrid w:val="0"/>
              <w:spacing w:line="440" w:lineRule="exact"/>
              <w:jc w:val="left"/>
              <w:rPr>
                <w:rFonts w:ascii="仿宋" w:hAnsi="仿宋" w:eastAsia="仿宋" w:cs="仿宋"/>
                <w:sz w:val="24"/>
              </w:rPr>
            </w:pPr>
            <w:r>
              <w:rPr>
                <w:rFonts w:hint="eastAsia" w:ascii="仿宋" w:hAnsi="仿宋" w:eastAsia="仿宋" w:cs="仿宋"/>
                <w:sz w:val="24"/>
              </w:rPr>
              <w:t>开户银行:上海浦东发展银行绍兴分行</w:t>
            </w:r>
          </w:p>
          <w:p>
            <w:pPr>
              <w:snapToGrid w:val="0"/>
              <w:spacing w:line="440" w:lineRule="exact"/>
              <w:rPr>
                <w:rFonts w:ascii="仿宋" w:hAnsi="仿宋" w:eastAsia="仿宋" w:cs="仿宋"/>
                <w:sz w:val="24"/>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jc w:val="left"/>
        <w:rPr>
          <w:rFonts w:ascii="仿宋" w:hAnsi="仿宋" w:eastAsia="仿宋" w:cs="仿宋"/>
          <w:sz w:val="24"/>
        </w:rPr>
      </w:pPr>
      <w:r>
        <w:rPr>
          <w:rFonts w:hint="eastAsia" w:ascii="仿宋" w:hAnsi="仿宋" w:eastAsia="仿宋" w:cs="仿宋"/>
          <w:sz w:val="24"/>
        </w:rPr>
        <w:t>2.1政府采购当事人及监管部门：绍兴市中医院为本项目的采购人（合同中的甲方），泰宇建筑工程技术咨询有限公司为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pPr>
        <w:snapToGrid w:val="0"/>
        <w:spacing w:line="440" w:lineRule="exact"/>
        <w:jc w:val="left"/>
        <w:rPr>
          <w:rFonts w:ascii="仿宋" w:hAnsi="仿宋" w:eastAsia="仿宋" w:cs="仿宋"/>
          <w:sz w:val="24"/>
        </w:rPr>
      </w:pPr>
      <w:r>
        <w:rPr>
          <w:rFonts w:hint="eastAsia" w:ascii="仿宋" w:hAnsi="仿宋" w:eastAsia="仿宋" w:cs="仿宋"/>
          <w:sz w:val="24"/>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系指不适用本项目的要求。</w:t>
      </w:r>
    </w:p>
    <w:p>
      <w:pPr>
        <w:snapToGrid w:val="0"/>
        <w:spacing w:line="440" w:lineRule="exact"/>
        <w:jc w:val="left"/>
        <w:rPr>
          <w:rFonts w:ascii="仿宋" w:hAnsi="仿宋" w:eastAsia="仿宋" w:cs="仿宋"/>
          <w:sz w:val="24"/>
        </w:rPr>
      </w:pPr>
      <w:r>
        <w:rPr>
          <w:rFonts w:hint="eastAsia" w:ascii="仿宋" w:hAnsi="仿宋" w:eastAsia="仿宋" w:cs="仿宋"/>
          <w:sz w:val="24"/>
        </w:rPr>
        <w:t>2.8因特殊原因需要使用冠以法定名称的业务专用章的，投标时须提供《业务专用章使用说明函》(详见附件)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 修缮、装修类项目采购建材的，采购人应将绿色建筑和绿色建材性能、指标等作为实质性条件纳入招标文件和合同。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pPr>
        <w:spacing w:line="440" w:lineRule="exact"/>
        <w:rPr>
          <w:rFonts w:ascii="仿宋" w:hAnsi="仿宋" w:eastAsia="仿宋" w:cs="仿宋"/>
          <w:sz w:val="24"/>
        </w:rPr>
      </w:pPr>
      <w:r>
        <w:rPr>
          <w:rFonts w:hint="eastAsia" w:ascii="仿宋" w:hAnsi="仿宋" w:eastAsia="仿宋" w:cs="仿宋"/>
          <w:sz w:val="24"/>
        </w:rPr>
        <w:t>3.4.1 采购人优先采购被认定为首台套产品和“制造精品”的自主创新产品。</w:t>
      </w:r>
    </w:p>
    <w:p>
      <w:pPr>
        <w:spacing w:line="440" w:lineRule="exact"/>
        <w:rPr>
          <w:rFonts w:ascii="仿宋" w:hAnsi="仿宋" w:eastAsia="仿宋" w:cs="仿宋"/>
          <w:sz w:val="24"/>
        </w:rPr>
      </w:pPr>
      <w:r>
        <w:rPr>
          <w:rFonts w:hint="eastAsia" w:ascii="仿宋" w:hAnsi="仿宋" w:eastAsia="仿宋" w:cs="仿宋"/>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 w:hAnsi="仿宋" w:eastAsia="仿宋" w:cs="仿宋"/>
          <w:b/>
          <w:sz w:val="24"/>
        </w:rPr>
      </w:pPr>
      <w:r>
        <w:rPr>
          <w:rFonts w:hint="eastAsia" w:ascii="仿宋" w:hAnsi="仿宋" w:eastAsia="仿宋" w:cs="仿宋"/>
          <w:b/>
          <w:sz w:val="24"/>
        </w:rPr>
        <w:t>2.授权委托</w:t>
      </w:r>
    </w:p>
    <w:p>
      <w:pPr>
        <w:pStyle w:val="15"/>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5"/>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5"/>
        <w:widowControl w:val="0"/>
        <w:tabs>
          <w:tab w:val="clear" w:pos="454"/>
        </w:tabs>
        <w:spacing w:afterLines="0" w:line="440" w:lineRule="exact"/>
        <w:ind w:left="0" w:firstLine="0"/>
        <w:rPr>
          <w:rFonts w:ascii="仿宋" w:hAnsi="仿宋" w:eastAsia="仿宋" w:cs="仿宋"/>
        </w:rPr>
      </w:pPr>
      <w:r>
        <w:rPr>
          <w:rFonts w:hint="eastAsia" w:ascii="仿宋" w:hAnsi="仿宋" w:eastAsia="仿宋" w:cs="仿宋"/>
        </w:rPr>
        <w:t xml:space="preserve">4.2招标文件的澄清 </w:t>
      </w:r>
    </w:p>
    <w:p>
      <w:pPr>
        <w:pStyle w:val="15"/>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 w:hAnsi="仿宋" w:eastAsia="仿宋" w:cs="仿宋"/>
        </w:rPr>
      </w:pPr>
      <w:r>
        <w:rPr>
          <w:rFonts w:hint="eastAsia" w:ascii="仿宋" w:hAnsi="仿宋" w:eastAsia="仿宋" w:cs="仿宋"/>
        </w:rPr>
        <w:t>4.3招标文件的修改</w:t>
      </w:r>
    </w:p>
    <w:p>
      <w:pPr>
        <w:pStyle w:val="15"/>
        <w:tabs>
          <w:tab w:val="clear" w:pos="454"/>
        </w:tabs>
        <w:spacing w:afterLines="0" w:line="440" w:lineRule="exact"/>
        <w:ind w:left="0" w:firstLine="0"/>
        <w:rPr>
          <w:rFonts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三、投标文件</w:t>
      </w:r>
    </w:p>
    <w:p>
      <w:pPr>
        <w:numPr>
          <w:ilvl w:val="0"/>
          <w:numId w:val="5"/>
        </w:numPr>
        <w:snapToGrid w:val="0"/>
        <w:spacing w:line="440" w:lineRule="exact"/>
        <w:jc w:val="left"/>
        <w:rPr>
          <w:rFonts w:ascii="仿宋" w:hAnsi="仿宋" w:eastAsia="仿宋" w:cs="仿宋"/>
          <w:b/>
          <w:sz w:val="24"/>
        </w:rPr>
      </w:pPr>
      <w:r>
        <w:rPr>
          <w:rFonts w:hint="eastAsia" w:ascii="仿宋" w:hAnsi="仿宋" w:eastAsia="仿宋" w:cs="仿宋"/>
          <w:b/>
          <w:sz w:val="24"/>
        </w:rPr>
        <w:t>投标文件的语言、计量单位、形式及效力</w:t>
      </w:r>
    </w:p>
    <w:p>
      <w:pPr>
        <w:snapToGrid w:val="0"/>
        <w:spacing w:line="440" w:lineRule="exact"/>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72" w:firstLineChars="196"/>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sz w:val="24"/>
        </w:rPr>
      </w:pPr>
      <w:r>
        <w:rPr>
          <w:rFonts w:hint="eastAsia" w:ascii="仿宋" w:hAnsi="仿宋" w:eastAsia="仿宋" w:cs="仿宋"/>
          <w:b/>
          <w:sz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投标文件由“报价文件资料”、“商务技术（资信）文件资料”两部分组成，其中</w:t>
      </w:r>
      <w:r>
        <w:rPr>
          <w:rFonts w:hint="eastAsia" w:ascii="仿宋" w:hAnsi="仿宋" w:eastAsia="仿宋" w:cs="仿宋"/>
          <w:b/>
          <w:sz w:val="24"/>
        </w:rPr>
        <w:t>电子投标文件中所须加盖公章部分均应采用电子签章。</w:t>
      </w:r>
    </w:p>
    <w:p>
      <w:pPr>
        <w:spacing w:line="440" w:lineRule="exact"/>
        <w:jc w:val="left"/>
        <w:rPr>
          <w:rFonts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ascii="仿宋" w:hAnsi="仿宋" w:eastAsia="仿宋" w:cs="仿宋"/>
          <w:sz w:val="24"/>
        </w:rPr>
      </w:pPr>
      <w:r>
        <w:rPr>
          <w:rFonts w:hint="eastAsia" w:ascii="仿宋" w:hAnsi="仿宋" w:eastAsia="仿宋" w:cs="仿宋"/>
          <w:sz w:val="24"/>
        </w:rPr>
        <w:t>2.1.2开标一览表（格式见第六部分附件）；</w:t>
      </w:r>
    </w:p>
    <w:p>
      <w:pPr>
        <w:pStyle w:val="25"/>
        <w:spacing w:line="440" w:lineRule="exact"/>
        <w:rPr>
          <w:rFonts w:ascii="仿宋" w:hAnsi="仿宋" w:eastAsia="仿宋" w:cs="仿宋"/>
          <w:b w:val="0"/>
          <w:sz w:val="24"/>
        </w:rPr>
      </w:pPr>
      <w:r>
        <w:rPr>
          <w:rFonts w:hint="eastAsia" w:ascii="仿宋" w:hAnsi="仿宋" w:eastAsia="仿宋" w:cs="仿宋"/>
          <w:b w:val="0"/>
          <w:sz w:val="24"/>
        </w:rPr>
        <w:t>2.1.3中小企业声明函（如有，格式见第六部分附件）；</w:t>
      </w:r>
    </w:p>
    <w:p>
      <w:pPr>
        <w:pStyle w:val="25"/>
        <w:spacing w:line="440" w:lineRule="exact"/>
        <w:rPr>
          <w:rFonts w:ascii="仿宋" w:hAnsi="仿宋" w:eastAsia="仿宋" w:cs="仿宋"/>
          <w:b w:val="0"/>
          <w:sz w:val="24"/>
        </w:rPr>
      </w:pPr>
      <w:r>
        <w:rPr>
          <w:rFonts w:hint="eastAsia" w:ascii="仿宋" w:hAnsi="仿宋" w:eastAsia="仿宋" w:cs="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 “商务技术（资信）文件资料”应包括以下内容（正本用原件）：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440" w:lineRule="exact"/>
        <w:rPr>
          <w:rFonts w:ascii="仿宋" w:hAnsi="仿宋" w:eastAsia="仿宋" w:cs="仿宋"/>
          <w:kern w:val="0"/>
          <w:sz w:val="24"/>
        </w:rPr>
      </w:pPr>
      <w:r>
        <w:rPr>
          <w:rFonts w:hint="eastAsia" w:ascii="仿宋" w:hAnsi="仿宋" w:eastAsia="仿宋" w:cs="仿宋"/>
          <w:sz w:val="24"/>
        </w:rPr>
        <w:t>2.2.4相关资质证明或文件复印件（均需加盖公章）：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24"/>
        <w:spacing w:line="440" w:lineRule="exact"/>
        <w:ind w:firstLine="480" w:firstLineChars="200"/>
        <w:rPr>
          <w:rFonts w:ascii="仿宋" w:hAnsi="仿宋" w:eastAsia="仿宋" w:cs="仿宋"/>
          <w:sz w:val="24"/>
        </w:rPr>
      </w:pPr>
      <w:bookmarkStart w:id="1" w:name="_Hlt68403820"/>
      <w:bookmarkEnd w:id="1"/>
      <w:bookmarkStart w:id="2" w:name="_Hlt68073093"/>
      <w:bookmarkEnd w:id="2"/>
      <w:bookmarkStart w:id="3" w:name="_Hlt68072998"/>
      <w:bookmarkEnd w:id="3"/>
      <w:r>
        <w:rPr>
          <w:rFonts w:hint="eastAsia" w:ascii="仿宋" w:hAnsi="仿宋" w:eastAsia="仿宋" w:cs="仿宋"/>
          <w:sz w:val="24"/>
        </w:rPr>
        <w:t>（1）营业执照(或事业法人登记证或其他工商等登记证明材料)复印件，实施“五证合一、一照一码”登记制度改革的，只需提供改革后取得的营业执照复印件 ；</w:t>
      </w:r>
    </w:p>
    <w:p>
      <w:pPr>
        <w:pStyle w:val="24"/>
        <w:spacing w:line="440" w:lineRule="exact"/>
        <w:ind w:firstLine="480" w:firstLineChars="200"/>
        <w:rPr>
          <w:rFonts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（2）2021年度资产负债表等财务报表资料文件(新成立的公司提供情况证明)；</w:t>
      </w:r>
    </w:p>
    <w:p>
      <w:pPr>
        <w:pStyle w:val="24"/>
        <w:spacing w:line="440" w:lineRule="exact"/>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（3）具有履行合同所必需的设备和专业技术能力的承诺函；</w:t>
      </w:r>
    </w:p>
    <w:p>
      <w:pPr>
        <w:spacing w:line="440" w:lineRule="exact"/>
        <w:ind w:firstLine="480" w:firstLineChars="200"/>
        <w:rPr>
          <w:rFonts w:ascii="仿宋" w:hAnsi="仿宋" w:eastAsia="仿宋" w:cs="仿宋"/>
          <w:sz w:val="24"/>
        </w:rPr>
      </w:pPr>
      <w:r>
        <w:rPr>
          <w:rFonts w:hint="eastAsia" w:ascii="仿宋" w:hAnsi="仿宋" w:eastAsia="仿宋" w:cs="仿宋"/>
          <w:sz w:val="24"/>
        </w:rPr>
        <w:t>（4）参加本次政府采购活动前三年内，在经营活动中没有重大违法记录的声明；</w:t>
      </w:r>
    </w:p>
    <w:p>
      <w:pPr>
        <w:spacing w:line="440" w:lineRule="exact"/>
        <w:ind w:firstLine="480" w:firstLineChars="200"/>
        <w:rPr>
          <w:rFonts w:ascii="仿宋" w:hAnsi="仿宋" w:eastAsia="仿宋" w:cs="仿宋"/>
          <w:sz w:val="24"/>
          <w:szCs w:val="20"/>
        </w:rPr>
      </w:pPr>
      <w:r>
        <w:rPr>
          <w:rFonts w:hint="eastAsia" w:ascii="仿宋" w:hAnsi="仿宋" w:eastAsia="仿宋" w:cs="仿宋"/>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
          <w:sz w:val="24"/>
          <w:szCs w:val="20"/>
        </w:rPr>
      </w:pPr>
      <w:r>
        <w:rPr>
          <w:rFonts w:hint="eastAsia" w:ascii="仿宋" w:hAnsi="仿宋" w:eastAsia="仿宋" w:cs="仿宋"/>
          <w:kern w:val="0"/>
          <w:sz w:val="24"/>
        </w:rPr>
        <w:t>(6</w:t>
      </w:r>
      <w:r>
        <w:rPr>
          <w:rFonts w:hint="eastAsia" w:ascii="仿宋" w:hAnsi="仿宋" w:eastAsia="仿宋" w:cs="仿宋"/>
          <w:sz w:val="24"/>
        </w:rPr>
        <w:t>)</w:t>
      </w:r>
      <w:r>
        <w:rPr>
          <w:rFonts w:hint="eastAsia" w:ascii="仿宋" w:hAnsi="仿宋" w:eastAsia="仿宋" w:cs="仿宋"/>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
          <w:sz w:val="24"/>
        </w:rPr>
      </w:pPr>
      <w:r>
        <w:rPr>
          <w:rFonts w:hint="eastAsia" w:ascii="仿宋" w:hAnsi="仿宋" w:eastAsia="仿宋" w:cs="仿宋"/>
          <w:kern w:val="0"/>
          <w:sz w:val="24"/>
        </w:rPr>
        <w:t>(7</w:t>
      </w:r>
      <w:r>
        <w:rPr>
          <w:rFonts w:hint="eastAsia" w:ascii="仿宋" w:hAnsi="仿宋" w:eastAsia="仿宋" w:cs="仿宋"/>
          <w:sz w:val="24"/>
        </w:rPr>
        <w:t>)符合特定资格条件（如果项目要求）的有关证明材料（复印件）；</w:t>
      </w:r>
    </w:p>
    <w:p>
      <w:pPr>
        <w:pStyle w:val="24"/>
        <w:snapToGrid w:val="0"/>
        <w:spacing w:line="440" w:lineRule="exact"/>
        <w:rPr>
          <w:rFonts w:ascii="仿宋" w:hAnsi="仿宋" w:eastAsia="仿宋" w:cs="仿宋"/>
          <w:sz w:val="24"/>
          <w:lang w:val="zh-CN"/>
        </w:rPr>
      </w:pPr>
      <w:r>
        <w:rPr>
          <w:rFonts w:hint="eastAsia" w:ascii="仿宋" w:hAnsi="仿宋" w:eastAsia="仿宋" w:cs="仿宋"/>
          <w:sz w:val="24"/>
        </w:rPr>
        <w:t>2.2.5</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kern w:val="0"/>
          <w:sz w:val="24"/>
          <w:lang w:val="zh-CN"/>
        </w:rPr>
      </w:pPr>
      <w:r>
        <w:rPr>
          <w:rFonts w:hint="eastAsia" w:ascii="仿宋" w:hAnsi="仿宋" w:eastAsia="仿宋" w:cs="仿宋"/>
          <w:sz w:val="24"/>
        </w:rPr>
        <w:t>2.2.13</w:t>
      </w:r>
      <w:r>
        <w:rPr>
          <w:rFonts w:hint="eastAsia" w:ascii="仿宋" w:hAnsi="仿宋" w:eastAsia="仿宋" w:cs="仿宋"/>
          <w:kern w:val="0"/>
          <w:sz w:val="24"/>
          <w:lang w:val="zh-CN"/>
        </w:rPr>
        <w:t>培训计划；（如果有）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2.2.14 验收方案；</w:t>
      </w:r>
    </w:p>
    <w:p>
      <w:pPr>
        <w:snapToGrid w:val="0"/>
        <w:spacing w:line="440" w:lineRule="exact"/>
        <w:rPr>
          <w:rFonts w:ascii="仿宋" w:hAnsi="仿宋" w:eastAsia="仿宋" w:cs="仿宋"/>
          <w:sz w:val="24"/>
          <w:lang w:val="zh-CN"/>
        </w:rPr>
      </w:pPr>
      <w:r>
        <w:rPr>
          <w:rFonts w:hint="eastAsia" w:ascii="仿宋" w:hAnsi="仿宋" w:eastAsia="仿宋" w:cs="仿宋"/>
          <w:kern w:val="0"/>
          <w:sz w:val="24"/>
        </w:rPr>
        <w:t>2.2.15</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p>
    <w:p>
      <w:pPr>
        <w:snapToGrid w:val="0"/>
        <w:spacing w:line="440" w:lineRule="exact"/>
        <w:rPr>
          <w:rFonts w:ascii="仿宋" w:hAnsi="仿宋" w:eastAsia="仿宋" w:cs="仿宋"/>
          <w:kern w:val="0"/>
          <w:sz w:val="24"/>
        </w:rPr>
      </w:pPr>
      <w:r>
        <w:rPr>
          <w:rFonts w:hint="eastAsia" w:ascii="仿宋" w:hAnsi="仿宋" w:eastAsia="仿宋" w:cs="仿宋"/>
          <w:sz w:val="24"/>
          <w:lang w:val="zh-CN"/>
        </w:rPr>
        <w:t>2.2.16廉政承诺书</w:t>
      </w:r>
      <w:r>
        <w:rPr>
          <w:rFonts w:hint="eastAsia" w:ascii="仿宋" w:hAnsi="仿宋" w:eastAsia="仿宋" w:cs="仿宋"/>
          <w:sz w:val="24"/>
        </w:rPr>
        <w:t>（格式见第六部分附件）；</w:t>
      </w:r>
    </w:p>
    <w:p>
      <w:pPr>
        <w:pStyle w:val="21"/>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2.2.17联合协议（如有）；</w:t>
      </w:r>
    </w:p>
    <w:p>
      <w:pPr>
        <w:pStyle w:val="21"/>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2.2.18分包意向协议（如有）；</w:t>
      </w:r>
    </w:p>
    <w:p>
      <w:pPr>
        <w:pStyle w:val="21"/>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2.2.19中小企业声明函（如有）；</w:t>
      </w:r>
    </w:p>
    <w:p>
      <w:pPr>
        <w:snapToGrid w:val="0"/>
        <w:spacing w:line="440" w:lineRule="exact"/>
        <w:jc w:val="left"/>
        <w:rPr>
          <w:rFonts w:ascii="仿宋" w:hAnsi="仿宋" w:eastAsia="仿宋" w:cs="仿宋"/>
          <w:sz w:val="24"/>
        </w:rPr>
      </w:pPr>
      <w:r>
        <w:rPr>
          <w:rFonts w:hint="eastAsia" w:ascii="仿宋" w:hAnsi="仿宋" w:eastAsia="仿宋" w:cs="仿宋"/>
          <w:sz w:val="24"/>
        </w:rPr>
        <w:t>2.2.20</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1"/>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2.2.21投标人需要说明的其他文件和说明（格式自拟）。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ascii="仿宋" w:hAnsi="仿宋" w:eastAsia="仿宋" w:cs="仿宋"/>
          <w:b/>
        </w:rPr>
      </w:pPr>
      <w:r>
        <w:rPr>
          <w:rFonts w:hint="eastAsia" w:ascii="仿宋" w:hAnsi="仿宋" w:eastAsia="仿宋" w:cs="仿宋"/>
        </w:rPr>
        <w:t>投标人不按招标文件的要求提供的投标文件，可能会被评标委员会视为未实质性响应，其风险应由投标人自行承担。</w:t>
      </w:r>
    </w:p>
    <w:p>
      <w:pPr>
        <w:spacing w:line="440" w:lineRule="exact"/>
        <w:jc w:val="left"/>
        <w:rPr>
          <w:rFonts w:ascii="仿宋" w:hAnsi="仿宋" w:eastAsia="仿宋" w:cs="仿宋"/>
          <w:b/>
          <w:sz w:val="24"/>
        </w:rPr>
      </w:pPr>
      <w:r>
        <w:rPr>
          <w:rFonts w:hint="eastAsia" w:ascii="仿宋" w:hAnsi="仿宋" w:eastAsia="仿宋" w:cs="仿宋"/>
          <w:b/>
          <w:sz w:val="24"/>
        </w:rPr>
        <w:t>3. 投标报价</w:t>
      </w:r>
    </w:p>
    <w:p>
      <w:pPr>
        <w:pStyle w:val="24"/>
        <w:spacing w:line="440" w:lineRule="exact"/>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4"/>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
          <w:i/>
          <w:sz w:val="24"/>
        </w:rPr>
        <w:t>投标报价只允许有一个报价，有选择的报价将不予接受（除指定外）。</w:t>
      </w:r>
    </w:p>
    <w:p>
      <w:pPr>
        <w:pStyle w:val="15"/>
        <w:tabs>
          <w:tab w:val="clear" w:pos="454"/>
        </w:tabs>
        <w:spacing w:afterLines="0" w:line="440" w:lineRule="atLeast"/>
        <w:ind w:left="0" w:firstLine="0"/>
        <w:rPr>
          <w:rFonts w:ascii="仿宋" w:hAnsi="仿宋" w:eastAsia="仿宋" w:cs="仿宋"/>
          <w:b/>
          <w:szCs w:val="24"/>
        </w:rPr>
      </w:pPr>
      <w:r>
        <w:rPr>
          <w:rFonts w:hint="eastAsia" w:ascii="仿宋" w:hAnsi="仿宋" w:eastAsia="仿宋" w:cs="仿宋"/>
          <w:b/>
          <w:szCs w:val="24"/>
        </w:rPr>
        <w:t>4.投标文件的有效期</w:t>
      </w:r>
    </w:p>
    <w:p>
      <w:pPr>
        <w:pStyle w:val="15"/>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5"/>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5"/>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sz w:val="24"/>
          <w:u w:val="single"/>
        </w:rPr>
      </w:pPr>
      <w:r>
        <w:rPr>
          <w:rFonts w:hint="eastAsia" w:ascii="仿宋" w:hAnsi="仿宋" w:eastAsia="仿宋" w:cs="仿宋"/>
          <w:b/>
          <w:sz w:val="24"/>
          <w:u w:val="single"/>
        </w:rPr>
        <w:t>5.投标文件的规定</w:t>
      </w:r>
    </w:p>
    <w:p>
      <w:pPr>
        <w:pStyle w:val="24"/>
        <w:spacing w:line="440" w:lineRule="exact"/>
        <w:jc w:val="left"/>
        <w:rPr>
          <w:rFonts w:ascii="仿宋" w:hAnsi="仿宋" w:eastAsia="仿宋" w:cs="仿宋"/>
          <w:sz w:val="24"/>
          <w:szCs w:val="24"/>
        </w:rPr>
      </w:pPr>
      <w:r>
        <w:rPr>
          <w:rFonts w:hint="eastAsia" w:ascii="仿宋" w:hAnsi="仿宋" w:eastAsia="仿宋" w:cs="仿宋"/>
          <w:sz w:val="24"/>
          <w:szCs w:val="24"/>
        </w:rPr>
        <w:t>5.1投标文件由“商务技术（资信）文件资料”、“报价文件资料”两部分文件组成，应按统一格式填写。</w:t>
      </w:r>
    </w:p>
    <w:p>
      <w:pPr>
        <w:pStyle w:val="24"/>
        <w:spacing w:line="440" w:lineRule="exact"/>
        <w:jc w:val="left"/>
        <w:rPr>
          <w:rFonts w:ascii="仿宋" w:hAnsi="仿宋" w:eastAsia="仿宋" w:cs="仿宋"/>
          <w:sz w:val="24"/>
          <w:szCs w:val="24"/>
        </w:rPr>
      </w:pPr>
      <w:r>
        <w:rPr>
          <w:rFonts w:hint="eastAsia" w:ascii="仿宋" w:hAnsi="仿宋" w:eastAsia="仿宋" w:cs="仿宋"/>
          <w:sz w:val="24"/>
          <w:szCs w:val="24"/>
        </w:rPr>
        <w:t>5.2投标文件须按附件格式要求进行电子签章，投标人应写全称。</w:t>
      </w:r>
    </w:p>
    <w:p>
      <w:pPr>
        <w:pStyle w:val="24"/>
        <w:spacing w:line="440" w:lineRule="exact"/>
        <w:jc w:val="left"/>
        <w:rPr>
          <w:rFonts w:ascii="仿宋" w:hAnsi="仿宋" w:eastAsia="仿宋" w:cs="仿宋"/>
          <w:sz w:val="24"/>
          <w:szCs w:val="24"/>
        </w:rPr>
      </w:pPr>
      <w:r>
        <w:rPr>
          <w:rFonts w:hint="eastAsia" w:ascii="仿宋" w:hAnsi="仿宋" w:eastAsia="仿宋" w:cs="仿宋"/>
          <w:sz w:val="24"/>
          <w:szCs w:val="24"/>
        </w:rPr>
        <w:t>5.3投标文件不得涂改，若有修改错漏处，须加盖单位公章（或电子签章）或者法定代表人或其授权代表签字或盖章。</w:t>
      </w:r>
    </w:p>
    <w:p>
      <w:pPr>
        <w:snapToGrid w:val="0"/>
        <w:spacing w:line="440" w:lineRule="exact"/>
        <w:jc w:val="left"/>
        <w:rPr>
          <w:rFonts w:ascii="仿宋" w:hAnsi="仿宋" w:eastAsia="仿宋" w:cs="仿宋"/>
          <w:sz w:val="24"/>
        </w:rPr>
      </w:pPr>
      <w:r>
        <w:rPr>
          <w:rFonts w:hint="eastAsia" w:ascii="仿宋" w:hAnsi="仿宋" w:eastAsia="仿宋" w:cs="仿宋"/>
          <w:sz w:val="24"/>
        </w:rPr>
        <w:t>5.4投标文件因字迹潦草或表达不清所引起的后果由投标人负责。</w:t>
      </w:r>
    </w:p>
    <w:p>
      <w:pPr>
        <w:spacing w:line="440" w:lineRule="exact"/>
        <w:jc w:val="left"/>
        <w:rPr>
          <w:rFonts w:ascii="仿宋" w:hAnsi="仿宋" w:eastAsia="仿宋" w:cs="仿宋"/>
          <w:sz w:val="24"/>
        </w:rPr>
      </w:pPr>
      <w:r>
        <w:rPr>
          <w:rFonts w:hint="eastAsia" w:ascii="仿宋" w:hAnsi="仿宋" w:eastAsia="仿宋" w:cs="仿宋"/>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b/>
          <w:sz w:val="24"/>
        </w:rPr>
      </w:pPr>
      <w:r>
        <w:rPr>
          <w:rFonts w:hint="eastAsia" w:ascii="仿宋" w:hAnsi="仿宋" w:eastAsia="仿宋" w:cs="仿宋"/>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sz w:val="24"/>
        </w:rPr>
      </w:pPr>
      <w:r>
        <w:rPr>
          <w:rFonts w:hint="eastAsia" w:ascii="仿宋" w:hAnsi="仿宋" w:eastAsia="仿宋" w:cs="仿宋"/>
          <w:b/>
          <w:sz w:val="24"/>
        </w:rPr>
        <w:t>6.投标文件的提交</w:t>
      </w:r>
    </w:p>
    <w:p>
      <w:pPr>
        <w:snapToGrid w:val="0"/>
        <w:spacing w:line="440" w:lineRule="exact"/>
        <w:ind w:firstLine="480" w:firstLineChars="200"/>
        <w:rPr>
          <w:rFonts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spacing w:line="440" w:lineRule="exact"/>
        <w:ind w:firstLine="480" w:firstLineChars="200"/>
        <w:jc w:val="left"/>
        <w:rPr>
          <w:rFonts w:ascii="仿宋" w:hAnsi="仿宋" w:eastAsia="仿宋" w:cs="仿宋"/>
          <w:kern w:val="0"/>
          <w:sz w:val="24"/>
        </w:rPr>
      </w:pPr>
      <w:r>
        <w:rPr>
          <w:rFonts w:hint="eastAsia" w:ascii="仿宋" w:hAnsi="仿宋" w:eastAsia="仿宋" w:cs="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pacing w:line="440" w:lineRule="exact"/>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pacing w:line="440" w:lineRule="exact"/>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3.2评标委员会由采购人代表和有关方面的专家组成，成员人数为七人以上单数。</w:t>
      </w:r>
    </w:p>
    <w:p>
      <w:pPr>
        <w:spacing w:line="440" w:lineRule="exact"/>
        <w:jc w:val="left"/>
        <w:rPr>
          <w:rFonts w:ascii="仿宋" w:hAnsi="仿宋" w:eastAsia="仿宋" w:cs="仿宋"/>
          <w:sz w:val="24"/>
        </w:rPr>
      </w:pPr>
      <w:r>
        <w:rPr>
          <w:rFonts w:hint="eastAsia" w:ascii="仿宋" w:hAnsi="仿宋" w:eastAsia="仿宋" w:cs="仿宋"/>
          <w:sz w:val="24"/>
        </w:rPr>
        <w:t>3.3评标委员会负责对投标人资格的最终审定。</w:t>
      </w:r>
    </w:p>
    <w:p>
      <w:pPr>
        <w:spacing w:line="440" w:lineRule="exact"/>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widowControl/>
        <w:snapToGrid w:val="0"/>
        <w:spacing w:line="440" w:lineRule="exact"/>
        <w:rPr>
          <w:rFonts w:ascii="仿宋" w:hAnsi="仿宋" w:eastAsia="仿宋" w:cs="仿宋"/>
          <w:kern w:val="0"/>
          <w:sz w:val="24"/>
        </w:rPr>
      </w:pPr>
      <w:r>
        <w:rPr>
          <w:rFonts w:hint="eastAsia" w:ascii="仿宋" w:hAnsi="仿宋" w:eastAsia="仿宋" w:cs="仿宋"/>
          <w:kern w:val="0"/>
          <w:sz w:val="24"/>
        </w:rPr>
        <w:t>3.5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40" w:lineRule="exact"/>
        <w:rPr>
          <w:rFonts w:ascii="仿宋" w:hAnsi="仿宋" w:eastAsia="仿宋" w:cs="仿宋"/>
          <w:kern w:val="0"/>
          <w:sz w:val="24"/>
        </w:rPr>
      </w:pPr>
      <w:r>
        <w:rPr>
          <w:rFonts w:hint="eastAsia" w:ascii="仿宋" w:hAnsi="仿宋" w:eastAsia="仿宋" w:cs="仿宋"/>
          <w:sz w:val="24"/>
        </w:rPr>
        <w:t>3.6评标委员会不向落标方解释落标的原因。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pacing w:line="440" w:lineRule="exact"/>
        <w:jc w:val="left"/>
        <w:rPr>
          <w:rFonts w:ascii="仿宋" w:hAnsi="仿宋" w:eastAsia="仿宋" w:cs="仿宋"/>
          <w:sz w:val="24"/>
        </w:rPr>
      </w:pPr>
      <w:r>
        <w:rPr>
          <w:rFonts w:hint="eastAsia" w:ascii="仿宋" w:hAnsi="仿宋" w:eastAsia="仿宋" w:cs="仿宋"/>
          <w:sz w:val="24"/>
        </w:rPr>
        <w:t>4.2符合性审查</w:t>
      </w:r>
    </w:p>
    <w:p>
      <w:pPr>
        <w:spacing w:line="440" w:lineRule="exact"/>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pacing w:line="440" w:lineRule="exact"/>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pacing w:line="440" w:lineRule="exact"/>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pacing w:line="440" w:lineRule="exact"/>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pacing w:line="440" w:lineRule="exact"/>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pacing w:line="440" w:lineRule="exact"/>
        <w:ind w:firstLine="48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pacing w:line="440" w:lineRule="exact"/>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pacing w:line="440" w:lineRule="exact"/>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pacing w:line="440" w:lineRule="exact"/>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pacing w:line="440" w:lineRule="exact"/>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pacing w:line="440" w:lineRule="exact"/>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pacing w:line="440" w:lineRule="exact"/>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6.8评标委员会依据招标文件规定的评标标准和方法，对投标文件进行评审和比较后，向本中心提供书面评标报告，并按得分高低排序推荐中标候选供应商。</w:t>
      </w:r>
    </w:p>
    <w:p>
      <w:pPr>
        <w:pStyle w:val="15"/>
        <w:widowControl w:val="0"/>
        <w:tabs>
          <w:tab w:val="clear" w:pos="454"/>
        </w:tabs>
        <w:spacing w:afterLines="0" w:line="440" w:lineRule="exact"/>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sz w:val="24"/>
        </w:rPr>
      </w:pPr>
      <w:r>
        <w:rPr>
          <w:rFonts w:hint="eastAsia" w:ascii="仿宋" w:hAnsi="仿宋" w:eastAsia="仿宋" w:cs="仿宋"/>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8.10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8.13投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8.14评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sz w:val="24"/>
          <w:szCs w:val="21"/>
        </w:rPr>
      </w:pPr>
      <w:r>
        <w:rPr>
          <w:rFonts w:hint="eastAsia" w:ascii="仿宋" w:hAnsi="仿宋" w:eastAsia="仿宋" w:cs="仿宋"/>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8.20.5其他弄虚作假的行为。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8.22.2供应商按照采购人或者采购机构的授意撤换、修改投标文件或者响应文件；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8.22.3供应商之间协商报价、技术方案等投标文件或者响应文件的实质性内容；</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8.22.4属于同一集团、协会、商会等组织成员的供应商按照该组织要求协同参加政府采购活动；</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8.22.5供应商之间事先约定由某一特定供应商中标、成交；</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rPr>
      </w:pPr>
      <w:r>
        <w:rPr>
          <w:rFonts w:hint="eastAsia" w:ascii="仿宋" w:hAnsi="仿宋" w:eastAsia="仿宋" w:cs="仿宋"/>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szCs w:val="21"/>
        </w:rPr>
        <w:t>8.23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pacing w:line="440" w:lineRule="exac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4"/>
        <w:spacing w:line="800" w:lineRule="exact"/>
        <w:ind w:firstLine="726"/>
        <w:jc w:val="center"/>
        <w:rPr>
          <w:rFonts w:ascii="仿宋" w:hAnsi="仿宋" w:eastAsia="仿宋" w:cs="仿宋"/>
          <w:b/>
          <w:sz w:val="36"/>
          <w:szCs w:val="36"/>
        </w:rPr>
      </w:pPr>
      <w:bookmarkStart w:id="4" w:name="_Toc84325929"/>
      <w:bookmarkStart w:id="5" w:name="_Toc81372953"/>
      <w:bookmarkStart w:id="6" w:name="_Toc81372776"/>
      <w:r>
        <w:rPr>
          <w:rFonts w:hint="eastAsia" w:ascii="仿宋" w:hAnsi="仿宋" w:eastAsia="仿宋" w:cs="仿宋"/>
          <w:b/>
          <w:sz w:val="36"/>
          <w:szCs w:val="36"/>
        </w:rPr>
        <w:t>五、授予合同</w:t>
      </w:r>
    </w:p>
    <w:p>
      <w:pPr>
        <w:pStyle w:val="15"/>
        <w:tabs>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1.1投标文件基本符合招标文件要求；</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1.2投标人有很好的执行合同的能力；</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5"/>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bookmarkEnd w:id="4"/>
    <w:bookmarkEnd w:id="5"/>
    <w:bookmarkEnd w:id="6"/>
    <w:p>
      <w:pPr>
        <w:spacing w:line="440" w:lineRule="exact"/>
        <w:jc w:val="left"/>
        <w:rPr>
          <w:rFonts w:ascii="仿宋" w:hAnsi="仿宋" w:eastAsia="仿宋" w:cs="仿宋"/>
          <w:b/>
          <w:sz w:val="24"/>
        </w:rPr>
      </w:pPr>
      <w:r>
        <w:rPr>
          <w:rFonts w:hint="eastAsia" w:ascii="仿宋" w:hAnsi="仿宋" w:eastAsia="仿宋" w:cs="仿宋"/>
          <w:b/>
          <w:sz w:val="24"/>
        </w:rPr>
        <w:t>2.中标确认</w:t>
      </w:r>
    </w:p>
    <w:p>
      <w:pPr>
        <w:spacing w:line="440" w:lineRule="exact"/>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pStyle w:val="154"/>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对中标结果在指定媒体</w:t>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pacing w:line="440" w:lineRule="exact"/>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pPr>
        <w:spacing w:line="440" w:lineRule="exact"/>
        <w:jc w:val="left"/>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4"/>
        <w:spacing w:line="360"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4"/>
        <w:spacing w:line="360" w:lineRule="auto"/>
        <w:ind w:firstLine="480" w:firstLineChars="200"/>
        <w:rPr>
          <w:rFonts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70"/>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pStyle w:val="70"/>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2.数量调整</w:t>
      </w:r>
    </w:p>
    <w:p>
      <w:pPr>
        <w:pStyle w:val="70"/>
        <w:widowControl w:val="0"/>
        <w:spacing w:afterLines="0" w:line="440" w:lineRule="exact"/>
        <w:ind w:firstLine="480"/>
        <w:rPr>
          <w:rFonts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70"/>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3.安装及调试、验收</w:t>
      </w:r>
    </w:p>
    <w:p>
      <w:pPr>
        <w:pStyle w:val="70"/>
        <w:widowControl w:val="0"/>
        <w:spacing w:afterLines="0" w:line="440" w:lineRule="exact"/>
        <w:ind w:firstLine="480"/>
        <w:rPr>
          <w:rFonts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4.技术培训</w:t>
      </w:r>
    </w:p>
    <w:p>
      <w:pPr>
        <w:spacing w:line="440" w:lineRule="exac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ascii="仿宋" w:hAnsi="仿宋" w:eastAsia="仿宋" w:cs="仿宋"/>
          <w:sz w:val="24"/>
        </w:rPr>
      </w:pPr>
      <w:r>
        <w:rPr>
          <w:rFonts w:hint="eastAsia" w:ascii="仿宋" w:hAnsi="仿宋" w:eastAsia="仿宋" w:cs="仿宋"/>
          <w:sz w:val="24"/>
        </w:rPr>
        <w:t>4.4技术培训至少应包括下列内容：</w:t>
      </w:r>
    </w:p>
    <w:p>
      <w:pPr>
        <w:pStyle w:val="21"/>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4.4.1原理、构成和功能的描述。</w:t>
      </w:r>
    </w:p>
    <w:p>
      <w:pPr>
        <w:pStyle w:val="21"/>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4.4.2常见故障的处理或排除。</w:t>
      </w:r>
    </w:p>
    <w:p>
      <w:pPr>
        <w:pStyle w:val="21"/>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4.4.3各系统部件（设备）的检查、调整和维护。</w:t>
      </w:r>
    </w:p>
    <w:p>
      <w:pPr>
        <w:pStyle w:val="21"/>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4.4.4对使用者关于设备基本操作技能的培训。</w:t>
      </w:r>
    </w:p>
    <w:p>
      <w:pPr>
        <w:pStyle w:val="21"/>
        <w:widowControl w:val="0"/>
        <w:tabs>
          <w:tab w:val="clear" w:pos="482"/>
        </w:tabs>
        <w:spacing w:afterLines="0" w:line="440" w:lineRule="exact"/>
        <w:ind w:left="0" w:firstLine="0"/>
        <w:rPr>
          <w:rFonts w:ascii="仿宋" w:hAnsi="仿宋" w:eastAsia="仿宋" w:cs="仿宋"/>
          <w:b/>
          <w:szCs w:val="24"/>
        </w:rPr>
      </w:pPr>
      <w:r>
        <w:rPr>
          <w:rFonts w:hint="eastAsia" w:ascii="仿宋" w:hAnsi="仿宋" w:eastAsia="仿宋" w:cs="仿宋"/>
          <w:b/>
          <w:szCs w:val="24"/>
        </w:rPr>
        <w:t>5.售后服务</w:t>
      </w:r>
    </w:p>
    <w:p>
      <w:pPr>
        <w:pStyle w:val="6"/>
        <w:spacing w:line="440" w:lineRule="exact"/>
        <w:ind w:firstLine="0" w:firstLineChars="0"/>
        <w:rPr>
          <w:rFonts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snapToGrid w:val="0"/>
        <w:spacing w:line="440" w:lineRule="exact"/>
        <w:jc w:val="left"/>
        <w:rPr>
          <w:rFonts w:ascii="仿宋" w:hAnsi="仿宋" w:eastAsia="仿宋" w:cs="仿宋"/>
          <w:b/>
          <w:sz w:val="24"/>
        </w:rPr>
      </w:pPr>
      <w:bookmarkStart w:id="7" w:name="_Toc151354173"/>
      <w:bookmarkStart w:id="8" w:name="_Toc81372964"/>
      <w:bookmarkStart w:id="9" w:name="_Toc80157775"/>
      <w:bookmarkStart w:id="10" w:name="_Toc84325981"/>
      <w:bookmarkStart w:id="11" w:name="_Toc81372787"/>
      <w:r>
        <w:rPr>
          <w:rFonts w:hint="eastAsia" w:ascii="仿宋" w:hAnsi="仿宋" w:eastAsia="仿宋" w:cs="仿宋"/>
          <w:b/>
          <w:sz w:val="24"/>
        </w:rPr>
        <w:t>8.招标项目设备名称及数量：</w:t>
      </w:r>
    </w:p>
    <w:p>
      <w:pPr>
        <w:widowControl/>
        <w:spacing w:line="360" w:lineRule="auto"/>
        <w:jc w:val="left"/>
        <w:rPr>
          <w:rFonts w:ascii="仿宋" w:hAnsi="仿宋" w:eastAsia="仿宋" w:cs="仿宋"/>
          <w:b/>
          <w:bCs/>
        </w:rPr>
      </w:pPr>
      <w:r>
        <w:rPr>
          <w:rFonts w:hint="eastAsia" w:ascii="仿宋" w:hAnsi="仿宋" w:eastAsia="仿宋" w:cs="仿宋"/>
          <w:b/>
          <w:bCs/>
          <w:bdr w:val="single" w:color="auto" w:sz="4" w:space="0"/>
        </w:rPr>
        <w:t>01标</w:t>
      </w:r>
      <w:bookmarkStart w:id="12" w:name="_Toc32678"/>
      <w:bookmarkStart w:id="13" w:name="_Toc7206"/>
      <w:r>
        <w:rPr>
          <w:rFonts w:hint="eastAsia" w:ascii="仿宋" w:hAnsi="仿宋" w:eastAsia="仿宋" w:cs="仿宋"/>
          <w:b/>
          <w:bCs/>
        </w:rPr>
        <w:t>绍兴市中医院防疫三合一自控系统项目</w:t>
      </w:r>
      <w:r>
        <w:rPr>
          <w:rFonts w:hint="eastAsia" w:ascii="仿宋" w:hAnsi="仿宋" w:eastAsia="仿宋" w:cs="仿宋"/>
          <w:b/>
        </w:rPr>
        <w:t>，</w:t>
      </w:r>
      <w:r>
        <w:rPr>
          <w:rFonts w:hint="eastAsia" w:ascii="仿宋" w:hAnsi="仿宋" w:eastAsia="仿宋" w:cs="仿宋"/>
          <w:b/>
          <w:bCs/>
        </w:rPr>
        <w:t>总预算15.2万。</w:t>
      </w:r>
      <w:bookmarkStart w:id="14" w:name="_Toc1487721"/>
      <w:bookmarkStart w:id="15" w:name="_Toc101450156"/>
    </w:p>
    <w:p>
      <w:pPr>
        <w:widowControl/>
        <w:spacing w:line="360" w:lineRule="auto"/>
        <w:jc w:val="left"/>
        <w:rPr>
          <w:rFonts w:ascii="仿宋" w:hAnsi="仿宋" w:eastAsia="仿宋" w:cs="仿宋"/>
          <w:b/>
          <w:bCs/>
          <w:color w:val="000000"/>
          <w:szCs w:val="21"/>
        </w:rPr>
      </w:pPr>
      <w:r>
        <w:rPr>
          <w:rFonts w:hint="eastAsia" w:ascii="仿宋" w:hAnsi="仿宋" w:eastAsia="仿宋" w:cs="仿宋"/>
          <w:b/>
          <w:bCs/>
          <w:color w:val="000000"/>
          <w:szCs w:val="21"/>
        </w:rPr>
        <w:t>一、项目介绍</w:t>
      </w:r>
    </w:p>
    <w:p>
      <w:pPr>
        <w:spacing w:line="360" w:lineRule="auto"/>
        <w:ind w:firstLine="420"/>
        <w:rPr>
          <w:rFonts w:ascii="仿宋" w:hAnsi="仿宋" w:eastAsia="仿宋" w:cs="仿宋"/>
          <w:snapToGrid w:val="0"/>
          <w:kern w:val="0"/>
          <w:szCs w:val="21"/>
        </w:rPr>
      </w:pPr>
      <w:r>
        <w:rPr>
          <w:rFonts w:hint="eastAsia" w:ascii="仿宋" w:hAnsi="仿宋" w:eastAsia="仿宋" w:cs="仿宋"/>
          <w:snapToGrid w:val="0"/>
          <w:kern w:val="0"/>
          <w:szCs w:val="21"/>
        </w:rPr>
        <w:t>为满足疫情防控工作需要，就绍兴中医院疫情防控常态化管理平台集成项目进行公开采购,采购设备将安装到出入口，从而进行有效的人员管控。</w:t>
      </w:r>
    </w:p>
    <w:p>
      <w:pPr>
        <w:pStyle w:val="2"/>
        <w:ind w:firstLine="0" w:firstLineChars="0"/>
        <w:rPr>
          <w:rFonts w:ascii="仿宋" w:hAnsi="仿宋" w:eastAsia="仿宋" w:cs="仿宋"/>
          <w:b/>
          <w:bCs/>
          <w:color w:val="000000"/>
          <w:sz w:val="21"/>
          <w:szCs w:val="21"/>
          <w:lang w:val="en-US"/>
        </w:rPr>
      </w:pPr>
      <w:r>
        <w:rPr>
          <w:rFonts w:hint="eastAsia" w:ascii="仿宋" w:hAnsi="仿宋" w:eastAsia="仿宋" w:cs="仿宋"/>
          <w:b/>
          <w:bCs/>
          <w:color w:val="000000"/>
          <w:sz w:val="21"/>
          <w:szCs w:val="21"/>
          <w:lang w:val="en-US"/>
        </w:rPr>
        <w:t>二、服务项目清单及技术要求</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2468"/>
        <w:gridCol w:w="4204"/>
        <w:gridCol w:w="607"/>
        <w:gridCol w:w="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57"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序号</w:t>
            </w:r>
          </w:p>
        </w:tc>
        <w:tc>
          <w:tcPr>
            <w:tcW w:w="1452"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产品名称</w:t>
            </w:r>
          </w:p>
        </w:tc>
        <w:tc>
          <w:tcPr>
            <w:tcW w:w="2473"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参数</w:t>
            </w:r>
          </w:p>
        </w:tc>
        <w:tc>
          <w:tcPr>
            <w:tcW w:w="357"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单位</w:t>
            </w:r>
          </w:p>
        </w:tc>
        <w:tc>
          <w:tcPr>
            <w:tcW w:w="358"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357"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1452"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摆门式闸机服务（单机芯）</w:t>
            </w:r>
          </w:p>
        </w:tc>
        <w:tc>
          <w:tcPr>
            <w:tcW w:w="2473" w:type="pct"/>
          </w:tcPr>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1、无故障运行周期：≥100万次；</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2、驱动电机直流无刷伺服电机；</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3、通道宽度：600mm-1100mm；</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4、开门模式刷二代身份证/扫描健康码/人脸识别/场所码/医保卡；</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5、智能摆闸：电源电压：AC110-220V+_10%,50HZ；闸门开、关时间：0.8秒（可设置）；</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6、功耗：待机状态≤20W，工作状态≤130W</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7、尺寸：1400*980*180mm；</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8、保护功能：短路保护SCP，过压保护OVP，过电流保护OCP</w:t>
            </w:r>
          </w:p>
        </w:tc>
        <w:tc>
          <w:tcPr>
            <w:tcW w:w="357"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c>
          <w:tcPr>
            <w:tcW w:w="358"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trPr>
        <w:tc>
          <w:tcPr>
            <w:tcW w:w="357"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1452"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摆门式闸机服务（双机芯）</w:t>
            </w:r>
          </w:p>
        </w:tc>
        <w:tc>
          <w:tcPr>
            <w:tcW w:w="2473" w:type="pct"/>
          </w:tcPr>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1、无故障运行周期：≥100万次；</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2、驱动电机直流无刷伺服电机；</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3、通道宽度：600mm-1100mm；</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4、开门模式刷二代身份证/扫描健康码/人脸识别/场所码/医保卡；</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5、智能摆闸：电源电压：AC110-220V+_10%,50HZ；闸门开、关时间：0.8秒（可设置）；</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6、功耗：待机状态≤20W，工作状态≤130W</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7、尺寸：1400*980*180mm；</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8、保护功能：短路保护SCP，过压保护OVP，过电流保护OCP</w:t>
            </w:r>
          </w:p>
        </w:tc>
        <w:tc>
          <w:tcPr>
            <w:tcW w:w="357"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c>
          <w:tcPr>
            <w:tcW w:w="358"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5" w:hRule="atLeast"/>
        </w:trPr>
        <w:tc>
          <w:tcPr>
            <w:tcW w:w="357"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c>
          <w:tcPr>
            <w:tcW w:w="1452"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健康防疫智控面板机服务（8寸）</w:t>
            </w:r>
          </w:p>
        </w:tc>
        <w:tc>
          <w:tcPr>
            <w:tcW w:w="2473" w:type="pct"/>
          </w:tcPr>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一、参数：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CPU 六核处理器及以上</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内存 2G及以上</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储存 16GB及以上</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电源 工控电源AC220V输入，DC12V，3A</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屏幕 8寸TFT-LCD  ；分辨率：1280*800；</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电容屏 8寸电容触摸屏；</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点击次数≥1000万次；</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响应时间10ms</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二、识别模块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2.1 人脸识别摄像头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高清摄像头，深度范围（米）:0.25-1m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精度：±3mm@1m</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彩色图分辨率:1280x720@30FPS、640x480@30FPS 320x240@30FPS</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深度图分辨率:1280x1024@7FPS、640x480@30FPS 320x240@30FPS、160x120@30FPS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深度FOV：H67.9°V45.1°；彩色FOV：H62.7°V49°</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延迟（毫秒）:30-45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2.2 条码扫描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传感器：CMOSsensor，</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pixels：640*480,30fps；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照明：LED白光；</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扫描视角：80（H）*60V；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识别度：最大20CM/秒；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码制：1D：Code39，Code32，Code128，UPC /EAN /JAN ,Code93,Interleaved2of5, Codabar, Matrix 2 of 5, Industrial 2 of 52D: QR Code, Data Matrix, PDF417</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2.3 二代证读卡器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公安部认证模块，USB接口  支持卡型：符合ISO/IEC 14443 TYPE B 标准的非接触卡；工作频率：13.56MHz ；通讯速率：106Kbps ；校验：循环冗余校验（CRC）；感应面积：100*120mm ；感应距离： 大于50mm ；传输速率：USB接口 12Mbps    RS232接口 9.6-115.2Kbps ；软件接口：支持VC、VB、DELPHI、PB等 ；电源：计算机供电（USB接口）；工作电流：220mA/DC ；平均无故障工作时间：大于等于30000小时。</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2.4、社保卡模块：支持 1 个 ISO7816 标准卡尺寸，采用下降式卡座，可使用20 万次。支持符合ISO7816，T=0、T=1 的 CPU 卡，逻辑加密卡 AT24 系列,4442,4428 等卡型支持 PPS（协议和参数选择），读写速度为 9600 –412903 bps具备短路保护功能4 个符合 GSM11.11 的SIM 卡尺寸的 SAM 卡座支持 ISO14443TypeA 标准的 CPU 卡， PHILIPS 公司的MF1ICS50、MF1ICL10、MF1ICS70 等逻辑加密卡;15693 协议卡；模块功能：①.社保卡信息解码读取 ②.人证比对 ③.健康码信息获取展示</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三、其他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声效模块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声卡、多媒体音箱：提供声音合成软件供调用，有利于对操作人员的清晰引导。</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电源：开关电源或适配器，AC220V输入，DC12V，5A</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外壳：ABS+PC(喷油)+镀锌，坚固厚实，在高温高寒的环境下不会变形，机壳采用高端工艺进行外朔镀锌，防火、 防水、耐久抗腐蚀。</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四、实现功能</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4.1可以通过多种方式识别通行，实现健康码、行程码、核酸检测结果、疫苗接种情况查验。其中行程码支持全国全网用户；方式如下：</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（1）刷人脸（支持戴口罩模糊识别）（2）刷身份证 （可实现人证比对）（3）刷健康码（可实现人码核验，保证健康码是其本人）（4）支持选配刷社保卡（需支持二代社保卡；提供psam卡后需可支持三代社保卡）</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4.2人码、人证比对核验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刷健康码或身份证后，可以设置进行本人人脸识别，人码、人证核验成功才能显示相关信息。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4.3便捷人脸核验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无需提前人脸采集即可实现人脸核验，通过直接刷脸进行人员防疫+通行权限核验；</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4.4精准测温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无感检测—可对通过的人员进行脸部温度检测；</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4.5支持 WIFI、4G 联网。</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4.6门禁黑白名单功能。</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4.7闸机设备统一后台数据汇总管理及统计，通行记录后台溯源。</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4.8异常人员预警预告（红黄码、行程异常预警）。</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4.9读取或识别身份证信息——支持身份证读取、二代证读取；人脸识别——支持刷脸获取身份信息；条码扫描——支持一维码及二维码扫码，并能跟人脸进行比对；测温实时上传——支持红外测温；数据统计和预警——后台数据管理、实时监测；</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4.10流调功能：针对于无健康码人员的电子化流行病史调查问卷。问卷需本人真实填写。目的是为了了解人员自身及家属的健康情况、28日内旅居史、密切接触史，确定提交后，后台可保存用户填写的流调表，便于之后进行数据溯源（具体要求根据防控政策进行调整）。</w:t>
            </w:r>
          </w:p>
        </w:tc>
        <w:tc>
          <w:tcPr>
            <w:tcW w:w="357"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套</w:t>
            </w:r>
          </w:p>
        </w:tc>
        <w:tc>
          <w:tcPr>
            <w:tcW w:w="358"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357"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c>
          <w:tcPr>
            <w:tcW w:w="1452"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疫情防控常态化管理平台服务</w:t>
            </w:r>
          </w:p>
        </w:tc>
        <w:tc>
          <w:tcPr>
            <w:tcW w:w="2473" w:type="pct"/>
          </w:tcPr>
          <w:p>
            <w:pPr>
              <w:widowControl/>
              <w:jc w:val="left"/>
              <w:rPr>
                <w:rFonts w:hint="eastAsia" w:ascii="仿宋" w:hAnsi="仿宋" w:eastAsia="仿宋" w:cs="仿宋"/>
                <w:color w:val="000000"/>
                <w:kern w:val="0"/>
                <w:szCs w:val="21"/>
              </w:rPr>
            </w:pPr>
            <w:r>
              <w:rPr>
                <w:rFonts w:hint="eastAsia" w:ascii="仿宋" w:hAnsi="仿宋" w:eastAsia="仿宋" w:cs="仿宋"/>
                <w:color w:val="000000"/>
                <w:kern w:val="0"/>
                <w:szCs w:val="21"/>
              </w:rPr>
              <w:t>疫情防控常态化管理平台（简称：防控平台）功能分设备管理、通行管理、权限管理、系统配置、日志管理等五大功能模块以及一项技术服务，各功能模块功能列表如下所示：</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功能模块 功能列表 功能说明</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 xml:space="preserve">1、设备管理 </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设备列表 添加/删除设备信息，对各级机构设备进行管理</w:t>
            </w:r>
            <w:r>
              <w:rPr>
                <w:rFonts w:ascii="仿宋" w:hAnsi="仿宋" w:eastAsia="仿宋" w:cs="仿宋"/>
                <w:color w:val="000000"/>
                <w:kern w:val="0"/>
                <w:szCs w:val="21"/>
              </w:rPr>
              <w:br w:type="textWrapping"/>
            </w:r>
            <w:r>
              <w:rPr>
                <w:rFonts w:ascii="仿宋" w:hAnsi="仿宋" w:eastAsia="仿宋" w:cs="仿宋"/>
                <w:color w:val="000000"/>
                <w:kern w:val="0"/>
                <w:szCs w:val="21"/>
              </w:rPr>
              <w:t>2、通行管理</w:t>
            </w:r>
            <w:r>
              <w:rPr>
                <w:rFonts w:ascii="仿宋" w:hAnsi="仿宋" w:eastAsia="仿宋" w:cs="仿宋"/>
                <w:color w:val="000000"/>
                <w:kern w:val="0"/>
                <w:szCs w:val="21"/>
              </w:rPr>
              <w:br w:type="textWrapping"/>
            </w:r>
            <w:r>
              <w:rPr>
                <w:rFonts w:ascii="仿宋" w:hAnsi="仿宋" w:eastAsia="仿宋" w:cs="仿宋"/>
                <w:color w:val="000000"/>
                <w:kern w:val="0"/>
                <w:szCs w:val="21"/>
              </w:rPr>
              <w:t xml:space="preserve">2.1黑白名单管理 </w:t>
            </w:r>
            <w:r>
              <w:rPr>
                <w:rFonts w:hint="eastAsia" w:ascii="仿宋" w:hAnsi="仿宋" w:eastAsia="仿宋" w:cs="仿宋"/>
                <w:color w:val="000000"/>
                <w:kern w:val="0"/>
                <w:szCs w:val="21"/>
              </w:rPr>
              <w:t>添加</w:t>
            </w:r>
            <w:r>
              <w:rPr>
                <w:rFonts w:ascii="仿宋" w:hAnsi="仿宋" w:eastAsia="仿宋" w:cs="仿宋"/>
                <w:color w:val="000000"/>
                <w:kern w:val="0"/>
                <w:szCs w:val="21"/>
              </w:rPr>
              <w:t>/删除黑白名单人员信息</w:t>
            </w:r>
            <w:r>
              <w:rPr>
                <w:rFonts w:ascii="仿宋" w:hAnsi="仿宋" w:eastAsia="仿宋" w:cs="仿宋"/>
                <w:color w:val="000000"/>
                <w:kern w:val="0"/>
                <w:szCs w:val="21"/>
              </w:rPr>
              <w:br w:type="textWrapping"/>
            </w:r>
            <w:r>
              <w:rPr>
                <w:rFonts w:ascii="仿宋" w:hAnsi="仿宋" w:eastAsia="仿宋" w:cs="仿宋"/>
                <w:color w:val="000000"/>
                <w:kern w:val="0"/>
                <w:szCs w:val="21"/>
              </w:rPr>
              <w:t xml:space="preserve">2.2 </w:t>
            </w:r>
            <w:r>
              <w:rPr>
                <w:rFonts w:hint="eastAsia" w:ascii="仿宋" w:hAnsi="仿宋" w:eastAsia="仿宋" w:cs="仿宋"/>
                <w:color w:val="000000"/>
                <w:kern w:val="0"/>
                <w:szCs w:val="21"/>
              </w:rPr>
              <w:t>规则管理</w:t>
            </w:r>
            <w:r>
              <w:rPr>
                <w:rFonts w:ascii="仿宋" w:hAnsi="仿宋" w:eastAsia="仿宋" w:cs="仿宋"/>
                <w:color w:val="000000"/>
                <w:kern w:val="0"/>
                <w:szCs w:val="21"/>
              </w:rPr>
              <w:t xml:space="preserve"> </w:t>
            </w:r>
            <w:r>
              <w:rPr>
                <w:rFonts w:hint="eastAsia" w:ascii="仿宋" w:hAnsi="仿宋" w:eastAsia="仿宋" w:cs="仿宋"/>
                <w:color w:val="000000"/>
                <w:kern w:val="0"/>
                <w:szCs w:val="21"/>
              </w:rPr>
              <w:t>对不同机构通行规则进行管理，配置通过温度阈值、核酸检测结果、行程码信息、疫苗接种信息</w:t>
            </w:r>
          </w:p>
          <w:p>
            <w:pPr>
              <w:widowControl/>
              <w:jc w:val="left"/>
              <w:rPr>
                <w:rFonts w:hint="eastAsia" w:ascii="仿宋" w:hAnsi="仿宋" w:eastAsia="仿宋" w:cs="仿宋"/>
                <w:color w:val="000000"/>
                <w:kern w:val="0"/>
                <w:szCs w:val="21"/>
              </w:rPr>
            </w:pPr>
            <w:r>
              <w:rPr>
                <w:rFonts w:ascii="仿宋" w:hAnsi="仿宋" w:eastAsia="仿宋" w:cs="仿宋"/>
                <w:color w:val="000000"/>
                <w:kern w:val="0"/>
                <w:szCs w:val="21"/>
              </w:rPr>
              <w:t xml:space="preserve">2.3人员轨迹管理 </w:t>
            </w:r>
            <w:r>
              <w:rPr>
                <w:rFonts w:hint="eastAsia" w:ascii="仿宋" w:hAnsi="仿宋" w:eastAsia="仿宋" w:cs="仿宋"/>
                <w:color w:val="000000"/>
                <w:kern w:val="0"/>
                <w:szCs w:val="21"/>
              </w:rPr>
              <w:t>对人员通信记录进行数据管理，通过数据分析获取人员活动轨迹</w:t>
            </w:r>
          </w:p>
          <w:p>
            <w:pPr>
              <w:widowControl/>
              <w:jc w:val="left"/>
              <w:rPr>
                <w:rFonts w:hint="eastAsia" w:ascii="仿宋" w:hAnsi="仿宋" w:eastAsia="仿宋" w:cs="仿宋"/>
                <w:color w:val="000000"/>
                <w:kern w:val="0"/>
                <w:szCs w:val="21"/>
              </w:rPr>
            </w:pPr>
            <w:r>
              <w:rPr>
                <w:rFonts w:ascii="仿宋" w:hAnsi="仿宋" w:eastAsia="仿宋" w:cs="仿宋"/>
                <w:color w:val="000000"/>
                <w:kern w:val="0"/>
                <w:szCs w:val="21"/>
              </w:rPr>
              <w:t xml:space="preserve">2.4通行记录 </w:t>
            </w:r>
            <w:r>
              <w:rPr>
                <w:rFonts w:hint="eastAsia" w:ascii="仿宋" w:hAnsi="仿宋" w:eastAsia="仿宋" w:cs="仿宋"/>
                <w:color w:val="000000"/>
                <w:kern w:val="0"/>
                <w:szCs w:val="21"/>
              </w:rPr>
              <w:t>在终端上通过刷脸、刷码或身份证，可获取当前人员健康码、有效期内的核酸结果、体温等信息，并对信息进行存储</w:t>
            </w:r>
            <w:r>
              <w:rPr>
                <w:rFonts w:ascii="仿宋" w:hAnsi="仿宋" w:eastAsia="仿宋" w:cs="仿宋"/>
                <w:color w:val="000000"/>
                <w:kern w:val="0"/>
                <w:szCs w:val="21"/>
              </w:rPr>
              <w:br w:type="textWrapping"/>
            </w:r>
            <w:r>
              <w:rPr>
                <w:rFonts w:ascii="仿宋" w:hAnsi="仿宋" w:eastAsia="仿宋" w:cs="仿宋"/>
                <w:color w:val="000000"/>
                <w:kern w:val="0"/>
                <w:szCs w:val="21"/>
              </w:rPr>
              <w:t xml:space="preserve">3、权限管理 </w:t>
            </w:r>
            <w:r>
              <w:rPr>
                <w:rFonts w:ascii="仿宋" w:hAnsi="仿宋" w:eastAsia="仿宋" w:cs="仿宋"/>
                <w:color w:val="000000"/>
                <w:kern w:val="0"/>
                <w:szCs w:val="21"/>
              </w:rPr>
              <w:br w:type="textWrapping"/>
            </w:r>
            <w:r>
              <w:rPr>
                <w:rFonts w:ascii="仿宋" w:hAnsi="仿宋" w:eastAsia="仿宋" w:cs="仿宋"/>
                <w:color w:val="000000"/>
                <w:kern w:val="0"/>
                <w:szCs w:val="21"/>
              </w:rPr>
              <w:t xml:space="preserve">3.1用户管理 </w:t>
            </w:r>
            <w:r>
              <w:rPr>
                <w:rFonts w:hint="eastAsia" w:ascii="仿宋" w:hAnsi="仿宋" w:eastAsia="仿宋" w:cs="仿宋"/>
                <w:color w:val="000000"/>
                <w:kern w:val="0"/>
                <w:szCs w:val="21"/>
              </w:rPr>
              <w:t>添加</w:t>
            </w:r>
            <w:r>
              <w:rPr>
                <w:rFonts w:ascii="仿宋" w:hAnsi="仿宋" w:eastAsia="仿宋" w:cs="仿宋"/>
                <w:color w:val="000000"/>
                <w:kern w:val="0"/>
                <w:szCs w:val="21"/>
              </w:rPr>
              <w:t>/删除用户信息</w:t>
            </w:r>
          </w:p>
          <w:p>
            <w:pPr>
              <w:widowControl/>
              <w:jc w:val="left"/>
              <w:rPr>
                <w:rFonts w:hint="eastAsia" w:ascii="仿宋" w:hAnsi="仿宋" w:eastAsia="仿宋" w:cs="仿宋"/>
                <w:color w:val="000000"/>
                <w:kern w:val="0"/>
                <w:szCs w:val="21"/>
              </w:rPr>
            </w:pPr>
            <w:r>
              <w:rPr>
                <w:rFonts w:ascii="仿宋" w:hAnsi="仿宋" w:eastAsia="仿宋" w:cs="仿宋"/>
                <w:color w:val="000000"/>
                <w:kern w:val="0"/>
                <w:szCs w:val="21"/>
              </w:rPr>
              <w:t xml:space="preserve">3.2机构管理 </w:t>
            </w:r>
            <w:r>
              <w:rPr>
                <w:rFonts w:hint="eastAsia" w:ascii="仿宋" w:hAnsi="仿宋" w:eastAsia="仿宋" w:cs="仿宋"/>
                <w:color w:val="000000"/>
                <w:kern w:val="0"/>
                <w:szCs w:val="21"/>
              </w:rPr>
              <w:t>配置使用单位机构名称、机构等级、机构代码、上级和下级机构</w:t>
            </w:r>
          </w:p>
          <w:p>
            <w:pPr>
              <w:widowControl/>
              <w:jc w:val="left"/>
              <w:rPr>
                <w:rFonts w:hint="eastAsia" w:ascii="仿宋" w:hAnsi="仿宋" w:eastAsia="仿宋" w:cs="仿宋"/>
                <w:color w:val="000000"/>
                <w:kern w:val="0"/>
                <w:szCs w:val="21"/>
              </w:rPr>
            </w:pPr>
            <w:r>
              <w:rPr>
                <w:rFonts w:ascii="仿宋" w:hAnsi="仿宋" w:eastAsia="仿宋" w:cs="仿宋"/>
                <w:color w:val="000000"/>
                <w:kern w:val="0"/>
                <w:szCs w:val="21"/>
              </w:rPr>
              <w:t xml:space="preserve">3.3缓存管理 </w:t>
            </w:r>
            <w:r>
              <w:rPr>
                <w:rFonts w:hint="eastAsia" w:ascii="仿宋" w:hAnsi="仿宋" w:eastAsia="仿宋" w:cs="仿宋"/>
                <w:color w:val="000000"/>
                <w:kern w:val="0"/>
                <w:szCs w:val="21"/>
              </w:rPr>
              <w:t>平台缓存用户信息管理</w:t>
            </w:r>
          </w:p>
          <w:p>
            <w:pPr>
              <w:widowControl/>
              <w:jc w:val="left"/>
              <w:rPr>
                <w:rFonts w:ascii="仿宋" w:hAnsi="仿宋" w:eastAsia="仿宋" w:cs="仿宋"/>
                <w:b/>
                <w:bCs/>
                <w:color w:val="000000"/>
                <w:kern w:val="0"/>
                <w:szCs w:val="21"/>
                <w:highlight w:val="none"/>
              </w:rPr>
            </w:pPr>
            <w:r>
              <w:rPr>
                <w:rFonts w:ascii="仿宋" w:hAnsi="仿宋" w:eastAsia="仿宋" w:cs="仿宋"/>
                <w:color w:val="000000"/>
                <w:kern w:val="0"/>
                <w:szCs w:val="21"/>
              </w:rPr>
              <w:t xml:space="preserve">4、系统配置 </w:t>
            </w:r>
            <w:r>
              <w:rPr>
                <w:rFonts w:ascii="仿宋" w:hAnsi="仿宋" w:eastAsia="仿宋" w:cs="仿宋"/>
                <w:color w:val="000000"/>
                <w:kern w:val="0"/>
                <w:szCs w:val="21"/>
              </w:rPr>
              <w:br w:type="textWrapping"/>
            </w:r>
            <w:r>
              <w:rPr>
                <w:rFonts w:ascii="仿宋" w:hAnsi="仿宋" w:eastAsia="仿宋" w:cs="仿宋"/>
                <w:color w:val="000000"/>
                <w:kern w:val="0"/>
                <w:szCs w:val="21"/>
              </w:rPr>
              <w:t xml:space="preserve">4.1角色管理 </w:t>
            </w:r>
            <w:r>
              <w:rPr>
                <w:rFonts w:hint="eastAsia" w:ascii="仿宋" w:hAnsi="仿宋" w:eastAsia="仿宋" w:cs="仿宋"/>
                <w:color w:val="000000"/>
                <w:kern w:val="0"/>
                <w:szCs w:val="21"/>
              </w:rPr>
              <w:t>管理各负责人、门卫等人员类型（一级机构管理员、管理员、工作人员）</w:t>
            </w:r>
            <w:r>
              <w:rPr>
                <w:rFonts w:ascii="仿宋" w:hAnsi="仿宋" w:eastAsia="仿宋" w:cs="仿宋"/>
                <w:color w:val="000000"/>
                <w:kern w:val="0"/>
                <w:szCs w:val="21"/>
              </w:rPr>
              <w:br w:type="textWrapping"/>
            </w:r>
            <w:r>
              <w:rPr>
                <w:rFonts w:ascii="仿宋" w:hAnsi="仿宋" w:eastAsia="仿宋" w:cs="仿宋"/>
                <w:color w:val="000000"/>
                <w:kern w:val="0"/>
                <w:szCs w:val="21"/>
              </w:rPr>
              <w:t xml:space="preserve">4.2角色权限 </w:t>
            </w:r>
            <w:r>
              <w:rPr>
                <w:rFonts w:hint="eastAsia" w:ascii="仿宋" w:hAnsi="仿宋" w:eastAsia="仿宋" w:cs="仿宋"/>
                <w:color w:val="000000"/>
                <w:kern w:val="0"/>
                <w:szCs w:val="21"/>
              </w:rPr>
              <w:t>配置各级负责人所能够管理的权限</w:t>
            </w:r>
            <w:r>
              <w:rPr>
                <w:rFonts w:ascii="仿宋" w:hAnsi="仿宋" w:eastAsia="仿宋" w:cs="仿宋"/>
                <w:color w:val="000000"/>
                <w:kern w:val="0"/>
                <w:szCs w:val="21"/>
              </w:rPr>
              <w:br w:type="textWrapping"/>
            </w:r>
            <w:r>
              <w:rPr>
                <w:rFonts w:ascii="仿宋" w:hAnsi="仿宋" w:eastAsia="仿宋" w:cs="仿宋"/>
                <w:color w:val="000000"/>
                <w:kern w:val="0"/>
                <w:szCs w:val="21"/>
              </w:rPr>
              <w:t xml:space="preserve">5、日志管理 </w:t>
            </w:r>
            <w:r>
              <w:rPr>
                <w:rFonts w:ascii="仿宋" w:hAnsi="仿宋" w:eastAsia="仿宋" w:cs="仿宋"/>
                <w:color w:val="000000"/>
                <w:kern w:val="0"/>
                <w:szCs w:val="21"/>
              </w:rPr>
              <w:br w:type="textWrapping"/>
            </w:r>
            <w:r>
              <w:rPr>
                <w:rFonts w:ascii="仿宋" w:hAnsi="仿宋" w:eastAsia="仿宋" w:cs="仿宋"/>
                <w:color w:val="000000"/>
                <w:kern w:val="0"/>
                <w:szCs w:val="21"/>
              </w:rPr>
              <w:t xml:space="preserve">5.1登录日志 </w:t>
            </w:r>
            <w:r>
              <w:rPr>
                <w:rFonts w:hint="eastAsia" w:ascii="仿宋" w:hAnsi="仿宋" w:eastAsia="仿宋" w:cs="仿宋"/>
                <w:color w:val="000000"/>
                <w:kern w:val="0"/>
                <w:szCs w:val="21"/>
              </w:rPr>
              <w:t>对用户登录信息进行记录管理</w:t>
            </w:r>
            <w:r>
              <w:rPr>
                <w:rFonts w:ascii="仿宋" w:hAnsi="仿宋" w:eastAsia="仿宋" w:cs="仿宋"/>
                <w:color w:val="000000"/>
                <w:kern w:val="0"/>
                <w:szCs w:val="21"/>
              </w:rPr>
              <w:br w:type="textWrapping"/>
            </w:r>
            <w:r>
              <w:rPr>
                <w:rFonts w:ascii="仿宋" w:hAnsi="仿宋" w:eastAsia="仿宋" w:cs="仿宋"/>
                <w:color w:val="000000"/>
                <w:kern w:val="0"/>
                <w:szCs w:val="21"/>
              </w:rPr>
              <w:t xml:space="preserve">5.2操作日志 </w:t>
            </w:r>
            <w:r>
              <w:rPr>
                <w:rFonts w:hint="eastAsia" w:ascii="仿宋" w:hAnsi="仿宋" w:eastAsia="仿宋" w:cs="仿宋"/>
                <w:color w:val="000000"/>
                <w:kern w:val="0"/>
                <w:szCs w:val="21"/>
              </w:rPr>
              <w:t>对用户操作信息进行记录管理</w:t>
            </w:r>
          </w:p>
          <w:p>
            <w:pPr>
              <w:widowControl/>
              <w:jc w:val="left"/>
              <w:rPr>
                <w:rFonts w:ascii="仿宋" w:hAnsi="仿宋" w:eastAsia="仿宋" w:cs="仿宋"/>
                <w:color w:val="000000"/>
                <w:kern w:val="0"/>
                <w:szCs w:val="21"/>
              </w:rPr>
            </w:pPr>
            <w:r>
              <w:rPr>
                <w:rFonts w:ascii="仿宋" w:hAnsi="仿宋" w:eastAsia="仿宋" w:cs="仿宋"/>
                <w:color w:val="000000"/>
                <w:kern w:val="0"/>
                <w:szCs w:val="21"/>
              </w:rPr>
              <w:t>6、技术服务</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我方提供协助接口申请服务。设备进行核验防疫信息查询接口是由绍兴市卫健委在</w:t>
            </w:r>
            <w:r>
              <w:rPr>
                <w:rFonts w:ascii="仿宋" w:hAnsi="仿宋" w:eastAsia="仿宋" w:cs="仿宋"/>
                <w:color w:val="000000"/>
                <w:kern w:val="0"/>
                <w:szCs w:val="21"/>
              </w:rPr>
              <w:t>IRS系统（一体化数字资源系统）进行申请，同时设备核验的通行数据保存在由卫健委申请的政务网服务器内并进行本地化部署，这样不仅可以保障通行数据（姓名、身份证号、手机号、健康码状态、核酸数据、疫苗数据）不外泄还可以保证用户隐私数据（通行人员的的姓名、身份证号、手机号）的绝对安全。</w:t>
            </w:r>
          </w:p>
        </w:tc>
        <w:tc>
          <w:tcPr>
            <w:tcW w:w="357"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套</w:t>
            </w:r>
          </w:p>
        </w:tc>
        <w:tc>
          <w:tcPr>
            <w:tcW w:w="358" w:type="pct"/>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r>
    </w:tbl>
    <w:p>
      <w:pPr>
        <w:widowControl/>
        <w:jc w:val="left"/>
        <w:rPr>
          <w:rFonts w:ascii="仿宋" w:hAnsi="仿宋" w:eastAsia="仿宋" w:cs="仿宋"/>
          <w:b/>
          <w:color w:val="000000"/>
          <w:kern w:val="0"/>
          <w:szCs w:val="21"/>
        </w:rPr>
      </w:pPr>
      <w:r>
        <w:rPr>
          <w:rFonts w:hint="eastAsia" w:ascii="仿宋" w:hAnsi="仿宋" w:eastAsia="仿宋" w:cs="仿宋"/>
          <w:b/>
          <w:bCs/>
          <w:color w:val="000000"/>
          <w:szCs w:val="21"/>
        </w:rPr>
        <w:t>三</w:t>
      </w:r>
      <w:r>
        <w:rPr>
          <w:rFonts w:hint="eastAsia" w:ascii="仿宋" w:hAnsi="仿宋" w:eastAsia="仿宋" w:cs="仿宋"/>
          <w:b/>
          <w:color w:val="000000"/>
          <w:kern w:val="0"/>
          <w:szCs w:val="21"/>
        </w:rPr>
        <w:t>、付款方式</w:t>
      </w:r>
    </w:p>
    <w:p>
      <w:pPr>
        <w:spacing w:line="360" w:lineRule="auto"/>
        <w:ind w:firstLine="315" w:firstLineChars="150"/>
        <w:rPr>
          <w:rFonts w:ascii="仿宋" w:hAnsi="仿宋" w:eastAsia="仿宋" w:cs="仿宋"/>
          <w:szCs w:val="21"/>
        </w:rPr>
      </w:pPr>
      <w:r>
        <w:rPr>
          <w:rFonts w:hint="eastAsia" w:ascii="仿宋" w:hAnsi="仿宋" w:eastAsia="仿宋" w:cs="仿宋"/>
          <w:szCs w:val="21"/>
        </w:rPr>
        <w:t>抗疫期间，按照浙财采监[2020]3号文件和浙财采监〔2022〕3号文件要求执行，具体付款方式由双方协商后在合同中明确。</w:t>
      </w:r>
    </w:p>
    <w:p>
      <w:pPr>
        <w:widowControl/>
        <w:jc w:val="left"/>
        <w:rPr>
          <w:rFonts w:ascii="仿宋" w:hAnsi="仿宋" w:eastAsia="仿宋" w:cs="仿宋"/>
          <w:b/>
          <w:bCs/>
          <w:color w:val="000000"/>
          <w:szCs w:val="21"/>
        </w:rPr>
      </w:pPr>
      <w:r>
        <w:rPr>
          <w:rFonts w:hint="eastAsia" w:ascii="仿宋" w:hAnsi="仿宋" w:eastAsia="仿宋" w:cs="仿宋"/>
          <w:b/>
          <w:bCs/>
          <w:color w:val="000000"/>
          <w:szCs w:val="21"/>
        </w:rPr>
        <w:t>四、项目售后要求</w:t>
      </w:r>
    </w:p>
    <w:p>
      <w:pPr>
        <w:pStyle w:val="2"/>
        <w:ind w:firstLine="0" w:firstLineChars="0"/>
        <w:rPr>
          <w:rFonts w:ascii="仿宋" w:hAnsi="仿宋" w:eastAsia="仿宋" w:cs="仿宋"/>
          <w:sz w:val="21"/>
          <w:szCs w:val="21"/>
        </w:rPr>
      </w:pPr>
      <w:r>
        <w:rPr>
          <w:rFonts w:hint="eastAsia" w:ascii="仿宋" w:hAnsi="仿宋" w:eastAsia="仿宋" w:cs="仿宋"/>
          <w:sz w:val="21"/>
          <w:szCs w:val="21"/>
        </w:rPr>
        <w:t>2.1</w:t>
      </w:r>
      <w:bookmarkStart w:id="16" w:name="_Hlk526943987"/>
      <w:r>
        <w:rPr>
          <w:rFonts w:hint="eastAsia" w:ascii="仿宋" w:hAnsi="仿宋" w:eastAsia="仿宋" w:cs="仿宋"/>
          <w:sz w:val="21"/>
          <w:szCs w:val="21"/>
        </w:rPr>
        <w:t>本项目免费质保期为三年，从系统验收合格之日起计算。</w:t>
      </w:r>
    </w:p>
    <w:p>
      <w:pPr>
        <w:rPr>
          <w:rFonts w:ascii="仿宋" w:hAnsi="仿宋" w:eastAsia="仿宋" w:cs="仿宋"/>
          <w:szCs w:val="21"/>
          <w:lang w:val="zh-CN"/>
        </w:rPr>
      </w:pPr>
      <w:r>
        <w:rPr>
          <w:rFonts w:hint="eastAsia" w:ascii="仿宋" w:hAnsi="仿宋" w:eastAsia="仿宋" w:cs="仿宋"/>
          <w:szCs w:val="21"/>
          <w:lang w:val="zh-CN"/>
        </w:rPr>
        <w:t>2.2中标人需本项目配备技术服务团队，并提供三年以上质保期和承诺永久技术支持，包括各种突发事件采取应急措施等。</w:t>
      </w:r>
    </w:p>
    <w:p>
      <w:pPr>
        <w:spacing w:line="360" w:lineRule="auto"/>
        <w:rPr>
          <w:rFonts w:ascii="仿宋" w:hAnsi="仿宋" w:eastAsia="仿宋" w:cs="仿宋"/>
          <w:szCs w:val="21"/>
          <w:lang w:val="zh-CN"/>
        </w:rPr>
      </w:pPr>
      <w:r>
        <w:rPr>
          <w:rFonts w:hint="eastAsia" w:ascii="仿宋" w:hAnsi="仿宋" w:eastAsia="仿宋" w:cs="仿宋"/>
          <w:szCs w:val="21"/>
          <w:lang w:val="zh-CN"/>
        </w:rPr>
        <w:t>2.3质保期内的工作内容包括：应急维护；客户化修改；数据库优化；系统更新。</w:t>
      </w:r>
    </w:p>
    <w:p>
      <w:pPr>
        <w:spacing w:line="360" w:lineRule="auto"/>
        <w:rPr>
          <w:rFonts w:ascii="仿宋" w:hAnsi="仿宋" w:eastAsia="仿宋" w:cs="仿宋"/>
          <w:szCs w:val="21"/>
          <w:lang w:val="zh-CN"/>
        </w:rPr>
      </w:pPr>
      <w:r>
        <w:rPr>
          <w:rFonts w:hint="eastAsia" w:ascii="仿宋" w:hAnsi="仿宋" w:eastAsia="仿宋" w:cs="仿宋"/>
          <w:szCs w:val="21"/>
          <w:lang w:val="zh-CN"/>
        </w:rPr>
        <w:t>2.4质保期内的人员要求：售后服务人员须在接到维修电话后30分钟内进行技术响应，4小时内赶到现场，提供不间断的服务直到结束。</w:t>
      </w:r>
    </w:p>
    <w:p>
      <w:pPr>
        <w:pStyle w:val="2"/>
        <w:ind w:firstLine="0" w:firstLineChars="0"/>
        <w:rPr>
          <w:rFonts w:ascii="仿宋" w:hAnsi="仿宋" w:eastAsia="仿宋" w:cs="仿宋"/>
          <w:sz w:val="21"/>
          <w:szCs w:val="21"/>
        </w:rPr>
      </w:pPr>
      <w:r>
        <w:rPr>
          <w:rFonts w:hint="eastAsia" w:ascii="仿宋" w:hAnsi="仿宋" w:eastAsia="仿宋" w:cs="仿宋"/>
          <w:sz w:val="21"/>
          <w:szCs w:val="21"/>
        </w:rPr>
        <w:t>2.5非正常工作时间中标人接到维护电话后，中标人在1小时内派工程师到现场实施维护，及时排除软件故障，以保证医院业务工作正常运行。合同期内提供24小时技术电话支持（7x24）。所有费用由中标人承担。</w:t>
      </w:r>
      <w:bookmarkEnd w:id="16"/>
    </w:p>
    <w:p>
      <w:pPr>
        <w:pStyle w:val="2"/>
        <w:ind w:firstLine="316" w:firstLineChars="150"/>
        <w:rPr>
          <w:rFonts w:ascii="仿宋" w:hAnsi="仿宋" w:eastAsia="仿宋" w:cs="仿宋"/>
          <w:b/>
          <w:color w:val="000000"/>
          <w:sz w:val="21"/>
          <w:szCs w:val="21"/>
          <w:lang w:val="en-US"/>
        </w:rPr>
      </w:pPr>
      <w:r>
        <w:rPr>
          <w:rFonts w:hint="eastAsia" w:ascii="仿宋" w:hAnsi="仿宋" w:eastAsia="仿宋" w:cs="仿宋"/>
          <w:b/>
          <w:color w:val="000000"/>
          <w:sz w:val="21"/>
          <w:szCs w:val="21"/>
          <w:lang w:val="en-US"/>
        </w:rPr>
        <w:t>五、其他要求</w:t>
      </w:r>
    </w:p>
    <w:p>
      <w:pPr>
        <w:widowControl/>
        <w:spacing w:line="360" w:lineRule="auto"/>
        <w:ind w:firstLine="315" w:firstLineChars="150"/>
        <w:rPr>
          <w:rFonts w:ascii="仿宋" w:hAnsi="仿宋" w:eastAsia="仿宋" w:cs="仿宋"/>
          <w:kern w:val="0"/>
          <w:szCs w:val="21"/>
        </w:rPr>
      </w:pPr>
      <w:r>
        <w:rPr>
          <w:rFonts w:hint="eastAsia" w:ascii="仿宋" w:hAnsi="仿宋" w:eastAsia="仿宋" w:cs="仿宋"/>
          <w:kern w:val="0"/>
          <w:szCs w:val="21"/>
        </w:rPr>
        <w:t>1、中标单位无条件配合我院电子病历评级、互联互通成熟度测评和智慧医院工作；</w:t>
      </w:r>
    </w:p>
    <w:p>
      <w:pPr>
        <w:widowControl/>
        <w:spacing w:line="360" w:lineRule="auto"/>
        <w:ind w:firstLine="315" w:firstLineChars="150"/>
        <w:rPr>
          <w:rFonts w:ascii="仿宋" w:hAnsi="仿宋" w:eastAsia="仿宋" w:cs="仿宋"/>
          <w:kern w:val="0"/>
          <w:szCs w:val="21"/>
        </w:rPr>
      </w:pPr>
      <w:r>
        <w:rPr>
          <w:rFonts w:hint="eastAsia" w:ascii="仿宋" w:hAnsi="仿宋" w:eastAsia="仿宋" w:cs="仿宋"/>
          <w:kern w:val="0"/>
          <w:szCs w:val="21"/>
        </w:rPr>
        <w:t>2、中标单位无条件接受我院通过招标决定的信息化监理公司对项目做全流程全链条监控，监理费用为项目中标价的2.78%，监理费用由中标单位负担；</w:t>
      </w:r>
    </w:p>
    <w:p>
      <w:pPr>
        <w:widowControl/>
        <w:spacing w:line="360" w:lineRule="auto"/>
        <w:ind w:firstLine="315" w:firstLineChars="150"/>
        <w:rPr>
          <w:rFonts w:ascii="仿宋" w:hAnsi="仿宋" w:eastAsia="仿宋" w:cs="仿宋"/>
          <w:kern w:val="0"/>
          <w:szCs w:val="21"/>
        </w:rPr>
      </w:pPr>
      <w:r>
        <w:rPr>
          <w:rFonts w:hint="eastAsia" w:ascii="仿宋" w:hAnsi="仿宋" w:eastAsia="仿宋" w:cs="仿宋"/>
          <w:kern w:val="0"/>
          <w:szCs w:val="21"/>
        </w:rPr>
        <w:t>3、项目验收所需费用由中标单位承担。</w:t>
      </w:r>
    </w:p>
    <w:p>
      <w:pPr>
        <w:pStyle w:val="290"/>
        <w:spacing w:before="120" w:after="120" w:line="240" w:lineRule="auto"/>
        <w:ind w:firstLine="422"/>
        <w:rPr>
          <w:rFonts w:ascii="仿宋" w:hAnsi="仿宋" w:eastAsia="仿宋" w:cs="仿宋"/>
          <w:b/>
          <w:sz w:val="21"/>
          <w:szCs w:val="21"/>
        </w:rPr>
      </w:pPr>
    </w:p>
    <w:bookmarkEnd w:id="14"/>
    <w:bookmarkEnd w:id="15"/>
    <w:p>
      <w:pPr>
        <w:snapToGrid w:val="0"/>
        <w:spacing w:before="120" w:after="120" w:line="360" w:lineRule="auto"/>
        <w:ind w:firstLine="482" w:firstLineChars="200"/>
        <w:rPr>
          <w:rFonts w:ascii="仿宋" w:hAnsi="仿宋" w:eastAsia="仿宋" w:cs="仿宋"/>
          <w:b/>
          <w:bCs/>
          <w:sz w:val="24"/>
        </w:rPr>
      </w:pPr>
    </w:p>
    <w:bookmarkEnd w:id="7"/>
    <w:bookmarkEnd w:id="12"/>
    <w:bookmarkEnd w:id="13"/>
    <w:p>
      <w:pPr>
        <w:pStyle w:val="24"/>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第四部分  政府采购合同参考范本</w:t>
      </w:r>
    </w:p>
    <w:p>
      <w:pPr>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283"/>
        <w:rPr>
          <w:rFonts w:ascii="仿宋" w:hAnsi="仿宋" w:eastAsia="仿宋" w:cs="仿宋"/>
          <w:szCs w:val="24"/>
        </w:rPr>
      </w:pPr>
    </w:p>
    <w:p>
      <w:pPr>
        <w:pStyle w:val="283"/>
        <w:rPr>
          <w:rFonts w:ascii="仿宋" w:hAnsi="仿宋" w:eastAsia="仿宋" w:cs="仿宋"/>
          <w:szCs w:val="24"/>
        </w:rPr>
      </w:pPr>
    </w:p>
    <w:p>
      <w:pPr>
        <w:pStyle w:val="283"/>
        <w:jc w:val="center"/>
        <w:rPr>
          <w:rFonts w:ascii="仿宋" w:hAnsi="仿宋" w:eastAsia="仿宋" w:cs="仿宋"/>
          <w:szCs w:val="24"/>
        </w:rPr>
      </w:pPr>
    </w:p>
    <w:p>
      <w:pPr>
        <w:pStyle w:val="283"/>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283"/>
        <w:rPr>
          <w:rFonts w:ascii="仿宋" w:hAnsi="仿宋" w:eastAsia="仿宋" w:cs="仿宋"/>
          <w:szCs w:val="24"/>
        </w:rPr>
      </w:pPr>
    </w:p>
    <w:p>
      <w:pPr>
        <w:pStyle w:val="283"/>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282"/>
        <w:spacing w:before="120" w:line="22" w:lineRule="atLeast"/>
        <w:rPr>
          <w:rFonts w:ascii="仿宋" w:hAnsi="仿宋" w:eastAsia="仿宋" w:cs="仿宋"/>
          <w:szCs w:val="24"/>
        </w:rPr>
      </w:pPr>
    </w:p>
    <w:p>
      <w:pPr>
        <w:pStyle w:val="282"/>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7" w:name="_Toc24059"/>
      <w:bookmarkStart w:id="18" w:name="_Toc2232"/>
      <w:bookmarkStart w:id="19" w:name="_Toc3029"/>
      <w:r>
        <w:rPr>
          <w:rFonts w:hint="eastAsia" w:ascii="仿宋" w:hAnsi="仿宋" w:eastAsia="仿宋" w:cs="仿宋"/>
          <w:b/>
          <w:sz w:val="24"/>
        </w:rPr>
        <w:t>1.1 合同组成部分</w:t>
      </w:r>
      <w:bookmarkEnd w:id="17"/>
      <w:bookmarkEnd w:id="18"/>
      <w:bookmarkEnd w:id="19"/>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20" w:name="_Toc21295"/>
      <w:bookmarkStart w:id="21" w:name="_Toc24300"/>
      <w:bookmarkStart w:id="22" w:name="_Toc27126"/>
      <w:r>
        <w:rPr>
          <w:rFonts w:hint="eastAsia" w:ascii="仿宋" w:hAnsi="仿宋" w:eastAsia="仿宋" w:cs="仿宋"/>
          <w:b/>
          <w:sz w:val="24"/>
        </w:rPr>
        <w:t>1.2 货物</w:t>
      </w:r>
      <w:bookmarkEnd w:id="20"/>
      <w:bookmarkEnd w:id="21"/>
      <w:bookmarkEnd w:id="22"/>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1.2.3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3" w:name="_Toc21551"/>
      <w:bookmarkStart w:id="24" w:name="_Toc21631"/>
      <w:bookmarkStart w:id="25" w:name="_Toc23292"/>
      <w:r>
        <w:rPr>
          <w:rFonts w:hint="eastAsia" w:ascii="仿宋" w:hAnsi="仿宋" w:eastAsia="仿宋" w:cs="仿宋"/>
          <w:b/>
          <w:sz w:val="24"/>
        </w:rPr>
        <w:t>1.3 价款</w:t>
      </w:r>
      <w:bookmarkEnd w:id="23"/>
      <w:bookmarkEnd w:id="24"/>
      <w:bookmarkEnd w:id="25"/>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6" w:name="_Toc22618"/>
      <w:bookmarkStart w:id="27" w:name="_Toc1814"/>
      <w:bookmarkStart w:id="28" w:name="_Toc10340"/>
      <w:r>
        <w:rPr>
          <w:rFonts w:hint="eastAsia" w:ascii="仿宋" w:hAnsi="仿宋" w:eastAsia="仿宋" w:cs="仿宋"/>
          <w:b/>
          <w:sz w:val="24"/>
        </w:rPr>
        <w:t>1.4 付款</w:t>
      </w:r>
      <w:bookmarkEnd w:id="26"/>
      <w:bookmarkEnd w:id="27"/>
      <w:bookmarkEnd w:id="28"/>
      <w:r>
        <w:rPr>
          <w:rFonts w:hint="eastAsia" w:ascii="仿宋" w:hAnsi="仿宋" w:eastAsia="仿宋" w:cs="仿宋"/>
          <w:b/>
          <w:sz w:val="24"/>
        </w:rPr>
        <w:t>方式、时间和条件</w:t>
      </w:r>
    </w:p>
    <w:p>
      <w:pPr>
        <w:pStyle w:val="284"/>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bookmarkStart w:id="29" w:name="_Toc2846"/>
      <w:bookmarkStart w:id="30" w:name="_Toc19304"/>
      <w:bookmarkStart w:id="31" w:name="_Toc32071"/>
      <w:r>
        <w:rPr>
          <w:rFonts w:hint="eastAsia" w:ascii="仿宋" w:hAnsi="仿宋" w:eastAsia="仿宋" w:cs="仿宋"/>
          <w:b/>
          <w:sz w:val="24"/>
        </w:rPr>
        <w:t>1.5 货物交付期限、地点和方式</w:t>
      </w:r>
      <w:bookmarkEnd w:id="29"/>
      <w:bookmarkEnd w:id="30"/>
      <w:bookmarkEnd w:id="31"/>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1.5.1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1.5.2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1.5.3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32" w:name="_Toc27250"/>
      <w:bookmarkStart w:id="33" w:name="_Toc19554"/>
      <w:bookmarkStart w:id="34" w:name="_Toc21423"/>
      <w:r>
        <w:rPr>
          <w:rFonts w:hint="eastAsia" w:ascii="仿宋" w:hAnsi="仿宋" w:eastAsia="仿宋" w:cs="仿宋"/>
          <w:b/>
          <w:sz w:val="24"/>
        </w:rPr>
        <w:t>1.6 违约责任</w:t>
      </w:r>
      <w:bookmarkEnd w:id="32"/>
      <w:bookmarkEnd w:id="33"/>
      <w:bookmarkEnd w:id="34"/>
    </w:p>
    <w:p>
      <w:pPr>
        <w:spacing w:line="560" w:lineRule="exact"/>
        <w:ind w:firstLine="480" w:firstLineChars="200"/>
        <w:rPr>
          <w:rFonts w:ascii="仿宋" w:hAnsi="仿宋" w:eastAsia="仿宋" w:cs="仿宋"/>
          <w:sz w:val="24"/>
        </w:rPr>
      </w:pPr>
      <w:r>
        <w:rPr>
          <w:rFonts w:hint="eastAsia" w:ascii="仿宋" w:hAnsi="仿宋" w:eastAsia="仿宋" w:cs="仿宋"/>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1.6.7违约责任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5" w:name="_Toc15583"/>
      <w:bookmarkStart w:id="36" w:name="_Toc28375"/>
      <w:bookmarkStart w:id="37" w:name="_Toc16021"/>
      <w:r>
        <w:rPr>
          <w:rFonts w:hint="eastAsia" w:ascii="仿宋" w:hAnsi="仿宋" w:eastAsia="仿宋" w:cs="仿宋"/>
          <w:b/>
          <w:sz w:val="24"/>
        </w:rPr>
        <w:t>1.7 合同争议的解决</w:t>
      </w:r>
      <w:bookmarkEnd w:id="35"/>
      <w:bookmarkEnd w:id="36"/>
      <w:bookmarkEnd w:id="37"/>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8" w:name="_Toc7245"/>
      <w:bookmarkStart w:id="39" w:name="_Toc11173"/>
      <w:bookmarkStart w:id="40" w:name="_Toc15322"/>
      <w:r>
        <w:rPr>
          <w:rFonts w:hint="eastAsia" w:ascii="仿宋" w:hAnsi="仿宋" w:eastAsia="仿宋" w:cs="仿宋"/>
          <w:b/>
          <w:sz w:val="24"/>
        </w:rPr>
        <w:t>1.8 合同生效</w:t>
      </w:r>
      <w:bookmarkEnd w:id="38"/>
      <w:bookmarkEnd w:id="39"/>
      <w:bookmarkEnd w:id="40"/>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spacing w:line="560" w:lineRule="exact"/>
        <w:jc w:val="left"/>
        <w:rPr>
          <w:rFonts w:ascii="仿宋" w:hAnsi="仿宋" w:eastAsia="仿宋" w:cs="仿宋"/>
          <w:b/>
          <w:sz w:val="24"/>
        </w:rPr>
      </w:pPr>
      <w:bookmarkStart w:id="41" w:name="_Toc331685783"/>
    </w:p>
    <w:p>
      <w:pPr>
        <w:pStyle w:val="283"/>
        <w:pageBreakBefore/>
        <w:spacing w:line="560" w:lineRule="exact"/>
        <w:ind w:firstLine="723"/>
        <w:jc w:val="center"/>
        <w:rPr>
          <w:rFonts w:ascii="仿宋" w:hAnsi="仿宋" w:eastAsia="仿宋" w:cs="仿宋"/>
          <w:b/>
          <w:sz w:val="36"/>
          <w:szCs w:val="36"/>
        </w:rPr>
      </w:pPr>
      <w:r>
        <w:rPr>
          <w:rFonts w:hint="eastAsia" w:ascii="仿宋" w:hAnsi="仿宋" w:eastAsia="仿宋" w:cs="仿宋"/>
          <w:b/>
          <w:sz w:val="36"/>
          <w:szCs w:val="36"/>
        </w:rPr>
        <w:t>第二部分 合同一般条款</w:t>
      </w:r>
      <w:bookmarkEnd w:id="41"/>
    </w:p>
    <w:p>
      <w:pPr>
        <w:spacing w:line="560" w:lineRule="exact"/>
        <w:ind w:firstLine="482" w:firstLineChars="200"/>
        <w:outlineLvl w:val="0"/>
        <w:rPr>
          <w:rFonts w:ascii="仿宋" w:hAnsi="仿宋" w:eastAsia="仿宋" w:cs="仿宋"/>
          <w:b/>
          <w:sz w:val="24"/>
        </w:rPr>
      </w:pPr>
      <w:bookmarkStart w:id="42" w:name="_Ref467379195"/>
      <w:bookmarkStart w:id="43" w:name="_Ref467379214"/>
      <w:bookmarkStart w:id="44" w:name="_Ref467378463"/>
      <w:bookmarkStart w:id="45" w:name="_Ref467378404"/>
      <w:bookmarkStart w:id="46" w:name="_Ref467378499"/>
      <w:bookmarkStart w:id="47" w:name="_Ref467379205"/>
      <w:bookmarkStart w:id="48" w:name="_Ref467379101"/>
      <w:bookmarkStart w:id="49" w:name="_Toc19614"/>
      <w:bookmarkStart w:id="50" w:name="_Ref467379225"/>
      <w:bookmarkStart w:id="51" w:name="_Ref467379094"/>
      <w:bookmarkStart w:id="52" w:name="_Ref467379109"/>
      <w:bookmarkStart w:id="53" w:name="_Toc16917"/>
      <w:bookmarkStart w:id="54" w:name="_Toc279701240"/>
      <w:bookmarkStart w:id="55" w:name="_Toc259093669"/>
      <w:bookmarkStart w:id="56" w:name="_Toc487900349"/>
      <w:bookmarkStart w:id="57" w:name="_Toc28763"/>
      <w:r>
        <w:rPr>
          <w:rFonts w:hint="eastAsia" w:ascii="仿宋" w:hAnsi="仿宋" w:eastAsia="仿宋" w:cs="仿宋"/>
          <w:b/>
          <w:sz w:val="24"/>
        </w:rPr>
        <w:t>2.1 定义</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58" w:name="_Ref467378840"/>
      <w:r>
        <w:rPr>
          <w:rFonts w:hint="eastAsia" w:ascii="仿宋" w:hAnsi="仿宋" w:eastAsia="仿宋" w:cs="仿宋"/>
          <w:sz w:val="24"/>
        </w:rPr>
        <w:t>2.1.4 “甲方”系指与中标供应商签署合同的采购人</w:t>
      </w:r>
      <w:bookmarkEnd w:id="58"/>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9" w:name="_Ref467379400"/>
      <w:r>
        <w:rPr>
          <w:rFonts w:hint="eastAsia" w:ascii="仿宋" w:hAnsi="仿宋" w:eastAsia="仿宋" w:cs="仿宋"/>
          <w:sz w:val="24"/>
        </w:rPr>
        <w:t>2.1.5 “乙方”系指根据合同约定交付货物的中标供应商</w:t>
      </w:r>
      <w:bookmarkEnd w:id="59"/>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60" w:name="_Ref467379436"/>
      <w:r>
        <w:rPr>
          <w:rFonts w:hint="eastAsia" w:ascii="仿宋" w:hAnsi="仿宋" w:eastAsia="仿宋" w:cs="仿宋"/>
          <w:sz w:val="24"/>
        </w:rPr>
        <w:t>2.1.6 “现场”系指合同约定货物将要运至或者安装的地点。</w:t>
      </w:r>
      <w:bookmarkEnd w:id="60"/>
    </w:p>
    <w:p>
      <w:pPr>
        <w:spacing w:line="560" w:lineRule="exact"/>
        <w:ind w:firstLine="482" w:firstLineChars="200"/>
        <w:outlineLvl w:val="0"/>
        <w:rPr>
          <w:rFonts w:ascii="仿宋" w:hAnsi="仿宋" w:eastAsia="仿宋" w:cs="仿宋"/>
          <w:b/>
          <w:sz w:val="24"/>
        </w:rPr>
      </w:pPr>
      <w:bookmarkStart w:id="61" w:name="_Toc487900350"/>
      <w:bookmarkStart w:id="62" w:name="_Toc27635"/>
      <w:bookmarkStart w:id="63" w:name="_Toc13336"/>
      <w:bookmarkStart w:id="64" w:name="_Toc259093670"/>
      <w:bookmarkStart w:id="65" w:name="_Toc32504"/>
      <w:bookmarkStart w:id="66" w:name="_Toc279701241"/>
      <w:r>
        <w:rPr>
          <w:rFonts w:hint="eastAsia" w:ascii="仿宋" w:hAnsi="仿宋" w:eastAsia="仿宋" w:cs="仿宋"/>
          <w:b/>
          <w:sz w:val="24"/>
        </w:rPr>
        <w:t>2.2 技术规范</w:t>
      </w:r>
      <w:bookmarkEnd w:id="61"/>
      <w:bookmarkEnd w:id="62"/>
      <w:bookmarkEnd w:id="63"/>
      <w:bookmarkEnd w:id="64"/>
      <w:bookmarkEnd w:id="65"/>
      <w:bookmarkEnd w:id="66"/>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7" w:name="_Toc259093671"/>
      <w:bookmarkStart w:id="68" w:name="_Toc27853"/>
      <w:bookmarkStart w:id="69" w:name="_Toc279701242"/>
      <w:bookmarkStart w:id="70" w:name="_Toc9829"/>
      <w:bookmarkStart w:id="71" w:name="_Toc31634"/>
      <w:bookmarkStart w:id="72" w:name="_Toc487900351"/>
      <w:r>
        <w:rPr>
          <w:rFonts w:hint="eastAsia" w:ascii="仿宋" w:hAnsi="仿宋" w:eastAsia="仿宋" w:cs="仿宋"/>
          <w:b/>
          <w:sz w:val="24"/>
        </w:rPr>
        <w:t>2.3 知识产权</w:t>
      </w:r>
      <w:bookmarkEnd w:id="67"/>
      <w:bookmarkEnd w:id="68"/>
      <w:bookmarkEnd w:id="69"/>
      <w:bookmarkEnd w:id="70"/>
      <w:bookmarkEnd w:id="71"/>
      <w:bookmarkEnd w:id="72"/>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3" w:name="_Toc4194"/>
      <w:bookmarkStart w:id="74" w:name="_Toc29149"/>
      <w:bookmarkStart w:id="75" w:name="_Toc11932"/>
      <w:r>
        <w:rPr>
          <w:rFonts w:hint="eastAsia" w:ascii="仿宋" w:hAnsi="仿宋" w:eastAsia="仿宋" w:cs="仿宋"/>
          <w:b/>
          <w:sz w:val="24"/>
        </w:rPr>
        <w:t>2.4 包装和装运</w:t>
      </w:r>
      <w:bookmarkEnd w:id="73"/>
      <w:bookmarkEnd w:id="74"/>
      <w:bookmarkEnd w:id="75"/>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6" w:name="_Ref467378591"/>
      <w:bookmarkStart w:id="77" w:name="_Ref467378541"/>
      <w:bookmarkStart w:id="78" w:name="_Toc487900354"/>
      <w:bookmarkStart w:id="79" w:name="_Ref467379536"/>
      <w:bookmarkStart w:id="80" w:name="_Toc259093674"/>
      <w:bookmarkStart w:id="81" w:name="_Toc279701245"/>
      <w:bookmarkStart w:id="82" w:name="_Ref467379542"/>
      <w:bookmarkStart w:id="83" w:name="_Ref467379527"/>
      <w:bookmarkStart w:id="84" w:name="_Toc26182"/>
      <w:bookmarkStart w:id="85" w:name="_Toc30272"/>
      <w:bookmarkStart w:id="86" w:name="_Toc19074"/>
      <w:r>
        <w:rPr>
          <w:rFonts w:hint="eastAsia" w:ascii="仿宋" w:hAnsi="仿宋" w:eastAsia="仿宋" w:cs="仿宋"/>
          <w:b/>
          <w:sz w:val="24"/>
        </w:rPr>
        <w:t>2.</w:t>
      </w:r>
      <w:bookmarkEnd w:id="76"/>
      <w:bookmarkEnd w:id="77"/>
      <w:bookmarkEnd w:id="78"/>
      <w:bookmarkEnd w:id="79"/>
      <w:bookmarkEnd w:id="80"/>
      <w:bookmarkEnd w:id="81"/>
      <w:bookmarkEnd w:id="82"/>
      <w:bookmarkEnd w:id="83"/>
      <w:r>
        <w:rPr>
          <w:rFonts w:hint="eastAsia" w:ascii="仿宋" w:hAnsi="仿宋" w:eastAsia="仿宋" w:cs="仿宋"/>
          <w:b/>
          <w:sz w:val="24"/>
        </w:rPr>
        <w:t>5 履约检查和问题反馈</w:t>
      </w:r>
      <w:bookmarkEnd w:id="84"/>
      <w:bookmarkEnd w:id="85"/>
      <w:bookmarkEnd w:id="86"/>
    </w:p>
    <w:p>
      <w:pPr>
        <w:spacing w:line="560" w:lineRule="exact"/>
        <w:ind w:firstLine="480" w:firstLineChars="200"/>
        <w:rPr>
          <w:rFonts w:ascii="仿宋" w:hAnsi="仿宋" w:eastAsia="仿宋" w:cs="仿宋"/>
          <w:sz w:val="24"/>
        </w:rPr>
      </w:pPr>
      <w:bookmarkStart w:id="87" w:name="_Ref467379657"/>
      <w:r>
        <w:rPr>
          <w:rFonts w:hint="eastAsia" w:ascii="仿宋" w:hAnsi="仿宋" w:eastAsia="仿宋" w:cs="仿宋"/>
          <w:sz w:val="24"/>
        </w:rPr>
        <w:t>2.5.1</w:t>
      </w:r>
      <w:bookmarkEnd w:id="87"/>
      <w:bookmarkStart w:id="88" w:name="_Toc186431854"/>
      <w:bookmarkStart w:id="89" w:name="_Toc487900357"/>
      <w:bookmarkStart w:id="90" w:name="_Toc259093676"/>
      <w:bookmarkStart w:id="91" w:name="_Ref467379807"/>
      <w:bookmarkStart w:id="92" w:name="_Ref467379793"/>
      <w:bookmarkStart w:id="93"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8"/>
      <w:bookmarkStart w:id="94" w:name="_Toc186431855"/>
      <w:r>
        <w:rPr>
          <w:rFonts w:hint="eastAsia" w:ascii="仿宋" w:hAnsi="仿宋" w:eastAsia="仿宋" w:cs="仿宋"/>
          <w:sz w:val="24"/>
        </w:rPr>
        <w:t>。</w:t>
      </w:r>
    </w:p>
    <w:bookmarkEnd w:id="89"/>
    <w:bookmarkEnd w:id="90"/>
    <w:bookmarkEnd w:id="91"/>
    <w:bookmarkEnd w:id="92"/>
    <w:bookmarkEnd w:id="93"/>
    <w:bookmarkEnd w:id="94"/>
    <w:p>
      <w:pPr>
        <w:spacing w:line="560" w:lineRule="exact"/>
        <w:ind w:firstLine="482" w:firstLineChars="200"/>
        <w:outlineLvl w:val="0"/>
        <w:rPr>
          <w:rFonts w:ascii="仿宋" w:hAnsi="仿宋" w:eastAsia="仿宋" w:cs="仿宋"/>
          <w:b/>
          <w:sz w:val="24"/>
        </w:rPr>
      </w:pPr>
      <w:bookmarkStart w:id="95" w:name="_Ref467379923"/>
      <w:bookmarkStart w:id="96" w:name="_Toc259093677"/>
      <w:bookmarkStart w:id="97" w:name="_Toc487900358"/>
      <w:bookmarkStart w:id="98" w:name="_Toc279701248"/>
      <w:bookmarkStart w:id="99" w:name="_Ref467379863"/>
      <w:bookmarkStart w:id="100" w:name="_Ref467379852"/>
      <w:bookmarkStart w:id="101" w:name="_Toc16110"/>
      <w:bookmarkStart w:id="102" w:name="_Toc3225"/>
      <w:bookmarkStart w:id="103" w:name="_Toc774"/>
      <w:r>
        <w:rPr>
          <w:rFonts w:hint="eastAsia" w:ascii="仿宋" w:hAnsi="仿宋" w:eastAsia="仿宋" w:cs="仿宋"/>
          <w:b/>
          <w:sz w:val="24"/>
        </w:rPr>
        <w:t>2.6 技术资料</w:t>
      </w:r>
      <w:bookmarkEnd w:id="95"/>
      <w:bookmarkEnd w:id="96"/>
      <w:bookmarkEnd w:id="97"/>
      <w:bookmarkEnd w:id="98"/>
      <w:bookmarkEnd w:id="99"/>
      <w:bookmarkEnd w:id="100"/>
      <w:r>
        <w:rPr>
          <w:rFonts w:hint="eastAsia" w:ascii="仿宋" w:hAnsi="仿宋" w:eastAsia="仿宋" w:cs="仿宋"/>
          <w:b/>
          <w:sz w:val="24"/>
        </w:rPr>
        <w:t>和保密义务</w:t>
      </w:r>
      <w:bookmarkEnd w:id="101"/>
      <w:bookmarkEnd w:id="102"/>
      <w:bookmarkEnd w:id="103"/>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4" w:name="_Toc7860"/>
      <w:r>
        <w:rPr>
          <w:rFonts w:hint="eastAsia" w:ascii="仿宋" w:hAnsi="仿宋" w:eastAsia="仿宋" w:cs="仿宋"/>
          <w:b/>
          <w:sz w:val="24"/>
        </w:rPr>
        <w:t>2.7 质量保证</w:t>
      </w:r>
      <w:bookmarkEnd w:id="104"/>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5" w:name="_Toc17244"/>
      <w:bookmarkStart w:id="106" w:name="_Toc259093681"/>
      <w:bookmarkStart w:id="107" w:name="_Toc487900362"/>
      <w:bookmarkStart w:id="108" w:name="_Toc279701252"/>
      <w:r>
        <w:rPr>
          <w:rFonts w:hint="eastAsia" w:ascii="仿宋" w:hAnsi="仿宋" w:eastAsia="仿宋" w:cs="仿宋"/>
          <w:b/>
          <w:sz w:val="24"/>
        </w:rPr>
        <w:t>2.8 货物的风险负担</w:t>
      </w:r>
      <w:bookmarkEnd w:id="105"/>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9" w:name="_Toc14055"/>
      <w:r>
        <w:rPr>
          <w:rFonts w:hint="eastAsia" w:ascii="仿宋" w:hAnsi="仿宋" w:eastAsia="仿宋" w:cs="仿宋"/>
          <w:b/>
          <w:sz w:val="24"/>
        </w:rPr>
        <w:t>2.9 延迟交货</w:t>
      </w:r>
      <w:bookmarkEnd w:id="106"/>
      <w:bookmarkEnd w:id="107"/>
      <w:bookmarkEnd w:id="108"/>
      <w:bookmarkEnd w:id="109"/>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10" w:name="_Toc7502"/>
      <w:bookmarkStart w:id="111" w:name="_Toc279701254"/>
      <w:bookmarkStart w:id="112" w:name="_Toc487900364"/>
      <w:bookmarkStart w:id="113" w:name="_Toc259093683"/>
      <w:bookmarkStart w:id="114" w:name="_Ref467378121"/>
      <w:r>
        <w:rPr>
          <w:rFonts w:hint="eastAsia" w:ascii="仿宋" w:hAnsi="仿宋" w:eastAsia="仿宋" w:cs="仿宋"/>
          <w:b/>
          <w:sz w:val="24"/>
        </w:rPr>
        <w:t>2.10 合同变更</w:t>
      </w:r>
      <w:bookmarkEnd w:id="110"/>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5" w:name="_Toc259093688"/>
      <w:bookmarkStart w:id="116" w:name="_Toc279701259"/>
      <w:bookmarkStart w:id="117" w:name="_Toc487900369"/>
    </w:p>
    <w:p>
      <w:pPr>
        <w:spacing w:line="560" w:lineRule="exact"/>
        <w:ind w:firstLine="482" w:firstLineChars="200"/>
        <w:outlineLvl w:val="0"/>
        <w:rPr>
          <w:rFonts w:ascii="仿宋" w:hAnsi="仿宋" w:eastAsia="仿宋" w:cs="仿宋"/>
          <w:b/>
          <w:sz w:val="24"/>
        </w:rPr>
      </w:pPr>
      <w:bookmarkStart w:id="118" w:name="_Toc22955"/>
      <w:bookmarkStart w:id="119" w:name="_Toc15237"/>
      <w:bookmarkStart w:id="120" w:name="_Toc10366"/>
      <w:r>
        <w:rPr>
          <w:rFonts w:hint="eastAsia" w:ascii="仿宋" w:hAnsi="仿宋" w:eastAsia="仿宋" w:cs="仿宋"/>
          <w:b/>
          <w:sz w:val="24"/>
        </w:rPr>
        <w:t>2.11 合同转让</w:t>
      </w:r>
      <w:bookmarkEnd w:id="115"/>
      <w:bookmarkEnd w:id="116"/>
      <w:bookmarkEnd w:id="117"/>
      <w:r>
        <w:rPr>
          <w:rFonts w:hint="eastAsia" w:ascii="仿宋" w:hAnsi="仿宋" w:eastAsia="仿宋" w:cs="仿宋"/>
          <w:b/>
          <w:sz w:val="24"/>
        </w:rPr>
        <w:t>和分包</w:t>
      </w:r>
      <w:bookmarkEnd w:id="118"/>
      <w:bookmarkEnd w:id="119"/>
      <w:bookmarkEnd w:id="120"/>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21" w:name="_Toc16508"/>
      <w:bookmarkStart w:id="122" w:name="_Toc14066"/>
      <w:bookmarkStart w:id="123" w:name="_Toc13566"/>
      <w:r>
        <w:rPr>
          <w:rFonts w:hint="eastAsia" w:ascii="仿宋" w:hAnsi="仿宋" w:eastAsia="仿宋" w:cs="仿宋"/>
          <w:b/>
          <w:sz w:val="24"/>
        </w:rPr>
        <w:t>2.12 不可抗力</w:t>
      </w:r>
      <w:bookmarkEnd w:id="121"/>
      <w:bookmarkEnd w:id="122"/>
      <w:bookmarkEnd w:id="123"/>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4" w:name="_Toc6969"/>
      <w:bookmarkStart w:id="125" w:name="_Toc30676"/>
      <w:bookmarkStart w:id="126" w:name="_Toc259093684"/>
      <w:bookmarkStart w:id="127" w:name="_Toc279701255"/>
      <w:bookmarkStart w:id="128" w:name="_Toc487900365"/>
      <w:bookmarkStart w:id="129" w:name="_Toc689"/>
      <w:r>
        <w:rPr>
          <w:rFonts w:hint="eastAsia" w:ascii="仿宋" w:hAnsi="仿宋" w:eastAsia="仿宋" w:cs="仿宋"/>
          <w:b/>
          <w:sz w:val="24"/>
        </w:rPr>
        <w:t>2.13 税费</w:t>
      </w:r>
      <w:bookmarkEnd w:id="124"/>
      <w:bookmarkEnd w:id="125"/>
      <w:bookmarkEnd w:id="126"/>
      <w:bookmarkEnd w:id="127"/>
      <w:bookmarkEnd w:id="128"/>
      <w:bookmarkEnd w:id="129"/>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30" w:name="_Toc259093687"/>
      <w:bookmarkStart w:id="131" w:name="_Toc8298"/>
      <w:bookmarkStart w:id="132" w:name="_Toc279701258"/>
      <w:bookmarkStart w:id="133" w:name="_Toc487900368"/>
      <w:bookmarkStart w:id="134" w:name="_Toc16959"/>
      <w:bookmarkStart w:id="135" w:name="_Toc7102"/>
      <w:r>
        <w:rPr>
          <w:rFonts w:hint="eastAsia" w:ascii="仿宋" w:hAnsi="仿宋" w:eastAsia="仿宋" w:cs="仿宋"/>
          <w:b/>
          <w:sz w:val="24"/>
        </w:rPr>
        <w:t>2.14乙方破产</w:t>
      </w:r>
      <w:bookmarkEnd w:id="130"/>
      <w:bookmarkEnd w:id="131"/>
      <w:bookmarkEnd w:id="132"/>
      <w:bookmarkEnd w:id="133"/>
      <w:bookmarkEnd w:id="134"/>
      <w:bookmarkEnd w:id="135"/>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6" w:name="_Toc6134"/>
      <w:bookmarkStart w:id="137" w:name="_Toc15387"/>
      <w:bookmarkStart w:id="138" w:name="_Toc29333"/>
      <w:r>
        <w:rPr>
          <w:rFonts w:hint="eastAsia" w:ascii="仿宋" w:hAnsi="仿宋" w:eastAsia="仿宋" w:cs="仿宋"/>
          <w:b/>
          <w:sz w:val="24"/>
        </w:rPr>
        <w:t>2.15 合同中止、终止</w:t>
      </w:r>
      <w:bookmarkEnd w:id="136"/>
      <w:bookmarkEnd w:id="137"/>
      <w:bookmarkEnd w:id="138"/>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9" w:name="_Toc6596"/>
      <w:bookmarkStart w:id="140" w:name="_Toc14563"/>
      <w:bookmarkStart w:id="141" w:name="_Toc1125"/>
      <w:r>
        <w:rPr>
          <w:rFonts w:hint="eastAsia" w:ascii="仿宋" w:hAnsi="仿宋" w:eastAsia="仿宋" w:cs="仿宋"/>
          <w:b/>
          <w:sz w:val="24"/>
        </w:rPr>
        <w:t>2.16检验和验收</w:t>
      </w:r>
      <w:bookmarkEnd w:id="139"/>
      <w:bookmarkEnd w:id="140"/>
      <w:bookmarkEnd w:id="141"/>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11"/>
    <w:bookmarkEnd w:id="112"/>
    <w:bookmarkEnd w:id="113"/>
    <w:bookmarkEnd w:id="114"/>
    <w:p>
      <w:pPr>
        <w:spacing w:line="560" w:lineRule="exact"/>
        <w:ind w:firstLine="482" w:firstLineChars="200"/>
        <w:outlineLvl w:val="0"/>
        <w:rPr>
          <w:rFonts w:ascii="仿宋" w:hAnsi="仿宋" w:eastAsia="仿宋" w:cs="仿宋"/>
          <w:b/>
          <w:sz w:val="24"/>
        </w:rPr>
      </w:pPr>
      <w:bookmarkStart w:id="142" w:name="_Toc259093690"/>
      <w:bookmarkStart w:id="143" w:name="_Toc279701261"/>
      <w:bookmarkStart w:id="144" w:name="_Toc487900371"/>
      <w:bookmarkStart w:id="145" w:name="_Toc25182"/>
      <w:bookmarkStart w:id="146" w:name="_Toc19604"/>
      <w:bookmarkStart w:id="147" w:name="_Toc11284"/>
      <w:r>
        <w:rPr>
          <w:rFonts w:hint="eastAsia" w:ascii="仿宋" w:hAnsi="仿宋" w:eastAsia="仿宋" w:cs="仿宋"/>
          <w:b/>
          <w:sz w:val="24"/>
        </w:rPr>
        <w:t>2.17 通知</w:t>
      </w:r>
      <w:bookmarkEnd w:id="142"/>
      <w:bookmarkEnd w:id="143"/>
      <w:bookmarkEnd w:id="144"/>
      <w:r>
        <w:rPr>
          <w:rFonts w:hint="eastAsia" w:ascii="仿宋" w:hAnsi="仿宋" w:eastAsia="仿宋" w:cs="仿宋"/>
          <w:b/>
          <w:sz w:val="24"/>
        </w:rPr>
        <w:t>和送达</w:t>
      </w:r>
      <w:bookmarkEnd w:id="145"/>
      <w:bookmarkEnd w:id="146"/>
      <w:bookmarkEnd w:id="147"/>
    </w:p>
    <w:p>
      <w:pPr>
        <w:spacing w:line="560" w:lineRule="exact"/>
        <w:ind w:firstLine="480" w:firstLineChars="200"/>
        <w:rPr>
          <w:rFonts w:ascii="仿宋" w:hAnsi="仿宋" w:eastAsia="仿宋" w:cs="仿宋"/>
          <w:sz w:val="24"/>
        </w:rPr>
      </w:pPr>
      <w:bookmarkStart w:id="148" w:name="_Toc3135"/>
      <w:bookmarkStart w:id="149" w:name="_Toc6698"/>
      <w:bookmarkStart w:id="150" w:name="_Toc279701262"/>
      <w:bookmarkStart w:id="151" w:name="_Toc259093691"/>
      <w:bookmarkStart w:id="152"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 xml:space="preserve">   </w:t>
      </w:r>
      <w:r>
        <w:rPr>
          <w:rFonts w:hint="eastAsia" w:ascii="仿宋" w:hAnsi="仿宋" w:eastAsia="仿宋" w:cs="仿宋"/>
          <w:sz w:val="24"/>
        </w:rPr>
        <w:t>个工作日内书面通知对方当事人，在对方当事人收到有关变更通知之前，变更前的约定送达方式或者地址仍视为有效。</w:t>
      </w:r>
      <w:bookmarkEnd w:id="148"/>
      <w:bookmarkEnd w:id="149"/>
    </w:p>
    <w:p>
      <w:pPr>
        <w:spacing w:line="560" w:lineRule="exact"/>
        <w:ind w:firstLine="480" w:firstLineChars="200"/>
        <w:rPr>
          <w:rFonts w:ascii="仿宋" w:hAnsi="仿宋" w:eastAsia="仿宋" w:cs="仿宋"/>
          <w:sz w:val="24"/>
        </w:rPr>
      </w:pPr>
      <w:bookmarkStart w:id="153" w:name="_Toc23128"/>
      <w:bookmarkStart w:id="154"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pPr>
        <w:spacing w:line="560" w:lineRule="exact"/>
        <w:ind w:firstLine="482" w:firstLineChars="200"/>
        <w:outlineLvl w:val="0"/>
        <w:rPr>
          <w:rFonts w:ascii="仿宋" w:hAnsi="仿宋" w:eastAsia="仿宋" w:cs="仿宋"/>
          <w:b/>
          <w:sz w:val="24"/>
        </w:rPr>
      </w:pPr>
      <w:bookmarkStart w:id="155" w:name="_Toc30599"/>
      <w:bookmarkStart w:id="156" w:name="_Toc4355"/>
      <w:bookmarkStart w:id="157" w:name="_Toc18540"/>
      <w:r>
        <w:rPr>
          <w:rFonts w:hint="eastAsia" w:ascii="仿宋" w:hAnsi="仿宋" w:eastAsia="仿宋" w:cs="仿宋"/>
          <w:b/>
          <w:sz w:val="24"/>
        </w:rPr>
        <w:t>2.18 计量单位</w:t>
      </w:r>
      <w:bookmarkEnd w:id="150"/>
      <w:bookmarkEnd w:id="151"/>
      <w:bookmarkEnd w:id="152"/>
      <w:bookmarkEnd w:id="155"/>
      <w:bookmarkEnd w:id="156"/>
      <w:bookmarkEnd w:id="157"/>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8" w:name="_Toc487900373"/>
      <w:bookmarkStart w:id="159" w:name="_Toc18567"/>
      <w:bookmarkStart w:id="160" w:name="_Toc259093692"/>
      <w:bookmarkStart w:id="161" w:name="_Toc279701263"/>
      <w:bookmarkStart w:id="162" w:name="_Toc12773"/>
      <w:bookmarkStart w:id="163" w:name="_Toc10330"/>
      <w:r>
        <w:rPr>
          <w:rFonts w:hint="eastAsia" w:ascii="仿宋" w:hAnsi="仿宋" w:eastAsia="仿宋" w:cs="仿宋"/>
          <w:b/>
          <w:sz w:val="24"/>
        </w:rPr>
        <w:t>2.19 合同使用的文字和适用的法律</w:t>
      </w:r>
      <w:bookmarkEnd w:id="158"/>
      <w:bookmarkEnd w:id="159"/>
      <w:bookmarkEnd w:id="160"/>
      <w:bookmarkEnd w:id="161"/>
      <w:bookmarkEnd w:id="162"/>
      <w:bookmarkEnd w:id="163"/>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4" w:name="_Toc12004"/>
      <w:bookmarkStart w:id="165" w:name="_Toc16673"/>
      <w:bookmarkStart w:id="166" w:name="_Toc259093693"/>
      <w:bookmarkStart w:id="167" w:name="_Toc279701264"/>
      <w:bookmarkStart w:id="168" w:name="_Toc3148"/>
      <w:bookmarkStart w:id="169" w:name="_Toc487900374"/>
      <w:r>
        <w:rPr>
          <w:rFonts w:hint="eastAsia" w:ascii="仿宋" w:hAnsi="仿宋" w:eastAsia="仿宋" w:cs="仿宋"/>
          <w:b/>
          <w:sz w:val="24"/>
        </w:rPr>
        <w:t>2.20 履约保证金</w:t>
      </w:r>
      <w:bookmarkEnd w:id="164"/>
      <w:bookmarkEnd w:id="165"/>
      <w:bookmarkEnd w:id="166"/>
      <w:bookmarkEnd w:id="167"/>
      <w:bookmarkEnd w:id="168"/>
    </w:p>
    <w:p>
      <w:pPr>
        <w:pStyle w:val="284"/>
        <w:spacing w:before="0" w:beforeAutospacing="0" w:after="0" w:afterAutospacing="0" w:line="360" w:lineRule="auto"/>
        <w:ind w:firstLine="420"/>
        <w:rPr>
          <w:rFonts w:ascii="仿宋" w:hAnsi="仿宋" w:eastAsia="仿宋" w:cs="仿宋"/>
        </w:rPr>
      </w:pPr>
      <w:r>
        <w:rPr>
          <w:rFonts w:hint="eastAsia" w:ascii="仿宋" w:hAnsi="仿宋" w:eastAsia="仿宋" w:cs="仿宋"/>
        </w:rPr>
        <w:t>2.20.1 采购文件要求乙方提交履约保证金的，乙方应按</w:t>
      </w:r>
      <w:r>
        <w:rPr>
          <w:rFonts w:hint="eastAsia" w:ascii="仿宋" w:hAnsi="仿宋" w:eastAsia="仿宋" w:cs="仿宋"/>
          <w:b/>
          <w:i/>
          <w:u w:val="single"/>
        </w:rPr>
        <w:t>合同专用条款</w:t>
      </w:r>
      <w:r>
        <w:rPr>
          <w:rFonts w:hint="eastAsia" w:ascii="仿宋" w:hAnsi="仿宋" w:eastAsia="仿宋" w:cs="仿宋"/>
        </w:rPr>
        <w:t>约定的方式，以支票、汇票、本票或者金融机构、担保机构出具的保函等非现金形式，提交不超过合同金额2.5%的履约保证金；鼓励和支持乙方以银行、保险公司出具的保函形式提供履约保证。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w:t>
      </w:r>
      <w:r>
        <w:rPr>
          <w:rFonts w:hint="eastAsia" w:ascii="仿宋" w:hAnsi="仿宋" w:eastAsia="仿宋" w:cs="仿宋"/>
          <w:sz w:val="24"/>
          <w:u w:val="single"/>
        </w:rPr>
        <w:t xml:space="preserve">   </w:t>
      </w:r>
      <w:r>
        <w:rPr>
          <w:rFonts w:hint="eastAsia" w:ascii="仿宋" w:hAnsi="仿宋" w:eastAsia="仿宋" w:cs="仿宋"/>
          <w:sz w:val="24"/>
        </w:rPr>
        <w:t>个工作日内，按</w:t>
      </w:r>
      <w:r>
        <w:rPr>
          <w:rFonts w:hint="eastAsia" w:ascii="仿宋" w:hAnsi="仿宋" w:eastAsia="仿宋" w:cs="仿宋"/>
          <w:b/>
          <w:i/>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9"/>
    <w:p>
      <w:pPr>
        <w:spacing w:line="560" w:lineRule="exact"/>
        <w:ind w:firstLine="482" w:firstLineChars="200"/>
        <w:outlineLvl w:val="0"/>
        <w:rPr>
          <w:rFonts w:ascii="仿宋" w:hAnsi="仿宋" w:eastAsia="仿宋" w:cs="仿宋"/>
          <w:b/>
          <w:sz w:val="24"/>
        </w:rPr>
      </w:pPr>
      <w:bookmarkStart w:id="170" w:name="_Toc14001"/>
      <w:bookmarkStart w:id="171" w:name="_Toc19890"/>
      <w:bookmarkStart w:id="172" w:name="_Toc6885"/>
      <w:r>
        <w:rPr>
          <w:rFonts w:hint="eastAsia" w:ascii="仿宋" w:hAnsi="仿宋" w:eastAsia="仿宋" w:cs="仿宋"/>
          <w:b/>
          <w:sz w:val="24"/>
        </w:rPr>
        <w:t>2.22合同份数</w:t>
      </w:r>
      <w:bookmarkEnd w:id="170"/>
      <w:bookmarkEnd w:id="171"/>
      <w:bookmarkEnd w:id="172"/>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pStyle w:val="283"/>
        <w:spacing w:line="560" w:lineRule="exact"/>
        <w:jc w:val="center"/>
        <w:rPr>
          <w:rFonts w:ascii="仿宋" w:hAnsi="仿宋" w:eastAsia="仿宋" w:cs="仿宋"/>
          <w:b/>
          <w:szCs w:val="24"/>
        </w:rPr>
      </w:pPr>
      <w:r>
        <w:rPr>
          <w:rFonts w:hint="eastAsia" w:ascii="仿宋" w:hAnsi="仿宋" w:eastAsia="仿宋" w:cs="仿宋"/>
          <w:kern w:val="0"/>
          <w:szCs w:val="24"/>
        </w:rPr>
        <w:br w:type="page"/>
      </w:r>
      <w:bookmarkStart w:id="173" w:name="_Toc331685784"/>
      <w:r>
        <w:rPr>
          <w:rFonts w:hint="eastAsia" w:ascii="仿宋" w:hAnsi="仿宋" w:eastAsia="仿宋" w:cs="仿宋"/>
          <w:b/>
          <w:szCs w:val="24"/>
        </w:rPr>
        <w:t xml:space="preserve"> </w:t>
      </w:r>
      <w:bookmarkEnd w:id="173"/>
      <w:r>
        <w:rPr>
          <w:rFonts w:hint="eastAsia" w:ascii="仿宋" w:hAnsi="仿宋" w:eastAsia="仿宋" w:cs="仿宋"/>
          <w:b/>
          <w:szCs w:val="24"/>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275"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2.20.1</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2.20.2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2.22 </w:t>
            </w:r>
          </w:p>
        </w:tc>
        <w:tc>
          <w:tcPr>
            <w:tcW w:w="8275" w:type="dxa"/>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pStyle w:val="24"/>
        <w:spacing w:line="800" w:lineRule="exact"/>
        <w:ind w:firstLine="723"/>
        <w:jc w:val="center"/>
        <w:rPr>
          <w:rFonts w:ascii="仿宋" w:hAnsi="仿宋" w:eastAsia="仿宋" w:cs="仿宋"/>
          <w:b/>
          <w:sz w:val="36"/>
          <w:szCs w:val="36"/>
        </w:rPr>
      </w:pPr>
    </w:p>
    <w:p>
      <w:pPr>
        <w:pStyle w:val="24"/>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2.1.商务技术分（70分）</w:t>
      </w:r>
    </w:p>
    <w:tbl>
      <w:tblPr>
        <w:tblStyle w:val="44"/>
        <w:tblW w:w="5000" w:type="pct"/>
        <w:tblInd w:w="0" w:type="dxa"/>
        <w:tblLayout w:type="fixed"/>
        <w:tblCellMar>
          <w:top w:w="0" w:type="dxa"/>
          <w:left w:w="108" w:type="dxa"/>
          <w:bottom w:w="0" w:type="dxa"/>
          <w:right w:w="108" w:type="dxa"/>
        </w:tblCellMar>
      </w:tblPr>
      <w:tblGrid>
        <w:gridCol w:w="569"/>
        <w:gridCol w:w="855"/>
        <w:gridCol w:w="7050"/>
        <w:gridCol w:w="812"/>
      </w:tblGrid>
      <w:tr>
        <w:tblPrEx>
          <w:tblCellMar>
            <w:top w:w="0" w:type="dxa"/>
            <w:left w:w="108" w:type="dxa"/>
            <w:bottom w:w="0" w:type="dxa"/>
            <w:right w:w="108" w:type="dxa"/>
          </w:tblCellMar>
        </w:tblPrEx>
        <w:trPr>
          <w:trHeight w:val="540" w:hRule="atLeast"/>
        </w:trPr>
        <w:tc>
          <w:tcPr>
            <w:tcW w:w="30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序号</w:t>
            </w:r>
          </w:p>
        </w:tc>
        <w:tc>
          <w:tcPr>
            <w:tcW w:w="460"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分类</w:t>
            </w:r>
          </w:p>
        </w:tc>
        <w:tc>
          <w:tcPr>
            <w:tcW w:w="3796"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评分标准</w:t>
            </w:r>
          </w:p>
        </w:tc>
        <w:tc>
          <w:tcPr>
            <w:tcW w:w="437"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分值（分）</w:t>
            </w:r>
          </w:p>
        </w:tc>
      </w:tr>
      <w:tr>
        <w:tblPrEx>
          <w:tblCellMar>
            <w:top w:w="0" w:type="dxa"/>
            <w:left w:w="108" w:type="dxa"/>
            <w:bottom w:w="0" w:type="dxa"/>
            <w:right w:w="108" w:type="dxa"/>
          </w:tblCellMar>
        </w:tblPrEx>
        <w:trPr>
          <w:trHeight w:val="1063" w:hRule="atLeast"/>
        </w:trPr>
        <w:tc>
          <w:tcPr>
            <w:tcW w:w="306" w:type="pct"/>
            <w:vMerge w:val="restart"/>
            <w:tcBorders>
              <w:top w:val="nil"/>
              <w:left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460" w:type="pct"/>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投标人实力</w:t>
            </w:r>
          </w:p>
        </w:tc>
        <w:tc>
          <w:tcPr>
            <w:tcW w:w="3796" w:type="pct"/>
            <w:tcBorders>
              <w:top w:val="nil"/>
              <w:left w:val="nil"/>
              <w:bottom w:val="single" w:color="auto" w:sz="4" w:space="0"/>
              <w:right w:val="single" w:color="auto" w:sz="4" w:space="0"/>
            </w:tcBorders>
            <w:vAlign w:val="center"/>
          </w:tcPr>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具有《ISO/IEC27001 信息安全管理体系认证证书》、《ISO/IEC 20000-1 信息技术服务管理体系认证证书》、《ISO14001环境管理体系认证证书》、《ISO9001质量管理体系认证证书》的，每项得</w:t>
            </w:r>
            <w:r>
              <w:rPr>
                <w:rFonts w:ascii="仿宋" w:hAnsi="仿宋" w:eastAsia="仿宋" w:cs="仿宋"/>
                <w:color w:val="000000"/>
                <w:kern w:val="0"/>
                <w:szCs w:val="21"/>
              </w:rPr>
              <w:t>1</w:t>
            </w:r>
            <w:r>
              <w:rPr>
                <w:rFonts w:hint="eastAsia" w:ascii="仿宋" w:hAnsi="仿宋" w:eastAsia="仿宋" w:cs="仿宋"/>
                <w:color w:val="000000"/>
                <w:kern w:val="0"/>
                <w:szCs w:val="21"/>
              </w:rPr>
              <w:t>分，最高得</w:t>
            </w:r>
            <w:r>
              <w:rPr>
                <w:rFonts w:ascii="仿宋" w:hAnsi="仿宋" w:eastAsia="仿宋" w:cs="仿宋"/>
                <w:color w:val="000000"/>
                <w:kern w:val="0"/>
                <w:szCs w:val="21"/>
              </w:rPr>
              <w:t>4</w:t>
            </w:r>
            <w:r>
              <w:rPr>
                <w:rFonts w:hint="eastAsia" w:ascii="仿宋" w:hAnsi="仿宋" w:eastAsia="仿宋" w:cs="仿宋"/>
                <w:color w:val="000000"/>
                <w:kern w:val="0"/>
                <w:szCs w:val="21"/>
              </w:rPr>
              <w:t>分，需证书复印件并加盖投标人公章，未提供不得分。</w:t>
            </w:r>
          </w:p>
        </w:tc>
        <w:tc>
          <w:tcPr>
            <w:tcW w:w="437"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lang w:val="en-US" w:eastAsia="zh-CN"/>
              </w:rPr>
              <w:t>4</w:t>
            </w:r>
          </w:p>
        </w:tc>
      </w:tr>
      <w:tr>
        <w:tblPrEx>
          <w:tblCellMar>
            <w:top w:w="0" w:type="dxa"/>
            <w:left w:w="108" w:type="dxa"/>
            <w:bottom w:w="0" w:type="dxa"/>
            <w:right w:w="108" w:type="dxa"/>
          </w:tblCellMar>
        </w:tblPrEx>
        <w:trPr>
          <w:trHeight w:val="1074" w:hRule="atLeast"/>
        </w:trPr>
        <w:tc>
          <w:tcPr>
            <w:tcW w:w="306" w:type="pct"/>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Cs w:val="21"/>
              </w:rPr>
            </w:pPr>
          </w:p>
        </w:tc>
        <w:tc>
          <w:tcPr>
            <w:tcW w:w="460"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Cs w:val="21"/>
              </w:rPr>
            </w:pPr>
          </w:p>
        </w:tc>
        <w:tc>
          <w:tcPr>
            <w:tcW w:w="3796" w:type="pct"/>
            <w:tcBorders>
              <w:top w:val="nil"/>
              <w:left w:val="nil"/>
              <w:bottom w:val="single" w:color="auto" w:sz="4" w:space="0"/>
              <w:right w:val="single" w:color="auto" w:sz="4" w:space="0"/>
            </w:tcBorders>
            <w:vAlign w:val="center"/>
          </w:tcPr>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投标人具有固定网通信运营商资格或有线电视网络运营商证明文件，得3分；投标人与固定网通信运营商或有线电视网络运营商签订专线租用协议或意向协议的得1分，需提供租用协议原件扫描件或图片加盖投标人公章，未提供不得分。</w:t>
            </w:r>
          </w:p>
        </w:tc>
        <w:tc>
          <w:tcPr>
            <w:tcW w:w="437" w:type="pct"/>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3</w:t>
            </w:r>
          </w:p>
        </w:tc>
      </w:tr>
      <w:tr>
        <w:tblPrEx>
          <w:tblCellMar>
            <w:top w:w="0" w:type="dxa"/>
            <w:left w:w="108" w:type="dxa"/>
            <w:bottom w:w="0" w:type="dxa"/>
            <w:right w:w="108" w:type="dxa"/>
          </w:tblCellMar>
        </w:tblPrEx>
        <w:trPr>
          <w:trHeight w:val="2441" w:hRule="atLeast"/>
        </w:trPr>
        <w:tc>
          <w:tcPr>
            <w:tcW w:w="306"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460"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资信资格</w:t>
            </w:r>
          </w:p>
        </w:tc>
        <w:tc>
          <w:tcPr>
            <w:tcW w:w="3796" w:type="pct"/>
            <w:tcBorders>
              <w:top w:val="nil"/>
              <w:left w:val="nil"/>
              <w:bottom w:val="single" w:color="auto" w:sz="4" w:space="0"/>
              <w:right w:val="single" w:color="auto" w:sz="4" w:space="0"/>
            </w:tcBorders>
            <w:vAlign w:val="center"/>
          </w:tcPr>
          <w:p>
            <w:pPr>
              <w:widowControl/>
              <w:numPr>
                <w:ilvl w:val="0"/>
                <w:numId w:val="6"/>
              </w:numPr>
              <w:jc w:val="left"/>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投标人拟派本项目的维护人员（不包含售后服务负责人）同时具有信息系统项目管理师高级证书及软件设计师（中级及以上）的得2分；                                              2、项目团队成员中具有CISP信息安全认证得2分。；                 </w:t>
            </w:r>
          </w:p>
          <w:p>
            <w:pPr>
              <w:widowControl/>
              <w:numPr>
                <w:ilvl w:val="0"/>
                <w:numId w:val="0"/>
              </w:numPr>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3、所投产品厂家具有健康防疫智控系统平台软件著作权证书得2分；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4、所投产品厂家具有人员通道智控系统软件著作权证书得2分；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5、所投产品厂家具有智安管理系统软件著作权证书得2分；                      </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6、所投产品厂家具有健康防疫智控面板机质检报告得2分；                 上述需提供相关证书，质检报告复印件加盖投标人公章，人员需近三个月社保证明加盖投标人公章，否则不计分。</w:t>
            </w:r>
          </w:p>
        </w:tc>
        <w:tc>
          <w:tcPr>
            <w:tcW w:w="437" w:type="pct"/>
            <w:tcBorders>
              <w:top w:val="nil"/>
              <w:left w:val="single" w:color="auto" w:sz="4" w:space="0"/>
              <w:bottom w:val="single" w:color="auto" w:sz="4" w:space="0"/>
              <w:right w:val="single" w:color="auto" w:sz="4" w:space="0"/>
            </w:tcBorders>
            <w:vAlign w:val="center"/>
          </w:tcPr>
          <w:p>
            <w:pPr>
              <w:widowControl/>
              <w:jc w:val="center"/>
              <w:rPr>
                <w:rFonts w:hint="default"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12</w:t>
            </w:r>
          </w:p>
        </w:tc>
      </w:tr>
      <w:tr>
        <w:tblPrEx>
          <w:tblCellMar>
            <w:top w:w="0" w:type="dxa"/>
            <w:left w:w="108" w:type="dxa"/>
            <w:bottom w:w="0" w:type="dxa"/>
            <w:right w:w="108" w:type="dxa"/>
          </w:tblCellMar>
        </w:tblPrEx>
        <w:trPr>
          <w:trHeight w:val="992" w:hRule="atLeast"/>
        </w:trPr>
        <w:tc>
          <w:tcPr>
            <w:tcW w:w="306" w:type="pct"/>
            <w:vMerge w:val="restart"/>
            <w:tcBorders>
              <w:top w:val="nil"/>
              <w:left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c>
          <w:tcPr>
            <w:tcW w:w="460" w:type="pct"/>
            <w:vMerge w:val="restar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产品技术要求</w:t>
            </w:r>
          </w:p>
        </w:tc>
        <w:tc>
          <w:tcPr>
            <w:tcW w:w="3796" w:type="pct"/>
            <w:tcBorders>
              <w:top w:val="nil"/>
              <w:left w:val="nil"/>
              <w:bottom w:val="single" w:color="auto" w:sz="4" w:space="0"/>
              <w:right w:val="single" w:color="auto" w:sz="4" w:space="0"/>
            </w:tcBorders>
            <w:vAlign w:val="center"/>
          </w:tcPr>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完全满足招标文件要求的得10分，指标每负偏离一项扣2分，扣完为止。按招标文件要求提供相关截图、检测报告的复印件及官网截图均需加盖投标人公章，未提供按负偏离扣分。</w:t>
            </w:r>
          </w:p>
        </w:tc>
        <w:tc>
          <w:tcPr>
            <w:tcW w:w="437"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lang w:val="en-US" w:eastAsia="zh-CN"/>
              </w:rPr>
              <w:t>10</w:t>
            </w:r>
          </w:p>
        </w:tc>
      </w:tr>
      <w:tr>
        <w:tblPrEx>
          <w:tblCellMar>
            <w:top w:w="0" w:type="dxa"/>
            <w:left w:w="108" w:type="dxa"/>
            <w:bottom w:w="0" w:type="dxa"/>
            <w:right w:w="108" w:type="dxa"/>
          </w:tblCellMar>
        </w:tblPrEx>
        <w:trPr>
          <w:trHeight w:val="2024" w:hRule="atLeast"/>
        </w:trPr>
        <w:tc>
          <w:tcPr>
            <w:tcW w:w="306" w:type="pct"/>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Cs w:val="21"/>
              </w:rPr>
            </w:pPr>
          </w:p>
        </w:tc>
        <w:tc>
          <w:tcPr>
            <w:tcW w:w="460"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Cs w:val="21"/>
              </w:rPr>
            </w:pPr>
          </w:p>
        </w:tc>
        <w:tc>
          <w:tcPr>
            <w:tcW w:w="3796" w:type="pct"/>
            <w:tcBorders>
              <w:top w:val="nil"/>
              <w:left w:val="nil"/>
              <w:bottom w:val="single" w:color="auto" w:sz="4" w:space="0"/>
              <w:right w:val="single" w:color="auto" w:sz="4" w:space="0"/>
            </w:tcBorders>
            <w:vAlign w:val="center"/>
          </w:tcPr>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1结合本项目的具体情况及招标文件要求，提供完整的政务云接入方案，优得3.1-4.0分，良得1.1-3.0分，一般得0-1.0分。不提供不得分</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2投标人提供</w:t>
            </w:r>
            <w:r>
              <w:rPr>
                <w:rFonts w:ascii="仿宋" w:hAnsi="仿宋" w:eastAsia="仿宋" w:cs="仿宋"/>
                <w:color w:val="000000"/>
                <w:kern w:val="0"/>
                <w:sz w:val="21"/>
                <w:szCs w:val="21"/>
              </w:rPr>
              <w:t>2019</w:t>
            </w:r>
            <w:r>
              <w:rPr>
                <w:rFonts w:hint="eastAsia" w:ascii="仿宋" w:hAnsi="仿宋" w:eastAsia="仿宋" w:cs="仿宋"/>
                <w:color w:val="000000"/>
                <w:kern w:val="0"/>
                <w:sz w:val="21"/>
                <w:szCs w:val="21"/>
              </w:rPr>
              <w:t>年</w:t>
            </w:r>
            <w:r>
              <w:rPr>
                <w:rFonts w:ascii="仿宋" w:hAnsi="仿宋" w:eastAsia="仿宋" w:cs="仿宋"/>
                <w:color w:val="000000"/>
                <w:kern w:val="0"/>
                <w:sz w:val="21"/>
                <w:szCs w:val="21"/>
              </w:rPr>
              <w:t>1月1日以来（合同签订时间为准）</w:t>
            </w:r>
            <w:r>
              <w:rPr>
                <w:rFonts w:hint="eastAsia" w:ascii="仿宋" w:hAnsi="仿宋" w:eastAsia="仿宋" w:cs="仿宋"/>
                <w:color w:val="000000"/>
                <w:kern w:val="0"/>
                <w:szCs w:val="21"/>
              </w:rPr>
              <w:t>政务云平台服务合同。每个项目得1分，最高得3分。需提供合同复印件加盖投标人公章，未提供不得分。</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3投标人具有由公安部颁发的信息系统安全等级保护备案证明文件(含云平台)的得1分，需提供公安部颁发的证明文件复印件加盖投标人公章，未提供不得分。</w:t>
            </w:r>
          </w:p>
        </w:tc>
        <w:tc>
          <w:tcPr>
            <w:tcW w:w="437" w:type="pct"/>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color w:val="000000"/>
                <w:kern w:val="0"/>
                <w:szCs w:val="21"/>
                <w:lang w:val="en-US" w:eastAsia="zh-CN"/>
              </w:rPr>
            </w:pPr>
            <w:r>
              <w:rPr>
                <w:rFonts w:hint="eastAsia" w:ascii="仿宋" w:hAnsi="仿宋" w:eastAsia="仿宋" w:cs="仿宋"/>
                <w:color w:val="000000"/>
                <w:kern w:val="0"/>
                <w:szCs w:val="21"/>
                <w:lang w:val="en-US" w:eastAsia="zh-CN"/>
              </w:rPr>
              <w:t>8</w:t>
            </w:r>
          </w:p>
        </w:tc>
      </w:tr>
      <w:tr>
        <w:tblPrEx>
          <w:tblCellMar>
            <w:top w:w="0" w:type="dxa"/>
            <w:left w:w="108" w:type="dxa"/>
            <w:bottom w:w="0" w:type="dxa"/>
            <w:right w:w="108" w:type="dxa"/>
          </w:tblCellMar>
        </w:tblPrEx>
        <w:trPr>
          <w:trHeight w:val="6002" w:hRule="atLeast"/>
        </w:trPr>
        <w:tc>
          <w:tcPr>
            <w:tcW w:w="306"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c>
          <w:tcPr>
            <w:tcW w:w="460"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健康防疫智控闸机通道功能演示（演示时间不超过</w:t>
            </w:r>
            <w:r>
              <w:rPr>
                <w:rFonts w:ascii="仿宋" w:hAnsi="仿宋" w:eastAsia="仿宋" w:cs="仿宋"/>
                <w:color w:val="000000"/>
                <w:kern w:val="0"/>
                <w:szCs w:val="21"/>
              </w:rPr>
              <w:t>20分钟）</w:t>
            </w:r>
          </w:p>
        </w:tc>
        <w:tc>
          <w:tcPr>
            <w:tcW w:w="3796" w:type="pct"/>
            <w:tcBorders>
              <w:top w:val="nil"/>
              <w:left w:val="nil"/>
              <w:bottom w:val="single" w:color="auto" w:sz="4" w:space="0"/>
              <w:right w:val="single" w:color="auto" w:sz="4" w:space="0"/>
            </w:tcBorders>
            <w:vAlign w:val="center"/>
          </w:tcPr>
          <w:p>
            <w:pPr>
              <w:rPr>
                <w:rFonts w:hint="eastAsia" w:ascii="仿宋" w:hAnsi="仿宋" w:eastAsia="仿宋" w:cs="仿宋"/>
                <w:b/>
                <w:bCs/>
                <w:color w:val="auto"/>
                <w:szCs w:val="21"/>
              </w:rPr>
            </w:pPr>
            <w:r>
              <w:rPr>
                <w:rFonts w:hint="eastAsia" w:ascii="仿宋" w:hAnsi="仿宋" w:eastAsia="仿宋" w:cs="仿宋"/>
                <w:b/>
                <w:bCs/>
                <w:color w:val="auto"/>
                <w:kern w:val="2"/>
                <w:sz w:val="21"/>
                <w:szCs w:val="21"/>
                <w:lang w:val="zh-CN"/>
              </w:rPr>
              <w:t>投标人进行视频录制演示</w:t>
            </w:r>
            <w:r>
              <w:rPr>
                <w:rFonts w:hint="eastAsia" w:ascii="仿宋" w:hAnsi="仿宋" w:eastAsia="仿宋" w:cs="仿宋"/>
                <w:b/>
                <w:bCs/>
                <w:color w:val="auto"/>
                <w:szCs w:val="21"/>
              </w:rPr>
              <w:t>，演示时间不超过</w:t>
            </w:r>
            <w:r>
              <w:rPr>
                <w:rFonts w:hint="eastAsia" w:ascii="仿宋" w:hAnsi="仿宋" w:eastAsia="仿宋" w:cs="仿宋"/>
                <w:b/>
                <w:bCs/>
                <w:color w:val="auto"/>
                <w:szCs w:val="21"/>
                <w:lang w:val="en-US" w:eastAsia="zh-CN"/>
              </w:rPr>
              <w:t>20</w:t>
            </w:r>
            <w:r>
              <w:rPr>
                <w:rFonts w:hint="eastAsia" w:ascii="仿宋" w:hAnsi="仿宋" w:eastAsia="仿宋" w:cs="仿宋"/>
                <w:b/>
                <w:bCs/>
                <w:color w:val="auto"/>
                <w:szCs w:val="21"/>
              </w:rPr>
              <w:t>分钟。</w:t>
            </w:r>
            <w:r>
              <w:rPr>
                <w:rFonts w:hint="eastAsia" w:ascii="仿宋" w:hAnsi="仿宋" w:eastAsia="仿宋" w:cs="仿宋"/>
                <w:b/>
                <w:bCs/>
                <w:color w:val="auto"/>
                <w:szCs w:val="21"/>
                <w:lang w:eastAsia="zh-CN"/>
              </w:rPr>
              <w:t>使用图片、</w:t>
            </w:r>
            <w:r>
              <w:rPr>
                <w:rFonts w:hint="eastAsia" w:ascii="仿宋" w:hAnsi="仿宋" w:eastAsia="仿宋" w:cs="仿宋"/>
                <w:b/>
                <w:bCs/>
                <w:color w:val="auto"/>
                <w:szCs w:val="21"/>
              </w:rPr>
              <w:t>PPT演示不得分。</w:t>
            </w:r>
          </w:p>
          <w:p>
            <w:pPr>
              <w:widowControl/>
              <w:numPr>
                <w:ilvl w:val="0"/>
                <w:numId w:val="0"/>
              </w:numPr>
              <w:jc w:val="left"/>
              <w:rPr>
                <w:rFonts w:hint="eastAsia" w:ascii="仿宋" w:hAnsi="仿宋" w:eastAsia="仿宋" w:cs="仿宋"/>
                <w:color w:val="000000"/>
                <w:kern w:val="0"/>
                <w:szCs w:val="21"/>
              </w:rPr>
            </w:pPr>
            <w:r>
              <w:rPr>
                <w:rFonts w:hint="eastAsia" w:ascii="仿宋" w:hAnsi="仿宋" w:eastAsia="仿宋" w:cs="仿宋"/>
                <w:color w:val="000000"/>
                <w:kern w:val="0"/>
                <w:szCs w:val="21"/>
                <w:lang w:val="en-US" w:eastAsia="zh-CN"/>
              </w:rPr>
              <w:t>1、</w:t>
            </w:r>
            <w:r>
              <w:rPr>
                <w:rFonts w:hint="eastAsia" w:ascii="仿宋" w:hAnsi="仿宋" w:eastAsia="仿宋" w:cs="仿宋"/>
                <w:color w:val="000000"/>
                <w:kern w:val="0"/>
                <w:szCs w:val="21"/>
              </w:rPr>
              <w:t>可以通过多种方式识别通行，实现健康码、行程码、核酸检测结果、疫苗接种情况查验。                                                           方式如下：                                                                                 1.1刷人脸（可实现人脸识码，支持戴口罩模糊识别）得4分，不实现不得分</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 xml:space="preserve">                                                            1.2.刷身份证 （可实现人证比对）得2分，不实现不得分</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 xml:space="preserve">                                                                                  1.3.刷健康码（可实现人码核验，保证健康码是其本人）得2分，不实现不得分</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 xml:space="preserve">                                                  </w:t>
            </w:r>
          </w:p>
          <w:p>
            <w:pPr>
              <w:widowControl/>
              <w:numPr>
                <w:ilvl w:val="-1"/>
                <w:numId w:val="0"/>
              </w:numPr>
              <w:jc w:val="left"/>
              <w:rPr>
                <w:rFonts w:hint="eastAsia" w:ascii="仿宋" w:hAnsi="仿宋" w:eastAsia="仿宋" w:cs="仿宋"/>
                <w:color w:val="000000"/>
                <w:kern w:val="0"/>
                <w:szCs w:val="21"/>
              </w:rPr>
            </w:pPr>
            <w:r>
              <w:rPr>
                <w:rFonts w:hint="eastAsia" w:ascii="仿宋" w:hAnsi="仿宋" w:eastAsia="仿宋" w:cs="仿宋"/>
                <w:color w:val="000000"/>
                <w:kern w:val="0"/>
                <w:szCs w:val="21"/>
              </w:rPr>
              <w:t>1.4.刷社保卡得3分，不实现不得分</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 xml:space="preserve">                                                         2、人码、人证比对核验刷健康码或身份证后，可以设置进行本人人脸识别，人码、人证核验成功才能显示相关信息</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得4分，不实现不得分</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 xml:space="preserve">                                                              3、精准测温无感检测—可对通过的人员进行脸部温度检测得1分，不实现不得分</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 xml:space="preserve">                                          </w:t>
            </w:r>
          </w:p>
          <w:p>
            <w:pPr>
              <w:widowControl/>
              <w:numPr>
                <w:ilvl w:val="-1"/>
                <w:numId w:val="0"/>
              </w:numPr>
              <w:jc w:val="left"/>
              <w:rPr>
                <w:rFonts w:ascii="仿宋" w:hAnsi="仿宋" w:eastAsia="仿宋" w:cs="仿宋"/>
                <w:color w:val="000000"/>
                <w:kern w:val="0"/>
                <w:szCs w:val="21"/>
              </w:rPr>
            </w:pPr>
            <w:r>
              <w:rPr>
                <w:rFonts w:hint="eastAsia" w:ascii="仿宋" w:hAnsi="仿宋" w:eastAsia="仿宋" w:cs="仿宋"/>
                <w:color w:val="000000"/>
                <w:kern w:val="0"/>
                <w:szCs w:val="21"/>
              </w:rPr>
              <w:t>4、流调调查问卷 流调调查-针对于无健康码人员的电子化流行病史调查问卷，手动填写提交</w:t>
            </w:r>
            <w:r>
              <w:rPr>
                <w:rFonts w:hint="eastAsia" w:ascii="仿宋" w:hAnsi="仿宋" w:eastAsia="仿宋" w:cs="仿宋"/>
                <w:color w:val="000000"/>
                <w:kern w:val="0"/>
                <w:szCs w:val="21"/>
                <w:lang w:eastAsia="zh-CN"/>
              </w:rPr>
              <w:t>，</w:t>
            </w:r>
            <w:r>
              <w:rPr>
                <w:rFonts w:hint="eastAsia" w:ascii="仿宋" w:hAnsi="仿宋" w:eastAsia="仿宋" w:cs="仿宋"/>
                <w:color w:val="000000"/>
                <w:kern w:val="0"/>
                <w:szCs w:val="21"/>
              </w:rPr>
              <w:t>得4分，不实现不得分</w:t>
            </w:r>
            <w:r>
              <w:rPr>
                <w:rFonts w:hint="eastAsia" w:ascii="仿宋" w:hAnsi="仿宋" w:eastAsia="仿宋" w:cs="仿宋"/>
                <w:color w:val="000000"/>
                <w:kern w:val="0"/>
                <w:szCs w:val="21"/>
                <w:lang w:eastAsia="zh-CN"/>
              </w:rPr>
              <w:t>；</w:t>
            </w:r>
          </w:p>
          <w:p>
            <w:pPr>
              <w:widowControl/>
              <w:ind w:left="0"/>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5、 通行管理</w:t>
            </w:r>
          </w:p>
          <w:p>
            <w:pPr>
              <w:widowControl/>
              <w:ind w:left="0"/>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5.1黑白名单管理 支持添加/删除黑白名单人员信息得1分，不支持不得分</w:t>
            </w:r>
            <w:r>
              <w:rPr>
                <w:rFonts w:hint="eastAsia" w:ascii="仿宋" w:hAnsi="仿宋" w:eastAsia="仿宋" w:cs="Tahoma"/>
                <w:color w:val="000000"/>
                <w:kern w:val="0"/>
                <w:sz w:val="22"/>
                <w:szCs w:val="22"/>
                <w:lang w:eastAsia="zh-CN"/>
              </w:rPr>
              <w:t>；</w:t>
            </w:r>
          </w:p>
          <w:p>
            <w:pPr>
              <w:widowControl/>
              <w:ind w:left="0"/>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5.2 规则管理 支持对不同机构通行规则进行管理，支持配置温度阈值、核酸检测结果、行程码信息、疫苗接种信息得1分，没有不得分</w:t>
            </w:r>
            <w:r>
              <w:rPr>
                <w:rFonts w:hint="eastAsia" w:ascii="仿宋" w:hAnsi="仿宋" w:eastAsia="仿宋" w:cs="Tahoma"/>
                <w:color w:val="000000"/>
                <w:kern w:val="0"/>
                <w:sz w:val="22"/>
                <w:szCs w:val="22"/>
                <w:lang w:eastAsia="zh-CN"/>
              </w:rPr>
              <w:t>；</w:t>
            </w:r>
          </w:p>
          <w:p>
            <w:pPr>
              <w:widowControl/>
              <w:ind w:left="0"/>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5.3人员轨迹管理 对人员通信记录进行数据管理，通过数据分析获取人员活动轨迹得1分，没有不得分</w:t>
            </w:r>
            <w:r>
              <w:rPr>
                <w:rFonts w:hint="eastAsia" w:ascii="仿宋" w:hAnsi="仿宋" w:eastAsia="仿宋" w:cs="Tahoma"/>
                <w:color w:val="000000"/>
                <w:kern w:val="0"/>
                <w:sz w:val="22"/>
                <w:szCs w:val="22"/>
                <w:lang w:eastAsia="zh-CN"/>
              </w:rPr>
              <w:t>；</w:t>
            </w:r>
          </w:p>
          <w:p>
            <w:pPr>
              <w:widowControl/>
              <w:jc w:val="left"/>
              <w:rPr>
                <w:rFonts w:hint="eastAsia" w:ascii="仿宋" w:hAnsi="仿宋" w:eastAsia="仿宋" w:cs="Tahoma"/>
                <w:color w:val="000000"/>
                <w:kern w:val="0"/>
                <w:sz w:val="22"/>
                <w:szCs w:val="22"/>
              </w:rPr>
            </w:pPr>
            <w:r>
              <w:rPr>
                <w:rFonts w:hint="eastAsia" w:ascii="仿宋" w:hAnsi="仿宋" w:eastAsia="仿宋" w:cs="Tahoma"/>
                <w:color w:val="000000"/>
                <w:kern w:val="0"/>
                <w:sz w:val="22"/>
                <w:szCs w:val="22"/>
              </w:rPr>
              <w:t>5.4通行记录 在终端上通过刷脸、刷码或身份证，可获取当前人员健康码、有效期内的核酸结果、体温等信息，并对信息进行存储。后台有如上记录得1分，没有不得分</w:t>
            </w:r>
            <w:r>
              <w:rPr>
                <w:rFonts w:hint="eastAsia" w:ascii="仿宋" w:hAnsi="仿宋" w:eastAsia="仿宋" w:cs="Tahoma"/>
                <w:color w:val="000000"/>
                <w:kern w:val="0"/>
                <w:sz w:val="22"/>
                <w:szCs w:val="22"/>
                <w:lang w:eastAsia="zh-CN"/>
              </w:rPr>
              <w:t>。</w:t>
            </w:r>
            <w:r>
              <w:rPr>
                <w:rFonts w:hint="eastAsia" w:ascii="仿宋" w:hAnsi="仿宋" w:eastAsia="仿宋" w:cs="Tahoma"/>
                <w:color w:val="000000"/>
                <w:kern w:val="0"/>
                <w:sz w:val="22"/>
                <w:szCs w:val="22"/>
              </w:rPr>
              <w:t xml:space="preserve">  </w:t>
            </w:r>
          </w:p>
          <w:p>
            <w:pPr>
              <w:widowControl/>
              <w:jc w:val="left"/>
              <w:rPr>
                <w:rFonts w:ascii="仿宋" w:hAnsi="仿宋" w:eastAsia="仿宋" w:cs="仿宋"/>
                <w:color w:val="000000"/>
                <w:kern w:val="0"/>
                <w:szCs w:val="21"/>
              </w:rPr>
            </w:pPr>
            <w:r>
              <w:rPr>
                <w:rFonts w:hint="eastAsia" w:ascii="仿宋" w:hAnsi="仿宋" w:eastAsia="仿宋" w:cs="仿宋"/>
                <w:b/>
                <w:bCs/>
                <w:color w:val="auto"/>
                <w:szCs w:val="21"/>
                <w:lang w:eastAsia="zh-CN"/>
              </w:rPr>
              <w:t>注：上述功能未演示或没有此项功能，此项功能点不得分。</w:t>
            </w:r>
            <w:r>
              <w:rPr>
                <w:rFonts w:hint="eastAsia" w:ascii="仿宋" w:hAnsi="仿宋" w:eastAsia="仿宋" w:cs="Tahoma"/>
                <w:color w:val="000000"/>
                <w:kern w:val="0"/>
                <w:sz w:val="22"/>
                <w:szCs w:val="22"/>
              </w:rPr>
              <w:t xml:space="preserve"> </w:t>
            </w:r>
            <w:r>
              <w:rPr>
                <w:rFonts w:hint="eastAsia" w:ascii="仿宋" w:hAnsi="仿宋" w:eastAsia="仿宋" w:cs="仿宋"/>
                <w:color w:val="000000"/>
                <w:kern w:val="0"/>
                <w:szCs w:val="21"/>
              </w:rPr>
              <w:t xml:space="preserve">                                                                                               </w:t>
            </w:r>
          </w:p>
        </w:tc>
        <w:tc>
          <w:tcPr>
            <w:tcW w:w="437"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2</w:t>
            </w:r>
            <w:r>
              <w:rPr>
                <w:rFonts w:ascii="仿宋" w:hAnsi="仿宋" w:eastAsia="仿宋" w:cs="仿宋"/>
                <w:color w:val="000000"/>
                <w:kern w:val="0"/>
                <w:szCs w:val="21"/>
              </w:rPr>
              <w:t>4</w:t>
            </w:r>
          </w:p>
        </w:tc>
      </w:tr>
      <w:tr>
        <w:tblPrEx>
          <w:tblCellMar>
            <w:top w:w="0" w:type="dxa"/>
            <w:left w:w="108" w:type="dxa"/>
            <w:bottom w:w="0" w:type="dxa"/>
            <w:right w:w="108" w:type="dxa"/>
          </w:tblCellMar>
        </w:tblPrEx>
        <w:trPr>
          <w:trHeight w:val="1156" w:hRule="atLeast"/>
        </w:trPr>
        <w:tc>
          <w:tcPr>
            <w:tcW w:w="306" w:type="pct"/>
            <w:tcBorders>
              <w:top w:val="nil"/>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c>
          <w:tcPr>
            <w:tcW w:w="460" w:type="pct"/>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施工</w:t>
            </w:r>
          </w:p>
        </w:tc>
        <w:tc>
          <w:tcPr>
            <w:tcW w:w="3796" w:type="pct"/>
            <w:tcBorders>
              <w:top w:val="nil"/>
              <w:left w:val="nil"/>
              <w:bottom w:val="single" w:color="auto" w:sz="4" w:space="0"/>
              <w:right w:val="single" w:color="auto" w:sz="4" w:space="0"/>
            </w:tcBorders>
            <w:vAlign w:val="center"/>
          </w:tcPr>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施工团队具有电工证5本和登高证5本和工程车辆5辆及以上得5分，每缺1本证书或1辆车扣1分，需提供上述证书在原件彩色扫描件或图片、人员近三个月社保证明均加盖投标人公章，车辆需提供行驶证，行驶证上单位名称与投保人须一致，未提供不得分。</w:t>
            </w:r>
          </w:p>
        </w:tc>
        <w:tc>
          <w:tcPr>
            <w:tcW w:w="437"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r>
      <w:tr>
        <w:tblPrEx>
          <w:tblCellMar>
            <w:top w:w="0" w:type="dxa"/>
            <w:left w:w="108" w:type="dxa"/>
            <w:bottom w:w="0" w:type="dxa"/>
            <w:right w:w="108" w:type="dxa"/>
          </w:tblCellMar>
        </w:tblPrEx>
        <w:trPr>
          <w:trHeight w:val="90" w:hRule="atLeast"/>
        </w:trPr>
        <w:tc>
          <w:tcPr>
            <w:tcW w:w="306" w:type="pct"/>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6</w:t>
            </w:r>
          </w:p>
        </w:tc>
        <w:tc>
          <w:tcPr>
            <w:tcW w:w="460"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售后服务</w:t>
            </w:r>
          </w:p>
        </w:tc>
        <w:tc>
          <w:tcPr>
            <w:tcW w:w="3796" w:type="pct"/>
            <w:tcBorders>
              <w:top w:val="nil"/>
              <w:left w:val="nil"/>
              <w:bottom w:val="single" w:color="auto" w:sz="4" w:space="0"/>
              <w:right w:val="single" w:color="auto" w:sz="4" w:space="0"/>
            </w:tcBorders>
            <w:vAlign w:val="center"/>
          </w:tcPr>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1.投标人承诺接到招标人通知后1小时（含）内响应得2分，2小时（含）内响应得1.5分，3小时（含）内响应得1分，超过3小时或未承诺不得分。</w:t>
            </w:r>
          </w:p>
          <w:p>
            <w:pPr>
              <w:widowControl/>
              <w:jc w:val="left"/>
              <w:rPr>
                <w:rFonts w:ascii="仿宋" w:hAnsi="仿宋" w:eastAsia="仿宋" w:cs="仿宋"/>
                <w:color w:val="000000"/>
                <w:kern w:val="0"/>
                <w:szCs w:val="21"/>
              </w:rPr>
            </w:pPr>
            <w:r>
              <w:rPr>
                <w:rFonts w:hint="eastAsia" w:ascii="仿宋" w:hAnsi="仿宋" w:eastAsia="仿宋" w:cs="仿宋"/>
                <w:color w:val="000000"/>
                <w:kern w:val="0"/>
                <w:szCs w:val="21"/>
              </w:rPr>
              <w:t>2.售后服务负责人具有ICT高级工程师证书、OCP数据库工程师、信息系统项目管理师高级证书，每提供一份证书得1分，最高得2分，需提供证书复印件及近三个月社保证明复印件加盖投标人公章，未提供不得分。</w:t>
            </w:r>
          </w:p>
        </w:tc>
        <w:tc>
          <w:tcPr>
            <w:tcW w:w="437" w:type="pct"/>
            <w:tcBorders>
              <w:top w:val="nil"/>
              <w:left w:val="nil"/>
              <w:bottom w:val="single" w:color="auto" w:sz="4" w:space="0"/>
              <w:right w:val="single" w:color="auto" w:sz="4" w:space="0"/>
            </w:tcBorders>
            <w:noWrap/>
            <w:vAlign w:val="center"/>
          </w:tcPr>
          <w:p>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r>
    </w:tbl>
    <w:p>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sz w:val="36"/>
          <w:szCs w:val="20"/>
        </w:rPr>
      </w:pPr>
      <w:r>
        <w:rPr>
          <w:rFonts w:hint="eastAsia" w:ascii="仿宋" w:hAnsi="仿宋" w:eastAsia="仿宋" w:cs="仿宋"/>
          <w:bCs/>
          <w:iCs/>
          <w:sz w:val="24"/>
        </w:rPr>
        <w:t>即：投标报价得分=(评标基准价／投标报价)×30</w:t>
      </w:r>
      <w:bookmarkEnd w:id="8"/>
      <w:bookmarkEnd w:id="9"/>
      <w:bookmarkEnd w:id="10"/>
      <w:bookmarkEnd w:id="11"/>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pacing w:line="360" w:lineRule="auto"/>
        <w:ind w:firstLine="480" w:firstLineChars="200"/>
        <w:outlineLvl w:val="0"/>
        <w:rPr>
          <w:rFonts w:ascii="仿宋" w:hAnsi="仿宋" w:eastAsia="仿宋" w:cs="仿宋"/>
          <w:sz w:val="24"/>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20"/>
        <w:spacing w:line="800" w:lineRule="atLeast"/>
        <w:ind w:left="0" w:leftChars="0"/>
        <w:rPr>
          <w:rFonts w:ascii="仿宋" w:hAnsi="仿宋" w:eastAsia="仿宋" w:cs="仿宋"/>
          <w:b/>
          <w:sz w:val="36"/>
          <w:szCs w:val="36"/>
        </w:rPr>
      </w:pPr>
    </w:p>
    <w:p>
      <w:pPr>
        <w:pStyle w:val="20"/>
        <w:spacing w:line="800" w:lineRule="atLeast"/>
        <w:ind w:left="0" w:leftChars="0"/>
        <w:rPr>
          <w:rFonts w:ascii="仿宋" w:hAnsi="仿宋" w:eastAsia="仿宋" w:cs="仿宋"/>
          <w:b/>
          <w:sz w:val="36"/>
          <w:szCs w:val="36"/>
        </w:rPr>
      </w:pPr>
    </w:p>
    <w:p>
      <w:pPr>
        <w:pStyle w:val="20"/>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pageBreakBefore/>
        <w:rPr>
          <w:rFonts w:ascii="仿宋" w:hAnsi="仿宋" w:eastAsia="仿宋" w:cs="仿宋"/>
          <w:b/>
          <w:sz w:val="30"/>
          <w:szCs w:val="30"/>
        </w:rPr>
      </w:pPr>
      <w:r>
        <w:rPr>
          <w:rFonts w:hint="eastAsia" w:ascii="仿宋" w:hAnsi="仿宋" w:eastAsia="仿宋" w:cs="仿宋"/>
          <w:b/>
          <w:sz w:val="30"/>
          <w:szCs w:val="30"/>
        </w:rPr>
        <w:t>1、投标响应函（格式）</w:t>
      </w:r>
    </w:p>
    <w:p>
      <w:pPr>
        <w:pStyle w:val="70"/>
        <w:spacing w:afterLines="0" w:line="440" w:lineRule="exact"/>
        <w:ind w:firstLine="0" w:firstLineChars="0"/>
        <w:rPr>
          <w:rFonts w:ascii="仿宋" w:hAnsi="仿宋" w:eastAsia="仿宋" w:cs="仿宋"/>
          <w:szCs w:val="24"/>
        </w:rPr>
      </w:pPr>
    </w:p>
    <w:p>
      <w:pPr>
        <w:pStyle w:val="70"/>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绍兴市中医院、泰宇建筑工程技术咨询有限公司</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70"/>
        <w:spacing w:afterLines="0" w:line="440" w:lineRule="exact"/>
        <w:ind w:firstLine="480"/>
        <w:rPr>
          <w:rFonts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本公司投标文件中填列的技术参数、配置、服务、数量等相关内容都是真实、准确的。保证在本次项目中所提供的资料全部真实和合法。同意向代理机构提供可能另外要求的与投标有关的任何数据或资料。</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70"/>
        <w:spacing w:afterLines="0" w:line="440" w:lineRule="exact"/>
        <w:ind w:firstLine="480"/>
        <w:rPr>
          <w:rFonts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电话：                              传真：</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开户银行：                          帐号：</w:t>
      </w:r>
    </w:p>
    <w:p>
      <w:pPr>
        <w:pStyle w:val="70"/>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70"/>
        <w:spacing w:afterLines="0" w:line="440" w:lineRule="exact"/>
        <w:ind w:firstLine="480"/>
        <w:rPr>
          <w:rFonts w:ascii="仿宋" w:hAnsi="仿宋" w:eastAsia="仿宋" w:cs="仿宋"/>
          <w:b/>
          <w:sz w:val="30"/>
          <w:szCs w:val="30"/>
        </w:rPr>
      </w:pPr>
      <w:r>
        <w:rPr>
          <w:rFonts w:hint="eastAsia" w:ascii="仿宋" w:hAnsi="仿宋" w:eastAsia="仿宋" w:cs="仿宋"/>
          <w:szCs w:val="24"/>
        </w:rPr>
        <w:t xml:space="preserve">投标人(电子签章)：　　　　　　　　　日期：   </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ascii="仿宋" w:hAnsi="仿宋" w:eastAsia="仿宋" w:cs="仿宋"/>
          <w:sz w:val="24"/>
        </w:rPr>
      </w:pPr>
    </w:p>
    <w:p>
      <w:pPr>
        <w:spacing w:line="400" w:lineRule="exact"/>
        <w:rPr>
          <w:rFonts w:ascii="仿宋" w:hAnsi="仿宋" w:eastAsia="仿宋" w:cs="仿宋"/>
          <w:sz w:val="24"/>
        </w:rPr>
      </w:pPr>
      <w:r>
        <w:rPr>
          <w:rFonts w:hint="eastAsia" w:ascii="仿宋" w:hAnsi="仿宋" w:eastAsia="仿宋" w:cs="仿宋"/>
          <w:sz w:val="24"/>
        </w:rPr>
        <w:t>投标人名称：</w:t>
      </w:r>
    </w:p>
    <w:p>
      <w:pPr>
        <w:snapToGrid w:val="0"/>
        <w:spacing w:line="400" w:lineRule="exact"/>
        <w:rPr>
          <w:rFonts w:ascii="仿宋" w:hAnsi="仿宋" w:eastAsia="仿宋" w:cs="仿宋"/>
          <w:sz w:val="24"/>
        </w:rPr>
      </w:pPr>
      <w:r>
        <w:rPr>
          <w:rFonts w:hint="eastAsia" w:ascii="仿宋" w:hAnsi="仿宋" w:eastAsia="仿宋" w:cs="仿宋"/>
          <w:sz w:val="24"/>
        </w:rPr>
        <w:t>标    项：</w:t>
      </w:r>
    </w:p>
    <w:p>
      <w:pPr>
        <w:snapToGrid w:val="0"/>
        <w:spacing w:line="400" w:lineRule="exact"/>
        <w:rPr>
          <w:rFonts w:ascii="仿宋" w:hAnsi="仿宋" w:eastAsia="仿宋" w:cs="仿宋"/>
          <w:sz w:val="24"/>
          <w:u w:val="single"/>
        </w:rPr>
      </w:pPr>
      <w:r>
        <w:rPr>
          <w:rFonts w:hint="eastAsia" w:ascii="仿宋" w:hAnsi="仿宋" w:eastAsia="仿宋" w:cs="仿宋"/>
          <w:sz w:val="24"/>
        </w:rPr>
        <w:t>招标编号：</w:t>
      </w:r>
    </w:p>
    <w:p>
      <w:pPr>
        <w:spacing w:line="440" w:lineRule="exact"/>
        <w:jc w:val="left"/>
        <w:rPr>
          <w:rFonts w:ascii="仿宋" w:hAnsi="仿宋" w:eastAsia="仿宋" w:cs="仿宋"/>
          <w:sz w:val="24"/>
        </w:rPr>
      </w:pPr>
      <w:r>
        <w:rPr>
          <w:rFonts w:hint="eastAsia" w:ascii="仿宋" w:hAnsi="仿宋" w:eastAsia="仿宋" w:cs="仿宋"/>
          <w:sz w:val="24"/>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spacing w:val="20"/>
                <w:sz w:val="18"/>
                <w:szCs w:val="18"/>
              </w:rPr>
            </w:pPr>
            <w:r>
              <w:rPr>
                <w:rFonts w:hint="eastAsia" w:ascii="仿宋" w:hAnsi="仿宋" w:eastAsia="仿宋" w:cs="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spacing w:val="20"/>
                <w:sz w:val="18"/>
                <w:szCs w:val="18"/>
              </w:rPr>
            </w:pPr>
            <w:r>
              <w:rPr>
                <w:rFonts w:hint="eastAsia" w:ascii="仿宋" w:hAnsi="仿宋" w:eastAsia="仿宋" w:cs="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spacing w:val="20"/>
                <w:sz w:val="18"/>
                <w:szCs w:val="18"/>
              </w:rPr>
            </w:pPr>
            <w:r>
              <w:rPr>
                <w:rFonts w:hint="eastAsia" w:ascii="仿宋" w:hAnsi="仿宋" w:eastAsia="仿宋" w:cs="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spacing w:val="20"/>
                <w:sz w:val="18"/>
                <w:szCs w:val="18"/>
              </w:rPr>
            </w:pPr>
            <w:r>
              <w:rPr>
                <w:rFonts w:hint="eastAsia" w:ascii="仿宋" w:hAnsi="仿宋" w:eastAsia="仿宋" w:cs="仿宋"/>
                <w:spacing w:val="20"/>
                <w:sz w:val="18"/>
                <w:szCs w:val="18"/>
              </w:rPr>
              <w:t>品牌（如有）</w:t>
            </w:r>
          </w:p>
        </w:tc>
        <w:tc>
          <w:tcPr>
            <w:tcW w:w="720" w:type="dxa"/>
            <w:vAlign w:val="center"/>
          </w:tcPr>
          <w:p>
            <w:pPr>
              <w:adjustRightInd w:val="0"/>
              <w:snapToGrid w:val="0"/>
              <w:ind w:left="-107" w:leftChars="-51" w:right="-107" w:rightChars="-51"/>
              <w:jc w:val="center"/>
              <w:rPr>
                <w:rFonts w:ascii="仿宋" w:hAnsi="仿宋" w:eastAsia="仿宋" w:cs="仿宋"/>
                <w:spacing w:val="20"/>
                <w:sz w:val="18"/>
                <w:szCs w:val="18"/>
              </w:rPr>
            </w:pPr>
            <w:r>
              <w:rPr>
                <w:rFonts w:hint="eastAsia" w:ascii="仿宋" w:hAnsi="仿宋" w:eastAsia="仿宋" w:cs="仿宋"/>
                <w:spacing w:val="20"/>
                <w:sz w:val="18"/>
                <w:szCs w:val="18"/>
              </w:rPr>
              <w:t>数量</w:t>
            </w:r>
          </w:p>
        </w:tc>
        <w:tc>
          <w:tcPr>
            <w:tcW w:w="1440" w:type="dxa"/>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型号和规格</w:t>
            </w:r>
            <w:r>
              <w:rPr>
                <w:rFonts w:hint="eastAsia" w:ascii="仿宋" w:hAnsi="仿宋" w:eastAsia="仿宋" w:cs="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spacing w:val="20"/>
                <w:sz w:val="18"/>
                <w:szCs w:val="18"/>
              </w:rPr>
            </w:pPr>
            <w:r>
              <w:rPr>
                <w:rFonts w:hint="eastAsia" w:ascii="仿宋" w:hAnsi="仿宋" w:eastAsia="仿宋" w:cs="仿宋"/>
                <w:spacing w:val="20"/>
                <w:sz w:val="18"/>
                <w:szCs w:val="18"/>
              </w:rPr>
              <w:t>交货期</w:t>
            </w:r>
          </w:p>
        </w:tc>
        <w:tc>
          <w:tcPr>
            <w:tcW w:w="1078" w:type="dxa"/>
            <w:vAlign w:val="center"/>
          </w:tcPr>
          <w:p>
            <w:pPr>
              <w:tabs>
                <w:tab w:val="left" w:pos="1224"/>
              </w:tabs>
              <w:adjustRightInd w:val="0"/>
              <w:snapToGrid w:val="0"/>
              <w:ind w:right="-107" w:rightChars="-51"/>
              <w:rPr>
                <w:rFonts w:ascii="仿宋" w:hAnsi="仿宋" w:eastAsia="仿宋" w:cs="仿宋"/>
                <w:spacing w:val="20"/>
                <w:sz w:val="18"/>
                <w:szCs w:val="18"/>
              </w:rPr>
            </w:pPr>
            <w:r>
              <w:rPr>
                <w:rFonts w:hint="eastAsia" w:ascii="仿宋" w:hAnsi="仿宋" w:eastAsia="仿宋" w:cs="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24" w:firstLineChars="202"/>
              <w:rPr>
                <w:rStyle w:val="288"/>
                <w:rFonts w:ascii="仿宋" w:hAnsi="仿宋" w:eastAsia="仿宋" w:cs="仿宋"/>
                <w:szCs w:val="21"/>
              </w:rPr>
            </w:pPr>
          </w:p>
        </w:tc>
        <w:tc>
          <w:tcPr>
            <w:tcW w:w="720" w:type="dxa"/>
            <w:vAlign w:val="center"/>
          </w:tcPr>
          <w:p>
            <w:pPr>
              <w:adjustRightInd w:val="0"/>
              <w:snapToGrid w:val="0"/>
              <w:ind w:right="172" w:rightChars="82" w:firstLine="424" w:firstLineChars="202"/>
              <w:rPr>
                <w:rStyle w:val="288"/>
                <w:rFonts w:ascii="仿宋" w:hAnsi="仿宋" w:eastAsia="仿宋" w:cs="仿宋"/>
                <w:szCs w:val="21"/>
              </w:rPr>
            </w:pPr>
          </w:p>
        </w:tc>
        <w:tc>
          <w:tcPr>
            <w:tcW w:w="144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078"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rPr>
            </w:pPr>
            <w:r>
              <w:rPr>
                <w:rFonts w:hint="eastAsia" w:ascii="仿宋" w:hAnsi="仿宋" w:eastAsia="仿宋" w:cs="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大写：</w:t>
            </w:r>
          </w:p>
        </w:tc>
      </w:tr>
    </w:tbl>
    <w:p>
      <w:pPr>
        <w:snapToGrid w:val="0"/>
        <w:jc w:val="left"/>
        <w:rPr>
          <w:rFonts w:ascii="仿宋" w:hAnsi="仿宋" w:eastAsia="仿宋" w:cs="仿宋"/>
          <w:sz w:val="24"/>
        </w:rPr>
      </w:pPr>
      <w:r>
        <w:rPr>
          <w:rFonts w:hint="eastAsia" w:ascii="仿宋" w:hAnsi="仿宋" w:eastAsia="仿宋" w:cs="仿宋"/>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ind w:firstLine="482" w:firstLineChars="200"/>
        <w:rPr>
          <w:rFonts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ascii="仿宋" w:hAnsi="仿宋" w:eastAsia="仿宋" w:cs="仿宋"/>
          <w:sz w:val="24"/>
        </w:rPr>
      </w:pP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投标人（电子签章）：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            日期：    年   月   日</w:t>
      </w:r>
    </w:p>
    <w:p>
      <w:pPr>
        <w:pageBreakBefore/>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ascii="仿宋" w:hAnsi="仿宋" w:eastAsia="仿宋" w:cs="仿宋"/>
          <w:b/>
          <w:kern w:val="0"/>
          <w:sz w:val="24"/>
        </w:rPr>
      </w:pPr>
    </w:p>
    <w:p>
      <w:pPr>
        <w:spacing w:line="360"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194"/>
        <w:spacing w:line="360" w:lineRule="auto"/>
        <w:ind w:left="0" w:firstLine="0" w:firstLineChars="0"/>
        <w:rPr>
          <w:rFonts w:ascii="仿宋" w:eastAsia="仿宋" w:cs="仿宋"/>
        </w:rPr>
      </w:pPr>
      <w:r>
        <w:rPr>
          <w:rFonts w:hint="eastAsia" w:ascii="仿宋" w:eastAsia="仿宋" w:cs="仿宋"/>
        </w:rPr>
        <w:t>（1）法定代表人授权书 …………………………………………………………（页码）</w:t>
      </w:r>
    </w:p>
    <w:p>
      <w:pPr>
        <w:pStyle w:val="194"/>
        <w:spacing w:line="360" w:lineRule="auto"/>
        <w:ind w:left="0" w:firstLine="0" w:firstLineChars="0"/>
        <w:rPr>
          <w:rFonts w:ascii="仿宋" w:eastAsia="仿宋" w:cs="仿宋"/>
        </w:rPr>
      </w:pPr>
      <w:r>
        <w:rPr>
          <w:rFonts w:hint="eastAsia" w:ascii="仿宋" w:eastAsia="仿宋" w:cs="仿宋"/>
        </w:rPr>
        <w:t>（2）授权代表社保证明（复印件）………………………………………………（页码）</w:t>
      </w:r>
    </w:p>
    <w:p>
      <w:pPr>
        <w:pStyle w:val="194"/>
        <w:spacing w:line="360"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194"/>
        <w:spacing w:line="360" w:lineRule="auto"/>
        <w:ind w:left="0" w:firstLine="0" w:firstLineChars="0"/>
        <w:rPr>
          <w:rFonts w:ascii="仿宋" w:eastAsia="仿宋" w:cs="仿宋"/>
        </w:rPr>
      </w:pPr>
      <w:r>
        <w:rPr>
          <w:rFonts w:hint="eastAsia" w:ascii="仿宋" w:eastAsia="仿宋" w:cs="仿宋"/>
        </w:rPr>
        <w:t>（4）法定代表人身份证明书………………………………………………………（页码）</w:t>
      </w:r>
    </w:p>
    <w:p>
      <w:pPr>
        <w:spacing w:line="360" w:lineRule="auto"/>
        <w:outlineLvl w:val="0"/>
        <w:rPr>
          <w:rFonts w:ascii="仿宋" w:hAnsi="仿宋" w:eastAsia="仿宋" w:cs="仿宋"/>
          <w:sz w:val="24"/>
        </w:rPr>
      </w:pPr>
      <w:r>
        <w:rPr>
          <w:rFonts w:hint="eastAsia" w:ascii="仿宋" w:hAnsi="仿宋" w:eastAsia="仿宋" w:cs="仿宋"/>
          <w:sz w:val="24"/>
        </w:rPr>
        <w:t>（5）所有与符合性审查有关的资信文件（复印件）（营业执照、2021年度财务报表、纳税和社保缴纳证明</w:t>
      </w:r>
      <w:r>
        <w:rPr>
          <w:rFonts w:hint="eastAsia" w:ascii="仿宋" w:hAnsi="仿宋" w:eastAsia="仿宋" w:cs="仿宋"/>
          <w:kern w:val="0"/>
          <w:sz w:val="24"/>
        </w:rPr>
        <w:t>）</w:t>
      </w:r>
      <w:r>
        <w:rPr>
          <w:rFonts w:hint="eastAsia" w:ascii="仿宋" w:hAnsi="仿宋" w:eastAsia="仿宋" w:cs="仿宋"/>
          <w:lang w:val="zh-CN"/>
        </w:rPr>
        <w:t>………………………………………………………</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kern w:val="0"/>
          <w:sz w:val="24"/>
        </w:rPr>
        <w:t>（页码）</w:t>
      </w:r>
    </w:p>
    <w:p>
      <w:pPr>
        <w:snapToGrid w:val="0"/>
        <w:spacing w:line="360" w:lineRule="auto"/>
        <w:rPr>
          <w:rFonts w:ascii="仿宋" w:hAnsi="仿宋" w:eastAsia="仿宋" w:cs="仿宋"/>
          <w:kern w:val="0"/>
          <w:sz w:val="24"/>
        </w:rPr>
      </w:pPr>
      <w:r>
        <w:rPr>
          <w:rFonts w:hint="eastAsia" w:ascii="仿宋" w:hAnsi="仿宋" w:eastAsia="仿宋" w:cs="仿宋"/>
          <w:sz w:val="24"/>
        </w:rPr>
        <w:t>（6）具有履</w:t>
      </w:r>
      <w:r>
        <w:rPr>
          <w:rFonts w:hint="eastAsia" w:ascii="仿宋" w:hAnsi="仿宋" w:eastAsia="仿宋" w:cs="仿宋"/>
          <w:kern w:val="0"/>
          <w:sz w:val="24"/>
        </w:rPr>
        <w:t>行合同所必需的设备和专业技术能力的承诺函……………………（页码）</w:t>
      </w:r>
    </w:p>
    <w:p>
      <w:pPr>
        <w:pStyle w:val="194"/>
        <w:spacing w:line="360" w:lineRule="auto"/>
        <w:ind w:firstLine="0" w:firstLineChars="0"/>
        <w:rPr>
          <w:rFonts w:ascii="仿宋" w:eastAsia="仿宋" w:cs="仿宋"/>
          <w:kern w:val="0"/>
        </w:rPr>
      </w:pPr>
      <w:r>
        <w:rPr>
          <w:rFonts w:hint="eastAsia" w:ascii="仿宋" w:eastAsia="仿宋" w:cs="仿宋"/>
        </w:rPr>
        <w:t>（7）重大违法记录的声明</w:t>
      </w:r>
      <w:r>
        <w:rPr>
          <w:rFonts w:hint="eastAsia" w:ascii="仿宋" w:eastAsia="仿宋" w:cs="仿宋"/>
          <w:kern w:val="0"/>
        </w:rPr>
        <w:t xml:space="preserve"> …</w:t>
      </w:r>
      <w:r>
        <w:rPr>
          <w:rFonts w:hint="eastAsia" w:ascii="仿宋" w:eastAsia="仿宋" w:cs="仿宋"/>
        </w:rPr>
        <w:t>……………………………………………………</w:t>
      </w:r>
      <w:r>
        <w:rPr>
          <w:rFonts w:hint="eastAsia" w:ascii="仿宋" w:eastAsia="仿宋" w:cs="仿宋"/>
          <w:kern w:val="0"/>
        </w:rPr>
        <w:t>（页码）</w:t>
      </w:r>
    </w:p>
    <w:p>
      <w:pPr>
        <w:pStyle w:val="194"/>
        <w:spacing w:line="360" w:lineRule="auto"/>
        <w:ind w:firstLine="0" w:firstLineChars="0"/>
        <w:rPr>
          <w:rFonts w:ascii="仿宋" w:eastAsia="仿宋" w:cs="仿宋"/>
        </w:rPr>
      </w:pPr>
      <w:r>
        <w:rPr>
          <w:rFonts w:hint="eastAsia" w:ascii="仿宋" w:eastAsia="仿宋" w:cs="仿宋"/>
        </w:rPr>
        <w:t>（8）符合特定资格条件（如果项目要求）的有关证明材料（复印件）………（页码）</w:t>
      </w:r>
    </w:p>
    <w:p>
      <w:pPr>
        <w:pStyle w:val="194"/>
        <w:spacing w:line="360" w:lineRule="auto"/>
        <w:ind w:left="0" w:firstLine="0" w:firstLineChars="0"/>
        <w:rPr>
          <w:rFonts w:ascii="仿宋" w:eastAsia="仿宋" w:cs="仿宋"/>
        </w:rPr>
      </w:pPr>
      <w:r>
        <w:rPr>
          <w:rFonts w:hint="eastAsia" w:ascii="仿宋" w:eastAsia="仿宋" w:cs="仿宋"/>
        </w:rPr>
        <w:t>（9）</w:t>
      </w:r>
      <w:r>
        <w:rPr>
          <w:rFonts w:hint="eastAsia" w:ascii="仿宋" w:eastAsia="仿宋" w:cs="仿宋"/>
          <w:snapToGrid w:val="0"/>
        </w:rPr>
        <w:t>非本地投标人售后服务机构证明材料</w:t>
      </w:r>
      <w:r>
        <w:rPr>
          <w:rFonts w:hint="eastAsia" w:ascii="仿宋" w:eastAsia="仿宋" w:cs="仿宋"/>
        </w:rPr>
        <w:t>……………………………………（页码）</w:t>
      </w:r>
    </w:p>
    <w:p>
      <w:pPr>
        <w:pStyle w:val="194"/>
        <w:spacing w:line="360" w:lineRule="auto"/>
        <w:ind w:left="0" w:firstLine="0" w:firstLineChars="0"/>
        <w:rPr>
          <w:rFonts w:ascii="仿宋" w:eastAsia="仿宋" w:cs="仿宋"/>
        </w:rPr>
      </w:pPr>
      <w:r>
        <w:rPr>
          <w:rFonts w:hint="eastAsia" w:ascii="仿宋" w:eastAsia="仿宋" w:cs="仿宋"/>
        </w:rPr>
        <w:t>（10）</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4"/>
        <w:spacing w:line="360" w:lineRule="auto"/>
        <w:ind w:left="0" w:firstLine="0" w:firstLineChars="0"/>
        <w:rPr>
          <w:rFonts w:ascii="仿宋" w:eastAsia="仿宋" w:cs="仿宋"/>
        </w:rPr>
      </w:pPr>
      <w:r>
        <w:rPr>
          <w:rFonts w:hint="eastAsia" w:ascii="仿宋" w:eastAsia="仿宋" w:cs="仿宋"/>
        </w:rPr>
        <w:t>（11）廉政承诺书 …………………………………………………………………（页码）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（12）技术解决方案…………………………………………………</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（13）技术偏离说明表………………………………………………</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（14）组织实施方案……………………………………………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（15）售后服务方案……………………………………………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（16）项目小组人员名单………………………………………</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（18）</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（19）</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（20）</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kern w:val="0"/>
          <w:sz w:val="24"/>
        </w:rPr>
        <w:t>（21）</w:t>
      </w:r>
      <w:r>
        <w:rPr>
          <w:rFonts w:hint="eastAsia" w:ascii="仿宋" w:hAnsi="仿宋" w:eastAsia="仿宋" w:cs="仿宋"/>
          <w:kern w:val="0"/>
          <w:sz w:val="24"/>
          <w:lang w:val="zh-CN"/>
        </w:rPr>
        <w:t>联合协议（如有）……………………………………………………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（22）</w:t>
      </w:r>
      <w:r>
        <w:rPr>
          <w:rFonts w:hint="eastAsia" w:ascii="仿宋" w:hAnsi="仿宋" w:eastAsia="仿宋" w:cs="仿宋"/>
          <w:kern w:val="0"/>
          <w:sz w:val="24"/>
          <w:lang w:val="zh-CN"/>
        </w:rPr>
        <w:t>分包意向协议（如有）…………………………………………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kern w:val="0"/>
          <w:sz w:val="24"/>
        </w:rPr>
        <w:t>（23）中小企业声明函</w:t>
      </w:r>
      <w:r>
        <w:rPr>
          <w:rFonts w:hint="eastAsia" w:ascii="仿宋" w:hAnsi="仿宋" w:eastAsia="仿宋" w:cs="仿宋"/>
          <w:kern w:val="0"/>
          <w:sz w:val="24"/>
          <w:lang w:val="zh-CN"/>
        </w:rPr>
        <w:t>（如有）</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kern w:val="0"/>
          <w:sz w:val="24"/>
        </w:rPr>
        <w:t>（24）</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绍兴市中医院、泰宇建筑工程技术咨询有限公司</w:t>
      </w:r>
      <w:r>
        <w:rPr>
          <w:rFonts w:hint="eastAsia" w:ascii="仿宋" w:hAnsi="仿宋" w:eastAsia="仿宋" w:cs="仿宋"/>
          <w:sz w:val="24"/>
        </w:rPr>
        <w:t>组织的</w:t>
      </w:r>
      <w:r>
        <w:rPr>
          <w:rFonts w:hint="eastAsia" w:ascii="仿宋" w:hAnsi="仿宋" w:eastAsia="仿宋" w:cs="仿宋"/>
          <w:sz w:val="24"/>
          <w:u w:val="single"/>
        </w:rPr>
        <w:t>防疫三合一自控系统项目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绍兴市中医院、泰宇建筑工程技术咨询有限公司</w:t>
      </w:r>
      <w:r>
        <w:rPr>
          <w:rFonts w:hint="eastAsia" w:ascii="仿宋" w:hAnsi="仿宋" w:eastAsia="仿宋" w:cs="仿宋"/>
          <w:sz w:val="24"/>
        </w:rPr>
        <w:t>组织的</w:t>
      </w:r>
      <w:r>
        <w:rPr>
          <w:rFonts w:hint="eastAsia" w:ascii="仿宋" w:hAnsi="仿宋" w:eastAsia="仿宋" w:cs="仿宋"/>
          <w:sz w:val="24"/>
          <w:u w:val="single"/>
        </w:rPr>
        <w:t>防疫三合一自控系统项目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ascii="仿宋" w:hAnsi="仿宋" w:eastAsia="仿宋" w:cs="仿宋"/>
          <w:b/>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pageBreakBefore/>
        <w:rPr>
          <w:rFonts w:ascii="仿宋" w:hAnsi="仿宋" w:eastAsia="仿宋" w:cs="仿宋"/>
          <w:b/>
          <w:sz w:val="28"/>
          <w:szCs w:val="28"/>
        </w:rPr>
      </w:pPr>
      <w:r>
        <w:rPr>
          <w:rFonts w:hint="eastAsia" w:ascii="仿宋" w:hAnsi="仿宋" w:eastAsia="仿宋" w:cs="仿宋"/>
          <w:b/>
          <w:sz w:val="30"/>
          <w:szCs w:val="30"/>
        </w:rPr>
        <w:t>5、与符合性审查有关的资信文件（复印件）</w:t>
      </w:r>
      <w:r>
        <w:rPr>
          <w:rFonts w:hint="eastAsia" w:ascii="仿宋" w:hAnsi="仿宋" w:eastAsia="仿宋" w:cs="仿宋"/>
          <w:b/>
          <w:sz w:val="28"/>
          <w:szCs w:val="28"/>
        </w:rPr>
        <w:t>（1</w:t>
      </w:r>
      <w:r>
        <w:rPr>
          <w:rFonts w:hint="eastAsia" w:ascii="仿宋" w:hAnsi="仿宋" w:eastAsia="仿宋" w:cs="仿宋"/>
          <w:b/>
          <w:kern w:val="0"/>
          <w:sz w:val="28"/>
          <w:szCs w:val="28"/>
          <w:lang w:val="zh-CN"/>
        </w:rPr>
        <w:t>.</w:t>
      </w:r>
      <w:r>
        <w:rPr>
          <w:rFonts w:hint="eastAsia" w:ascii="仿宋" w:hAnsi="仿宋" w:eastAsia="仿宋" w:cs="仿宋"/>
          <w:b/>
          <w:sz w:val="28"/>
          <w:szCs w:val="28"/>
        </w:rPr>
        <w:t>营业执照（或事业法人登记证或其他登记证明材料）（复印件）；2.财务报表资料文件（2021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6、具有履行合同所必需的设备和专业技术能力的承诺函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rPr>
        <w:t>绍兴市中医院、泰宇建筑工程技术咨询有限公司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我方郑重承诺，我方具有履行绍兴市中医院防疫三合一自控系统项目（招标编号:</w:t>
      </w:r>
      <w:r>
        <w:rPr>
          <w:rFonts w:hint="eastAsia" w:ascii="仿宋" w:hAnsi="仿宋" w:eastAsia="仿宋" w:cs="仿宋"/>
          <w:sz w:val="24"/>
          <w:lang w:eastAsia="zh-CN"/>
        </w:rPr>
        <w:t>TYJZ2022070</w:t>
      </w:r>
      <w:r>
        <w:rPr>
          <w:rFonts w:hint="eastAsia" w:ascii="仿宋" w:hAnsi="仿宋" w:eastAsia="仿宋" w:cs="仿宋"/>
          <w:sz w:val="24"/>
        </w:rPr>
        <w:t>）合同所必需的设备和专业技术能力。如中标，我方将保证合同顺利履行。</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7、重大违法记录的声明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rPr>
        <w:t>绍兴市中医院、泰宇建筑工程技术咨询有限公司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，在</w:t>
      </w:r>
      <w:r>
        <w:rPr>
          <w:rFonts w:hint="eastAsia" w:ascii="仿宋" w:hAnsi="仿宋" w:eastAsia="仿宋" w:cs="仿宋"/>
          <w:kern w:val="0"/>
          <w:sz w:val="24"/>
        </w:rPr>
        <w:t>经营活动中</w:t>
      </w:r>
      <w:r>
        <w:rPr>
          <w:rFonts w:hint="eastAsia" w:ascii="仿宋" w:hAnsi="仿宋" w:eastAsia="仿宋" w:cs="仿宋"/>
          <w:sz w:val="24"/>
        </w:rPr>
        <w:t>没有重大违法记录</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ascii="仿宋" w:hAnsi="仿宋" w:eastAsia="仿宋" w:cs="仿宋"/>
          <w:b/>
          <w:sz w:val="30"/>
          <w:szCs w:val="30"/>
        </w:rPr>
      </w:pPr>
    </w:p>
    <w:p>
      <w:pPr>
        <w:snapToGrid w:val="0"/>
        <w:spacing w:line="360" w:lineRule="auto"/>
        <w:rPr>
          <w:rFonts w:ascii="仿宋" w:hAnsi="仿宋" w:eastAsia="仿宋" w:cs="仿宋"/>
          <w:b/>
          <w:sz w:val="30"/>
          <w:szCs w:val="30"/>
        </w:rPr>
      </w:pPr>
    </w:p>
    <w:p>
      <w:pPr>
        <w:snapToGrid w:val="0"/>
        <w:spacing w:line="360" w:lineRule="auto"/>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8、特定资格条件要求的资质文件（复印件）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9、非本地投标人售后服务机构证明材料</w:t>
      </w:r>
    </w:p>
    <w:p>
      <w:pPr>
        <w:spacing w:line="360" w:lineRule="auto"/>
        <w:jc w:val="center"/>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195"/>
        <w:ind w:firstLine="0"/>
        <w:jc w:val="both"/>
        <w:rPr>
          <w:rFonts w:ascii="仿宋" w:eastAsia="仿宋" w:cs="仿宋"/>
        </w:rPr>
      </w:pPr>
    </w:p>
    <w:p>
      <w:pPr>
        <w:pStyle w:val="195"/>
        <w:pageBreakBefore/>
        <w:ind w:firstLine="0"/>
        <w:jc w:val="both"/>
        <w:rPr>
          <w:rFonts w:ascii="仿宋" w:eastAsia="仿宋" w:cs="仿宋"/>
        </w:rPr>
      </w:pPr>
      <w:r>
        <w:rPr>
          <w:rFonts w:hint="eastAsia" w:ascii="仿宋" w:eastAsia="仿宋" w:cs="仿宋"/>
        </w:rPr>
        <w:t>11、廉政承诺书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绍兴市中医院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1.25pt;width:443.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rPr>
        <w:object>
          <v:shape id="_x0000_i1026" o:spt="75" type="#_x0000_t75" style="height:41.25pt;width:441.7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14、组织实施方案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360"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napToGrid w:val="0"/>
        <w:spacing w:line="360" w:lineRule="auto"/>
        <w:ind w:right="1440"/>
        <w:jc w:val="right"/>
        <w:rPr>
          <w:rFonts w:ascii="仿宋" w:hAnsi="仿宋" w:eastAsia="仿宋" w:cs="仿宋"/>
          <w:kern w:val="0"/>
          <w:sz w:val="24"/>
          <w:lang w:val="zh-CN"/>
        </w:rPr>
      </w:pPr>
      <w:r>
        <w:rPr>
          <w:rFonts w:hint="eastAsia" w:ascii="仿宋" w:hAnsi="仿宋" w:eastAsia="仿宋" w:cs="仿宋"/>
          <w:kern w:val="0"/>
          <w:sz w:val="24"/>
          <w:lang w:val="zh-CN"/>
        </w:rPr>
        <w:t>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培训计划</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20、验收方案</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21、认为需要的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22、联合协议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30%以上，对联合体报价给予3%的扣除，须提供《中小企业声明函》。）</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联合体成员名称(电子签章/公章)：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ascii="仿宋" w:hAnsi="仿宋" w:eastAsia="仿宋" w:cs="仿宋"/>
          <w:b/>
          <w:kern w:val="0"/>
          <w:sz w:val="32"/>
          <w:szCs w:val="32"/>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23、分包意向协议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ascii="仿宋" w:hAnsi="仿宋" w:eastAsia="仿宋" w:cs="仿宋"/>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24、落实政府采购政策需满足的资格要求</w:t>
      </w:r>
    </w:p>
    <w:p>
      <w:pPr>
        <w:spacing w:line="440" w:lineRule="exact"/>
        <w:rPr>
          <w:rFonts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 xml:space="preserve">（附件）。 </w:t>
      </w:r>
    </w:p>
    <w:p>
      <w:pPr>
        <w:widowControl/>
        <w:spacing w:line="440" w:lineRule="exact"/>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kern w:val="0"/>
          <w:sz w:val="32"/>
          <w:szCs w:val="32"/>
          <w:lang w:val="zh-CN"/>
        </w:rPr>
      </w:pPr>
    </w:p>
    <w:p>
      <w:pPr>
        <w:adjustRightInd w:val="0"/>
        <w:snapToGrid w:val="0"/>
        <w:spacing w:before="50" w:after="50" w:line="360" w:lineRule="auto"/>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jc w:val="center"/>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ascii="仿宋" w:hAnsi="仿宋" w:eastAsia="仿宋" w:cs="仿宋"/>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pageBreakBefore/>
        <w:spacing w:line="360" w:lineRule="auto"/>
        <w:ind w:firstLine="482" w:firstLineChars="200"/>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360" w:lineRule="auto"/>
        <w:ind w:firstLine="5880" w:firstLineChars="24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Rectangle 17" o:spid="_x0000_s1028"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">
            <v:path/>
            <v:fill focussize="0,0"/>
            <v:stroke miterlimit="2"/>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">
            <v:path/>
            <v:fill focussize="0,0"/>
            <v:stroke miterlimit="2"/>
            <v:imagedata o:title=""/>
            <o:lock v:ext="edit"/>
          </v:rect>
        </w:pict>
      </w:r>
      <w:r>
        <w:rPr>
          <w:rFonts w:hint="eastAsia" w:ascii="仿宋" w:hAnsi="仿宋" w:eastAsia="仿宋" w:cs="仿宋"/>
          <w:sz w:val="24"/>
        </w:rPr>
        <w:t>投标单位法定名称章（印模）                投标单位“XX专用章”（印模）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 w:hAnsi="仿宋" w:eastAsia="仿宋" w:cs="仿宋"/>
          <w:b/>
          <w:sz w:val="32"/>
          <w:szCs w:val="32"/>
        </w:rPr>
      </w:pPr>
      <w:r>
        <w:rPr>
          <w:rFonts w:hint="eastAsia" w:ascii="仿宋" w:hAnsi="仿宋" w:eastAsia="仿宋" w:cs="仿宋"/>
          <w:b/>
          <w:sz w:val="32"/>
          <w:szCs w:val="32"/>
        </w:rPr>
        <w:t>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w:t>
      </w:r>
      <w:bookmarkStart w:id="174" w:name="_Hlk96960687"/>
      <w:r>
        <w:rPr>
          <w:rFonts w:hint="eastAsia" w:ascii="仿宋" w:hAnsi="仿宋" w:eastAsia="仿宋" w:cs="仿宋"/>
          <w:b/>
          <w:sz w:val="24"/>
        </w:rPr>
        <w:t>《政府采购促进中小企业发展管理办法》</w:t>
      </w:r>
      <w:bookmarkEnd w:id="174"/>
      <w:r>
        <w:rPr>
          <w:rFonts w:hint="eastAsia" w:ascii="仿宋" w:hAnsi="仿宋" w:eastAsia="仿宋" w:cs="仿宋"/>
          <w:b/>
          <w:sz w:val="24"/>
        </w:rPr>
        <w:t>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7" o:spt="75" type="#_x0000_t75" style="height:41.25pt;width:390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hint="eastAsia" w:ascii="仿宋" w:hAnsi="仿宋" w:eastAsia="仿宋" w:cs="仿宋"/>
          <w:sz w:val="32"/>
          <w:szCs w:val="32"/>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 xml:space="preserve">地址：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 w:hAnsi="仿宋" w:eastAsia="仿宋" w:cs="仿宋"/>
          <w:sz w:val="30"/>
          <w:szCs w:val="30"/>
        </w:rPr>
      </w:pPr>
      <w:r>
        <w:rPr>
          <w:rFonts w:hint="eastAsia" w:ascii="仿宋" w:hAnsi="仿宋" w:eastAsia="仿宋" w:cs="仿宋"/>
          <w:sz w:val="30"/>
          <w:szCs w:val="30"/>
        </w:rPr>
        <w:t xml:space="preserve">签字(签章)：                   公章：                      </w:t>
      </w:r>
    </w:p>
    <w:p>
      <w:pPr>
        <w:rPr>
          <w:rFonts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pStyle w:val="2"/>
        <w:rPr>
          <w:rFonts w:ascii="仿宋" w:hAnsi="仿宋" w:eastAsia="仿宋" w:cs="仿宋"/>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pStyle w:val="2"/>
        <w:rPr>
          <w:rFonts w:ascii="仿宋" w:hAnsi="仿宋" w:eastAsia="仿宋" w:cs="仿宋"/>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pStyle w:val="2"/>
        <w:rPr>
          <w:rFonts w:ascii="仿宋" w:hAnsi="仿宋" w:eastAsia="仿宋" w:cs="仿宋"/>
        </w:rPr>
      </w:pPr>
    </w:p>
    <w:p>
      <w:pPr>
        <w:pStyle w:val="2"/>
        <w:rPr>
          <w:rFonts w:ascii="仿宋" w:hAnsi="仿宋" w:eastAsia="仿宋" w:cs="仿宋"/>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rPr>
          <w:rFonts w:ascii="仿宋" w:hAnsi="仿宋" w:eastAsia="仿宋" w:cs="仿宋"/>
          <w:kern w:val="0"/>
          <w:sz w:val="24"/>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Arial Unicode MS"/>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 xml:space="preserve">                                   </w:t>
    </w:r>
  </w:p>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FAACE1"/>
    <w:multiLevelType w:val="singleLevel"/>
    <w:tmpl w:val="C3FAACE1"/>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1"/>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02AD"/>
    <w:rsid w:val="00074373"/>
    <w:rsid w:val="00075850"/>
    <w:rsid w:val="0007656E"/>
    <w:rsid w:val="000812D0"/>
    <w:rsid w:val="00082DC1"/>
    <w:rsid w:val="00083E93"/>
    <w:rsid w:val="00083EB1"/>
    <w:rsid w:val="00087605"/>
    <w:rsid w:val="000933A2"/>
    <w:rsid w:val="0009629C"/>
    <w:rsid w:val="00097421"/>
    <w:rsid w:val="00097868"/>
    <w:rsid w:val="000A0868"/>
    <w:rsid w:val="000A1F26"/>
    <w:rsid w:val="000A3FC5"/>
    <w:rsid w:val="000A4017"/>
    <w:rsid w:val="000A5AC0"/>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3FE8"/>
    <w:rsid w:val="00214C2B"/>
    <w:rsid w:val="00223848"/>
    <w:rsid w:val="00223A5B"/>
    <w:rsid w:val="00224A52"/>
    <w:rsid w:val="002261D7"/>
    <w:rsid w:val="002266CD"/>
    <w:rsid w:val="0022698F"/>
    <w:rsid w:val="00230A8D"/>
    <w:rsid w:val="00231CB7"/>
    <w:rsid w:val="00233356"/>
    <w:rsid w:val="00233733"/>
    <w:rsid w:val="00235AC1"/>
    <w:rsid w:val="002362A5"/>
    <w:rsid w:val="0023638E"/>
    <w:rsid w:val="00240411"/>
    <w:rsid w:val="00243D9A"/>
    <w:rsid w:val="002442F3"/>
    <w:rsid w:val="00244766"/>
    <w:rsid w:val="00247014"/>
    <w:rsid w:val="00247AB8"/>
    <w:rsid w:val="00251888"/>
    <w:rsid w:val="0025660E"/>
    <w:rsid w:val="00256A92"/>
    <w:rsid w:val="0025749B"/>
    <w:rsid w:val="002608A0"/>
    <w:rsid w:val="00260A0D"/>
    <w:rsid w:val="00261168"/>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9758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C6BC5"/>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57C"/>
    <w:rsid w:val="00323729"/>
    <w:rsid w:val="00323B52"/>
    <w:rsid w:val="00323E60"/>
    <w:rsid w:val="003250A1"/>
    <w:rsid w:val="0032789C"/>
    <w:rsid w:val="00327C7D"/>
    <w:rsid w:val="00330035"/>
    <w:rsid w:val="003302F0"/>
    <w:rsid w:val="00332DA4"/>
    <w:rsid w:val="00334D83"/>
    <w:rsid w:val="00335A61"/>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4FFA"/>
    <w:rsid w:val="003A546B"/>
    <w:rsid w:val="003A74F5"/>
    <w:rsid w:val="003B1CEB"/>
    <w:rsid w:val="003B24CA"/>
    <w:rsid w:val="003B2B02"/>
    <w:rsid w:val="003B4150"/>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14D1"/>
    <w:rsid w:val="00403FEC"/>
    <w:rsid w:val="00407D88"/>
    <w:rsid w:val="004109FD"/>
    <w:rsid w:val="0041394C"/>
    <w:rsid w:val="00413B7A"/>
    <w:rsid w:val="0041460B"/>
    <w:rsid w:val="00414F64"/>
    <w:rsid w:val="00417C8A"/>
    <w:rsid w:val="0042136D"/>
    <w:rsid w:val="00424C70"/>
    <w:rsid w:val="0042557D"/>
    <w:rsid w:val="00426003"/>
    <w:rsid w:val="00432C68"/>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C61"/>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5774"/>
    <w:rsid w:val="004F69CA"/>
    <w:rsid w:val="004F7507"/>
    <w:rsid w:val="004F7995"/>
    <w:rsid w:val="00503D74"/>
    <w:rsid w:val="005041C0"/>
    <w:rsid w:val="005049EA"/>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96B5B"/>
    <w:rsid w:val="005A3003"/>
    <w:rsid w:val="005A32FB"/>
    <w:rsid w:val="005A3E6E"/>
    <w:rsid w:val="005A7A4A"/>
    <w:rsid w:val="005B180C"/>
    <w:rsid w:val="005B243A"/>
    <w:rsid w:val="005B46B5"/>
    <w:rsid w:val="005C2908"/>
    <w:rsid w:val="005C2C6F"/>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68E7"/>
    <w:rsid w:val="005F510E"/>
    <w:rsid w:val="005F5691"/>
    <w:rsid w:val="005F78A5"/>
    <w:rsid w:val="006029F2"/>
    <w:rsid w:val="00604458"/>
    <w:rsid w:val="00606ED5"/>
    <w:rsid w:val="006070BD"/>
    <w:rsid w:val="006073C6"/>
    <w:rsid w:val="00607E60"/>
    <w:rsid w:val="006107F3"/>
    <w:rsid w:val="006120C0"/>
    <w:rsid w:val="00615BAF"/>
    <w:rsid w:val="00617775"/>
    <w:rsid w:val="00622201"/>
    <w:rsid w:val="006225C8"/>
    <w:rsid w:val="006225CB"/>
    <w:rsid w:val="00623514"/>
    <w:rsid w:val="00624516"/>
    <w:rsid w:val="006257E9"/>
    <w:rsid w:val="00625BC2"/>
    <w:rsid w:val="0062606E"/>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4A3"/>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5C2"/>
    <w:rsid w:val="006A3D9E"/>
    <w:rsid w:val="006A4F05"/>
    <w:rsid w:val="006A69A8"/>
    <w:rsid w:val="006B183A"/>
    <w:rsid w:val="006B1A97"/>
    <w:rsid w:val="006B4F54"/>
    <w:rsid w:val="006B6B67"/>
    <w:rsid w:val="006C002F"/>
    <w:rsid w:val="006C02F5"/>
    <w:rsid w:val="006C5FEF"/>
    <w:rsid w:val="006C7EB3"/>
    <w:rsid w:val="006D2703"/>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42D"/>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2850"/>
    <w:rsid w:val="00896BE8"/>
    <w:rsid w:val="00896ED5"/>
    <w:rsid w:val="008A037C"/>
    <w:rsid w:val="008A17D1"/>
    <w:rsid w:val="008A251A"/>
    <w:rsid w:val="008A5161"/>
    <w:rsid w:val="008A6135"/>
    <w:rsid w:val="008A64AD"/>
    <w:rsid w:val="008A7376"/>
    <w:rsid w:val="008B3818"/>
    <w:rsid w:val="008B43D4"/>
    <w:rsid w:val="008B470F"/>
    <w:rsid w:val="008B6655"/>
    <w:rsid w:val="008C3401"/>
    <w:rsid w:val="008C4226"/>
    <w:rsid w:val="008C4325"/>
    <w:rsid w:val="008C4B7C"/>
    <w:rsid w:val="008C4E5B"/>
    <w:rsid w:val="008C764A"/>
    <w:rsid w:val="008D15B3"/>
    <w:rsid w:val="008D18D9"/>
    <w:rsid w:val="008D4AB1"/>
    <w:rsid w:val="008D5C54"/>
    <w:rsid w:val="008D7471"/>
    <w:rsid w:val="008D7B31"/>
    <w:rsid w:val="008E19EE"/>
    <w:rsid w:val="008E1A0D"/>
    <w:rsid w:val="008E316D"/>
    <w:rsid w:val="008E4B80"/>
    <w:rsid w:val="008E6364"/>
    <w:rsid w:val="008F03D5"/>
    <w:rsid w:val="008F07DF"/>
    <w:rsid w:val="008F1A2E"/>
    <w:rsid w:val="00900D76"/>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5F05"/>
    <w:rsid w:val="009C6549"/>
    <w:rsid w:val="009C725B"/>
    <w:rsid w:val="009C76D3"/>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7DC"/>
    <w:rsid w:val="00AA7A18"/>
    <w:rsid w:val="00AB01E4"/>
    <w:rsid w:val="00AB1582"/>
    <w:rsid w:val="00AB29D3"/>
    <w:rsid w:val="00AB2C10"/>
    <w:rsid w:val="00AB39F3"/>
    <w:rsid w:val="00AB44CD"/>
    <w:rsid w:val="00AB454D"/>
    <w:rsid w:val="00AC1694"/>
    <w:rsid w:val="00AC2B19"/>
    <w:rsid w:val="00AC3A1C"/>
    <w:rsid w:val="00AC4A89"/>
    <w:rsid w:val="00AC6CEC"/>
    <w:rsid w:val="00AC7411"/>
    <w:rsid w:val="00AD03ED"/>
    <w:rsid w:val="00AD0DBF"/>
    <w:rsid w:val="00AD6ACB"/>
    <w:rsid w:val="00AE1B40"/>
    <w:rsid w:val="00AE2ED6"/>
    <w:rsid w:val="00AF039F"/>
    <w:rsid w:val="00AF4A99"/>
    <w:rsid w:val="00AF4AF3"/>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3D6F"/>
    <w:rsid w:val="00BC500A"/>
    <w:rsid w:val="00BC57B1"/>
    <w:rsid w:val="00BC61AC"/>
    <w:rsid w:val="00BD0EBD"/>
    <w:rsid w:val="00BD20CF"/>
    <w:rsid w:val="00BD3984"/>
    <w:rsid w:val="00BD3B87"/>
    <w:rsid w:val="00BD4C35"/>
    <w:rsid w:val="00BE4CCA"/>
    <w:rsid w:val="00BE6FA5"/>
    <w:rsid w:val="00BF28ED"/>
    <w:rsid w:val="00BF4A9B"/>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17A6C"/>
    <w:rsid w:val="00C2059D"/>
    <w:rsid w:val="00C20DC8"/>
    <w:rsid w:val="00C23661"/>
    <w:rsid w:val="00C2561D"/>
    <w:rsid w:val="00C300F2"/>
    <w:rsid w:val="00C31EB2"/>
    <w:rsid w:val="00C320DF"/>
    <w:rsid w:val="00C329C3"/>
    <w:rsid w:val="00C34C64"/>
    <w:rsid w:val="00C35D54"/>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754BA"/>
    <w:rsid w:val="00C806EB"/>
    <w:rsid w:val="00C826A0"/>
    <w:rsid w:val="00C83068"/>
    <w:rsid w:val="00C83429"/>
    <w:rsid w:val="00C8410F"/>
    <w:rsid w:val="00C85A01"/>
    <w:rsid w:val="00C8637A"/>
    <w:rsid w:val="00C870A4"/>
    <w:rsid w:val="00C87C97"/>
    <w:rsid w:val="00C90ECA"/>
    <w:rsid w:val="00C92B25"/>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ACC"/>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B776D"/>
    <w:rsid w:val="00DC10A7"/>
    <w:rsid w:val="00DC168D"/>
    <w:rsid w:val="00DC33B6"/>
    <w:rsid w:val="00DC63F9"/>
    <w:rsid w:val="00DD29D3"/>
    <w:rsid w:val="00DD325C"/>
    <w:rsid w:val="00DD4B24"/>
    <w:rsid w:val="00DD5651"/>
    <w:rsid w:val="00DD6196"/>
    <w:rsid w:val="00DE0E2E"/>
    <w:rsid w:val="00DE12F4"/>
    <w:rsid w:val="00DE1DFC"/>
    <w:rsid w:val="00DE208C"/>
    <w:rsid w:val="00DE4584"/>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459B"/>
    <w:rsid w:val="00E261C5"/>
    <w:rsid w:val="00E34C20"/>
    <w:rsid w:val="00E35D90"/>
    <w:rsid w:val="00E3742A"/>
    <w:rsid w:val="00E4159A"/>
    <w:rsid w:val="00E42DE4"/>
    <w:rsid w:val="00E45EE2"/>
    <w:rsid w:val="00E46623"/>
    <w:rsid w:val="00E46934"/>
    <w:rsid w:val="00E51C1B"/>
    <w:rsid w:val="00E52A06"/>
    <w:rsid w:val="00E52E4C"/>
    <w:rsid w:val="00E56E61"/>
    <w:rsid w:val="00E57296"/>
    <w:rsid w:val="00E62041"/>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706"/>
    <w:rsid w:val="00EC287E"/>
    <w:rsid w:val="00EC3182"/>
    <w:rsid w:val="00EC35BE"/>
    <w:rsid w:val="00EC3F23"/>
    <w:rsid w:val="00EC47BF"/>
    <w:rsid w:val="00EC57BD"/>
    <w:rsid w:val="00EC74CE"/>
    <w:rsid w:val="00EC7697"/>
    <w:rsid w:val="00EC77D6"/>
    <w:rsid w:val="00EC7AA0"/>
    <w:rsid w:val="00ED1F25"/>
    <w:rsid w:val="00ED23E5"/>
    <w:rsid w:val="00ED3A71"/>
    <w:rsid w:val="00ED448F"/>
    <w:rsid w:val="00ED758C"/>
    <w:rsid w:val="00EE06ED"/>
    <w:rsid w:val="00EE232E"/>
    <w:rsid w:val="00EE4212"/>
    <w:rsid w:val="00EE54FE"/>
    <w:rsid w:val="00EE55D8"/>
    <w:rsid w:val="00EE5E15"/>
    <w:rsid w:val="00EF1A94"/>
    <w:rsid w:val="00EF20FA"/>
    <w:rsid w:val="00EF4168"/>
    <w:rsid w:val="00EF52D6"/>
    <w:rsid w:val="00EF7E5B"/>
    <w:rsid w:val="00F00B43"/>
    <w:rsid w:val="00F0162F"/>
    <w:rsid w:val="00F01C96"/>
    <w:rsid w:val="00F0661F"/>
    <w:rsid w:val="00F11AA9"/>
    <w:rsid w:val="00F12CBB"/>
    <w:rsid w:val="00F1355C"/>
    <w:rsid w:val="00F21C57"/>
    <w:rsid w:val="00F226E8"/>
    <w:rsid w:val="00F2566F"/>
    <w:rsid w:val="00F30E51"/>
    <w:rsid w:val="00F31980"/>
    <w:rsid w:val="00F31AD0"/>
    <w:rsid w:val="00F33527"/>
    <w:rsid w:val="00F3506F"/>
    <w:rsid w:val="00F35DF7"/>
    <w:rsid w:val="00F37F36"/>
    <w:rsid w:val="00F41632"/>
    <w:rsid w:val="00F42267"/>
    <w:rsid w:val="00F43CE8"/>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1781"/>
    <w:rsid w:val="00F825E8"/>
    <w:rsid w:val="00F82E38"/>
    <w:rsid w:val="00F835B4"/>
    <w:rsid w:val="00F83C52"/>
    <w:rsid w:val="00F83D25"/>
    <w:rsid w:val="00F84A1B"/>
    <w:rsid w:val="00F85561"/>
    <w:rsid w:val="00F85A41"/>
    <w:rsid w:val="00F87DA7"/>
    <w:rsid w:val="00F90A9D"/>
    <w:rsid w:val="00F92229"/>
    <w:rsid w:val="00F942DD"/>
    <w:rsid w:val="00F94983"/>
    <w:rsid w:val="00F95111"/>
    <w:rsid w:val="00F97C8E"/>
    <w:rsid w:val="00F97E58"/>
    <w:rsid w:val="00FA0AAD"/>
    <w:rsid w:val="00FA1DC1"/>
    <w:rsid w:val="00FA5EE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20E6EAF"/>
    <w:rsid w:val="051C3007"/>
    <w:rsid w:val="06A43CE5"/>
    <w:rsid w:val="0E3177FA"/>
    <w:rsid w:val="101A60A8"/>
    <w:rsid w:val="11A437DA"/>
    <w:rsid w:val="12E35DEC"/>
    <w:rsid w:val="139C0546"/>
    <w:rsid w:val="14315C8A"/>
    <w:rsid w:val="163B5992"/>
    <w:rsid w:val="173268F0"/>
    <w:rsid w:val="1A0C23A2"/>
    <w:rsid w:val="1A1A126D"/>
    <w:rsid w:val="1BEB670A"/>
    <w:rsid w:val="1C852F1C"/>
    <w:rsid w:val="1D4B508F"/>
    <w:rsid w:val="1D836C66"/>
    <w:rsid w:val="1DC506A5"/>
    <w:rsid w:val="24F25FD5"/>
    <w:rsid w:val="271D0F9E"/>
    <w:rsid w:val="28035D95"/>
    <w:rsid w:val="290112FB"/>
    <w:rsid w:val="2D362D8F"/>
    <w:rsid w:val="2DF27B27"/>
    <w:rsid w:val="2ED7020A"/>
    <w:rsid w:val="30304946"/>
    <w:rsid w:val="30D916C0"/>
    <w:rsid w:val="31AB221D"/>
    <w:rsid w:val="33D259F6"/>
    <w:rsid w:val="34804F88"/>
    <w:rsid w:val="353254A0"/>
    <w:rsid w:val="38F10753"/>
    <w:rsid w:val="3A924569"/>
    <w:rsid w:val="3E4B1F54"/>
    <w:rsid w:val="3F94530D"/>
    <w:rsid w:val="413B09C3"/>
    <w:rsid w:val="41952301"/>
    <w:rsid w:val="445B00DD"/>
    <w:rsid w:val="47642AAA"/>
    <w:rsid w:val="49355BCD"/>
    <w:rsid w:val="4CFC3B0D"/>
    <w:rsid w:val="4ED2025D"/>
    <w:rsid w:val="4F86410F"/>
    <w:rsid w:val="4FEB1EA0"/>
    <w:rsid w:val="514D4ECD"/>
    <w:rsid w:val="54211F4A"/>
    <w:rsid w:val="576739FF"/>
    <w:rsid w:val="594037A8"/>
    <w:rsid w:val="59460CED"/>
    <w:rsid w:val="5AC5122C"/>
    <w:rsid w:val="5CF31333"/>
    <w:rsid w:val="60596455"/>
    <w:rsid w:val="61312680"/>
    <w:rsid w:val="61537659"/>
    <w:rsid w:val="62A11768"/>
    <w:rsid w:val="62B057FC"/>
    <w:rsid w:val="632F08CA"/>
    <w:rsid w:val="66513E75"/>
    <w:rsid w:val="67167A87"/>
    <w:rsid w:val="68FB7B8C"/>
    <w:rsid w:val="6B67742A"/>
    <w:rsid w:val="6DD77E7C"/>
    <w:rsid w:val="72715BFC"/>
    <w:rsid w:val="72E87C49"/>
    <w:rsid w:val="74060744"/>
    <w:rsid w:val="75432727"/>
    <w:rsid w:val="7DFBB8BB"/>
    <w:rsid w:val="7E7B0947"/>
    <w:rsid w:val="7F1B4F8A"/>
    <w:rsid w:val="7F777168"/>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6"/>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6">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table of authorities"/>
    <w:basedOn w:val="1"/>
    <w:next w:val="1"/>
    <w:qFormat/>
    <w:uiPriority w:val="0"/>
    <w:pPr>
      <w:ind w:left="420" w:leftChars="200"/>
    </w:pPr>
    <w:rPr>
      <w:rFonts w:ascii="Calibri" w:hAnsi="Calibri"/>
      <w:szCs w:val="22"/>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1"/>
    <w:qFormat/>
    <w:uiPriority w:val="0"/>
    <w:pPr>
      <w:spacing w:line="360" w:lineRule="auto"/>
      <w:jc w:val="center"/>
    </w:pPr>
    <w:rPr>
      <w:rFonts w:ascii="Calibri" w:hAnsi="Calibri"/>
      <w:sz w:val="20"/>
      <w:szCs w:val="20"/>
    </w:rPr>
  </w:style>
  <w:style w:type="paragraph" w:styleId="17">
    <w:name w:val="Document Map"/>
    <w:basedOn w:val="1"/>
    <w:link w:val="120"/>
    <w:semiHidden/>
    <w:qFormat/>
    <w:uiPriority w:val="0"/>
    <w:pPr>
      <w:shd w:val="clear" w:color="auto" w:fill="000080"/>
    </w:pPr>
  </w:style>
  <w:style w:type="paragraph" w:styleId="18">
    <w:name w:val="annotation text"/>
    <w:basedOn w:val="1"/>
    <w:link w:val="72"/>
    <w:qFormat/>
    <w:uiPriority w:val="0"/>
    <w:pPr>
      <w:jc w:val="left"/>
    </w:pPr>
  </w:style>
  <w:style w:type="paragraph" w:styleId="19">
    <w:name w:val="Body Text"/>
    <w:basedOn w:val="1"/>
    <w:link w:val="85"/>
    <w:qFormat/>
    <w:uiPriority w:val="0"/>
    <w:pPr>
      <w:spacing w:line="360" w:lineRule="auto"/>
    </w:pPr>
    <w:rPr>
      <w:rFonts w:eastAsia="仿宋_GB2312"/>
      <w:sz w:val="28"/>
    </w:rPr>
  </w:style>
  <w:style w:type="paragraph" w:styleId="20">
    <w:name w:val="Body Text Indent"/>
    <w:basedOn w:val="1"/>
    <w:link w:val="66"/>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4"/>
    <w:qFormat/>
    <w:uiPriority w:val="0"/>
    <w:rPr>
      <w:rFonts w:ascii="宋体" w:hAnsi="Courier New"/>
      <w:szCs w:val="20"/>
    </w:rPr>
  </w:style>
  <w:style w:type="paragraph" w:styleId="25">
    <w:name w:val="Date"/>
    <w:basedOn w:val="1"/>
    <w:next w:val="1"/>
    <w:link w:val="67"/>
    <w:qFormat/>
    <w:uiPriority w:val="0"/>
    <w:rPr>
      <w:rFonts w:ascii="楷体_GB2312" w:eastAsia="楷体_GB2312"/>
      <w:b/>
      <w:sz w:val="28"/>
      <w:szCs w:val="20"/>
    </w:rPr>
  </w:style>
  <w:style w:type="paragraph" w:styleId="26">
    <w:name w:val="Body Text Indent 2"/>
    <w:basedOn w:val="1"/>
    <w:link w:val="81"/>
    <w:qFormat/>
    <w:uiPriority w:val="0"/>
    <w:pPr>
      <w:spacing w:after="120" w:line="480" w:lineRule="auto"/>
      <w:ind w:left="420" w:leftChars="200"/>
    </w:pPr>
  </w:style>
  <w:style w:type="paragraph" w:styleId="27">
    <w:name w:val="Balloon Text"/>
    <w:basedOn w:val="1"/>
    <w:link w:val="199"/>
    <w:semiHidden/>
    <w:qFormat/>
    <w:uiPriority w:val="0"/>
    <w:rPr>
      <w:sz w:val="18"/>
      <w:szCs w:val="18"/>
    </w:rPr>
  </w:style>
  <w:style w:type="paragraph" w:styleId="28">
    <w:name w:val="footer"/>
    <w:basedOn w:val="1"/>
    <w:link w:val="69"/>
    <w:qFormat/>
    <w:uiPriority w:val="99"/>
    <w:pPr>
      <w:tabs>
        <w:tab w:val="center" w:pos="4153"/>
        <w:tab w:val="right" w:pos="8306"/>
      </w:tabs>
      <w:snapToGrid w:val="0"/>
      <w:jc w:val="left"/>
    </w:pPr>
    <w:rPr>
      <w:sz w:val="18"/>
      <w:szCs w:val="18"/>
    </w:rPr>
  </w:style>
  <w:style w:type="paragraph" w:styleId="29">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33">
    <w:name w:val="Body Text Indent 3"/>
    <w:basedOn w:val="1"/>
    <w:link w:val="200"/>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202"/>
    <w:semiHidden/>
    <w:qFormat/>
    <w:uiPriority w:val="0"/>
    <w:pPr>
      <w:widowControl/>
      <w:spacing w:afterLines="50"/>
    </w:pPr>
    <w:rPr>
      <w:b/>
      <w:bCs/>
      <w:kern w:val="0"/>
      <w:sz w:val="24"/>
      <w:szCs w:val="20"/>
    </w:rPr>
  </w:style>
  <w:style w:type="paragraph" w:styleId="42">
    <w:name w:val="Body Text First Indent"/>
    <w:basedOn w:val="19"/>
    <w:link w:val="203"/>
    <w:qFormat/>
    <w:uiPriority w:val="0"/>
    <w:pPr>
      <w:spacing w:after="120" w:line="240" w:lineRule="auto"/>
      <w:ind w:firstLine="420" w:firstLineChars="100"/>
    </w:pPr>
    <w:rPr>
      <w:rFonts w:eastAsia="宋体"/>
      <w:sz w:val="21"/>
    </w:rPr>
  </w:style>
  <w:style w:type="paragraph" w:styleId="43">
    <w:name w:val="Body Text First Indent 2"/>
    <w:basedOn w:val="20"/>
    <w:link w:val="204"/>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99"/>
    <w:rPr>
      <w:sz w:val="21"/>
      <w:szCs w:val="21"/>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6"/>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3 Char"/>
    <w:link w:val="5"/>
    <w:qFormat/>
    <w:uiPriority w:val="0"/>
    <w:rPr>
      <w:rFonts w:eastAsia="仿宋_GB2312"/>
      <w:b/>
      <w:kern w:val="2"/>
      <w:sz w:val="32"/>
      <w:lang w:val="en-US" w:eastAsia="zh-CN" w:bidi="ar-SA"/>
    </w:rPr>
  </w:style>
  <w:style w:type="character" w:customStyle="1" w:styleId="58">
    <w:name w:val="标题 4 Char1"/>
    <w:link w:val="7"/>
    <w:qFormat/>
    <w:uiPriority w:val="0"/>
    <w:rPr>
      <w:rFonts w:ascii="Arial" w:hAnsi="Arial" w:eastAsia="黑体"/>
      <w:b/>
      <w:kern w:val="2"/>
      <w:sz w:val="28"/>
      <w:lang w:val="en-US" w:eastAsia="zh-CN" w:bidi="ar-SA"/>
    </w:rPr>
  </w:style>
  <w:style w:type="character" w:customStyle="1" w:styleId="59">
    <w:name w:val="标题 5 Char1"/>
    <w:link w:val="8"/>
    <w:qFormat/>
    <w:uiPriority w:val="0"/>
    <w:rPr>
      <w:rFonts w:eastAsia="宋体"/>
      <w:sz w:val="24"/>
      <w:lang w:val="en-US" w:eastAsia="zh-CN" w:bidi="ar-SA"/>
    </w:rPr>
  </w:style>
  <w:style w:type="character" w:customStyle="1" w:styleId="60">
    <w:name w:val="标题 6 Char1"/>
    <w:link w:val="9"/>
    <w:qFormat/>
    <w:uiPriority w:val="0"/>
    <w:rPr>
      <w:rFonts w:ascii="宋体" w:hAnsi="Arial" w:eastAsia="宋体"/>
      <w:sz w:val="24"/>
      <w:lang w:val="en-US" w:eastAsia="zh-CN" w:bidi="ar-SA"/>
    </w:rPr>
  </w:style>
  <w:style w:type="character" w:customStyle="1" w:styleId="61">
    <w:name w:val="标题 7 Char1"/>
    <w:link w:val="10"/>
    <w:qFormat/>
    <w:uiPriority w:val="0"/>
    <w:rPr>
      <w:rFonts w:ascii="宋体" w:hAnsi="Arial" w:eastAsia="宋体"/>
      <w:b/>
      <w:sz w:val="24"/>
      <w:lang w:val="en-US" w:eastAsia="zh-CN" w:bidi="ar-SA"/>
    </w:rPr>
  </w:style>
  <w:style w:type="character" w:customStyle="1" w:styleId="62">
    <w:name w:val="标题 8 Char1"/>
    <w:link w:val="11"/>
    <w:qFormat/>
    <w:uiPriority w:val="0"/>
    <w:rPr>
      <w:rFonts w:ascii="Arial" w:hAnsi="Arial" w:eastAsia="黑体"/>
      <w:sz w:val="24"/>
      <w:lang w:val="en-US" w:eastAsia="zh-CN" w:bidi="ar-SA"/>
    </w:rPr>
  </w:style>
  <w:style w:type="character" w:customStyle="1" w:styleId="63">
    <w:name w:val="标题 9 Char1"/>
    <w:link w:val="12"/>
    <w:qFormat/>
    <w:uiPriority w:val="0"/>
    <w:rPr>
      <w:rFonts w:ascii="Arial" w:hAnsi="Arial" w:eastAsia="黑体"/>
      <w:sz w:val="24"/>
      <w:lang w:val="en-US" w:eastAsia="zh-CN" w:bidi="ar-SA"/>
    </w:rPr>
  </w:style>
  <w:style w:type="character" w:customStyle="1" w:styleId="64">
    <w:name w:val="纯文本 Char"/>
    <w:link w:val="24"/>
    <w:qFormat/>
    <w:uiPriority w:val="0"/>
    <w:rPr>
      <w:rFonts w:ascii="宋体" w:hAnsi="Courier New" w:eastAsia="宋体"/>
      <w:kern w:val="2"/>
      <w:sz w:val="21"/>
      <w:lang w:val="en-US" w:eastAsia="zh-CN" w:bidi="ar-SA"/>
    </w:rPr>
  </w:style>
  <w:style w:type="paragraph" w:customStyle="1" w:styleId="65">
    <w:name w:val="表正文"/>
    <w:basedOn w:val="1"/>
    <w:next w:val="24"/>
    <w:qFormat/>
    <w:uiPriority w:val="0"/>
    <w:rPr>
      <w:rFonts w:ascii="宋体" w:hAnsi="Courier New"/>
      <w:szCs w:val="20"/>
    </w:rPr>
  </w:style>
  <w:style w:type="character" w:customStyle="1" w:styleId="66">
    <w:name w:val="正文文本缩进 Char"/>
    <w:link w:val="20"/>
    <w:qFormat/>
    <w:uiPriority w:val="0"/>
    <w:rPr>
      <w:rFonts w:eastAsia="宋体"/>
      <w:kern w:val="2"/>
      <w:sz w:val="21"/>
      <w:szCs w:val="24"/>
      <w:lang w:val="en-US" w:eastAsia="zh-CN" w:bidi="ar-SA"/>
    </w:rPr>
  </w:style>
  <w:style w:type="character" w:customStyle="1" w:styleId="67">
    <w:name w:val="日期 Char2"/>
    <w:link w:val="25"/>
    <w:qFormat/>
    <w:uiPriority w:val="0"/>
    <w:rPr>
      <w:rFonts w:ascii="楷体_GB2312" w:eastAsia="楷体_GB2312"/>
      <w:b/>
      <w:kern w:val="2"/>
      <w:sz w:val="28"/>
      <w:lang w:val="en-US" w:eastAsia="zh-CN" w:bidi="ar-SA"/>
    </w:rPr>
  </w:style>
  <w:style w:type="character" w:customStyle="1" w:styleId="68">
    <w:name w:val="页眉 Char1"/>
    <w:link w:val="29"/>
    <w:qFormat/>
    <w:uiPriority w:val="0"/>
    <w:rPr>
      <w:rFonts w:eastAsia="宋体"/>
      <w:kern w:val="2"/>
      <w:sz w:val="18"/>
      <w:szCs w:val="18"/>
      <w:lang w:val="en-US" w:eastAsia="zh-CN" w:bidi="ar-SA"/>
    </w:rPr>
  </w:style>
  <w:style w:type="character" w:customStyle="1" w:styleId="69">
    <w:name w:val="页脚 Char"/>
    <w:link w:val="28"/>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8"/>
    <w:qFormat/>
    <w:uiPriority w:val="0"/>
    <w:rPr>
      <w:rFonts w:eastAsia="宋体"/>
      <w:kern w:val="2"/>
      <w:sz w:val="21"/>
      <w:szCs w:val="24"/>
      <w:lang w:val="en-US" w:eastAsia="zh-CN" w:bidi="ar-SA"/>
    </w:rPr>
  </w:style>
  <w:style w:type="character" w:customStyle="1" w:styleId="73">
    <w:name w:val="正文文本 2 Char1"/>
    <w:link w:val="35"/>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6"/>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19"/>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6"/>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6"/>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Char"/>
    <w:link w:val="17"/>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7"/>
    <w:qFormat/>
    <w:uiPriority w:val="0"/>
    <w:rPr>
      <w:rFonts w:ascii="Tahoma" w:hAnsi="Tahoma"/>
      <w:sz w:val="24"/>
    </w:rPr>
  </w:style>
  <w:style w:type="paragraph" w:customStyle="1" w:styleId="140">
    <w:name w:val="Char Char Char"/>
    <w:basedOn w:val="17"/>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6"/>
    <w:qFormat/>
    <w:uiPriority w:val="0"/>
  </w:style>
  <w:style w:type="paragraph" w:customStyle="1" w:styleId="152">
    <w:name w:val="样式 正文缩进 + 首行缩进:  2 字符"/>
    <w:basedOn w:val="6"/>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6"/>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qFormat/>
    <w:uiPriority w:val="99"/>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5"/>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6"/>
    <w:link w:val="27"/>
    <w:semiHidden/>
    <w:qFormat/>
    <w:uiPriority w:val="0"/>
    <w:rPr>
      <w:kern w:val="2"/>
      <w:sz w:val="18"/>
      <w:szCs w:val="18"/>
    </w:rPr>
  </w:style>
  <w:style w:type="character" w:customStyle="1" w:styleId="200">
    <w:name w:val="正文文本缩进 3 Char"/>
    <w:basedOn w:val="46"/>
    <w:link w:val="33"/>
    <w:qFormat/>
    <w:uiPriority w:val="0"/>
    <w:rPr>
      <w:kern w:val="2"/>
      <w:sz w:val="16"/>
      <w:szCs w:val="16"/>
    </w:rPr>
  </w:style>
  <w:style w:type="character" w:customStyle="1" w:styleId="201">
    <w:name w:val="HTML 预设格式 Char"/>
    <w:basedOn w:val="46"/>
    <w:link w:val="37"/>
    <w:qFormat/>
    <w:uiPriority w:val="0"/>
    <w:rPr>
      <w:rFonts w:ascii="黑体" w:hAnsi="Courier New" w:eastAsia="黑体" w:cs="Courier New"/>
    </w:rPr>
  </w:style>
  <w:style w:type="character" w:customStyle="1" w:styleId="202">
    <w:name w:val="批注主题 Char"/>
    <w:basedOn w:val="169"/>
    <w:link w:val="41"/>
    <w:semiHidden/>
    <w:qFormat/>
    <w:uiPriority w:val="0"/>
    <w:rPr>
      <w:rFonts w:eastAsia="宋体"/>
      <w:b/>
      <w:bCs/>
      <w:kern w:val="2"/>
      <w:sz w:val="24"/>
      <w:szCs w:val="24"/>
      <w:lang w:val="en-US" w:eastAsia="zh-CN" w:bidi="ar-SA"/>
    </w:rPr>
  </w:style>
  <w:style w:type="character" w:customStyle="1" w:styleId="203">
    <w:name w:val="正文首行缩进 Char"/>
    <w:basedOn w:val="164"/>
    <w:link w:val="42"/>
    <w:qFormat/>
    <w:uiPriority w:val="0"/>
    <w:rPr>
      <w:rFonts w:eastAsia="仿宋_GB2312"/>
      <w:kern w:val="2"/>
      <w:sz w:val="21"/>
      <w:szCs w:val="24"/>
      <w:lang w:val="en-US" w:eastAsia="zh-CN" w:bidi="ar-SA"/>
    </w:rPr>
  </w:style>
  <w:style w:type="character" w:customStyle="1" w:styleId="204">
    <w:name w:val="正文首行缩进 2 Char"/>
    <w:basedOn w:val="66"/>
    <w:link w:val="43"/>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3"/>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6"/>
    <w:qFormat/>
    <w:uiPriority w:val="0"/>
    <w:rPr>
      <w:rFonts w:hint="eastAsia" w:ascii="宋体" w:hAnsi="宋体" w:eastAsia="宋体" w:cs="宋体"/>
      <w:color w:val="000000"/>
      <w:sz w:val="22"/>
      <w:szCs w:val="22"/>
      <w:u w:val="none"/>
    </w:rPr>
  </w:style>
  <w:style w:type="character" w:customStyle="1" w:styleId="267">
    <w:name w:val="font11"/>
    <w:basedOn w:val="46"/>
    <w:qFormat/>
    <w:uiPriority w:val="0"/>
    <w:rPr>
      <w:rFonts w:hint="eastAsia" w:ascii="宋体" w:hAnsi="宋体" w:eastAsia="宋体" w:cs="宋体"/>
      <w:color w:val="FF0000"/>
      <w:sz w:val="22"/>
      <w:szCs w:val="22"/>
      <w:u w:val="none"/>
    </w:rPr>
  </w:style>
  <w:style w:type="character" w:customStyle="1" w:styleId="268">
    <w:name w:val="font41"/>
    <w:basedOn w:val="46"/>
    <w:qFormat/>
    <w:uiPriority w:val="0"/>
    <w:rPr>
      <w:rFonts w:hint="default" w:ascii="等线" w:hAnsi="等线" w:eastAsia="等线" w:cs="等线"/>
      <w:color w:val="FF0000"/>
      <w:sz w:val="22"/>
      <w:szCs w:val="22"/>
      <w:u w:val="none"/>
    </w:rPr>
  </w:style>
  <w:style w:type="character" w:customStyle="1" w:styleId="269">
    <w:name w:val="font21"/>
    <w:basedOn w:val="46"/>
    <w:qFormat/>
    <w:uiPriority w:val="0"/>
    <w:rPr>
      <w:rFonts w:hint="default" w:ascii="等线" w:hAnsi="等线" w:eastAsia="等线" w:cs="等线"/>
      <w:color w:val="000000"/>
      <w:sz w:val="22"/>
      <w:szCs w:val="22"/>
      <w:u w:val="none"/>
    </w:rPr>
  </w:style>
  <w:style w:type="character" w:customStyle="1" w:styleId="270">
    <w:name w:val="font51"/>
    <w:basedOn w:val="46"/>
    <w:qFormat/>
    <w:uiPriority w:val="0"/>
    <w:rPr>
      <w:rFonts w:hint="default" w:ascii="等线" w:hAnsi="等线" w:eastAsia="等线" w:cs="等线"/>
      <w:color w:val="FF0000"/>
      <w:sz w:val="22"/>
      <w:szCs w:val="22"/>
      <w:u w:val="none"/>
    </w:rPr>
  </w:style>
  <w:style w:type="character" w:customStyle="1" w:styleId="271">
    <w:name w:val="font61"/>
    <w:basedOn w:val="46"/>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6"/>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6"/>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6"/>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my正文"/>
    <w:basedOn w:val="1"/>
    <w:qFormat/>
    <w:uiPriority w:val="0"/>
    <w:pPr>
      <w:adjustRightInd w:val="0"/>
      <w:ind w:firstLine="480" w:firstLineChars="200"/>
    </w:pPr>
    <w:rPr>
      <w:kern w:val="0"/>
      <w:sz w:val="24"/>
    </w:rPr>
  </w:style>
  <w:style w:type="character" w:customStyle="1" w:styleId="288">
    <w:name w:val="NormalCharacter"/>
    <w:qFormat/>
    <w:uiPriority w:val="0"/>
    <w:rPr>
      <w:rFonts w:ascii="Calibri" w:hAnsi="Calibri" w:eastAsia="宋体" w:cs="Times New Roman"/>
      <w:kern w:val="2"/>
      <w:sz w:val="21"/>
      <w:szCs w:val="22"/>
      <w:lang w:val="en-US" w:eastAsia="zh-CN" w:bidi="ar-SA"/>
    </w:rPr>
  </w:style>
  <w:style w:type="paragraph" w:customStyle="1" w:styleId="289">
    <w:name w:val="__正文"/>
    <w:qFormat/>
    <w:uiPriority w:val="0"/>
    <w:pPr>
      <w:spacing w:line="360" w:lineRule="auto"/>
      <w:ind w:firstLine="200" w:firstLineChars="200"/>
    </w:pPr>
    <w:rPr>
      <w:rFonts w:ascii="Calibri" w:hAnsi="Calibri" w:eastAsia="微软雅黑" w:cs="Times New Roman"/>
      <w:kern w:val="2"/>
      <w:sz w:val="21"/>
      <w:szCs w:val="21"/>
      <w:lang w:val="en-US" w:eastAsia="zh-CN" w:bidi="ar-SA"/>
    </w:rPr>
  </w:style>
  <w:style w:type="paragraph" w:customStyle="1" w:styleId="290">
    <w:name w:val="!BECC正文"/>
    <w:basedOn w:val="1"/>
    <w:qFormat/>
    <w:uiPriority w:val="0"/>
    <w:pPr>
      <w:tabs>
        <w:tab w:val="left" w:pos="0"/>
      </w:tabs>
      <w:spacing w:beforeLines="50" w:afterLines="50" w:line="360" w:lineRule="auto"/>
      <w:ind w:firstLine="200" w:firstLineChars="200"/>
      <w:contextualSpacing/>
    </w:pPr>
    <w:rPr>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706EB2-CAA2-4E51-9BA7-B1907B6626D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48145</Words>
  <Characters>51970</Characters>
  <Lines>447</Lines>
  <Paragraphs>125</Paragraphs>
  <TotalTime>10</TotalTime>
  <ScaleCrop>false</ScaleCrop>
  <LinksUpToDate>false</LinksUpToDate>
  <CharactersWithSpaces>59825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2022-02-28T03:43:00Z</dcterms:created>
  <dc:creator>USER</dc:creator>
  <cp:lastModifiedBy>無珂鲰玳k&amp;o_O</cp:lastModifiedBy>
  <cp:lastPrinted>2022-02-14T11:21:00Z</cp:lastPrinted>
  <dcterms:modified xsi:type="dcterms:W3CDTF">2022-07-14T02:58:55Z</dcterms:modified>
  <dc:title>绍兴文理学院计算机机房设备及录播系统供货项目</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EC3256658ABD4F5ABBD8BFDEC8602000</vt:lpwstr>
  </property>
  <property fmtid="{D5CDD505-2E9C-101B-9397-08002B2CF9AE}" pid="6" name="commondata">
    <vt:lpwstr>eyJoZGlkIjoiODJiMTc5Mjg0YWFmNjAwZTBjOGFiODc5N2VmNzc1NDQifQ==</vt:lpwstr>
  </property>
</Properties>
</file>