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z w:val="52"/>
          <w:szCs w:val="52"/>
          <w:highlight w:val="none"/>
        </w:rPr>
      </w:pPr>
      <w:bookmarkStart w:id="18" w:name="_GoBack"/>
    </w:p>
    <w:p>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绍兴市中医院</w:t>
      </w:r>
    </w:p>
    <w:p>
      <w:pPr>
        <w:jc w:val="center"/>
        <w:outlineLvl w:val="0"/>
        <w:rPr>
          <w:rFonts w:hint="eastAsia" w:ascii="仿宋" w:hAnsi="仿宋" w:eastAsia="仿宋" w:cs="仿宋"/>
          <w:b/>
          <w:color w:val="auto"/>
          <w:sz w:val="44"/>
          <w:szCs w:val="44"/>
          <w:highlight w:val="none"/>
          <w:lang w:eastAsia="zh-CN"/>
        </w:rPr>
      </w:pPr>
      <w:r>
        <w:rPr>
          <w:rFonts w:hint="eastAsia" w:ascii="仿宋" w:hAnsi="仿宋" w:eastAsia="仿宋" w:cs="仿宋"/>
          <w:b/>
          <w:color w:val="auto"/>
          <w:sz w:val="44"/>
          <w:szCs w:val="44"/>
          <w:highlight w:val="none"/>
          <w:lang w:eastAsia="zh-CN"/>
        </w:rPr>
        <w:t>数据中心虚拟化改造项目</w:t>
      </w: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w:t>
      </w:r>
    </w:p>
    <w:tbl>
      <w:tblPr>
        <w:tblStyle w:val="40"/>
        <w:tblW w:w="0" w:type="auto"/>
        <w:jc w:val="center"/>
        <w:tblLayout w:type="autofit"/>
        <w:tblCellMar>
          <w:top w:w="0" w:type="dxa"/>
          <w:left w:w="108" w:type="dxa"/>
          <w:bottom w:w="0" w:type="dxa"/>
          <w:right w:w="108" w:type="dxa"/>
        </w:tblCellMar>
      </w:tblPr>
      <w:tblGrid>
        <w:gridCol w:w="2356"/>
        <w:gridCol w:w="5445"/>
      </w:tblGrid>
      <w:tr>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698388201"/>
              </w:rPr>
              <w:t>采购单</w:t>
            </w:r>
            <w:r>
              <w:rPr>
                <w:rFonts w:hint="eastAsia" w:ascii="仿宋" w:hAnsi="仿宋" w:eastAsia="仿宋" w:cs="仿宋"/>
                <w:color w:val="auto"/>
                <w:spacing w:val="1"/>
                <w:kern w:val="0"/>
                <w:sz w:val="28"/>
                <w:szCs w:val="28"/>
                <w:highlight w:val="none"/>
                <w:fitText w:val="1680" w:id="1698388201"/>
              </w:rPr>
              <w:t>位</w:t>
            </w:r>
            <w:r>
              <w:rPr>
                <w:rFonts w:hint="eastAsia" w:ascii="仿宋" w:hAnsi="仿宋" w:eastAsia="仿宋" w:cs="仿宋"/>
                <w:color w:val="auto"/>
                <w:sz w:val="28"/>
                <w:szCs w:val="28"/>
                <w:highlight w:val="none"/>
              </w:rPr>
              <w:t>：</w:t>
            </w:r>
          </w:p>
        </w:tc>
        <w:tc>
          <w:tcPr>
            <w:tcW w:w="5445" w:type="dxa"/>
          </w:tcPr>
          <w:p>
            <w:pPr>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招标代理单位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一</w:t>
            </w:r>
            <w:r>
              <w:rPr>
                <w:rFonts w:hint="eastAsia" w:ascii="仿宋" w:hAnsi="仿宋" w:eastAsia="仿宋" w:cs="仿宋"/>
                <w:color w:val="auto"/>
                <w:sz w:val="28"/>
                <w:szCs w:val="28"/>
                <w:highlight w:val="none"/>
              </w:rPr>
              <w:t>月</w:t>
            </w:r>
          </w:p>
        </w:tc>
      </w:tr>
    </w:tbl>
    <w:p>
      <w:pP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pStyle w:val="2"/>
        <w:rPr>
          <w:rFonts w:hint="eastAsia" w:ascii="仿宋" w:hAnsi="仿宋" w:eastAsia="仿宋" w:cs="仿宋"/>
          <w:color w:val="auto"/>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授予合同</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snapToGrid w:val="0"/>
        <w:spacing w:line="6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0"/>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项目概况：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绍兴市中医院</w:t>
                  </w:r>
                  <w:r>
                    <w:rPr>
                      <w:rFonts w:hint="eastAsia" w:ascii="仿宋" w:hAnsi="仿宋" w:eastAsia="仿宋" w:cs="仿宋"/>
                      <w:color w:val="auto"/>
                      <w:kern w:val="0"/>
                      <w:sz w:val="24"/>
                      <w:highlight w:val="none"/>
                      <w:lang w:eastAsia="zh-CN"/>
                    </w:rPr>
                    <w:t>数据中心虚拟化改造项目</w:t>
                  </w:r>
                  <w:r>
                    <w:rPr>
                      <w:rFonts w:hint="eastAsia" w:ascii="仿宋" w:hAnsi="仿宋" w:eastAsia="仿宋" w:cs="仿宋"/>
                      <w:color w:val="auto"/>
                      <w:kern w:val="0"/>
                      <w:sz w:val="24"/>
                      <w:highlight w:val="none"/>
                    </w:rPr>
                    <w:t>的潜在投标人应在网上报名获取（下载）招标文件，并于202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09:00（北京时间）前递交（上传）投标文件。</w:t>
                  </w:r>
                </w:p>
              </w:tc>
            </w:tr>
          </w:tbl>
          <w:p>
            <w:pPr>
              <w:pStyle w:val="55"/>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采购方式：公开招标</w:t>
            </w:r>
          </w:p>
          <w:p>
            <w:pPr>
              <w:widowControl/>
              <w:snapToGrid w:val="0"/>
              <w:spacing w:line="440" w:lineRule="exact"/>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预算金额（元）：</w:t>
            </w:r>
            <w:r>
              <w:rPr>
                <w:rFonts w:hint="eastAsia" w:ascii="仿宋" w:hAnsi="仿宋" w:eastAsia="仿宋" w:cs="仿宋"/>
                <w:color w:val="auto"/>
                <w:kern w:val="0"/>
                <w:sz w:val="24"/>
                <w:highlight w:val="none"/>
                <w:lang w:val="en-US" w:eastAsia="zh-CN"/>
              </w:rPr>
              <w:t>750000</w:t>
            </w:r>
          </w:p>
          <w:p>
            <w:pPr>
              <w:widowControl/>
              <w:snapToGrid w:val="0"/>
              <w:spacing w:line="440" w:lineRule="exact"/>
              <w:ind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最高限价（元）：</w:t>
            </w:r>
            <w:r>
              <w:rPr>
                <w:rFonts w:hint="eastAsia" w:ascii="仿宋" w:hAnsi="仿宋" w:eastAsia="仿宋" w:cs="仿宋"/>
                <w:color w:val="auto"/>
                <w:kern w:val="0"/>
                <w:sz w:val="24"/>
                <w:highlight w:val="none"/>
                <w:lang w:val="en-US" w:eastAsia="zh-CN"/>
              </w:rPr>
              <w:t>750000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采购需求：</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标项一:</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标项名称:</w:t>
            </w:r>
            <w:r>
              <w:rPr>
                <w:rFonts w:hint="eastAsia" w:ascii="仿宋" w:hAnsi="仿宋" w:eastAsia="仿宋" w:cs="仿宋"/>
                <w:color w:val="auto"/>
                <w:kern w:val="0"/>
                <w:sz w:val="24"/>
                <w:highlight w:val="none"/>
                <w:lang w:eastAsia="zh-CN"/>
              </w:rPr>
              <w:t>数据中心虚拟化改造项目</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数量:</w:t>
            </w:r>
            <w:r>
              <w:rPr>
                <w:rFonts w:hint="eastAsia" w:ascii="仿宋" w:hAnsi="仿宋" w:eastAsia="仿宋" w:cs="仿宋"/>
                <w:color w:val="auto"/>
                <w:kern w:val="0"/>
                <w:sz w:val="24"/>
                <w:highlight w:val="none"/>
                <w:lang w:val="en-US" w:eastAsia="zh-CN"/>
              </w:rPr>
              <w:t>1套</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预算金额（元）: </w:t>
            </w:r>
            <w:r>
              <w:rPr>
                <w:rFonts w:hint="eastAsia" w:ascii="仿宋" w:hAnsi="仿宋" w:eastAsia="仿宋" w:cs="仿宋"/>
                <w:color w:val="auto"/>
                <w:kern w:val="0"/>
                <w:sz w:val="24"/>
                <w:highlight w:val="none"/>
                <w:lang w:val="en-US" w:eastAsia="zh-CN"/>
              </w:rPr>
              <w:t>750000</w:t>
            </w:r>
            <w:r>
              <w:rPr>
                <w:rFonts w:hint="eastAsia" w:ascii="仿宋" w:hAnsi="仿宋" w:eastAsia="仿宋" w:cs="仿宋"/>
                <w:color w:val="auto"/>
                <w:kern w:val="0"/>
                <w:sz w:val="24"/>
                <w:highlight w:val="none"/>
              </w:rPr>
              <w:br w:type="textWrapping"/>
            </w:r>
            <w:r>
              <w:rPr>
                <w:rFonts w:hint="eastAsia" w:ascii="仿宋" w:hAnsi="仿宋" w:eastAsia="仿宋" w:cs="仿宋"/>
                <w:color w:val="auto"/>
                <w:kern w:val="0"/>
                <w:sz w:val="24"/>
                <w:highlight w:val="none"/>
              </w:rPr>
              <w:t>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简要规格描述或项目基本概况介绍、用途：详见采购文件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备注：无</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合同履约期限：按双方合同约定条款执行。</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本项目（否）接受联合体投标。</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二、申请人的资格要求：</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2.落实政府采购政策需满足的资格要求：</w:t>
            </w:r>
            <w:r>
              <w:rPr>
                <w:rFonts w:hint="eastAsia" w:ascii="仿宋" w:hAnsi="仿宋" w:eastAsia="仿宋" w:cs="仿宋"/>
                <w:color w:val="auto"/>
                <w:kern w:val="0"/>
                <w:sz w:val="24"/>
                <w:szCs w:val="20"/>
                <w:highlight w:val="none"/>
              </w:rPr>
              <w:t>无。</w:t>
            </w:r>
            <w:r>
              <w:rPr>
                <w:rFonts w:hint="eastAsia" w:ascii="仿宋" w:hAnsi="仿宋" w:eastAsia="仿宋" w:cs="仿宋"/>
                <w:color w:val="auto"/>
                <w:kern w:val="0"/>
                <w:sz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3.本项目的特定资格要求：无。</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三、获取招标文件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年月日，每天上午00:00至12:00，下午12:00至23:59（北京时间，线上获取法定节假日均可，线下获取文件法定节假日除外）</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地点（网址）：</w:t>
            </w:r>
            <w:r>
              <w:rPr>
                <w:rFonts w:hint="eastAsia" w:ascii="仿宋" w:hAnsi="仿宋" w:eastAsia="仿宋" w:cs="仿宋"/>
                <w:bCs/>
                <w:color w:val="auto"/>
                <w:kern w:val="0"/>
                <w:sz w:val="24"/>
                <w:szCs w:val="20"/>
                <w:highlight w:val="none"/>
              </w:rPr>
              <w:t>http://www.zcygov.cn/</w:t>
            </w:r>
            <w:r>
              <w:rPr>
                <w:rFonts w:hint="eastAsia" w:ascii="仿宋" w:hAnsi="仿宋" w:eastAsia="仿宋" w:cs="仿宋"/>
                <w:color w:val="auto"/>
                <w:kern w:val="0"/>
                <w:sz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w:t>
            </w:r>
            <w:r>
              <w:rPr>
                <w:rFonts w:hint="eastAsia" w:ascii="仿宋" w:hAnsi="仿宋" w:eastAsia="仿宋" w:cs="仿宋"/>
                <w:bCs/>
                <w:color w:val="auto"/>
                <w:kern w:val="0"/>
                <w:sz w:val="24"/>
                <w:szCs w:val="20"/>
                <w:highlight w:val="none"/>
              </w:rPr>
              <w:t>供应商登陆政采云平台http://www.zcygov.cn/，在线申请获取采购文件（进入“项目采购”应用，在获取采购文件菜单中选择项目，申请获取采购文件）。</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售价（元）：0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四、提交投标文件截止时间、开标时间和地点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提交投标文件截止时间：202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09:00（北京时间）</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投标地点（网址）：</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"http://www.zcygov.cn/" </w:instrText>
            </w:r>
            <w:r>
              <w:rPr>
                <w:rFonts w:hint="eastAsia" w:ascii="仿宋" w:hAnsi="仿宋" w:eastAsia="仿宋" w:cs="仿宋"/>
                <w:color w:val="auto"/>
                <w:highlight w:val="none"/>
              </w:rPr>
              <w:fldChar w:fldCharType="separate"/>
            </w:r>
            <w:r>
              <w:rPr>
                <w:rStyle w:val="47"/>
                <w:rFonts w:hint="eastAsia" w:ascii="仿宋" w:hAnsi="仿宋" w:eastAsia="仿宋" w:cs="仿宋"/>
                <w:color w:val="auto"/>
                <w:kern w:val="0"/>
                <w:sz w:val="24"/>
                <w:highlight w:val="none"/>
              </w:rPr>
              <w:t>http://www.zcygov.cn/</w:t>
            </w:r>
            <w:r>
              <w:rPr>
                <w:rStyle w:val="47"/>
                <w:rFonts w:hint="eastAsia" w:ascii="仿宋" w:hAnsi="仿宋" w:eastAsia="仿宋" w:cs="仿宋"/>
                <w:color w:val="auto"/>
                <w:kern w:val="0"/>
                <w:sz w:val="24"/>
                <w:highlight w:val="none"/>
              </w:rPr>
              <w:fldChar w:fldCharType="end"/>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开标时间：202</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年月日 09:00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开标地点（网址）：绍兴市越城区朝皇路58号正大综合楼601会议室（泰宇咨询）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五、公告期限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六、其他补充事宜</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2.其他事项：无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七、对本次采购提出询问、质疑、投诉，请按以下方式联系</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名称：绍兴市中医院</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地址：绍兴市人民中路641号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传真：0575-89107189</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项目联系人（询问）：王宁</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采购代理机构信息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质疑联系方式：0575-85080066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3.同级政府采购监督管理部门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名称：绍兴市财政局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地址：绍兴市越城区凤林西路151号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传真：0575-85209806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联系人 ：宋晓林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监督投诉电话：0575-85209806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CA问题联系电话（人工）：汇信CA 400-888-4636；天谷CA 400-087-8198。</w:t>
            </w:r>
          </w:p>
        </w:tc>
      </w:tr>
    </w:tbl>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spacing w:line="440" w:lineRule="exact"/>
        <w:ind w:firstLine="2530" w:firstLineChars="7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r>
        <w:rPr>
          <w:rFonts w:hint="eastAsia" w:ascii="仿宋" w:hAnsi="仿宋" w:eastAsia="仿宋" w:cs="仿宋"/>
          <w:b/>
          <w:color w:val="auto"/>
          <w:sz w:val="30"/>
          <w:szCs w:val="36"/>
          <w:highlight w:val="none"/>
        </w:rPr>
        <w:t>前附表</w:t>
      </w:r>
    </w:p>
    <w:tbl>
      <w:tblPr>
        <w:tblStyle w:val="40"/>
        <w:tblW w:w="9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
        <w:gridCol w:w="839"/>
        <w:gridCol w:w="7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540" w:type="dxa"/>
            <w:gridSpan w:val="3"/>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540" w:type="dxa"/>
            <w:gridSpan w:val="3"/>
            <w:vAlign w:val="center"/>
          </w:tcPr>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投标人应当提交的资格、资信证明文件</w:t>
            </w:r>
            <w:r>
              <w:rPr>
                <w:rFonts w:hint="eastAsia" w:ascii="仿宋" w:hAnsi="仿宋" w:eastAsia="仿宋" w:cs="仿宋"/>
                <w:color w:val="auto"/>
                <w:sz w:val="24"/>
                <w:highlight w:val="none"/>
              </w:rPr>
              <w:t>：</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（1）相关证明文件：</w:t>
            </w:r>
            <w:r>
              <w:rPr>
                <w:rFonts w:hint="eastAsia" w:ascii="仿宋" w:hAnsi="仿宋" w:eastAsia="仿宋" w:cs="仿宋"/>
                <w:color w:val="auto"/>
                <w:sz w:val="24"/>
                <w:highlight w:val="none"/>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（3）特许资格、资信证明文件（如果有）：</w:t>
            </w:r>
          </w:p>
          <w:p>
            <w:pPr>
              <w:spacing w:line="42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540" w:type="dxa"/>
            <w:gridSpan w:val="3"/>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540" w:type="dxa"/>
            <w:gridSpan w:val="3"/>
            <w:vAlign w:val="center"/>
          </w:tcPr>
          <w:p>
            <w:pPr>
              <w:autoSpaceDE w:val="0"/>
              <w:autoSpaceDN w:val="0"/>
              <w:spacing w:line="42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540"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分包或转包：</w:t>
            </w:r>
            <w:r>
              <w:rPr>
                <w:rFonts w:hint="eastAsia" w:ascii="仿宋" w:hAnsi="仿宋" w:eastAsia="仿宋" w:cs="仿宋"/>
                <w:color w:val="auto"/>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540"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540" w:type="dxa"/>
            <w:gridSpan w:val="3"/>
            <w:vAlign w:val="center"/>
          </w:tcPr>
          <w:p>
            <w:pPr>
              <w:autoSpaceDE w:val="0"/>
              <w:autoSpaceDN w:val="0"/>
              <w:spacing w:line="42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540" w:type="dxa"/>
            <w:gridSpan w:val="3"/>
            <w:vAlign w:val="center"/>
          </w:tcPr>
          <w:p>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540" w:type="dxa"/>
            <w:gridSpan w:val="3"/>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55" w:type="dxa"/>
            <w:gridSpan w:val="2"/>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685"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gridSpan w:val="2"/>
            <w:vMerge w:val="restart"/>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685"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gridSpan w:val="2"/>
            <w:vMerge w:val="continue"/>
            <w:vAlign w:val="center"/>
          </w:tcPr>
          <w:p>
            <w:pPr>
              <w:snapToGrid w:val="0"/>
              <w:spacing w:line="420" w:lineRule="exact"/>
              <w:rPr>
                <w:rFonts w:hint="eastAsia" w:ascii="仿宋" w:hAnsi="仿宋" w:eastAsia="仿宋" w:cs="仿宋"/>
                <w:b/>
                <w:color w:val="auto"/>
                <w:sz w:val="24"/>
                <w:highlight w:val="none"/>
              </w:rPr>
            </w:pPr>
          </w:p>
        </w:tc>
        <w:tc>
          <w:tcPr>
            <w:tcW w:w="7685"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gridSpan w:val="2"/>
            <w:vMerge w:val="continue"/>
            <w:vAlign w:val="center"/>
          </w:tcPr>
          <w:p>
            <w:pPr>
              <w:snapToGrid w:val="0"/>
              <w:spacing w:line="420" w:lineRule="exact"/>
              <w:rPr>
                <w:rFonts w:hint="eastAsia" w:ascii="仿宋" w:hAnsi="仿宋" w:eastAsia="仿宋" w:cs="仿宋"/>
                <w:b/>
                <w:color w:val="auto"/>
                <w:sz w:val="24"/>
                <w:highlight w:val="none"/>
              </w:rPr>
            </w:pPr>
          </w:p>
        </w:tc>
        <w:tc>
          <w:tcPr>
            <w:tcW w:w="7685" w:type="dxa"/>
            <w:vAlign w:val="center"/>
          </w:tcPr>
          <w:p>
            <w:pPr>
              <w:snapToGrid w:val="0"/>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40" w:type="dxa"/>
            <w:gridSpan w:val="3"/>
            <w:vAlign w:val="center"/>
          </w:tcPr>
          <w:p>
            <w:pPr>
              <w:snapToGrid w:val="0"/>
              <w:spacing w:line="2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40" w:type="dxa"/>
            <w:gridSpan w:val="3"/>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40" w:type="dxa"/>
            <w:gridSpan w:val="3"/>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40" w:type="dxa"/>
            <w:gridSpan w:val="3"/>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《CA申领操作指南》：https://help.zcygov.cn/web/site_2/2018/11-29/2452.html</w:t>
            </w:r>
          </w:p>
          <w:p>
            <w:pPr>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《CA管理操作指南》：https://help.zcygov.cn/web/site_2/2019/08-20/3405.html</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《CA驱动和申领流程》:</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http://zfcg.czt.zj.gov.cn//bidClientTemplate/2019-05-27/12945.html</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"https://help.zcygov.cn/web/site_2/2018/12-28/2573.html" </w:instrText>
            </w:r>
            <w:r>
              <w:rPr>
                <w:rFonts w:hint="eastAsia" w:ascii="仿宋" w:hAnsi="仿宋" w:eastAsia="仿宋" w:cs="仿宋"/>
                <w:color w:val="auto"/>
                <w:highlight w:val="none"/>
              </w:rPr>
              <w:fldChar w:fldCharType="separate"/>
            </w:r>
            <w:r>
              <w:rPr>
                <w:rStyle w:val="47"/>
                <w:rFonts w:hint="eastAsia" w:ascii="仿宋" w:hAnsi="仿宋" w:eastAsia="仿宋" w:cs="仿宋"/>
                <w:color w:val="auto"/>
                <w:sz w:val="24"/>
                <w:highlight w:val="none"/>
              </w:rPr>
              <w:t>https://help.zcygov.cn/web/site_2/2018/12-28/2573.html</w:t>
            </w:r>
            <w:r>
              <w:rPr>
                <w:rStyle w:val="47"/>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524"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524"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850100788065000000518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vAlign w:val="center"/>
          </w:tcPr>
          <w:p>
            <w:pPr>
              <w:spacing w:line="42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tcBorders>
              <w:bottom w:val="nil"/>
            </w:tcBorders>
            <w:vAlign w:val="center"/>
          </w:tcPr>
          <w:p>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tcBorders>
              <w:top w:val="nil"/>
              <w:left w:val="nil"/>
              <w:bottom w:val="nil"/>
              <w:right w:val="nil"/>
            </w:tcBorders>
            <w:vAlign w:val="center"/>
          </w:tcPr>
          <w:p>
            <w:pPr>
              <w:spacing w:line="420" w:lineRule="exact"/>
              <w:rPr>
                <w:rFonts w:hint="eastAsia" w:ascii="仿宋" w:hAnsi="仿宋" w:eastAsia="仿宋" w:cs="仿宋"/>
                <w:b/>
                <w:color w:val="auto"/>
                <w:sz w:val="24"/>
                <w:highlight w:val="none"/>
              </w:rPr>
            </w:pPr>
            <w:r>
              <w:rPr>
                <w:rFonts w:hint="eastAsia" w:ascii="仿宋" w:hAnsi="仿宋" w:eastAsia="仿宋" w:cs="仿宋"/>
                <w:b/>
                <w:color w:val="auto"/>
                <w:sz w:val="32"/>
                <w:szCs w:val="32"/>
                <w:highlight w:val="none"/>
              </w:rPr>
              <w:t>注：</w:t>
            </w:r>
            <w:r>
              <w:rPr>
                <w:rFonts w:hint="eastAsia" w:ascii="仿宋" w:hAnsi="仿宋" w:eastAsia="仿宋" w:cs="仿宋"/>
                <w:b/>
                <w:color w:val="auto"/>
                <w:sz w:val="24"/>
                <w:highlight w:val="none"/>
              </w:rPr>
              <w:t>为维护绍兴市公共资源交易中心交易市场的正常秩序，进一步遏制串标、抬标行为，保护交易各方的合法权益，凡在同一招标项目的评标中，发现</w:t>
            </w:r>
            <w:r>
              <w:rPr>
                <w:rFonts w:hint="eastAsia" w:ascii="仿宋" w:hAnsi="仿宋" w:eastAsia="仿宋" w:cs="仿宋"/>
                <w:b/>
                <w:i/>
                <w:color w:val="auto"/>
                <w:sz w:val="24"/>
                <w:highlight w:val="none"/>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 w:hAnsi="仿宋" w:eastAsia="仿宋" w:cs="仿宋"/>
                <w:b/>
                <w:color w:val="auto"/>
                <w:sz w:val="24"/>
                <w:highlight w:val="none"/>
              </w:rPr>
              <w:t>，且经询标澄清投标人无令人信服的理由和可靠证据证明其合理性的，经评标委员会半数以上成员确认有</w:t>
            </w:r>
            <w:r>
              <w:rPr>
                <w:rFonts w:hint="eastAsia" w:ascii="仿宋" w:hAnsi="仿宋" w:eastAsia="仿宋" w:cs="仿宋"/>
                <w:b/>
                <w:color w:val="auto"/>
                <w:sz w:val="24"/>
                <w:highlight w:val="none"/>
                <w:u w:val="double"/>
              </w:rPr>
              <w:t>串通投标</w:t>
            </w:r>
            <w:r>
              <w:rPr>
                <w:rFonts w:hint="eastAsia" w:ascii="仿宋" w:hAnsi="仿宋" w:eastAsia="仿宋" w:cs="仿宋"/>
                <w:b/>
                <w:color w:val="auto"/>
                <w:sz w:val="24"/>
                <w:highlight w:val="none"/>
              </w:rPr>
              <w:t>嫌疑的，其投标文件按</w:t>
            </w:r>
            <w:r>
              <w:rPr>
                <w:rFonts w:hint="eastAsia" w:ascii="仿宋" w:hAnsi="仿宋" w:eastAsia="仿宋" w:cs="仿宋"/>
                <w:b/>
                <w:color w:val="auto"/>
                <w:sz w:val="24"/>
                <w:highlight w:val="none"/>
                <w:u w:val="double"/>
              </w:rPr>
              <w:t>无效投标处理</w:t>
            </w:r>
            <w:r>
              <w:rPr>
                <w:rFonts w:hint="eastAsia" w:ascii="仿宋" w:hAnsi="仿宋" w:eastAsia="仿宋" w:cs="仿宋"/>
                <w:b/>
                <w:color w:val="auto"/>
                <w:sz w:val="24"/>
                <w:highlight w:val="none"/>
              </w:rPr>
              <w:t>，不再对其进行评审，也不影响招标工作继续评标。</w:t>
            </w:r>
          </w:p>
        </w:tc>
      </w:tr>
    </w:tbl>
    <w:p>
      <w:pPr>
        <w:pageBreakBefore/>
        <w:tabs>
          <w:tab w:val="left" w:pos="3519"/>
          <w:tab w:val="center" w:pos="4371"/>
        </w:tabs>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 “项目”系指投标人按招标文件规定向采购人提供的产品和服务。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 “授权代表”系指法定代表人的被授权委托人。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节能环保要求</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若项目功能要求涉及第三方平台厂商，则需第三方平台厂商为投标单位提供针对本项目的专项授权。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投标文件的语言及计量单位</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3"/>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3"/>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 “商务技术（资信）文件资料”应包括以下内容：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2.2.1法定代表人授权委托书(个体工商户不需要提供，格式见第六部分附件)；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2.2.4相关资质证明或文件复印件（均需加盖公章）：</w:t>
      </w:r>
      <w:r>
        <w:rPr>
          <w:rFonts w:hint="eastAsia" w:ascii="仿宋" w:hAnsi="仿宋" w:eastAsia="仿宋" w:cs="仿宋"/>
          <w:color w:val="auto"/>
          <w:kern w:val="0"/>
          <w:sz w:val="24"/>
          <w:highlight w:val="none"/>
        </w:rPr>
        <w:t>证明其符合《中华人民共和国政府采购法》规定的供应商基本条件和采购项目对供应商的特定要求</w:t>
      </w:r>
      <w:r>
        <w:rPr>
          <w:rFonts w:hint="eastAsia" w:ascii="仿宋" w:hAnsi="仿宋" w:eastAsia="仿宋" w:cs="仿宋"/>
          <w:color w:val="auto"/>
          <w:sz w:val="24"/>
          <w:highlight w:val="none"/>
        </w:rPr>
        <w:t>（如果项目要求）</w:t>
      </w:r>
      <w:r>
        <w:rPr>
          <w:rFonts w:hint="eastAsia" w:ascii="仿宋" w:hAnsi="仿宋" w:eastAsia="仿宋" w:cs="仿宋"/>
          <w:color w:val="auto"/>
          <w:kern w:val="0"/>
          <w:sz w:val="24"/>
          <w:highlight w:val="none"/>
        </w:rPr>
        <w:t>的有关资格证明文件。</w:t>
      </w:r>
    </w:p>
    <w:p>
      <w:pPr>
        <w:pStyle w:val="22"/>
        <w:spacing w:line="440" w:lineRule="exact"/>
        <w:ind w:firstLine="480" w:firstLineChars="200"/>
        <w:rPr>
          <w:rFonts w:hint="eastAsia" w:ascii="仿宋" w:hAnsi="仿宋" w:eastAsia="仿宋" w:cs="仿宋"/>
          <w:color w:val="auto"/>
          <w:sz w:val="24"/>
          <w:highlight w:val="none"/>
        </w:rPr>
      </w:pPr>
      <w:bookmarkStart w:id="0" w:name="_Hlt68072998"/>
      <w:bookmarkEnd w:id="0"/>
      <w:bookmarkStart w:id="1" w:name="_Hlt68403820"/>
      <w:bookmarkEnd w:id="1"/>
      <w:bookmarkStart w:id="2" w:name="_Hlt68073093"/>
      <w:bookmarkEnd w:id="2"/>
      <w:r>
        <w:rPr>
          <w:rFonts w:hint="eastAsia" w:ascii="仿宋" w:hAnsi="仿宋" w:eastAsia="仿宋" w:cs="仿宋"/>
          <w:color w:val="auto"/>
          <w:sz w:val="24"/>
          <w:highlight w:val="none"/>
        </w:rPr>
        <w:t>（1）营业执照(或事业法人登记证或其他工商等登记证明材料)复印件，实施“五证合一、一照一码”登记制度改革的，只需提供改革后取得的营业执照复印件 ；</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（2）2020年度资产负债表等财务报表资料文件(新成立的公司提供情况证明)；</w:t>
      </w:r>
    </w:p>
    <w:p>
      <w:pPr>
        <w:pStyle w:val="22"/>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（3）具有履行合同所必需的设备和专业技术能力的承诺函；</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（4）参加本次政府采购活动前三年内，在经营活动中没有重大违法记录的声明（</w:t>
      </w:r>
      <w:r>
        <w:rPr>
          <w:rFonts w:hint="eastAsia" w:ascii="仿宋" w:hAnsi="仿宋" w:eastAsia="仿宋" w:cs="仿宋"/>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(6</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w:t>
      </w:r>
      <w:r>
        <w:rPr>
          <w:rFonts w:hint="eastAsia" w:ascii="仿宋" w:hAnsi="仿宋" w:eastAsia="仿宋" w:cs="仿宋"/>
          <w:color w:val="auto"/>
          <w:sz w:val="24"/>
          <w:highlight w:val="none"/>
        </w:rPr>
        <w:t>)符合特定资格条件（如果项目要求）的有关证明材料（复印件）；</w:t>
      </w:r>
    </w:p>
    <w:p>
      <w:pPr>
        <w:pStyle w:val="22"/>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2.2.5</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2.2.8</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w:t>
      </w:r>
      <w:r>
        <w:rPr>
          <w:rFonts w:hint="eastAsia" w:ascii="仿宋" w:hAnsi="仿宋" w:eastAsia="仿宋" w:cs="仿宋"/>
          <w:color w:val="auto"/>
          <w:kern w:val="0"/>
          <w:sz w:val="24"/>
          <w:highlight w:val="none"/>
        </w:rPr>
        <w:t>9</w:t>
      </w:r>
      <w:r>
        <w:rPr>
          <w:rFonts w:hint="eastAsia" w:ascii="仿宋" w:hAnsi="仿宋" w:eastAsia="仿宋" w:cs="仿宋"/>
          <w:color w:val="auto"/>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0</w:t>
      </w:r>
      <w:r>
        <w:rPr>
          <w:rFonts w:hint="eastAsia" w:ascii="仿宋" w:hAnsi="仿宋" w:eastAsia="仿宋" w:cs="仿宋"/>
          <w:color w:val="auto"/>
          <w:kern w:val="0"/>
          <w:sz w:val="24"/>
          <w:highlight w:val="none"/>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2.2.13</w:t>
      </w:r>
      <w:r>
        <w:rPr>
          <w:rFonts w:hint="eastAsia" w:ascii="仿宋" w:hAnsi="仿宋" w:eastAsia="仿宋" w:cs="仿宋"/>
          <w:color w:val="auto"/>
          <w:kern w:val="0"/>
          <w:sz w:val="24"/>
          <w:highlight w:val="none"/>
          <w:lang w:val="zh-CN"/>
        </w:rPr>
        <w:t>培训计划；（如果有）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2.2.15</w:t>
      </w:r>
      <w:r>
        <w:rPr>
          <w:rFonts w:hint="eastAsia" w:ascii="仿宋" w:hAnsi="仿宋" w:eastAsia="仿宋" w:cs="仿宋"/>
          <w:snapToGrid w:val="0"/>
          <w:color w:val="auto"/>
          <w:sz w:val="24"/>
          <w:highlight w:val="none"/>
        </w:rPr>
        <w:t>非本地投标人售后服务机构证明材料。非本地投标人</w:t>
      </w:r>
      <w:r>
        <w:rPr>
          <w:rFonts w:hint="eastAsia" w:ascii="仿宋" w:hAnsi="仿宋" w:eastAsia="仿宋" w:cs="仿宋"/>
          <w:color w:val="auto"/>
          <w:sz w:val="24"/>
          <w:highlight w:val="none"/>
          <w:lang w:val="zh-CN"/>
        </w:rPr>
        <w:t>在绍兴的分公司</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需提供本地工商注册</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zh-CN"/>
        </w:rPr>
        <w:t>资料）或办事处</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zh-CN"/>
        </w:rPr>
        <w:t>需提供本地国内经济合作办注册资料</w:t>
      </w:r>
      <w:r>
        <w:rPr>
          <w:rFonts w:hint="eastAsia" w:ascii="仿宋" w:hAnsi="仿宋" w:eastAsia="仿宋" w:cs="仿宋"/>
          <w:color w:val="auto"/>
          <w:kern w:val="0"/>
          <w:sz w:val="24"/>
          <w:highlight w:val="none"/>
        </w:rPr>
        <w:t>）或符合本项目服务能力并签订合作协议的第三方机构或者在中标（成交）公示后在本地设立售后服务机构作</w:t>
      </w:r>
      <w:r>
        <w:rPr>
          <w:rFonts w:hint="eastAsia" w:ascii="仿宋" w:hAnsi="仿宋" w:eastAsia="仿宋" w:cs="仿宋"/>
          <w:color w:val="auto"/>
          <w:sz w:val="24"/>
          <w:highlight w:val="none"/>
          <w:lang w:val="zh-CN"/>
        </w:rPr>
        <w:t>为常驻服务和技术支持机构；</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rPr>
        <w:t>6</w:t>
      </w:r>
      <w:r>
        <w:rPr>
          <w:rFonts w:hint="eastAsia" w:ascii="仿宋" w:hAnsi="仿宋" w:eastAsia="仿宋" w:cs="仿宋"/>
          <w:color w:val="auto"/>
          <w:sz w:val="24"/>
          <w:highlight w:val="none"/>
          <w:lang w:val="zh-CN"/>
        </w:rPr>
        <w:t>廉政承诺书</w:t>
      </w:r>
      <w:r>
        <w:rPr>
          <w:rFonts w:hint="eastAsia" w:ascii="仿宋" w:hAnsi="仿宋" w:eastAsia="仿宋" w:cs="仿宋"/>
          <w:color w:val="auto"/>
          <w:sz w:val="24"/>
          <w:highlight w:val="none"/>
        </w:rPr>
        <w:t>（格式见第六部分附件）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未尽事宜请各投标单位按评分细则和相对应标项相关要求制作(重要)</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2"/>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w:t>
      </w:r>
      <w:r>
        <w:rPr>
          <w:rFonts w:hint="eastAsia" w:ascii="仿宋" w:hAnsi="仿宋" w:eastAsia="仿宋" w:cs="仿宋"/>
          <w:b/>
          <w:i/>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5.投标文件的规定</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2"/>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6. </w:t>
      </w:r>
      <w:r>
        <w:rPr>
          <w:rFonts w:hint="eastAsia" w:ascii="仿宋" w:hAnsi="仿宋" w:eastAsia="仿宋" w:cs="仿宋"/>
          <w:b/>
          <w:color w:val="auto"/>
          <w:kern w:val="0"/>
          <w:sz w:val="24"/>
          <w:highlight w:val="none"/>
        </w:rPr>
        <w:t>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6.8评标委员会依据招标文件规定的评标标准和方法，对投标文件进行评审和比较后，向采购代理机构提供书面评标报告，并按得分高低排序推荐中标候选供应商。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8.24报价文件中出现2个(含)以上的报价或方案的；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2"/>
        <w:spacing w:line="800" w:lineRule="exact"/>
        <w:ind w:firstLine="726"/>
        <w:jc w:val="center"/>
        <w:rPr>
          <w:rFonts w:hint="eastAsia" w:ascii="仿宋" w:hAnsi="仿宋" w:eastAsia="仿宋" w:cs="仿宋"/>
          <w:b/>
          <w:color w:val="auto"/>
          <w:sz w:val="36"/>
          <w:szCs w:val="36"/>
          <w:highlight w:val="none"/>
        </w:rPr>
      </w:pPr>
      <w:bookmarkStart w:id="3" w:name="_Toc81372776"/>
      <w:bookmarkStart w:id="4" w:name="_Toc81372953"/>
      <w:bookmarkStart w:id="5" w:name="_Toc84325929"/>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bookmarkEnd w:id="3"/>
    <w:bookmarkEnd w:id="4"/>
    <w:bookmarkEnd w:id="5"/>
    <w:p>
      <w:pPr>
        <w:pStyle w:val="148"/>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47"/>
          <w:rFonts w:hint="eastAsia" w:ascii="仿宋" w:hAnsi="仿宋" w:eastAsia="仿宋" w:cs="仿宋"/>
          <w:color w:val="auto"/>
          <w:kern w:val="0"/>
          <w:highlight w:val="none"/>
        </w:rPr>
        <w:t>http://zfcg.czt.zj.gov.cn/</w:t>
      </w:r>
      <w:r>
        <w:rPr>
          <w:rStyle w:val="47"/>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Style w:val="47"/>
          <w:rFonts w:hint="eastAsia" w:ascii="仿宋" w:hAnsi="仿宋" w:eastAsia="仿宋" w:cs="仿宋"/>
          <w:color w:val="auto"/>
          <w:highlight w:val="none"/>
        </w:rPr>
        <w:t>http://ggb.sx.gov.cn</w:t>
      </w:r>
      <w:r>
        <w:rPr>
          <w:rStyle w:val="47"/>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2"/>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2"/>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55"/>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1.6所有货物（如管芯）到现场安装使用前，招标人将进行抽样检验或试验。</w:t>
      </w:r>
    </w:p>
    <w:p>
      <w:pPr>
        <w:pStyle w:val="55"/>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55"/>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55"/>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55"/>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55"/>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55"/>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7"/>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highlight w:val="none"/>
        </w:rPr>
      </w:pPr>
      <w:bookmarkStart w:id="6" w:name="_Toc151354173"/>
      <w:bookmarkStart w:id="7" w:name="_Toc81372964"/>
      <w:bookmarkStart w:id="8" w:name="_Toc80157775"/>
      <w:bookmarkStart w:id="9" w:name="_Toc84325981"/>
      <w:bookmarkStart w:id="10" w:name="_Toc81372787"/>
      <w:r>
        <w:rPr>
          <w:rFonts w:hint="eastAsia" w:ascii="仿宋" w:hAnsi="仿宋" w:eastAsia="仿宋" w:cs="仿宋"/>
          <w:b/>
          <w:color w:val="auto"/>
          <w:sz w:val="24"/>
          <w:highlight w:val="none"/>
        </w:rPr>
        <w:t>8.招标项目设备名称及数量：</w:t>
      </w:r>
    </w:p>
    <w:bookmarkEnd w:id="6"/>
    <w:p>
      <w:pPr>
        <w:spacing w:line="360" w:lineRule="auto"/>
        <w:jc w:val="left"/>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highlight w:val="none"/>
          <w:bdr w:val="single" w:color="auto" w:sz="4" w:space="0"/>
        </w:rPr>
        <w:t>01标</w:t>
      </w:r>
      <w:r>
        <w:rPr>
          <w:rFonts w:hint="eastAsia" w:ascii="仿宋" w:hAnsi="仿宋" w:eastAsia="仿宋" w:cs="仿宋"/>
          <w:b/>
          <w:color w:val="auto"/>
          <w:sz w:val="24"/>
          <w:highlight w:val="none"/>
        </w:rPr>
        <w:t xml:space="preserve">  </w:t>
      </w:r>
      <w:r>
        <w:rPr>
          <w:rFonts w:hint="eastAsia" w:ascii="仿宋" w:hAnsi="仿宋" w:eastAsia="仿宋" w:cs="仿宋"/>
          <w:b/>
          <w:color w:val="auto"/>
          <w:sz w:val="24"/>
          <w:szCs w:val="24"/>
          <w:highlight w:val="none"/>
          <w:lang w:eastAsia="zh-CN"/>
        </w:rPr>
        <w:t>绍兴市中医院数据中心虚拟化改造项目</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eastAsia="zh-CN"/>
        </w:rPr>
        <w:t>本项目</w:t>
      </w:r>
      <w:r>
        <w:rPr>
          <w:rFonts w:hint="eastAsia" w:ascii="仿宋" w:hAnsi="仿宋" w:eastAsia="仿宋" w:cs="仿宋"/>
          <w:b/>
          <w:color w:val="auto"/>
          <w:sz w:val="24"/>
          <w:szCs w:val="24"/>
          <w:highlight w:val="none"/>
        </w:rPr>
        <w:t>上限价：</w:t>
      </w:r>
      <w:r>
        <w:rPr>
          <w:rFonts w:hint="eastAsia" w:ascii="仿宋" w:hAnsi="仿宋" w:eastAsia="仿宋" w:cs="仿宋"/>
          <w:b/>
          <w:color w:val="auto"/>
          <w:sz w:val="24"/>
          <w:szCs w:val="24"/>
          <w:highlight w:val="none"/>
          <w:lang w:val="en-US" w:eastAsia="zh-CN"/>
        </w:rPr>
        <w:t>75</w:t>
      </w:r>
      <w:r>
        <w:rPr>
          <w:rFonts w:hint="eastAsia" w:ascii="仿宋" w:hAnsi="仿宋" w:eastAsia="仿宋" w:cs="仿宋"/>
          <w:b/>
          <w:color w:val="auto"/>
          <w:sz w:val="24"/>
          <w:szCs w:val="24"/>
          <w:highlight w:val="none"/>
        </w:rPr>
        <w:t>万元</w:t>
      </w:r>
      <w:r>
        <w:rPr>
          <w:rFonts w:hint="eastAsia" w:ascii="仿宋" w:hAnsi="仿宋" w:eastAsia="仿宋" w:cs="仿宋"/>
          <w:b/>
          <w:color w:val="auto"/>
          <w:sz w:val="24"/>
          <w:szCs w:val="24"/>
          <w:highlight w:val="none"/>
          <w:lang w:eastAsia="zh-CN"/>
        </w:rPr>
        <w:t>，合同期限：自合同签订之日起三年。</w:t>
      </w:r>
    </w:p>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一、项目介绍</w:t>
      </w:r>
    </w:p>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项目背景</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bookmarkStart w:id="11" w:name="_Toc20429010"/>
      <w:bookmarkStart w:id="12" w:name="_Toc4155136"/>
      <w:r>
        <w:rPr>
          <w:rFonts w:hint="eastAsia" w:ascii="仿宋" w:hAnsi="仿宋" w:eastAsia="仿宋" w:cs="仿宋"/>
          <w:color w:val="auto"/>
          <w:szCs w:val="21"/>
          <w:highlight w:val="none"/>
        </w:rPr>
        <w:t>随着绍兴市中医院信息化进程的不断加快，院内通过信息系统管理的业务越来越多，为了提升数据中心服务器的主机利用率、业务连续性和业务部署效率，降低管理与维护成本、能耗和业务复杂度</w:t>
      </w:r>
      <w:bookmarkEnd w:id="11"/>
      <w:r>
        <w:rPr>
          <w:rFonts w:hint="eastAsia" w:ascii="仿宋" w:hAnsi="仿宋" w:eastAsia="仿宋" w:cs="仿宋"/>
          <w:color w:val="auto"/>
          <w:szCs w:val="21"/>
          <w:highlight w:val="none"/>
        </w:rPr>
        <w:t>，需要对数据中心相关业务系统进行改造。</w:t>
      </w:r>
    </w:p>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snapToGrid w:val="0"/>
          <w:color w:val="auto"/>
          <w:sz w:val="21"/>
          <w:szCs w:val="21"/>
          <w:highlight w:val="none"/>
        </w:rPr>
      </w:pPr>
      <w:r>
        <w:rPr>
          <w:rFonts w:hint="eastAsia" w:ascii="仿宋" w:hAnsi="仿宋" w:eastAsia="仿宋" w:cs="仿宋"/>
          <w:snapToGrid w:val="0"/>
          <w:color w:val="auto"/>
          <w:sz w:val="21"/>
          <w:szCs w:val="21"/>
          <w:highlight w:val="none"/>
        </w:rPr>
        <w:t>项目建设目标</w:t>
      </w:r>
      <w:bookmarkEnd w:id="12"/>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1、优化医院现有的数据中心基础架构，通过本次改造项目的建设，提升数据中心主机利用率，降低管理与维护成本；</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2、针对数据中心现有存储空间与性能不足问题，新增统一存储一台；</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3、实现新增统一存储与原EMC VNX5600存储实现数据实时同步容灾，保证EMC VNX5600上原数据库数据安全；</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4、为了保证平台相关数据安全性，提供备份系统一套；</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5、优化HIS系统现有硬件架构，消除单点故障；</w:t>
      </w:r>
    </w:p>
    <w:p>
      <w:pPr>
        <w:pageBreakBefore w:val="0"/>
        <w:kinsoku/>
        <w:wordWrap/>
        <w:overflowPunct/>
        <w:topLinePunct w:val="0"/>
        <w:autoSpaceDE/>
        <w:autoSpaceDN/>
        <w:bidi w:val="0"/>
        <w:adjustRightInd/>
        <w:spacing w:line="360" w:lineRule="exact"/>
        <w:textAlignment w:val="baseline"/>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二、采购内容</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2940"/>
        <w:gridCol w:w="1562"/>
        <w:gridCol w:w="1274"/>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采购内容</w:t>
            </w:r>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数量</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单位</w:t>
            </w:r>
          </w:p>
        </w:tc>
        <w:tc>
          <w:tcPr>
            <w:tcW w:w="1259"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备</w:t>
            </w:r>
            <w:r>
              <w:rPr>
                <w:rFonts w:hint="eastAsia" w:ascii="仿宋" w:hAnsi="仿宋" w:eastAsia="仿宋" w:cs="仿宋"/>
                <w:color w:val="auto"/>
                <w:szCs w:val="21"/>
                <w:highlight w:val="none"/>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统一存储</w:t>
            </w:r>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c>
          <w:tcPr>
            <w:tcW w:w="1259" w:type="pct"/>
            <w:vMerge w:val="restar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详见招标需求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存储扩容</w:t>
            </w:r>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c>
          <w:tcPr>
            <w:tcW w:w="1259" w:type="pct"/>
            <w:vMerge w:val="continue"/>
            <w:noWrap w:val="0"/>
            <w:vAlign w:val="center"/>
          </w:tcPr>
          <w:p>
            <w:pPr>
              <w:pStyle w:val="72"/>
              <w:pageBreakBefore w:val="0"/>
              <w:kinsoku/>
              <w:wordWrap/>
              <w:overflowPunct/>
              <w:topLinePunct w:val="0"/>
              <w:autoSpaceDE/>
              <w:autoSpaceDN/>
              <w:bidi w:val="0"/>
              <w:adjustRightInd/>
              <w:spacing w:line="360" w:lineRule="exact"/>
              <w:ind w:firstLine="0" w:firstLineChars="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光纤交换机</w:t>
            </w:r>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台</w:t>
            </w:r>
          </w:p>
        </w:tc>
        <w:tc>
          <w:tcPr>
            <w:tcW w:w="1259" w:type="pct"/>
            <w:vMerge w:val="continue"/>
            <w:noWrap w:val="0"/>
            <w:vAlign w:val="center"/>
          </w:tcPr>
          <w:p>
            <w:pPr>
              <w:pStyle w:val="72"/>
              <w:pageBreakBefore w:val="0"/>
              <w:kinsoku/>
              <w:wordWrap/>
              <w:overflowPunct/>
              <w:topLinePunct w:val="0"/>
              <w:autoSpaceDE/>
              <w:autoSpaceDN/>
              <w:bidi w:val="0"/>
              <w:adjustRightInd/>
              <w:spacing w:line="360" w:lineRule="exact"/>
              <w:ind w:firstLine="0" w:firstLineChars="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原厂内存扩容</w:t>
            </w:r>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48</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w:t>
            </w:r>
          </w:p>
        </w:tc>
        <w:tc>
          <w:tcPr>
            <w:tcW w:w="1259" w:type="pct"/>
            <w:vMerge w:val="continue"/>
            <w:noWrap w:val="0"/>
            <w:vAlign w:val="center"/>
          </w:tcPr>
          <w:p>
            <w:pPr>
              <w:pStyle w:val="72"/>
              <w:pageBreakBefore w:val="0"/>
              <w:kinsoku/>
              <w:wordWrap/>
              <w:overflowPunct/>
              <w:topLinePunct w:val="0"/>
              <w:autoSpaceDE/>
              <w:autoSpaceDN/>
              <w:bidi w:val="0"/>
              <w:adjustRightInd/>
              <w:spacing w:line="360" w:lineRule="exact"/>
              <w:ind w:firstLine="0" w:firstLineChars="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原厂HBA卡扩容</w:t>
            </w:r>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块</w:t>
            </w:r>
          </w:p>
        </w:tc>
        <w:tc>
          <w:tcPr>
            <w:tcW w:w="1259" w:type="pct"/>
            <w:vMerge w:val="continue"/>
            <w:noWrap w:val="0"/>
            <w:vAlign w:val="center"/>
          </w:tcPr>
          <w:p>
            <w:pPr>
              <w:pStyle w:val="72"/>
              <w:pageBreakBefore w:val="0"/>
              <w:kinsoku/>
              <w:wordWrap/>
              <w:overflowPunct/>
              <w:topLinePunct w:val="0"/>
              <w:autoSpaceDE/>
              <w:autoSpaceDN/>
              <w:bidi w:val="0"/>
              <w:adjustRightInd/>
              <w:spacing w:line="360" w:lineRule="exact"/>
              <w:ind w:firstLine="0" w:firstLineChars="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备份系统</w:t>
            </w:r>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1259" w:type="pct"/>
            <w:vMerge w:val="continue"/>
            <w:noWrap w:val="0"/>
            <w:vAlign w:val="center"/>
          </w:tcPr>
          <w:p>
            <w:pPr>
              <w:pStyle w:val="72"/>
              <w:pageBreakBefore w:val="0"/>
              <w:kinsoku/>
              <w:wordWrap/>
              <w:overflowPunct/>
              <w:topLinePunct w:val="0"/>
              <w:autoSpaceDE/>
              <w:autoSpaceDN/>
              <w:bidi w:val="0"/>
              <w:adjustRightInd/>
              <w:spacing w:line="360" w:lineRule="exact"/>
              <w:ind w:firstLine="0" w:firstLineChars="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服务质量管理系统</w:t>
            </w:r>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套</w:t>
            </w:r>
          </w:p>
        </w:tc>
        <w:tc>
          <w:tcPr>
            <w:tcW w:w="1259" w:type="pct"/>
            <w:vMerge w:val="continue"/>
            <w:noWrap w:val="0"/>
            <w:vAlign w:val="center"/>
          </w:tcPr>
          <w:p>
            <w:pPr>
              <w:pStyle w:val="72"/>
              <w:pageBreakBefore w:val="0"/>
              <w:kinsoku/>
              <w:wordWrap/>
              <w:overflowPunct/>
              <w:topLinePunct w:val="0"/>
              <w:autoSpaceDE/>
              <w:autoSpaceDN/>
              <w:bidi w:val="0"/>
              <w:adjustRightInd/>
              <w:spacing w:line="360" w:lineRule="exact"/>
              <w:ind w:firstLine="0" w:firstLineChars="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安全服务系统</w:t>
            </w:r>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批</w:t>
            </w:r>
          </w:p>
        </w:tc>
        <w:tc>
          <w:tcPr>
            <w:tcW w:w="1259" w:type="pct"/>
            <w:vMerge w:val="continue"/>
            <w:noWrap w:val="0"/>
            <w:vAlign w:val="center"/>
          </w:tcPr>
          <w:p>
            <w:pPr>
              <w:pStyle w:val="72"/>
              <w:pageBreakBefore w:val="0"/>
              <w:kinsoku/>
              <w:wordWrap/>
              <w:overflowPunct/>
              <w:topLinePunct w:val="0"/>
              <w:autoSpaceDE/>
              <w:autoSpaceDN/>
              <w:bidi w:val="0"/>
              <w:adjustRightInd/>
              <w:spacing w:line="360" w:lineRule="exact"/>
              <w:ind w:firstLine="0" w:firstLineChars="0"/>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164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bookmarkStart w:id="13" w:name="_Hlk88853750"/>
            <w:r>
              <w:rPr>
                <w:rFonts w:hint="eastAsia" w:ascii="仿宋" w:hAnsi="仿宋" w:eastAsia="仿宋" w:cs="仿宋"/>
                <w:color w:val="auto"/>
                <w:szCs w:val="21"/>
                <w:highlight w:val="none"/>
              </w:rPr>
              <w:t>系统集成</w:t>
            </w:r>
            <w:bookmarkEnd w:id="13"/>
          </w:p>
        </w:tc>
        <w:tc>
          <w:tcPr>
            <w:tcW w:w="872"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711" w:type="pct"/>
            <w:noWrap w:val="0"/>
            <w:vAlign w:val="center"/>
          </w:tcPr>
          <w:p>
            <w:pPr>
              <w:pStyle w:val="72"/>
              <w:pageBreakBefore w:val="0"/>
              <w:kinsoku/>
              <w:wordWrap/>
              <w:overflowPunct/>
              <w:topLinePunct w:val="0"/>
              <w:autoSpaceDE/>
              <w:autoSpaceDN/>
              <w:bidi w:val="0"/>
              <w:adjustRightInd/>
              <w:spacing w:line="360" w:lineRule="exact"/>
              <w:ind w:left="0" w:leftChars="0" w:firstLine="0" w:firstLineChars="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批</w:t>
            </w:r>
          </w:p>
        </w:tc>
        <w:tc>
          <w:tcPr>
            <w:tcW w:w="1259" w:type="pct"/>
            <w:vMerge w:val="continue"/>
            <w:noWrap w:val="0"/>
            <w:vAlign w:val="center"/>
          </w:tcPr>
          <w:p>
            <w:pPr>
              <w:pStyle w:val="72"/>
              <w:pageBreakBefore w:val="0"/>
              <w:kinsoku/>
              <w:wordWrap/>
              <w:overflowPunct/>
              <w:topLinePunct w:val="0"/>
              <w:autoSpaceDE/>
              <w:autoSpaceDN/>
              <w:bidi w:val="0"/>
              <w:adjustRightInd/>
              <w:spacing w:line="360" w:lineRule="exact"/>
              <w:ind w:firstLine="0" w:firstLineChars="0"/>
              <w:jc w:val="center"/>
              <w:rPr>
                <w:rFonts w:hint="eastAsia" w:ascii="仿宋" w:hAnsi="仿宋" w:eastAsia="仿宋" w:cs="仿宋"/>
                <w:color w:val="auto"/>
                <w:szCs w:val="21"/>
                <w:highlight w:val="none"/>
              </w:rPr>
            </w:pPr>
          </w:p>
        </w:tc>
      </w:tr>
    </w:tbl>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三、技术服务要求</w:t>
      </w:r>
    </w:p>
    <w:p>
      <w:pPr>
        <w:pStyle w:val="4"/>
        <w:pageBreakBefore w:val="0"/>
        <w:numPr>
          <w:ilvl w:val="1"/>
          <w:numId w:val="0"/>
        </w:numPr>
        <w:tabs>
          <w:tab w:val="left" w:pos="360"/>
          <w:tab w:val="clear" w:pos="1145"/>
        </w:tabs>
        <w:kinsoku/>
        <w:wordWrap/>
        <w:overflowPunct/>
        <w:topLinePunct w:val="0"/>
        <w:autoSpaceDE/>
        <w:autoSpaceDN/>
        <w:bidi w:val="0"/>
        <w:adjustRightInd/>
        <w:spacing w:before="0" w:after="0" w:line="360" w:lineRule="exact"/>
        <w:ind w:left="567" w:hanging="56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质量保证要求</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1、投标人需提供完整的项目搬迁与业务迁移方案，便于用户对项目实施的全过程进行监控和管理、对项目进度和工程实施进度进行控制；同时必须有详细易懂的系统的安装、运行、验收测试的技术文件，所有的技术文件必须是中文，并且本项目所有文档应该按照所使用的质量管理体系要求编写。</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2、投标方必须提出对产品质量的承诺。签订合同前用户有权对投标人所提供产品进行检测，如不符合招标要求用户有权拒绝签署合同，检测所产生的一切费用以及法律责任由投标人承担。</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3、为了保证提供的产品符合招标人要求，带★的参数必须满足，否则将视为无效标处理，带▲项为实质性参数，其中带▲项的性能指标不满足的每项扣2分，其他指标及技术参数不满足的每项扣1分，直至扣完。</w:t>
      </w:r>
    </w:p>
    <w:p>
      <w:pPr>
        <w:pStyle w:val="4"/>
        <w:pageBreakBefore w:val="0"/>
        <w:numPr>
          <w:ilvl w:val="1"/>
          <w:numId w:val="0"/>
        </w:numPr>
        <w:tabs>
          <w:tab w:val="left" w:pos="360"/>
          <w:tab w:val="clear" w:pos="1145"/>
        </w:tabs>
        <w:kinsoku/>
        <w:wordWrap/>
        <w:overflowPunct/>
        <w:topLinePunct w:val="0"/>
        <w:autoSpaceDE/>
        <w:autoSpaceDN/>
        <w:bidi w:val="0"/>
        <w:adjustRightInd/>
        <w:spacing w:before="0" w:after="0" w:line="360" w:lineRule="exact"/>
        <w:ind w:left="567" w:hanging="56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售后服务要求</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1、全年365天 每周7*24小时响应服务，可以是400电话、e-mail、VPN、QQ等形式支持服务，通过以上方式直接联络服务商的技术工程师，寻求问题的解决方案、技术文档以及技术指导，提供故障处理案例；</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2、投标方在接到招标方故障申告后应于15分钟内响应，如故障未能在15分钟内通过电话或远程支持得到解决，投标方根据招标方要求派指定服务工程师在2小时内赶到招标方现场，提供不间断故障处理服务。到达现场后1小时内提出解决方案，对于一般性故障（不影响用户业务正常运作的故障）12小时之内恢复正常，严重故障4小时之内恢复正常（需替换件的除外）；</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3、当遇到复杂性问题，需要到现场进行综合诊断或者院方要求现场支持服务的时候，要求服务团队人员乃至专家后援服务团队人员在2小时内到达支持现场，同时要求在路途中不中断电话支持以求快速解决问题。</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4、灾难性故障支持，由于各种原因引起数据库不可用或者部分不可用的状况下，要求服务团队精通灾备技术，快速恢复各种灾难性故障。熟悉招标方的备份机制和模式，利用备份机制实现快速故障恢复，针对数据灾难情形提供强有力的挽救技术或工具。</w:t>
      </w:r>
    </w:p>
    <w:p>
      <w:pPr>
        <w:pStyle w:val="4"/>
        <w:pageBreakBefore w:val="0"/>
        <w:numPr>
          <w:ilvl w:val="1"/>
          <w:numId w:val="0"/>
        </w:numPr>
        <w:tabs>
          <w:tab w:val="left" w:pos="360"/>
          <w:tab w:val="clear" w:pos="1145"/>
        </w:tabs>
        <w:kinsoku/>
        <w:wordWrap/>
        <w:overflowPunct/>
        <w:topLinePunct w:val="0"/>
        <w:autoSpaceDE/>
        <w:autoSpaceDN/>
        <w:bidi w:val="0"/>
        <w:adjustRightInd/>
        <w:spacing w:before="0" w:after="0" w:line="360" w:lineRule="exact"/>
        <w:ind w:left="567" w:hanging="56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日常巡检服务</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要求投标方提供本项目所涉及设备一年四次以上日常巡检服务，巡检内容包括硬件设备的运行状态、虚拟化平台的资源使用状态、各虚拟机的空间情况等，并提供用户现有安全设备进行评估服务，以上出具纸质巡检报告（加盖公章），并提供一年不少于2次的平台优化服务。</w:t>
      </w:r>
    </w:p>
    <w:p>
      <w:pPr>
        <w:pStyle w:val="4"/>
        <w:pageBreakBefore w:val="0"/>
        <w:numPr>
          <w:ilvl w:val="1"/>
          <w:numId w:val="0"/>
        </w:numPr>
        <w:tabs>
          <w:tab w:val="left" w:pos="360"/>
          <w:tab w:val="clear" w:pos="1145"/>
        </w:tabs>
        <w:kinsoku/>
        <w:wordWrap/>
        <w:overflowPunct/>
        <w:topLinePunct w:val="0"/>
        <w:autoSpaceDE/>
        <w:autoSpaceDN/>
        <w:bidi w:val="0"/>
        <w:adjustRightInd/>
        <w:spacing w:before="0" w:after="0" w:line="360" w:lineRule="exact"/>
        <w:ind w:left="567" w:hanging="56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应急故障处理服务</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方应根据用户具体应用环境及业务要求，制定出系统在遇到故障时的应急处理预案，提出切实可行的备份切换方案及措施，确保业务能在最短时间内恢复正常。若在规定时间内无法解决，且无法在短时间内恢复系统，则应立即实行应急措施。故障处理完毕后，中标方须提供“故障分析报告”和“故障处理报告”，提交给用户方备案。故障处理时间要求如下：</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1、对于关键性问题（影响用户业务正常运作的故障）</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（1）响应时间：1～15分钟；</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（2）到场时间：2小时内到达现场；</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（3）修复时间：4小时内修复。</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2、对于一般性问题（不影响用户业务正常运作的故障）</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（1）响应时间：1～15分钟；</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（2）到场时间：2小时内到达现场;</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（3）修复时间：12小时内修复。</w:t>
      </w:r>
    </w:p>
    <w:p>
      <w:pPr>
        <w:pStyle w:val="4"/>
        <w:pageBreakBefore w:val="0"/>
        <w:numPr>
          <w:ilvl w:val="1"/>
          <w:numId w:val="0"/>
        </w:numPr>
        <w:tabs>
          <w:tab w:val="left" w:pos="360"/>
          <w:tab w:val="clear" w:pos="1145"/>
        </w:tabs>
        <w:kinsoku/>
        <w:wordWrap/>
        <w:overflowPunct/>
        <w:topLinePunct w:val="0"/>
        <w:autoSpaceDE/>
        <w:autoSpaceDN/>
        <w:bidi w:val="0"/>
        <w:adjustRightInd/>
        <w:spacing w:before="0" w:after="0" w:line="360" w:lineRule="exact"/>
        <w:ind w:left="567" w:hanging="56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实施要求</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1、为了保证此次虚拟化平台改造的顺利进行，要求参与本次项目实施的技术人员必须具有主流虚拟化厂商的技术认证资质。</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2、为提高招标方团队的技术水平，要求中标方服务团队制定相关培训计划，由原厂认证工程师现场提供培训，培训内容包括信息系统基础架构介绍、虚拟化平台搭建与日常管理等，培训持续2天。</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3、投标方需提供自主知识产权的巡检工具软件一套，对用户的主机、存储、网络、等自动巡检，方便用户自检(投标时提供软件著作权证书)。</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4、提供针对本项目的技术服务团队（不少于6人），项目实施经验不少于五年，投标时明确技术人员名单，所有工程师需提供社保记录证明文件，具体认证需求如下：</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项目管理能力：</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PMP（Project Management Professional）项目经理</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ITSS-IT服务项目经理认证工程师</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运维能力：</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信息系统运维管理工程师</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ITIL Foundation Certificate in IT Service Management国际服务管理工程师</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网络技能能力：</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H3CIE路由交换认证工程师</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网络安全技能能力：</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注册信息安全工程师</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网络安全高级认证工程师</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信息安全保障认证工程师</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服务器存储技术能力：</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VCP认证工程师</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云计算高级认证工程师</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数据库技能能力</w:t>
      </w:r>
    </w:p>
    <w:p>
      <w:pPr>
        <w:pageBreakBefore w:val="0"/>
        <w:numPr>
          <w:ilvl w:val="0"/>
          <w:numId w:val="9"/>
        </w:numPr>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Oracle Database 11g Administrator Certified Master数据库大师认证工程师</w:t>
      </w:r>
    </w:p>
    <w:p>
      <w:pPr>
        <w:pStyle w:val="4"/>
        <w:pageBreakBefore w:val="0"/>
        <w:numPr>
          <w:ilvl w:val="1"/>
          <w:numId w:val="0"/>
        </w:numPr>
        <w:tabs>
          <w:tab w:val="left" w:pos="360"/>
          <w:tab w:val="clear" w:pos="1145"/>
        </w:tabs>
        <w:kinsoku/>
        <w:wordWrap/>
        <w:overflowPunct/>
        <w:topLinePunct w:val="0"/>
        <w:autoSpaceDE/>
        <w:autoSpaceDN/>
        <w:bidi w:val="0"/>
        <w:adjustRightInd/>
        <w:spacing w:before="0" w:after="0" w:line="360" w:lineRule="exact"/>
        <w:ind w:left="567" w:hanging="567"/>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项目实施周期要求</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合同签订后2个月内完成现有所有设备的供货、实施与业务迁移工作。</w:t>
      </w:r>
    </w:p>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四、付款方式</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抗疫期间，按照浙财采监[2020]3号文件精神执行，具体支付条款双方协商。</w:t>
      </w:r>
    </w:p>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五</w:t>
      </w:r>
      <w:r>
        <w:rPr>
          <w:rFonts w:hint="eastAsia" w:ascii="仿宋" w:hAnsi="仿宋" w:eastAsia="仿宋" w:cs="仿宋"/>
          <w:b/>
          <w:color w:val="auto"/>
          <w:kern w:val="0"/>
          <w:szCs w:val="21"/>
          <w:highlight w:val="none"/>
          <w:lang w:bidi="ar"/>
        </w:rPr>
        <w:t>、产品技术规格</w:t>
      </w:r>
    </w:p>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统一存储</w:t>
      </w:r>
    </w:p>
    <w:tbl>
      <w:tblPr>
        <w:tblStyle w:val="4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02"/>
        <w:gridCol w:w="6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序号</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项目</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▲品牌</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国际知名存储品牌．具有自有知识产权和开发能力产品，非OEM；</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IDC全球外部存储销售额排名前3厂商，提供IDC</w:t>
            </w:r>
            <w:r>
              <w:rPr>
                <w:rFonts w:hint="eastAsia" w:ascii="仿宋" w:hAnsi="仿宋" w:eastAsia="仿宋" w:cs="仿宋"/>
                <w:color w:val="auto"/>
                <w:szCs w:val="21"/>
                <w:highlight w:val="none"/>
                <w:lang w:eastAsia="zh-CN"/>
              </w:rPr>
              <w:t>最新一</w:t>
            </w:r>
            <w:r>
              <w:rPr>
                <w:rFonts w:hint="eastAsia" w:ascii="仿宋" w:hAnsi="仿宋" w:eastAsia="仿宋" w:cs="仿宋"/>
                <w:color w:val="auto"/>
                <w:szCs w:val="21"/>
                <w:highlight w:val="none"/>
              </w:rPr>
              <w:t>年外部存储报告；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▲体系结构</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一体化统一存储架构，支持SAN及NAS环境，且不需要增加额外的硬件组件即可支持FC/ISCSI/NFS/SMB（CIFS)等协议</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“双活”（Active-Active）双控控制器工作设计，任何卷都可以从任何控制器的任何目标端口进行访问；</w:t>
            </w:r>
            <w:r>
              <w:rPr>
                <w:rFonts w:hint="eastAsia" w:ascii="仿宋" w:hAnsi="仿宋" w:eastAsia="仿宋" w:cs="仿宋"/>
                <w:color w:val="auto"/>
                <w:kern w:val="0"/>
                <w:szCs w:val="21"/>
                <w:highlight w:val="none"/>
              </w:rPr>
              <w:t>；</w:t>
            </w:r>
            <w:bookmarkStart w:id="14" w:name="OLE_LINK9"/>
            <w:r>
              <w:rPr>
                <w:rFonts w:hint="eastAsia" w:ascii="仿宋" w:hAnsi="仿宋" w:eastAsia="仿宋" w:cs="仿宋"/>
                <w:color w:val="auto"/>
                <w:kern w:val="0"/>
                <w:szCs w:val="21"/>
                <w:highlight w:val="none"/>
              </w:rPr>
              <w:t>以上均需提供官网链接证明</w:t>
            </w:r>
            <w:bookmarkEnd w:id="14"/>
            <w:r>
              <w:rPr>
                <w:rFonts w:hint="eastAsia" w:ascii="仿宋" w:hAnsi="仿宋" w:eastAsia="仿宋" w:cs="仿宋"/>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072" w:type="dxa"/>
            <w:gridSpan w:val="3"/>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基本性能指标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★控制器</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1.</w:t>
            </w:r>
            <w:r>
              <w:rPr>
                <w:rFonts w:hint="eastAsia" w:ascii="仿宋" w:hAnsi="仿宋" w:eastAsia="仿宋" w:cs="仿宋"/>
                <w:bCs/>
                <w:color w:val="auto"/>
                <w:szCs w:val="21"/>
                <w:highlight w:val="none"/>
              </w:rPr>
              <w:t>控制器部件全冗余，支持NAS、FC、iSCSI数据访问服务；</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2.</w:t>
            </w:r>
            <w:r>
              <w:rPr>
                <w:rFonts w:hint="eastAsia" w:ascii="仿宋" w:hAnsi="仿宋" w:eastAsia="仿宋" w:cs="仿宋"/>
                <w:bCs/>
                <w:color w:val="auto"/>
                <w:szCs w:val="21"/>
                <w:highlight w:val="none"/>
              </w:rPr>
              <w:t>控制器对称双活，双控制器能同时访问同一个份数据单元（LUN）；</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控制器数量≥2</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配置控制器缓存≥192GB</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每控制器CPU≥16核，主频≥1.8G Hz</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基于控制器的静态数据加密；</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以上三点必须提供官网链接和截图说明。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缓存</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支持写缓存镜像保护和掉电保护；掉电情况下，缓存数据需写到磁盘，保证写缓存数据永久不丢失；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磁盘存储容量</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b/>
                <w:bCs/>
                <w:color w:val="auto"/>
                <w:szCs w:val="21"/>
                <w:highlight w:val="none"/>
              </w:rPr>
              <w:t xml:space="preserve"> </w:t>
            </w:r>
            <w:r>
              <w:rPr>
                <w:rFonts w:hint="eastAsia" w:ascii="仿宋" w:hAnsi="仿宋" w:eastAsia="仿宋" w:cs="仿宋"/>
                <w:color w:val="auto"/>
                <w:szCs w:val="21"/>
                <w:highlight w:val="none"/>
              </w:rPr>
              <w:t>本次配置25块1.8T SAS硬盘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支持磁盘类型</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所投存储系统可同时支持eMLC SSD、3D NAND TLC SSD、SAS、NL-SAS磁盘；硬盘数量≥700块（非Cluster模式）；SSD单盘最大可支持3.2TB， SAS单盘最大可支持1.8TB，NL-SAS单盘最大可支持6TB；以上需提供官网链接证明；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7</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前端主机端口</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支持接口类型：</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最大支持的FC端口≥20；</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最大支持的10Gb iSCSI端口≥24；</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本次配置4个16Gb/s的前端FC光纤通道端口+4个万兆电口IP接口；</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以上均需提供官网链接证明；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8</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后端端口带宽</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配置磁盘阵列连接磁盘的后端端口带宽≥96Gb/s；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9</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扩展能力</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单台阵列最大支持的磁盘数≥500；</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可管理的最大容量</w:t>
            </w:r>
            <w:r>
              <w:rPr>
                <w:rFonts w:hint="eastAsia" w:ascii="仿宋" w:hAnsi="仿宋" w:eastAsia="仿宋" w:cs="仿宋"/>
                <w:color w:val="auto"/>
                <w:szCs w:val="21"/>
                <w:highlight w:val="none"/>
              </w:rPr>
              <w:t>≥3.5PB；</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Cs/>
                <w:color w:val="auto"/>
                <w:szCs w:val="21"/>
                <w:highlight w:val="none"/>
              </w:rPr>
            </w:pPr>
            <w:r>
              <w:rPr>
                <w:rFonts w:hint="eastAsia" w:ascii="仿宋" w:hAnsi="仿宋" w:eastAsia="仿宋" w:cs="仿宋"/>
                <w:color w:val="auto"/>
                <w:kern w:val="0"/>
                <w:szCs w:val="21"/>
                <w:highlight w:val="none"/>
              </w:rPr>
              <w:t>具有完全在线、无需停机的扩充能力，包括系统微码升级、系统处理能力的扩充、存储容量的扩充等；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10</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RAID保护方式</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支持多种RAID保护方式，包括0/1,5,6；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11</w:t>
            </w:r>
          </w:p>
        </w:tc>
        <w:tc>
          <w:tcPr>
            <w:tcW w:w="1602" w:type="dxa"/>
            <w:noWrap w:val="0"/>
            <w:vAlign w:val="center"/>
          </w:tcPr>
          <w:p>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 w:hAnsi="仿宋" w:eastAsia="仿宋" w:cs="仿宋"/>
                <w:bCs/>
                <w:color w:val="auto"/>
                <w:kern w:val="0"/>
                <w:szCs w:val="21"/>
                <w:highlight w:val="none"/>
              </w:rPr>
            </w:pPr>
            <w:r>
              <w:rPr>
                <w:rFonts w:hint="eastAsia" w:ascii="仿宋" w:hAnsi="仿宋" w:eastAsia="仿宋" w:cs="仿宋"/>
                <w:bCs/>
                <w:color w:val="auto"/>
                <w:kern w:val="0"/>
                <w:szCs w:val="21"/>
                <w:highlight w:val="none"/>
              </w:rPr>
              <w:t>最大支持SAN主机数</w:t>
            </w:r>
          </w:p>
        </w:tc>
        <w:tc>
          <w:tcPr>
            <w:tcW w:w="6605" w:type="dxa"/>
            <w:noWrap w:val="0"/>
            <w:vAlign w:val="center"/>
          </w:tcPr>
          <w:p>
            <w:pPr>
              <w:keepNext w:val="0"/>
              <w:keepLines w:val="0"/>
              <w:pageBreakBefore w:val="0"/>
              <w:widowControl/>
              <w:kinsoku/>
              <w:wordWrap/>
              <w:overflowPunct/>
              <w:topLinePunct w:val="0"/>
              <w:autoSpaceDE/>
              <w:autoSpaceDN/>
              <w:bidi w:val="0"/>
              <w:adjustRightInd/>
              <w:snapToGrid w:val="0"/>
              <w:spacing w:line="320" w:lineRule="exact"/>
              <w:jc w:val="left"/>
              <w:textAlignment w:val="auto"/>
              <w:rPr>
                <w:rFonts w:hint="eastAsia" w:ascii="仿宋" w:hAnsi="仿宋" w:eastAsia="仿宋" w:cs="仿宋"/>
                <w:bCs/>
                <w:color w:val="auto"/>
                <w:kern w:val="0"/>
                <w:szCs w:val="21"/>
                <w:highlight w:val="none"/>
              </w:rPr>
            </w:pPr>
            <w:r>
              <w:rPr>
                <w:rFonts w:hint="eastAsia" w:ascii="仿宋" w:hAnsi="仿宋" w:eastAsia="仿宋" w:cs="仿宋"/>
                <w:color w:val="auto"/>
                <w:szCs w:val="21"/>
                <w:highlight w:val="none"/>
              </w:rPr>
              <w:t>≥1024，本次配置双控制器（一个HA对）1024个主机支持，必须提供官方网站链接和截图。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072" w:type="dxa"/>
            <w:gridSpan w:val="3"/>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软件要求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12</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存储管理软件</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需提供图形化存储管理软件，支持带外管理；</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支持基于角色的管理；为不同的管理人员分配对应的管理权限；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13</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▲存储控制器软件</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置主存储控制器软件的独立运行版本，支持Windows、Linux、Unix操作系统，配置SAN、NFS、CIFS、iSCSI与VVOLs协议，配置自动存储分层功能，配置存储复制功能，能够与此次所投存储实现复制，配置服务质量管理QoS功能；配置不小于4TB的容量许可；</w:t>
            </w:r>
            <w:r>
              <w:rPr>
                <w:rFonts w:hint="eastAsia" w:ascii="仿宋" w:hAnsi="仿宋" w:eastAsia="仿宋" w:cs="仿宋"/>
                <w:color w:val="auto"/>
                <w:kern w:val="0"/>
                <w:szCs w:val="21"/>
                <w:highlight w:val="none"/>
              </w:rPr>
              <w:t>以上均需提供官网链接证明；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14</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集中化管理</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提供管理软件，可管理的阵列数量≥1000台；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性能分析软件</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配置阵列的性能分析软件，能够获取实时的性能数据和历史性能数据；产生性能报表；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16</w:t>
            </w:r>
          </w:p>
        </w:tc>
        <w:tc>
          <w:tcPr>
            <w:tcW w:w="1602"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虚拟资源调配</w:t>
            </w:r>
          </w:p>
        </w:tc>
        <w:tc>
          <w:tcPr>
            <w:tcW w:w="6605" w:type="dxa"/>
            <w:noWrap w:val="0"/>
            <w:vAlign w:val="top"/>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r>
              <w:rPr>
                <w:rFonts w:hint="eastAsia" w:ascii="仿宋" w:hAnsi="仿宋" w:eastAsia="仿宋" w:cs="仿宋"/>
                <w:color w:val="auto"/>
                <w:szCs w:val="21"/>
                <w:highlight w:val="none"/>
              </w:rPr>
              <w:t>支持并</w:t>
            </w:r>
            <w:r>
              <w:rPr>
                <w:rFonts w:hint="eastAsia" w:ascii="仿宋" w:hAnsi="仿宋" w:eastAsia="仿宋" w:cs="仿宋"/>
                <w:bCs/>
                <w:color w:val="auto"/>
                <w:szCs w:val="21"/>
                <w:highlight w:val="none"/>
              </w:rPr>
              <w:t>配置虚拟资源调配功能，按照实际使用的存储容量分配存储空间，提高存储利用率；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17</w:t>
            </w:r>
          </w:p>
        </w:tc>
        <w:tc>
          <w:tcPr>
            <w:tcW w:w="1602"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数据无缝及无破坏迁移功能</w:t>
            </w:r>
          </w:p>
        </w:tc>
        <w:tc>
          <w:tcPr>
            <w:tcW w:w="6605" w:type="dxa"/>
            <w:noWrap w:val="0"/>
            <w:vAlign w:val="top"/>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配置数据存储无缝迁移功能，可将原来VNX存储数据无缝迁移至新购存储上，不破坏现有存储之上的数据。本次需配满系统所配容量的该功能许可。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18</w:t>
            </w:r>
          </w:p>
        </w:tc>
        <w:tc>
          <w:tcPr>
            <w:tcW w:w="1602"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本地数据复制保护功能</w:t>
            </w:r>
          </w:p>
        </w:tc>
        <w:tc>
          <w:tcPr>
            <w:tcW w:w="6605" w:type="dxa"/>
            <w:noWrap w:val="0"/>
            <w:vAlign w:val="top"/>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配置防病毒，加密，存储系统配置本地快照及本地克隆技术；每个LUN的快照数量</w:t>
            </w:r>
            <w:r>
              <w:rPr>
                <w:rFonts w:hint="eastAsia" w:ascii="仿宋" w:hAnsi="仿宋" w:eastAsia="仿宋" w:cs="仿宋"/>
                <w:color w:val="auto"/>
                <w:szCs w:val="21"/>
                <w:highlight w:val="none"/>
              </w:rPr>
              <w:t>≥256个；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19</w:t>
            </w:r>
          </w:p>
        </w:tc>
        <w:tc>
          <w:tcPr>
            <w:tcW w:w="1602"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自动存储分层功能</w:t>
            </w:r>
          </w:p>
        </w:tc>
        <w:tc>
          <w:tcPr>
            <w:tcW w:w="6605" w:type="dxa"/>
            <w:noWrap w:val="0"/>
            <w:vAlign w:val="top"/>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配置自动存储分层软件及许可。根据数据的活动状况，自动将活动数据调整到高速磁盘上，将非活动数据放置到大容量磁盘上；可设置迁移策略和指定数据的初始位置；迁移过程多主机透明，无需停机；迁移层数</w:t>
            </w:r>
            <w:r>
              <w:rPr>
                <w:rFonts w:hint="eastAsia" w:ascii="仿宋" w:hAnsi="仿宋" w:eastAsia="仿宋" w:cs="仿宋"/>
                <w:color w:val="auto"/>
                <w:szCs w:val="21"/>
                <w:highlight w:val="none"/>
              </w:rPr>
              <w:t>≥3层（SSD，SAS，NL_SAS）</w:t>
            </w:r>
            <w:r>
              <w:rPr>
                <w:rFonts w:hint="eastAsia" w:ascii="仿宋" w:hAnsi="仿宋" w:eastAsia="仿宋" w:cs="仿宋"/>
                <w:bCs/>
                <w:color w:val="auto"/>
                <w:szCs w:val="21"/>
                <w:highlight w:val="none"/>
              </w:rPr>
              <w:t>，迁移粒度粒度≤256MB；需提供官网链接证明；</w:t>
            </w:r>
            <w:r>
              <w:rPr>
                <w:rFonts w:hint="eastAsia" w:ascii="仿宋" w:hAnsi="仿宋" w:eastAsia="仿宋" w:cs="仿宋"/>
                <w:color w:val="auto"/>
                <w:kern w:val="0"/>
                <w:szCs w:val="21"/>
                <w:highlight w:val="none"/>
              </w:rPr>
              <w:t>需提供官网截图证明与相关技术原理实现的官方白皮书；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c>
          <w:tcPr>
            <w:tcW w:w="1602"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高速二级缓存</w:t>
            </w:r>
          </w:p>
        </w:tc>
        <w:tc>
          <w:tcPr>
            <w:tcW w:w="6605" w:type="dxa"/>
            <w:noWrap w:val="0"/>
            <w:vAlign w:val="top"/>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配置高速二级缓存功能软件，实现缓存的高速扩展，需提供</w:t>
            </w:r>
            <w:r>
              <w:rPr>
                <w:rFonts w:hint="eastAsia" w:ascii="仿宋" w:hAnsi="仿宋" w:eastAsia="仿宋" w:cs="仿宋"/>
                <w:color w:val="auto"/>
                <w:kern w:val="0"/>
                <w:szCs w:val="21"/>
                <w:highlight w:val="none"/>
              </w:rPr>
              <w:t>供官网链接及截图证明。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21</w:t>
            </w:r>
          </w:p>
        </w:tc>
        <w:tc>
          <w:tcPr>
            <w:tcW w:w="1602"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生态系统集成</w:t>
            </w:r>
          </w:p>
        </w:tc>
        <w:tc>
          <w:tcPr>
            <w:tcW w:w="6605" w:type="dxa"/>
            <w:noWrap w:val="0"/>
            <w:vAlign w:val="top"/>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配置VMware、Microsoft、OpenStack集成功能，包括 VSI、VASA、ESI、MMC、SCOM 等的集成功能，需提供</w:t>
            </w:r>
            <w:r>
              <w:rPr>
                <w:rFonts w:hint="eastAsia" w:ascii="仿宋" w:hAnsi="仿宋" w:eastAsia="仿宋" w:cs="仿宋"/>
                <w:color w:val="auto"/>
                <w:kern w:val="0"/>
                <w:szCs w:val="21"/>
                <w:highlight w:val="none"/>
              </w:rPr>
              <w:t>供官网链接及截图证明。</w:t>
            </w:r>
          </w:p>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29</w:t>
            </w:r>
          </w:p>
        </w:tc>
        <w:tc>
          <w:tcPr>
            <w:tcW w:w="1602"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基于异构阵列的数据迁移</w:t>
            </w:r>
          </w:p>
        </w:tc>
        <w:tc>
          <w:tcPr>
            <w:tcW w:w="6605" w:type="dxa"/>
            <w:noWrap w:val="0"/>
            <w:vAlign w:val="top"/>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提供迁移工具，将存储系统中的数据在不同厂商的磁盘阵列中进行数据迁移；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30</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云数据分层功能</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提供在业界标准公有云和弹性云平台上进行数据分层和快照分层功能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31</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灾难恢复</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需支持基于数据块级远程复制功能，以实现基于存储设备的灾备数据复制及恢复；配置同步/异步复制软件许可；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32</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支持操作系统</w:t>
            </w:r>
          </w:p>
        </w:tc>
        <w:tc>
          <w:tcPr>
            <w:tcW w:w="6605"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磁盘阵列能提供对主流操作系统的支持：能够同时支持SUN Solaris、HP-UX， IBM AIX， Linux， windows操作系统，支持服务器集群功能；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33</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Vmware虚拟环境的集成</w:t>
            </w:r>
          </w:p>
        </w:tc>
        <w:tc>
          <w:tcPr>
            <w:tcW w:w="6605"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支持VAAI，VASA功能， VAAI支持包括：硬件Zero Copy；硬件 Lock Reservation；硬件Accelerated Copy；</w:t>
            </w:r>
            <w:r>
              <w:rPr>
                <w:rFonts w:hint="eastAsia" w:ascii="仿宋" w:hAnsi="仿宋" w:eastAsia="仿宋" w:cs="仿宋"/>
                <w:color w:val="auto"/>
                <w:kern w:val="0"/>
                <w:szCs w:val="21"/>
                <w:highlight w:val="none"/>
              </w:rPr>
              <w:t>投标时提供VMware官网截图和官网链接，</w:t>
            </w:r>
            <w:r>
              <w:rPr>
                <w:rFonts w:hint="eastAsia" w:ascii="仿宋" w:hAnsi="仿宋" w:eastAsia="仿宋" w:cs="仿宋"/>
                <w:color w:val="auto"/>
                <w:szCs w:val="21"/>
                <w:highlight w:val="none"/>
              </w:rPr>
              <w:t>支持SRM功能，能够提供Failover，Failback 功能；支持VVOLs；</w:t>
            </w:r>
          </w:p>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以上均需提供官网截图和官网链接；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9072" w:type="dxa"/>
            <w:gridSpan w:val="3"/>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服务与授权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5" w:type="dxa"/>
            <w:noWrap w:val="0"/>
            <w:vAlign w:val="center"/>
          </w:tcPr>
          <w:p>
            <w:pPr>
              <w:keepNext w:val="0"/>
              <w:keepLines w:val="0"/>
              <w:pageBreakBefore w:val="0"/>
              <w:kinsoku/>
              <w:wordWrap/>
              <w:overflowPunct/>
              <w:topLinePunct w:val="0"/>
              <w:autoSpaceDE/>
              <w:autoSpaceDN/>
              <w:bidi w:val="0"/>
              <w:adjustRightInd/>
              <w:spacing w:after="120" w:line="32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34</w:t>
            </w:r>
          </w:p>
        </w:tc>
        <w:tc>
          <w:tcPr>
            <w:tcW w:w="1602" w:type="dxa"/>
            <w:noWrap w:val="0"/>
            <w:vAlign w:val="center"/>
          </w:tcPr>
          <w:p>
            <w:pPr>
              <w:keepNext w:val="0"/>
              <w:keepLines w:val="0"/>
              <w:pageBreakBefore w:val="0"/>
              <w:kinsoku/>
              <w:wordWrap/>
              <w:overflowPunct/>
              <w:topLinePunct w:val="0"/>
              <w:autoSpaceDE/>
              <w:autoSpaceDN/>
              <w:bidi w:val="0"/>
              <w:adjustRightInd/>
              <w:spacing w:after="120"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▲服务与授权</w:t>
            </w:r>
          </w:p>
        </w:tc>
        <w:tc>
          <w:tcPr>
            <w:tcW w:w="6605" w:type="dxa"/>
            <w:noWrap w:val="0"/>
            <w:vAlign w:val="center"/>
          </w:tcPr>
          <w:p>
            <w:pPr>
              <w:keepNext w:val="0"/>
              <w:keepLines w:val="0"/>
              <w:pageBreakBefore w:val="0"/>
              <w:kinsoku/>
              <w:wordWrap/>
              <w:overflowPunct/>
              <w:topLinePunct w:val="0"/>
              <w:autoSpaceDE/>
              <w:autoSpaceDN/>
              <w:bidi w:val="0"/>
              <w:adjustRightInd/>
              <w:spacing w:line="32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提供原厂商软件与硬件三年原厂7*24服务，需提供所涉及产品原厂商针对本项目专项授权和原厂盖章的服务承诺函，并可通过原厂800/400服务热线查询服务期限；</w:t>
            </w:r>
          </w:p>
          <w:p>
            <w:pPr>
              <w:keepNext w:val="0"/>
              <w:keepLines w:val="0"/>
              <w:pageBreakBefore w:val="0"/>
              <w:widowControl/>
              <w:kinsoku/>
              <w:wordWrap/>
              <w:overflowPunct/>
              <w:topLinePunct w:val="0"/>
              <w:autoSpaceDE/>
              <w:autoSpaceDN/>
              <w:bidi w:val="0"/>
              <w:adjustRightInd/>
              <w:spacing w:line="320" w:lineRule="exact"/>
              <w:jc w:val="left"/>
              <w:textAlignment w:val="auto"/>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要求在浙江省内有分公司，提供营业执照复印件备查；至少有3名原厂售后工程师，</w:t>
            </w:r>
            <w:r>
              <w:rPr>
                <w:rFonts w:hint="eastAsia" w:ascii="仿宋" w:hAnsi="仿宋" w:eastAsia="仿宋" w:cs="仿宋"/>
                <w:color w:val="auto"/>
                <w:szCs w:val="21"/>
                <w:highlight w:val="none"/>
              </w:rPr>
              <w:t>投标时</w:t>
            </w:r>
            <w:r>
              <w:rPr>
                <w:rFonts w:hint="eastAsia" w:ascii="仿宋" w:hAnsi="仿宋" w:eastAsia="仿宋" w:cs="仿宋"/>
                <w:color w:val="auto"/>
                <w:kern w:val="0"/>
                <w:szCs w:val="21"/>
                <w:highlight w:val="none"/>
              </w:rPr>
              <w:t>提供社保证明备查；要求在浙江省内有原厂备品、备件库,提供备件库地址以及联系人备查；</w:t>
            </w:r>
          </w:p>
        </w:tc>
      </w:tr>
    </w:tbl>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p>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存储扩容</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★对原有EMC VNX 5600存储进行扩容，新增2.5寸扩展柜一台，新增1.8T 10k SAS硬盘12块，配置存储镜像软件，与新增存储实现数据实时同步镜像容灾，投标时提供原厂服务承诺函。</w:t>
      </w:r>
    </w:p>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光纤交换机</w:t>
      </w:r>
    </w:p>
    <w:tbl>
      <w:tblPr>
        <w:tblStyle w:val="4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7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423" w:type="dxa"/>
            <w:shd w:val="clear" w:color="auto" w:fill="FFFFFF"/>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指标项</w:t>
            </w:r>
          </w:p>
        </w:tc>
        <w:tc>
          <w:tcPr>
            <w:tcW w:w="7366" w:type="dxa"/>
            <w:shd w:val="clear" w:color="auto" w:fill="FFFFFF"/>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423" w:type="dxa"/>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体系结构</w:t>
            </w:r>
          </w:p>
        </w:tc>
        <w:tc>
          <w:tcPr>
            <w:tcW w:w="7366" w:type="dxa"/>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数据中心级光纤交换机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423" w:type="dxa"/>
            <w:vMerge w:val="restart"/>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接口要求</w:t>
            </w:r>
          </w:p>
        </w:tc>
        <w:tc>
          <w:tcPr>
            <w:tcW w:w="7366" w:type="dxa"/>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48端口设备，本次激活24个端口，配置24个16Gb多模模块，冗余电源及风扇；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423" w:type="dxa"/>
            <w:vMerge w:val="continue"/>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szCs w:val="21"/>
                <w:highlight w:val="none"/>
              </w:rPr>
            </w:pPr>
          </w:p>
        </w:tc>
        <w:tc>
          <w:tcPr>
            <w:tcW w:w="7366" w:type="dxa"/>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支持8Gb/s、16Gb/s、32Gb/s端口速率。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23" w:type="dxa"/>
            <w:vMerge w:val="restart"/>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功能要求</w:t>
            </w:r>
          </w:p>
        </w:tc>
        <w:tc>
          <w:tcPr>
            <w:tcW w:w="7366" w:type="dxa"/>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支持硬件和软件分区功能，支持WWN级的硬件强制分区，保证设备的连接安全。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23" w:type="dxa"/>
            <w:vMerge w:val="continue"/>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szCs w:val="21"/>
                <w:highlight w:val="none"/>
              </w:rPr>
            </w:pPr>
          </w:p>
        </w:tc>
        <w:tc>
          <w:tcPr>
            <w:tcW w:w="7366" w:type="dxa"/>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支持FC-SW（光纤通道交换机）、FC-AL（光纤通道仲裁环）等协议。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423" w:type="dxa"/>
            <w:vMerge w:val="continue"/>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szCs w:val="21"/>
                <w:highlight w:val="none"/>
              </w:rPr>
            </w:pPr>
          </w:p>
        </w:tc>
        <w:tc>
          <w:tcPr>
            <w:tcW w:w="7366" w:type="dxa"/>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上机架附件齐全；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423" w:type="dxa"/>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技术服务</w:t>
            </w:r>
          </w:p>
        </w:tc>
        <w:tc>
          <w:tcPr>
            <w:tcW w:w="7366" w:type="dxa"/>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提供3年质保服务；</w:t>
            </w:r>
          </w:p>
        </w:tc>
      </w:tr>
    </w:tbl>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原厂内存扩容</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DELL服务器32G 2666MHz内存，为保证与原有服务器的兼容性，降低故障发生的风险，要求此次扩容的内存为DELL原厂内存，投标时提供原厂服务承诺函。</w:t>
      </w:r>
    </w:p>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原厂HBA卡扩容</w:t>
      </w:r>
    </w:p>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r>
        <w:rPr>
          <w:rFonts w:hint="eastAsia" w:ascii="仿宋" w:hAnsi="仿宋" w:eastAsia="仿宋" w:cs="仿宋"/>
          <w:color w:val="auto"/>
          <w:szCs w:val="21"/>
          <w:highlight w:val="none"/>
        </w:rPr>
        <w:t>DELL服务器 16GB 单端口HBA卡，为保证与原有服务器的兼容性，降低故障发生的风险，要求此次扩容的HBA卡为DELL原厂HBA卡，投标时提供原厂服务承诺函。</w:t>
      </w:r>
    </w:p>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备份系统</w:t>
      </w:r>
    </w:p>
    <w:tbl>
      <w:tblPr>
        <w:tblStyle w:val="4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b/>
                <w:bCs/>
                <w:color w:val="auto"/>
                <w:kern w:val="0"/>
                <w:szCs w:val="21"/>
                <w:highlight w:val="none"/>
                <w:lang w:eastAsia="en-US"/>
              </w:rPr>
            </w:pPr>
            <w:r>
              <w:rPr>
                <w:rFonts w:hint="eastAsia" w:ascii="仿宋" w:hAnsi="仿宋" w:eastAsia="仿宋" w:cs="仿宋"/>
                <w:b/>
                <w:bCs/>
                <w:color w:val="auto"/>
                <w:kern w:val="0"/>
                <w:szCs w:val="21"/>
                <w:highlight w:val="none"/>
                <w:lang w:eastAsia="en-US"/>
              </w:rPr>
              <w:t>指标项</w:t>
            </w:r>
          </w:p>
        </w:tc>
        <w:tc>
          <w:tcPr>
            <w:tcW w:w="708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b/>
                <w:bCs/>
                <w:color w:val="auto"/>
                <w:kern w:val="0"/>
                <w:szCs w:val="21"/>
                <w:highlight w:val="none"/>
                <w:lang w:eastAsia="en-US"/>
              </w:rPr>
            </w:pPr>
            <w:r>
              <w:rPr>
                <w:rFonts w:hint="eastAsia" w:ascii="仿宋" w:hAnsi="仿宋" w:eastAsia="仿宋" w:cs="仿宋"/>
                <w:b/>
                <w:bCs/>
                <w:color w:val="auto"/>
                <w:kern w:val="0"/>
                <w:szCs w:val="21"/>
                <w:highlight w:val="none"/>
                <w:lang w:eastAsia="en-US"/>
              </w:rPr>
              <w:t>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b/>
                <w:bCs/>
                <w:color w:val="auto"/>
                <w:kern w:val="0"/>
                <w:szCs w:val="21"/>
                <w:highlight w:val="none"/>
                <w:lang w:eastAsia="en-US"/>
              </w:rPr>
            </w:pPr>
            <w:r>
              <w:rPr>
                <w:rFonts w:hint="eastAsia" w:ascii="仿宋" w:hAnsi="仿宋" w:eastAsia="仿宋" w:cs="仿宋"/>
                <w:b/>
                <w:bCs/>
                <w:color w:val="auto"/>
                <w:kern w:val="0"/>
                <w:szCs w:val="21"/>
                <w:highlight w:val="none"/>
                <w:lang w:eastAsia="en-US"/>
              </w:rPr>
              <w:t>品牌</w:t>
            </w:r>
          </w:p>
        </w:tc>
        <w:tc>
          <w:tcPr>
            <w:tcW w:w="7088"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b/>
                <w:bCs/>
                <w:color w:val="auto"/>
                <w:kern w:val="0"/>
                <w:szCs w:val="21"/>
                <w:highlight w:val="none"/>
              </w:rPr>
            </w:pPr>
            <w:r>
              <w:rPr>
                <w:rFonts w:hint="eastAsia" w:ascii="仿宋" w:hAnsi="仿宋" w:eastAsia="仿宋" w:cs="仿宋"/>
                <w:bCs/>
                <w:color w:val="auto"/>
                <w:kern w:val="0"/>
                <w:szCs w:val="21"/>
                <w:highlight w:val="none"/>
              </w:rPr>
              <w:t>国产品牌拥有完全自主知识产权非OEM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资质要求</w:t>
            </w: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提供不间断数据保护与恢复软件著作权登记证书</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数据恢复与迁移软件著作权登记证书</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计算机信息系统安全专用产品销售许可证</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质量管理体系认证证书</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环境软件体系认证证书</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CBCP业务连续性和灾难恢复领域的专业认证证书不少于2人</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所有模块均为同一品牌，投标时需提供《软件著作权登记证书》</w:t>
            </w:r>
            <w:r>
              <w:rPr>
                <w:rFonts w:hint="eastAsia" w:ascii="仿宋" w:hAnsi="仿宋" w:eastAsia="仿宋" w:cs="仿宋"/>
                <w:b/>
                <w:color w:val="auto"/>
                <w:kern w:val="0"/>
                <w:szCs w:val="21"/>
                <w:highlight w:val="none"/>
              </w:rPr>
              <w:t>（著作权要求加盖原生产厂家公章）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lang w:eastAsia="en-US"/>
              </w:rPr>
            </w:pPr>
            <w:r>
              <w:rPr>
                <w:rFonts w:hint="eastAsia" w:ascii="仿宋" w:hAnsi="仿宋" w:eastAsia="仿宋" w:cs="仿宋"/>
                <w:color w:val="auto"/>
                <w:kern w:val="0"/>
                <w:szCs w:val="21"/>
                <w:highlight w:val="none"/>
                <w:lang w:eastAsia="en-US"/>
              </w:rPr>
              <w:t>总体</w:t>
            </w:r>
            <w:r>
              <w:rPr>
                <w:rFonts w:hint="eastAsia" w:ascii="仿宋" w:hAnsi="仿宋" w:eastAsia="仿宋" w:cs="仿宋"/>
                <w:color w:val="auto"/>
                <w:kern w:val="0"/>
                <w:szCs w:val="21"/>
                <w:highlight w:val="none"/>
              </w:rPr>
              <w:t>功能</w:t>
            </w: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b/>
                <w:color w:val="auto"/>
                <w:kern w:val="0"/>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rPr>
              <w:t>本次配置要求备份数据15TB容量</w:t>
            </w:r>
            <w:r>
              <w:rPr>
                <w:rFonts w:hint="eastAsia" w:ascii="仿宋" w:hAnsi="仿宋" w:eastAsia="仿宋" w:cs="仿宋"/>
                <w:b/>
                <w:color w:val="auto"/>
                <w:kern w:val="0"/>
                <w:szCs w:val="21"/>
                <w:highlight w:val="none"/>
              </w:rPr>
              <w:t>，</w:t>
            </w:r>
            <w:r>
              <w:rPr>
                <w:rFonts w:hint="eastAsia" w:ascii="仿宋" w:hAnsi="仿宋" w:eastAsia="仿宋" w:cs="仿宋"/>
                <w:bCs/>
                <w:color w:val="auto"/>
                <w:kern w:val="0"/>
                <w:szCs w:val="21"/>
                <w:highlight w:val="none"/>
              </w:rPr>
              <w:t>产品</w:t>
            </w:r>
            <w:r>
              <w:rPr>
                <w:rFonts w:hint="eastAsia" w:ascii="仿宋" w:hAnsi="仿宋" w:eastAsia="仿宋" w:cs="仿宋"/>
                <w:color w:val="auto"/>
                <w:kern w:val="0"/>
                <w:szCs w:val="21"/>
                <w:highlight w:val="none"/>
              </w:rPr>
              <w:t>采用高性能软件基于实时的字节级增量数据捕获技术，而非存储块级、快照类的技术，同时满足应用级容灾高可用和数据级容灾保护；数据库基于语义级的数据分析与同步技术，支持源端与目标端采用不同的操作系统及数据库软件版本。</w:t>
            </w:r>
            <w:r>
              <w:rPr>
                <w:rFonts w:hint="eastAsia" w:ascii="仿宋" w:hAnsi="仿宋" w:eastAsia="仿宋" w:cs="仿宋"/>
                <w:b/>
                <w:color w:val="auto"/>
                <w:kern w:val="0"/>
                <w:szCs w:val="21"/>
                <w:highlight w:val="none"/>
              </w:rPr>
              <w:t>(提供字节级技术原理说明并盖厂家公章)</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b/>
                <w:bCs/>
                <w:color w:val="auto"/>
                <w:kern w:val="0"/>
                <w:szCs w:val="21"/>
                <w:highlight w:val="none"/>
                <w:vertAlign w:val="subscript"/>
              </w:rPr>
            </w:pPr>
            <w:r>
              <w:rPr>
                <w:rFonts w:hint="eastAsia" w:ascii="仿宋" w:hAnsi="仿宋" w:eastAsia="仿宋" w:cs="仿宋"/>
                <w:b/>
                <w:bCs/>
                <w:color w:val="auto"/>
                <w:kern w:val="0"/>
                <w:szCs w:val="21"/>
                <w:highlight w:val="none"/>
              </w:rPr>
              <w:t>说明：采用字节级实时异步增量数据序列化传输技术，提供持续数据保护CDP智能化处理，使用高性能数据序列化差异校验技术，以及序列化数据库异步传输技术。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vMerge w:val="restart"/>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数据在线备份</w:t>
            </w:r>
          </w:p>
        </w:tc>
        <w:tc>
          <w:tcPr>
            <w:tcW w:w="7088"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b/>
                <w:bCs/>
                <w:color w:val="auto"/>
                <w:kern w:val="0"/>
                <w:szCs w:val="21"/>
                <w:highlight w:val="none"/>
                <w:lang w:val="zh-TW" w:eastAsia="zh-TW"/>
              </w:rPr>
            </w:pPr>
            <w:r>
              <w:rPr>
                <w:rFonts w:hint="eastAsia" w:ascii="仿宋" w:hAnsi="仿宋" w:eastAsia="仿宋" w:cs="仿宋"/>
                <w:color w:val="auto"/>
                <w:kern w:val="0"/>
                <w:szCs w:val="21"/>
                <w:highlight w:val="none"/>
                <w:lang w:val="zh-TW" w:eastAsia="zh-TW"/>
              </w:rPr>
              <w:t>无需备份时间窗口，可以随时在生产系统上启动备份任务。基于实时的字节级增量数据捕获技术，实现在线实时备份和恢复异构平台上的各种应用和数据库的数据，如Linux、Windows等不同主机平台以及Oracle、DB2、Cache、MySQL、Informix、SQL_Server、Exchange、Lotus Notes、Sybase ASE、等多种数据库或应用系统。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lang w:eastAsia="zh-TW"/>
              </w:rPr>
            </w:pPr>
          </w:p>
        </w:tc>
        <w:tc>
          <w:tcPr>
            <w:tcW w:w="7088"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lang w:val="zh-TW" w:eastAsia="zh-TW"/>
              </w:rPr>
            </w:pPr>
            <w:r>
              <w:rPr>
                <w:rFonts w:hint="eastAsia" w:ascii="仿宋" w:hAnsi="仿宋" w:eastAsia="仿宋" w:cs="仿宋"/>
                <w:color w:val="auto"/>
                <w:kern w:val="0"/>
                <w:szCs w:val="21"/>
                <w:highlight w:val="none"/>
                <w:lang w:val="zh-TW" w:eastAsia="zh-TW"/>
              </w:rPr>
              <w:t>支持P2V，V2V，P2P，V2P场景下的数据级复制</w:t>
            </w:r>
            <w:r>
              <w:rPr>
                <w:rFonts w:hint="eastAsia" w:ascii="仿宋" w:hAnsi="仿宋" w:eastAsia="仿宋" w:cs="仿宋"/>
                <w:color w:val="auto"/>
                <w:kern w:val="0"/>
                <w:szCs w:val="21"/>
                <w:highlight w:val="none"/>
                <w:lang w:val="zh-TW"/>
              </w:rPr>
              <w:t>；</w:t>
            </w:r>
            <w:r>
              <w:rPr>
                <w:rFonts w:hint="eastAsia" w:ascii="仿宋" w:hAnsi="仿宋" w:eastAsia="仿宋" w:cs="仿宋"/>
                <w:color w:val="auto"/>
                <w:kern w:val="0"/>
                <w:szCs w:val="21"/>
                <w:highlight w:val="none"/>
                <w:lang w:val="zh-TW" w:eastAsia="zh-TW"/>
              </w:rPr>
              <w:t>支持异构虚拟化平台之间的数据级复制</w:t>
            </w:r>
            <w:r>
              <w:rPr>
                <w:rFonts w:hint="eastAsia" w:ascii="仿宋" w:hAnsi="仿宋" w:eastAsia="仿宋" w:cs="仿宋"/>
                <w:color w:val="auto"/>
                <w:kern w:val="0"/>
                <w:szCs w:val="21"/>
                <w:highlight w:val="none"/>
                <w:lang w:val="zh-TW"/>
              </w:rPr>
              <w:t>；</w:t>
            </w:r>
            <w:r>
              <w:rPr>
                <w:rFonts w:hint="eastAsia" w:ascii="仿宋" w:hAnsi="仿宋" w:eastAsia="仿宋" w:cs="仿宋"/>
                <w:color w:val="auto"/>
                <w:kern w:val="0"/>
                <w:szCs w:val="21"/>
                <w:highlight w:val="none"/>
                <w:lang w:val="zh-TW" w:eastAsia="zh-TW"/>
              </w:rPr>
              <w:t>支持任意公有云或私有云之间的数据级复制</w:t>
            </w:r>
            <w:r>
              <w:rPr>
                <w:rFonts w:hint="eastAsia" w:ascii="仿宋" w:hAnsi="仿宋" w:eastAsia="仿宋" w:cs="仿宋"/>
                <w:color w:val="auto"/>
                <w:kern w:val="0"/>
                <w:szCs w:val="21"/>
                <w:highlight w:val="none"/>
                <w:lang w:val="zh-TW"/>
              </w:rPr>
              <w:t>；</w:t>
            </w:r>
            <w:r>
              <w:rPr>
                <w:rFonts w:hint="eastAsia" w:ascii="仿宋" w:hAnsi="仿宋" w:eastAsia="仿宋" w:cs="仿宋"/>
                <w:color w:val="auto"/>
                <w:kern w:val="0"/>
                <w:szCs w:val="21"/>
                <w:highlight w:val="none"/>
                <w:lang w:val="zh-TW" w:eastAsia="zh-TW"/>
              </w:rPr>
              <w:t>支持本地机房和云主机间的数据级复制</w:t>
            </w:r>
            <w:r>
              <w:rPr>
                <w:rFonts w:hint="eastAsia" w:ascii="仿宋" w:hAnsi="仿宋" w:eastAsia="仿宋" w:cs="仿宋"/>
                <w:color w:val="auto"/>
                <w:kern w:val="0"/>
                <w:szCs w:val="21"/>
                <w:highlight w:val="none"/>
                <w:lang w:val="zh-TW"/>
              </w:rPr>
              <w:t>；</w:t>
            </w:r>
            <w:r>
              <w:rPr>
                <w:rFonts w:hint="eastAsia" w:ascii="仿宋" w:hAnsi="仿宋" w:eastAsia="仿宋" w:cs="仿宋"/>
                <w:color w:val="auto"/>
                <w:kern w:val="0"/>
                <w:szCs w:val="21"/>
                <w:highlight w:val="none"/>
                <w:lang w:val="zh-TW" w:eastAsia="zh-TW"/>
              </w:rPr>
              <w:t>支持异地机房间、基于专线或广域网的数据级复制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lang w:val="zh-TW" w:eastAsia="zh-TW"/>
              </w:rPr>
            </w:pPr>
            <w:r>
              <w:rPr>
                <w:rFonts w:hint="eastAsia" w:ascii="仿宋" w:hAnsi="仿宋" w:eastAsia="仿宋" w:cs="仿宋"/>
                <w:color w:val="auto"/>
                <w:kern w:val="0"/>
                <w:szCs w:val="21"/>
                <w:highlight w:val="none"/>
                <w:lang w:val="zh-TW" w:eastAsia="zh-TW"/>
              </w:rPr>
              <w:t>满足异构平台上各种应用和数据复制，比如Windows平台和Linux平台间的文件复制, 同时要求灾备端文件和数据保留文件属性信息，严格保证数据的原始性和可用性</w:t>
            </w:r>
            <w:r>
              <w:rPr>
                <w:rFonts w:hint="eastAsia" w:ascii="仿宋" w:hAnsi="仿宋" w:eastAsia="仿宋" w:cs="仿宋"/>
                <w:b/>
                <w:color w:val="auto"/>
                <w:kern w:val="0"/>
                <w:szCs w:val="21"/>
                <w:highlight w:val="none"/>
                <w:lang w:val="zh-TW"/>
              </w:rPr>
              <w:t>（提供软件恢复界面截图并加盖产品厂家公章）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lang w:val="zh-TW" w:eastAsia="zh-TW"/>
              </w:rPr>
            </w:pPr>
            <w:r>
              <w:rPr>
                <w:rFonts w:hint="eastAsia" w:ascii="仿宋" w:hAnsi="仿宋" w:eastAsia="仿宋" w:cs="仿宋"/>
                <w:color w:val="auto"/>
                <w:kern w:val="0"/>
                <w:szCs w:val="21"/>
                <w:highlight w:val="none"/>
                <w:lang w:val="zh-TW"/>
              </w:rPr>
              <w:t>支持网络异常情况下的</w:t>
            </w:r>
            <w:r>
              <w:rPr>
                <w:rFonts w:hint="eastAsia" w:ascii="仿宋" w:hAnsi="仿宋" w:eastAsia="仿宋" w:cs="仿宋"/>
                <w:color w:val="auto"/>
                <w:kern w:val="0"/>
                <w:szCs w:val="21"/>
                <w:highlight w:val="none"/>
                <w:lang w:val="zh-TW" w:eastAsia="zh-TW"/>
              </w:rPr>
              <w:t>断点续传</w:t>
            </w:r>
            <w:r>
              <w:rPr>
                <w:rFonts w:hint="eastAsia" w:ascii="仿宋" w:hAnsi="仿宋" w:eastAsia="仿宋" w:cs="仿宋"/>
                <w:color w:val="auto"/>
                <w:kern w:val="0"/>
                <w:szCs w:val="21"/>
                <w:highlight w:val="none"/>
                <w:lang w:val="zh-TW"/>
              </w:rPr>
              <w:t>；</w:t>
            </w:r>
            <w:r>
              <w:rPr>
                <w:rFonts w:hint="eastAsia" w:ascii="仿宋" w:hAnsi="仿宋" w:eastAsia="仿宋" w:cs="仿宋"/>
                <w:color w:val="auto"/>
                <w:kern w:val="0"/>
                <w:szCs w:val="21"/>
                <w:highlight w:val="none"/>
                <w:lang w:val="zh-TW" w:eastAsia="zh-TW"/>
              </w:rPr>
              <w:t>支持即时恢复、CDP恢复、快照恢复等功能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lang w:val="zh-TW"/>
              </w:rPr>
            </w:pPr>
            <w:r>
              <w:rPr>
                <w:rFonts w:hint="eastAsia" w:ascii="仿宋" w:hAnsi="仿宋" w:eastAsia="仿宋" w:cs="仿宋"/>
                <w:color w:val="auto"/>
                <w:kern w:val="0"/>
                <w:szCs w:val="21"/>
                <w:highlight w:val="none"/>
                <w:lang w:val="zh-TW"/>
              </w:rPr>
              <w:t>支持文件备份的过滤过功能，可</w:t>
            </w:r>
            <w:r>
              <w:rPr>
                <w:rFonts w:hint="eastAsia" w:ascii="仿宋" w:hAnsi="仿宋" w:eastAsia="仿宋" w:cs="仿宋"/>
                <w:color w:val="auto"/>
                <w:kern w:val="0"/>
                <w:szCs w:val="21"/>
                <w:highlight w:val="none"/>
                <w:lang w:val="zh-TW" w:eastAsia="zh-TW"/>
              </w:rPr>
              <w:t>忽略文件或目录，避免无效数据占用带宽资源</w:t>
            </w:r>
            <w:r>
              <w:rPr>
                <w:rFonts w:hint="eastAsia" w:ascii="仿宋" w:hAnsi="仿宋" w:eastAsia="仿宋" w:cs="仿宋"/>
                <w:b/>
                <w:color w:val="auto"/>
                <w:kern w:val="0"/>
                <w:szCs w:val="21"/>
                <w:highlight w:val="none"/>
                <w:lang w:val="zh-TW"/>
              </w:rPr>
              <w:t>（提供软件恢复界面截图并加盖产品厂家公章）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lang w:val="zh-TW" w:eastAsia="zh-TW"/>
              </w:rPr>
            </w:pPr>
            <w:r>
              <w:rPr>
                <w:rFonts w:hint="eastAsia" w:ascii="仿宋" w:hAnsi="仿宋" w:eastAsia="仿宋" w:cs="仿宋"/>
                <w:color w:val="auto"/>
                <w:kern w:val="0"/>
                <w:szCs w:val="21"/>
                <w:highlight w:val="none"/>
                <w:lang w:val="zh-TW" w:eastAsia="zh-TW"/>
              </w:rPr>
              <w:t>数据复制时仅传输实际变化的内容，不对变化内容所在的数据块进行整体传输</w:t>
            </w:r>
            <w:r>
              <w:rPr>
                <w:rFonts w:hint="eastAsia" w:ascii="仿宋" w:hAnsi="仿宋" w:eastAsia="仿宋" w:cs="仿宋"/>
                <w:b/>
                <w:color w:val="auto"/>
                <w:kern w:val="0"/>
                <w:szCs w:val="21"/>
                <w:highlight w:val="none"/>
                <w:lang w:val="zh-TW"/>
              </w:rPr>
              <w:t>（提供证明文件或截图）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lang w:val="zh-TW" w:eastAsia="zh-TW"/>
              </w:rPr>
            </w:pPr>
            <w:r>
              <w:rPr>
                <w:rFonts w:hint="eastAsia" w:ascii="仿宋" w:hAnsi="仿宋" w:eastAsia="仿宋" w:cs="仿宋"/>
                <w:color w:val="auto"/>
                <w:kern w:val="0"/>
                <w:szCs w:val="21"/>
                <w:highlight w:val="none"/>
                <w:lang w:val="zh-TW" w:eastAsia="zh-TW"/>
              </w:rPr>
              <w:t>支持同时执行多个数据复制操作、互相独立、可单独开启和停止</w:t>
            </w:r>
            <w:r>
              <w:rPr>
                <w:rFonts w:hint="eastAsia" w:ascii="仿宋" w:hAnsi="仿宋" w:eastAsia="仿宋" w:cs="仿宋"/>
                <w:color w:val="auto"/>
                <w:kern w:val="0"/>
                <w:szCs w:val="21"/>
                <w:highlight w:val="none"/>
                <w:lang w:val="zh-TW"/>
              </w:rPr>
              <w:t>；</w:t>
            </w:r>
            <w:r>
              <w:rPr>
                <w:rFonts w:hint="eastAsia" w:ascii="仿宋" w:hAnsi="仿宋" w:eastAsia="仿宋" w:cs="仿宋"/>
                <w:b/>
                <w:color w:val="auto"/>
                <w:kern w:val="0"/>
                <w:szCs w:val="21"/>
                <w:highlight w:val="none"/>
                <w:lang w:val="zh-TW"/>
              </w:rPr>
              <w:t>（提供软件恢复界面截图并加盖产品厂家公章）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lang w:eastAsia="zh-TW"/>
              </w:rPr>
            </w:pPr>
          </w:p>
        </w:tc>
        <w:tc>
          <w:tcPr>
            <w:tcW w:w="7088"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lang w:val="zh-TW" w:eastAsia="zh-TW"/>
              </w:rPr>
            </w:pPr>
            <w:r>
              <w:rPr>
                <w:rFonts w:hint="eastAsia" w:ascii="仿宋" w:hAnsi="仿宋" w:eastAsia="仿宋" w:cs="仿宋"/>
                <w:color w:val="auto"/>
                <w:kern w:val="0"/>
                <w:szCs w:val="21"/>
                <w:highlight w:val="none"/>
                <w:lang w:val="zh-TW" w:eastAsia="zh-TW"/>
              </w:rPr>
              <w:t>支持数据一致性验证功能：验证生产数据和灾备数据是否一致，能够做到数据复制过程中实时比对、或自定义校验计划任务</w:t>
            </w:r>
            <w:r>
              <w:rPr>
                <w:rFonts w:hint="eastAsia" w:ascii="仿宋" w:hAnsi="仿宋" w:eastAsia="仿宋" w:cs="仿宋"/>
                <w:b/>
                <w:color w:val="auto"/>
                <w:kern w:val="0"/>
                <w:szCs w:val="21"/>
                <w:highlight w:val="none"/>
                <w:lang w:val="zh-TW"/>
              </w:rPr>
              <w:t>（提供软件恢复界面截图并加盖产品厂家公章）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lang w:eastAsia="zh-TW"/>
              </w:rPr>
            </w:pPr>
          </w:p>
        </w:tc>
        <w:tc>
          <w:tcPr>
            <w:tcW w:w="7088"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lang w:val="zh-TW" w:eastAsia="zh-TW"/>
              </w:rPr>
            </w:pPr>
            <w:r>
              <w:rPr>
                <w:rFonts w:hint="eastAsia" w:ascii="仿宋" w:hAnsi="仿宋" w:eastAsia="仿宋" w:cs="仿宋"/>
                <w:color w:val="auto"/>
                <w:kern w:val="0"/>
                <w:szCs w:val="21"/>
                <w:highlight w:val="none"/>
                <w:lang w:val="zh-TW" w:eastAsia="zh-TW"/>
              </w:rPr>
              <w:t>支持多对一、一对多、级联等组网策略和配置</w:t>
            </w:r>
            <w:r>
              <w:rPr>
                <w:rFonts w:hint="eastAsia" w:ascii="仿宋" w:hAnsi="仿宋" w:eastAsia="仿宋" w:cs="仿宋"/>
                <w:b/>
                <w:color w:val="auto"/>
                <w:kern w:val="0"/>
                <w:szCs w:val="21"/>
                <w:highlight w:val="none"/>
                <w:lang w:val="zh-TW"/>
              </w:rPr>
              <w:t>（提供软件恢复界面截图并加盖产品厂家公章）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984" w:type="dxa"/>
            <w:vMerge w:val="restart"/>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lang w:eastAsia="en-US"/>
              </w:rPr>
            </w:pPr>
            <w:r>
              <w:rPr>
                <w:rFonts w:hint="eastAsia" w:ascii="仿宋" w:hAnsi="仿宋" w:eastAsia="仿宋" w:cs="仿宋"/>
                <w:color w:val="auto"/>
                <w:kern w:val="0"/>
                <w:szCs w:val="21"/>
                <w:highlight w:val="none"/>
                <w:lang w:eastAsia="en-US"/>
              </w:rPr>
              <w:t>CDP实时备份软件</w:t>
            </w: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b/>
                <w:bCs/>
                <w:color w:val="auto"/>
                <w:kern w:val="0"/>
                <w:szCs w:val="21"/>
                <w:highlight w:val="none"/>
              </w:rPr>
              <w:t>采用字节级技术原理，</w:t>
            </w:r>
            <w:r>
              <w:rPr>
                <w:rFonts w:hint="eastAsia" w:ascii="仿宋" w:hAnsi="仿宋" w:eastAsia="仿宋" w:cs="仿宋"/>
                <w:color w:val="auto"/>
                <w:kern w:val="0"/>
                <w:szCs w:val="21"/>
                <w:highlight w:val="none"/>
              </w:rPr>
              <w:t>可设定的任意历史点数据快速恢复，时间精度可以达到百万分之一秒</w:t>
            </w:r>
            <w:r>
              <w:rPr>
                <w:rFonts w:hint="eastAsia" w:ascii="仿宋" w:hAnsi="仿宋" w:eastAsia="仿宋" w:cs="仿宋"/>
                <w:b/>
                <w:color w:val="auto"/>
                <w:kern w:val="0"/>
                <w:szCs w:val="21"/>
                <w:highlight w:val="none"/>
              </w:rPr>
              <w:t>（提供软件恢复界面截图并加盖产品厂家公章）</w:t>
            </w:r>
            <w:r>
              <w:rPr>
                <w:rFonts w:hint="eastAsia" w:ascii="仿宋" w:hAnsi="仿宋" w:eastAsia="仿宋" w:cs="仿宋"/>
                <w:color w:val="auto"/>
                <w:kern w:val="0"/>
                <w:szCs w:val="21"/>
                <w:highlight w:val="none"/>
              </w:rPr>
              <w:t>，具备真正的CDP数据保护功能，最大限度减少因软硬件故障及逻辑错误等造成的数据丢失量。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选择文件、目录、分区为保护目标，支持文件过滤功能可自由选择需忽略的文件、文件类型或目录，可以自动跳过临时文件，避免无效数据占用带宽资源。支持粒度恢复功能，支持恢复单个文件、目录、分区，无须为了恢复单个文件而要先恢复整个磁盘数据，避免数据恢复造成更大的风险，同时减少数据恢复时间。</w:t>
            </w:r>
            <w:r>
              <w:rPr>
                <w:rFonts w:hint="eastAsia" w:ascii="仿宋" w:hAnsi="仿宋" w:eastAsia="仿宋" w:cs="仿宋"/>
                <w:b/>
                <w:color w:val="auto"/>
                <w:kern w:val="0"/>
                <w:szCs w:val="21"/>
                <w:highlight w:val="none"/>
              </w:rPr>
              <w:t>（提供文件过滤功能界面截图并加盖产品厂家公章）。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提供</w:t>
            </w:r>
            <w:bookmarkStart w:id="15" w:name="_Hlk31729102"/>
            <w:r>
              <w:rPr>
                <w:rFonts w:hint="eastAsia" w:ascii="仿宋" w:hAnsi="仿宋" w:eastAsia="仿宋" w:cs="仿宋"/>
                <w:color w:val="auto"/>
                <w:kern w:val="0"/>
                <w:szCs w:val="21"/>
                <w:highlight w:val="none"/>
              </w:rPr>
              <w:t>数据验证功能，要求产品支持源端与目标端数据进行在线的MD5值对比校验确保数据一致性，并生成报告</w:t>
            </w:r>
            <w:bookmarkEnd w:id="15"/>
            <w:r>
              <w:rPr>
                <w:rFonts w:hint="eastAsia" w:ascii="仿宋" w:hAnsi="仿宋" w:eastAsia="仿宋" w:cs="仿宋"/>
                <w:color w:val="auto"/>
                <w:kern w:val="0"/>
                <w:szCs w:val="21"/>
                <w:highlight w:val="none"/>
              </w:rPr>
              <w:t>。帮助用户清楚的验证生产数据和备份数据是否一致，杜绝因数据不一致导致无法恢复或数据丢失。</w:t>
            </w:r>
            <w:r>
              <w:rPr>
                <w:rFonts w:hint="eastAsia" w:ascii="仿宋" w:hAnsi="仿宋" w:eastAsia="仿宋" w:cs="仿宋"/>
                <w:b/>
                <w:color w:val="auto"/>
                <w:kern w:val="0"/>
                <w:szCs w:val="21"/>
                <w:highlight w:val="none"/>
              </w:rPr>
              <w:t xml:space="preserve">（提供数据对比功能界面截图并加盖产品厂家公章）。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为了避免在进行数据保护过程中，数据传输过大给生产网络带来影响，要求提供带宽及数据流控制功能，每个保护任务可根据时间动态调整带宽，提供图形化的实时数据流量统计功能以便计算和规划带宽需求</w:t>
            </w:r>
            <w:r>
              <w:rPr>
                <w:rFonts w:hint="eastAsia" w:ascii="仿宋" w:hAnsi="仿宋" w:eastAsia="仿宋" w:cs="仿宋"/>
                <w:b/>
                <w:color w:val="auto"/>
                <w:kern w:val="0"/>
                <w:szCs w:val="21"/>
                <w:highlight w:val="none"/>
              </w:rPr>
              <w:t>（提供界面截图并加盖产品厂家公章）。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restart"/>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系统在线热迁移功能</w:t>
            </w: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u w:val="none" w:color="000000"/>
                <w:lang w:val="zh-TW" w:eastAsia="zh-TW"/>
              </w:rPr>
            </w:pPr>
            <w:r>
              <w:rPr>
                <w:rFonts w:hint="eastAsia" w:ascii="仿宋" w:hAnsi="仿宋" w:eastAsia="仿宋" w:cs="仿宋"/>
                <w:color w:val="auto"/>
                <w:szCs w:val="21"/>
                <w:highlight w:val="none"/>
                <w:u w:val="none" w:color="000000"/>
                <w:lang w:val="zh-TW" w:eastAsia="zh-TW"/>
              </w:rPr>
              <w:t>整个迁移过程无需客户主机或操作系统的系统帐号和密码</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迁移过程中无需挂载光盘或是镜像等，对光驱无依赖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u w:val="none" w:color="000000"/>
                <w:lang w:val="zh-TW" w:eastAsia="zh-TW"/>
              </w:rPr>
            </w:pPr>
            <w:r>
              <w:rPr>
                <w:rFonts w:hint="eastAsia" w:ascii="仿宋" w:hAnsi="仿宋" w:eastAsia="仿宋" w:cs="仿宋"/>
                <w:color w:val="auto"/>
                <w:szCs w:val="21"/>
                <w:highlight w:val="none"/>
                <w:u w:val="none" w:color="000000"/>
                <w:lang w:val="zh-TW" w:eastAsia="zh-TW"/>
              </w:rPr>
              <w:t>支持在线迁移，即迁移过程中源端服务器应用无需停止；支持差异数据同步，即在首次完整数据镜像后、整机切换前源端所产生的新数据的同步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u w:val="none" w:color="000000"/>
                <w:lang w:val="zh-TW" w:eastAsia="zh-TW"/>
              </w:rPr>
            </w:pPr>
            <w:r>
              <w:rPr>
                <w:rFonts w:hint="eastAsia" w:ascii="仿宋" w:hAnsi="仿宋" w:eastAsia="仿宋" w:cs="仿宋"/>
                <w:color w:val="auto"/>
                <w:szCs w:val="21"/>
                <w:highlight w:val="none"/>
                <w:u w:val="none" w:color="000000"/>
                <w:lang w:val="zh-TW"/>
              </w:rPr>
              <w:t>提供迁移所采用技术的原理说明</w:t>
            </w:r>
            <w:r>
              <w:rPr>
                <w:rFonts w:hint="eastAsia" w:ascii="仿宋" w:hAnsi="仿宋" w:eastAsia="仿宋" w:cs="仿宋"/>
                <w:b/>
                <w:color w:val="auto"/>
                <w:szCs w:val="21"/>
                <w:highlight w:val="none"/>
                <w:u w:val="none" w:color="000000"/>
              </w:rPr>
              <w:t>（提供软件功能截图或技术原理说明并加盖原厂公章）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u w:val="none" w:color="000000"/>
                <w:lang w:eastAsia="zh-TW"/>
              </w:rPr>
            </w:pPr>
            <w:r>
              <w:rPr>
                <w:rFonts w:hint="eastAsia" w:ascii="仿宋" w:hAnsi="仿宋" w:eastAsia="仿宋" w:cs="仿宋"/>
                <w:color w:val="auto"/>
                <w:szCs w:val="21"/>
                <w:highlight w:val="none"/>
                <w:u w:val="none" w:color="000000"/>
                <w:lang w:val="zh-TW"/>
              </w:rPr>
              <w:t>支持网络</w:t>
            </w:r>
            <w:r>
              <w:rPr>
                <w:rFonts w:hint="eastAsia" w:ascii="仿宋" w:hAnsi="仿宋" w:eastAsia="仿宋" w:cs="仿宋"/>
                <w:color w:val="auto"/>
                <w:szCs w:val="21"/>
                <w:highlight w:val="none"/>
                <w:u w:val="none" w:color="000000"/>
                <w:lang w:val="zh-TW" w:eastAsia="zh-TW"/>
              </w:rPr>
              <w:t>流控功能，基于日期、时间的策略, 迁移过程中可限速减轻生产网络压力</w:t>
            </w:r>
            <w:r>
              <w:rPr>
                <w:rFonts w:hint="eastAsia" w:ascii="仿宋" w:hAnsi="仿宋" w:eastAsia="仿宋" w:cs="仿宋"/>
                <w:color w:val="auto"/>
                <w:szCs w:val="21"/>
                <w:highlight w:val="none"/>
                <w:u w:val="none" w:color="000000"/>
                <w:lang w:val="zh-TW"/>
              </w:rPr>
              <w:t>；支持</w:t>
            </w:r>
            <w:r>
              <w:rPr>
                <w:rFonts w:hint="eastAsia" w:ascii="仿宋" w:hAnsi="仿宋" w:eastAsia="仿宋" w:cs="仿宋"/>
                <w:color w:val="auto"/>
                <w:szCs w:val="21"/>
                <w:highlight w:val="none"/>
                <w:u w:val="none" w:color="000000"/>
                <w:lang w:val="zh-TW" w:eastAsia="zh-TW"/>
              </w:rPr>
              <w:t>可自动检测主机规格配置信息（如cpu，内存，硬盘，OS版本等）并在界面呈现</w:t>
            </w:r>
            <w:r>
              <w:rPr>
                <w:rFonts w:hint="eastAsia" w:ascii="仿宋" w:hAnsi="仿宋" w:eastAsia="仿宋" w:cs="仿宋"/>
                <w:b/>
                <w:color w:val="auto"/>
                <w:szCs w:val="21"/>
                <w:highlight w:val="none"/>
                <w:u w:val="none" w:color="000000"/>
              </w:rPr>
              <w:t>（提供界面截图并加盖产品厂家公章）。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u w:val="none" w:color="000000"/>
              </w:rPr>
            </w:pPr>
            <w:r>
              <w:rPr>
                <w:rFonts w:hint="eastAsia" w:ascii="仿宋" w:hAnsi="仿宋" w:eastAsia="仿宋" w:cs="仿宋"/>
                <w:color w:val="auto"/>
                <w:szCs w:val="21"/>
                <w:highlight w:val="none"/>
                <w:u w:val="none" w:color="000000"/>
                <w:lang w:val="zh-TW" w:eastAsia="zh-TW"/>
              </w:rPr>
              <w:t>支持MBR、GPT格式的系统迁移，自动匹配对应格式。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u w:val="none" w:color="000000"/>
                <w:lang w:eastAsia="zh-TW"/>
              </w:rPr>
            </w:pPr>
            <w:r>
              <w:rPr>
                <w:rFonts w:hint="eastAsia" w:ascii="仿宋" w:hAnsi="仿宋" w:eastAsia="仿宋" w:cs="仿宋"/>
                <w:color w:val="auto"/>
                <w:szCs w:val="21"/>
                <w:highlight w:val="none"/>
                <w:u w:val="none" w:color="000000"/>
                <w:lang w:val="zh-TW" w:eastAsia="zh-TW"/>
              </w:rPr>
              <w:t>软件部署简单、运行不影响源端现有应用和业务</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支持用户自定义选择源端迁移的目录、或排除指定目录</w:t>
            </w:r>
            <w:r>
              <w:rPr>
                <w:rFonts w:hint="eastAsia" w:ascii="仿宋" w:hAnsi="仿宋" w:eastAsia="仿宋" w:cs="仿宋"/>
                <w:b/>
                <w:color w:val="auto"/>
                <w:szCs w:val="21"/>
                <w:highlight w:val="none"/>
                <w:u w:val="none" w:color="000000"/>
              </w:rPr>
              <w:t>（提供界面截图并加盖产品厂家公章）。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u w:val="none" w:color="000000"/>
                <w:lang w:val="zh-TW"/>
              </w:rPr>
            </w:pPr>
            <w:r>
              <w:rPr>
                <w:rFonts w:hint="eastAsia" w:ascii="仿宋" w:hAnsi="仿宋" w:eastAsia="仿宋" w:cs="仿宋"/>
                <w:color w:val="auto"/>
                <w:szCs w:val="21"/>
                <w:highlight w:val="none"/>
                <w:u w:val="none" w:color="000000"/>
                <w:lang w:val="zh-TW" w:eastAsia="zh-TW"/>
              </w:rPr>
              <w:t>支持P2V，V2V，P2P，V2P的迁移</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支持迁移过程对数据进行压缩和加密，多个等级的压缩，节省带宽消耗</w:t>
            </w:r>
            <w:r>
              <w:rPr>
                <w:rFonts w:hint="eastAsia" w:ascii="仿宋" w:hAnsi="仿宋" w:eastAsia="仿宋" w:cs="仿宋"/>
                <w:b/>
                <w:color w:val="auto"/>
                <w:szCs w:val="21"/>
                <w:highlight w:val="none"/>
                <w:u w:val="none" w:color="000000"/>
              </w:rPr>
              <w:t>（提供界面截图并加盖产品厂家公章）</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支持断点续传, 即迁移过程中碰到网络中断或备端不可达等异常情况, 环境恢复后续传</w:t>
            </w:r>
            <w:r>
              <w:rPr>
                <w:rFonts w:hint="eastAsia" w:ascii="仿宋" w:hAnsi="仿宋" w:eastAsia="仿宋" w:cs="仿宋"/>
                <w:color w:val="auto"/>
                <w:szCs w:val="21"/>
                <w:highlight w:val="none"/>
                <w:u w:val="none" w:color="000000"/>
                <w:lang w:val="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u w:val="none" w:color="000000"/>
                <w:lang w:eastAsia="zh-TW"/>
              </w:rPr>
            </w:pPr>
            <w:r>
              <w:rPr>
                <w:rFonts w:hint="eastAsia" w:ascii="仿宋" w:hAnsi="仿宋" w:eastAsia="仿宋" w:cs="仿宋"/>
                <w:color w:val="auto"/>
                <w:szCs w:val="21"/>
                <w:highlight w:val="none"/>
                <w:u w:val="none" w:color="000000"/>
                <w:lang w:val="zh-TW" w:eastAsia="zh-TW"/>
              </w:rPr>
              <w:t>对客户生产环境、灾备环境、网络环境无须改造</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支持同时执行多个整机迁移操作、互相独立、可单独开启和停止</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迁移完成后支持手工切换到灾备主机进行接管</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支持对已迁移操作系统数据的一致性比较功能, 即时比较、或计划任务比较</w:t>
            </w:r>
            <w:r>
              <w:rPr>
                <w:rFonts w:hint="eastAsia" w:ascii="仿宋" w:hAnsi="仿宋" w:eastAsia="仿宋" w:cs="仿宋"/>
                <w:b/>
                <w:color w:val="auto"/>
                <w:szCs w:val="21"/>
                <w:highlight w:val="none"/>
                <w:u w:val="none" w:color="000000"/>
              </w:rPr>
              <w:t>（提供界面截图并加盖产品厂家公章）</w:t>
            </w:r>
            <w:r>
              <w:rPr>
                <w:rFonts w:hint="eastAsia" w:ascii="仿宋" w:hAnsi="仿宋" w:eastAsia="仿宋" w:cs="仿宋"/>
                <w:color w:val="auto"/>
                <w:szCs w:val="21"/>
                <w:highlight w:val="none"/>
                <w:u w:val="none" w:color="000000"/>
                <w:lang w:val="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u w:val="none" w:color="000000"/>
                <w:lang w:eastAsia="zh-TW"/>
              </w:rPr>
            </w:pPr>
            <w:r>
              <w:rPr>
                <w:rFonts w:hint="eastAsia" w:ascii="仿宋" w:hAnsi="仿宋" w:eastAsia="仿宋" w:cs="仿宋"/>
                <w:color w:val="auto"/>
                <w:szCs w:val="21"/>
                <w:highlight w:val="none"/>
                <w:u w:val="none" w:color="000000"/>
                <w:lang w:val="zh-TW" w:eastAsia="zh-TW"/>
              </w:rPr>
              <w:t>提供统一监控面板, 不限于生产主机和灾备端相关的在线状态、规则状态等</w:t>
            </w:r>
            <w:r>
              <w:rPr>
                <w:rFonts w:hint="eastAsia" w:ascii="仿宋" w:hAnsi="仿宋" w:eastAsia="仿宋" w:cs="仿宋"/>
                <w:b/>
                <w:color w:val="auto"/>
                <w:szCs w:val="21"/>
                <w:highlight w:val="none"/>
                <w:u w:val="none" w:color="000000"/>
              </w:rPr>
              <w:t>（提供界面截图并加盖产品厂家公章）</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提供迁移任务的日志信息,包括用户在灾备系统上的操作，可追溯、可查询。例如迁移任务的创建、执行，删除等</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支持统一消息监控界面, 统一管理灾备系统日志和告警信息；支持迁移任务记录功能，包括但不限于迁移任务清单，每个任务的详情（启动时间，结束时间，迁移过程记录等）</w:t>
            </w:r>
            <w:r>
              <w:rPr>
                <w:rFonts w:hint="eastAsia" w:ascii="仿宋" w:hAnsi="仿宋" w:eastAsia="仿宋" w:cs="仿宋"/>
                <w:b/>
                <w:color w:val="auto"/>
                <w:szCs w:val="21"/>
                <w:highlight w:val="none"/>
                <w:u w:val="none" w:color="000000"/>
              </w:rPr>
              <w:t>（提供界面截图并加盖产品厂家公章）</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支持自定义系统日志的保留时长或永久保存</w:t>
            </w:r>
            <w:r>
              <w:rPr>
                <w:rFonts w:hint="eastAsia" w:ascii="仿宋" w:hAnsi="仿宋" w:eastAsia="仿宋" w:cs="仿宋"/>
                <w:b/>
                <w:color w:val="auto"/>
                <w:szCs w:val="21"/>
                <w:highlight w:val="none"/>
                <w:u w:val="none" w:color="000000"/>
              </w:rPr>
              <w:t>（提供界面截图并加盖产品厂家公章）</w:t>
            </w:r>
            <w:r>
              <w:rPr>
                <w:rFonts w:hint="eastAsia" w:ascii="仿宋" w:hAnsi="仿宋" w:eastAsia="仿宋" w:cs="仿宋"/>
                <w:color w:val="auto"/>
                <w:szCs w:val="21"/>
                <w:highlight w:val="none"/>
                <w:u w:val="none" w:color="000000"/>
                <w:lang w:val="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kinsoku/>
              <w:wordWrap/>
              <w:overflowPunct/>
              <w:topLinePunct w:val="0"/>
              <w:autoSpaceDE/>
              <w:autoSpaceDN/>
              <w:bidi w:val="0"/>
              <w:adjustRightInd/>
              <w:spacing w:line="360" w:lineRule="exact"/>
              <w:jc w:val="left"/>
              <w:rPr>
                <w:rFonts w:hint="eastAsia" w:ascii="仿宋" w:hAnsi="仿宋" w:eastAsia="仿宋" w:cs="仿宋"/>
                <w:color w:val="auto"/>
                <w:szCs w:val="21"/>
                <w:highlight w:val="none"/>
                <w:u w:val="none" w:color="000000"/>
                <w:lang w:val="zh-TW" w:eastAsia="zh-TW"/>
              </w:rPr>
            </w:pPr>
            <w:r>
              <w:rPr>
                <w:rFonts w:hint="eastAsia" w:ascii="仿宋" w:hAnsi="仿宋" w:eastAsia="仿宋" w:cs="仿宋"/>
                <w:color w:val="auto"/>
                <w:szCs w:val="21"/>
                <w:highlight w:val="none"/>
                <w:u w:val="none" w:color="000000"/>
                <w:lang w:val="zh-TW" w:eastAsia="zh-TW"/>
              </w:rPr>
              <w:t>支持正在迁移任务的实时监控功能，包括但不限于当前迁移状态，迁移的速率，预计完成时间，迁移进度等</w:t>
            </w:r>
            <w:r>
              <w:rPr>
                <w:rFonts w:hint="eastAsia" w:ascii="仿宋" w:hAnsi="仿宋" w:eastAsia="仿宋" w:cs="仿宋"/>
                <w:b/>
                <w:color w:val="auto"/>
                <w:szCs w:val="21"/>
                <w:highlight w:val="none"/>
                <w:u w:val="none" w:color="000000"/>
              </w:rPr>
              <w:t>（提供界面截图并加盖产品厂家公章）</w:t>
            </w:r>
            <w:r>
              <w:rPr>
                <w:rFonts w:hint="eastAsia" w:ascii="仿宋" w:hAnsi="仿宋" w:eastAsia="仿宋" w:cs="仿宋"/>
                <w:color w:val="auto"/>
                <w:szCs w:val="21"/>
                <w:highlight w:val="none"/>
                <w:u w:val="none" w:color="000000"/>
                <w:lang w:val="zh-TW"/>
              </w:rPr>
              <w:t>；</w:t>
            </w:r>
            <w:r>
              <w:rPr>
                <w:rFonts w:hint="eastAsia" w:ascii="仿宋" w:hAnsi="仿宋" w:eastAsia="仿宋" w:cs="仿宋"/>
                <w:color w:val="auto"/>
                <w:szCs w:val="21"/>
                <w:highlight w:val="none"/>
                <w:u w:val="none" w:color="000000"/>
                <w:lang w:val="zh-TW" w:eastAsia="zh-TW"/>
              </w:rPr>
              <w:t>提供监控报警功能，如迁移任务异常，源端或目标环境发生改变等影响迁移成功的警告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restart"/>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BACKUP数据定时备份</w:t>
            </w: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投标软件不限制生产客户端，操作系统平台以及数据库个数，同时不限制介质服务器个数，支持20T以及以上的生产数据的备份，支持20T以上虚拟化数据备份。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支持：块设备到文件备份、块设备到Raw数据备份、文件到文件备份、文件到Raw 数据备份。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支持Oracle ，DB2，Mysql，SQL Server等数据库的定时备份。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vMerge w:val="continue"/>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支持数据库的全量备份、增量备份、差异备份。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984" w:type="dxa"/>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虚拟机无代理备份功能</w:t>
            </w: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lang w:val="zh-TW"/>
              </w:rPr>
            </w:pPr>
            <w:r>
              <w:rPr>
                <w:rFonts w:hint="eastAsia" w:ascii="仿宋" w:hAnsi="仿宋" w:eastAsia="仿宋" w:cs="仿宋"/>
                <w:color w:val="auto"/>
                <w:kern w:val="0"/>
                <w:szCs w:val="21"/>
                <w:highlight w:val="none"/>
              </w:rPr>
              <w:t>要求可以在WEB浏览器界面查看备份系统的CPU和内存的资源使用情况，方便管理员随时掌握设备使用情况。</w:t>
            </w:r>
            <w:r>
              <w:rPr>
                <w:rFonts w:hint="eastAsia" w:ascii="仿宋" w:hAnsi="仿宋" w:eastAsia="仿宋" w:cs="仿宋"/>
                <w:b/>
                <w:color w:val="auto"/>
                <w:kern w:val="0"/>
                <w:szCs w:val="21"/>
                <w:highlight w:val="none"/>
              </w:rPr>
              <w:t>(投标提供软件截图证明加盖原厂公章)；</w:t>
            </w:r>
          </w:p>
          <w:p>
            <w:pPr>
              <w:pageBreakBefore w:val="0"/>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支持通过vCenter或者单个ESXi主机进行虚拟机的备份保护；无须在每一台虚拟机上安装代理程序，安装部署简单快速；支持自动发现, 能够在备份作业运行期间动态的增加新虚拟机</w:t>
            </w:r>
          </w:p>
          <w:p>
            <w:pPr>
              <w:pageBreakBefore w:val="0"/>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虚拟机备份支持策略配置, 全备+差异备份、或全备+增量备份；支持正向增量、反向增量备份技术</w:t>
            </w:r>
          </w:p>
          <w:p>
            <w:pPr>
              <w:pageBreakBefore w:val="0"/>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每个备份、恢复或迁移任务之间互相独立、互不影响，可以按需开启或停止；支持LAN-free方式完成虚拟机的备份、恢复或迁移；支持NFS直接访问，可通过基于文件的(NFS)主存储中直接备份，能够快速执行vSphere备份、复制和还原，并降低对虚拟化环境的影响；</w:t>
            </w:r>
          </w:p>
          <w:p>
            <w:pPr>
              <w:pageBreakBefore w:val="0"/>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支持即时恢复、计划恢复任务快速重建虚拟机；支持瞬时恢复, 能够从生产中心和容灾中心的备份文件快速启动虚拟机用于生产，而无需将备份文件先恢复到生产存储</w:t>
            </w:r>
          </w:p>
          <w:p>
            <w:pPr>
              <w:pageBreakBefore w:val="0"/>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支持VMware的块改变（CBT）跟踪功能,而且能够实现VMware虚拟机的CBT备份；支持thin模式和thick模式磁盘分配的虚拟机；支持静默快照；支持Vmotion场景下对指定虚拟机做备份保护</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bookmarkStart w:id="16" w:name="__DdeLink__70_1000426613"/>
            <w:r>
              <w:rPr>
                <w:rFonts w:hint="eastAsia" w:ascii="仿宋" w:hAnsi="仿宋" w:eastAsia="仿宋" w:cs="仿宋"/>
                <w:color w:val="auto"/>
                <w:kern w:val="0"/>
                <w:szCs w:val="21"/>
                <w:highlight w:val="none"/>
              </w:rPr>
              <w:t>支持跨站点的迁移</w:t>
            </w:r>
            <w:bookmarkEnd w:id="16"/>
            <w:r>
              <w:rPr>
                <w:rFonts w:hint="eastAsia" w:ascii="仿宋" w:hAnsi="仿宋" w:eastAsia="仿宋" w:cs="仿宋"/>
                <w:color w:val="auto"/>
                <w:kern w:val="0"/>
                <w:szCs w:val="21"/>
                <w:highlight w:val="none"/>
              </w:rPr>
              <w:t>和保护；支持在隔离环境内直接从备份运行以一个或多个虚拟机，在不影响业务运营的情况下对生产环境的工作中副本进行故障排除、测试。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984" w:type="dxa"/>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统一管理与监控平台功能</w:t>
            </w: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b/>
                <w:color w:val="auto"/>
                <w:kern w:val="0"/>
                <w:szCs w:val="21"/>
                <w:highlight w:val="none"/>
              </w:rPr>
            </w:pPr>
            <w:r>
              <w:rPr>
                <w:rFonts w:hint="eastAsia" w:ascii="仿宋" w:hAnsi="仿宋" w:eastAsia="仿宋" w:cs="仿宋"/>
                <w:color w:val="auto"/>
                <w:kern w:val="0"/>
                <w:szCs w:val="21"/>
                <w:highlight w:val="none"/>
              </w:rPr>
              <w:t>要求可以在WEB浏览器界面查看备份系统的CPU和内存的资源使用情况，方便管理员随时掌握设备使用情况。</w:t>
            </w:r>
            <w:r>
              <w:rPr>
                <w:rFonts w:hint="eastAsia" w:ascii="仿宋" w:hAnsi="仿宋" w:eastAsia="仿宋" w:cs="仿宋"/>
                <w:b/>
                <w:color w:val="auto"/>
                <w:kern w:val="0"/>
                <w:szCs w:val="21"/>
                <w:highlight w:val="none"/>
              </w:rPr>
              <w:t>(投标提供软件截图并加盖原厂公章)；</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b/>
                <w:color w:val="auto"/>
                <w:kern w:val="0"/>
                <w:szCs w:val="21"/>
                <w:highlight w:val="none"/>
              </w:rPr>
            </w:pPr>
            <w:r>
              <w:rPr>
                <w:rFonts w:hint="eastAsia" w:ascii="仿宋" w:hAnsi="仿宋" w:eastAsia="仿宋" w:cs="仿宋"/>
                <w:color w:val="auto"/>
                <w:kern w:val="0"/>
                <w:szCs w:val="21"/>
                <w:highlight w:val="none"/>
              </w:rPr>
              <w:t>提供强大的控制台管理功能，全中文操作界面及操作手册，通过WEB方式便捷管理，所有软件功能均为模块化功能，至少包含数据实时灾备、定时备份、CDP保护、在线热迁移、全服务器备份、应用高可用和数据库同步等功能模块、虚拟机备份、可在控制台进行统一管理。</w:t>
            </w:r>
            <w:r>
              <w:rPr>
                <w:rFonts w:hint="eastAsia" w:ascii="仿宋" w:hAnsi="仿宋" w:eastAsia="仿宋" w:cs="仿宋"/>
                <w:b/>
                <w:color w:val="auto"/>
                <w:kern w:val="0"/>
                <w:szCs w:val="21"/>
                <w:highlight w:val="none"/>
              </w:rPr>
              <w:t>（提供统一管理界面截图并加盖产品厂家公章）</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支持统一的灾备管理能力和扩展性, 必须具备扩展支持其他灾备能力,避免重复建设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984" w:type="dxa"/>
            <w:tcBorders>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lang w:eastAsia="en-US"/>
              </w:rPr>
            </w:pPr>
            <w:r>
              <w:rPr>
                <w:rFonts w:hint="eastAsia" w:ascii="仿宋" w:hAnsi="仿宋" w:eastAsia="仿宋" w:cs="仿宋"/>
                <w:color w:val="auto"/>
                <w:kern w:val="0"/>
                <w:szCs w:val="21"/>
                <w:highlight w:val="none"/>
                <w:lang w:eastAsia="en-US"/>
              </w:rPr>
              <w:t>技术支持与</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lang w:eastAsia="en-US"/>
              </w:rPr>
            </w:pPr>
            <w:r>
              <w:rPr>
                <w:rFonts w:hint="eastAsia" w:ascii="仿宋" w:hAnsi="仿宋" w:eastAsia="仿宋" w:cs="仿宋"/>
                <w:color w:val="auto"/>
                <w:kern w:val="0"/>
                <w:szCs w:val="21"/>
                <w:highlight w:val="none"/>
                <w:lang w:eastAsia="en-US"/>
              </w:rPr>
              <w:t>服务</w:t>
            </w:r>
          </w:p>
        </w:tc>
        <w:tc>
          <w:tcPr>
            <w:tcW w:w="7088" w:type="dxa"/>
            <w:tcBorders>
              <w:top w:val="single" w:color="auto" w:sz="4" w:space="0"/>
              <w:left w:val="single" w:color="auto" w:sz="4" w:space="0"/>
              <w:right w:val="single" w:color="auto" w:sz="4" w:space="0"/>
            </w:tcBorders>
            <w:noWrap w:val="0"/>
            <w:vAlign w:val="center"/>
          </w:tcPr>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提供三年原厂商服务；7x24小时响应，4小时带备件上门服务， </w:t>
            </w:r>
          </w:p>
          <w:p>
            <w:pPr>
              <w:pageBreakBefore w:val="0"/>
              <w:kinsoku/>
              <w:wordWrap/>
              <w:overflowPunct/>
              <w:topLinePunct w:val="0"/>
              <w:autoSpaceDE/>
              <w:autoSpaceDN/>
              <w:bidi w:val="0"/>
              <w:adjustRightInd/>
              <w:spacing w:before="120" w:after="120"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投标时须提供原厂的售后服务承诺函并加盖厂商公章；</w:t>
            </w:r>
          </w:p>
        </w:tc>
      </w:tr>
    </w:tbl>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p>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服务质量管理系统</w:t>
      </w:r>
    </w:p>
    <w:tbl>
      <w:tblPr>
        <w:tblStyle w:val="40"/>
        <w:tblW w:w="9072" w:type="dxa"/>
        <w:jc w:val="center"/>
        <w:tblLayout w:type="fixed"/>
        <w:tblCellMar>
          <w:top w:w="0" w:type="dxa"/>
          <w:left w:w="108" w:type="dxa"/>
          <w:bottom w:w="0" w:type="dxa"/>
          <w:right w:w="108" w:type="dxa"/>
        </w:tblCellMar>
      </w:tblPr>
      <w:tblGrid>
        <w:gridCol w:w="552"/>
        <w:gridCol w:w="1225"/>
        <w:gridCol w:w="7295"/>
      </w:tblGrid>
      <w:tr>
        <w:tblPrEx>
          <w:tblCellMar>
            <w:top w:w="0" w:type="dxa"/>
            <w:left w:w="108" w:type="dxa"/>
            <w:bottom w:w="0" w:type="dxa"/>
            <w:right w:w="108" w:type="dxa"/>
          </w:tblCellMar>
        </w:tblPrEx>
        <w:trPr>
          <w:trHeight w:val="312" w:hRule="atLeast"/>
          <w:jc w:val="center"/>
        </w:trPr>
        <w:tc>
          <w:tcPr>
            <w:tcW w:w="1843"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功能要求</w:t>
            </w:r>
          </w:p>
        </w:tc>
        <w:tc>
          <w:tcPr>
            <w:tcW w:w="7655" w:type="dxa"/>
            <w:tcBorders>
              <w:top w:val="single" w:color="auto" w:sz="4" w:space="0"/>
              <w:left w:val="nil"/>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技术指标</w:t>
            </w:r>
          </w:p>
        </w:tc>
      </w:tr>
      <w:tr>
        <w:tblPrEx>
          <w:tblCellMar>
            <w:top w:w="0" w:type="dxa"/>
            <w:left w:w="108" w:type="dxa"/>
            <w:bottom w:w="0" w:type="dxa"/>
            <w:right w:w="108" w:type="dxa"/>
          </w:tblCellMar>
        </w:tblPrEx>
        <w:trPr>
          <w:trHeight w:val="440" w:hRule="atLeast"/>
          <w:jc w:val="center"/>
        </w:trPr>
        <w:tc>
          <w:tcPr>
            <w:tcW w:w="184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系统整体要求</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管理系统平台要求基于B/S架构，采用JAVA+HTML5开发，客户端支持IE9以上版本及其他Chrome、火狐等主流浏览器</w:t>
            </w:r>
          </w:p>
        </w:tc>
      </w:tr>
      <w:tr>
        <w:tblPrEx>
          <w:tblCellMar>
            <w:top w:w="0" w:type="dxa"/>
            <w:left w:w="108" w:type="dxa"/>
            <w:bottom w:w="0" w:type="dxa"/>
            <w:right w:w="108" w:type="dxa"/>
          </w:tblCellMar>
        </w:tblPrEx>
        <w:trPr>
          <w:trHeight w:val="407" w:hRule="atLeast"/>
          <w:jc w:val="center"/>
        </w:trPr>
        <w:tc>
          <w:tcPr>
            <w:tcW w:w="184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必须遵循“ITIL最佳实践”框架，可实现基于IT信息部门的信息化，包括工单管理、合同管理、项目管理、资产管理、巡检管理、耗材管理、知识库管理等ITIL核心流程。支持移动端微信号。促进提升信息科的工作效率及服务质量。</w:t>
            </w:r>
          </w:p>
        </w:tc>
      </w:tr>
      <w:tr>
        <w:tblPrEx>
          <w:tblCellMar>
            <w:top w:w="0" w:type="dxa"/>
            <w:left w:w="108" w:type="dxa"/>
            <w:bottom w:w="0" w:type="dxa"/>
            <w:right w:w="108" w:type="dxa"/>
          </w:tblCellMar>
        </w:tblPrEx>
        <w:trPr>
          <w:trHeight w:val="440" w:hRule="atLeast"/>
          <w:jc w:val="center"/>
        </w:trPr>
        <w:tc>
          <w:tcPr>
            <w:tcW w:w="56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系统功能</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角色与权限</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提供普通用户、管理员、工程师、供应商、监理等多种角色。</w:t>
            </w:r>
          </w:p>
        </w:tc>
      </w:tr>
      <w:tr>
        <w:tblPrEx>
          <w:tblCellMar>
            <w:top w:w="0" w:type="dxa"/>
            <w:left w:w="108" w:type="dxa"/>
            <w:bottom w:w="0" w:type="dxa"/>
            <w:right w:w="108" w:type="dxa"/>
          </w:tblCellMar>
        </w:tblPrEx>
        <w:trPr>
          <w:trHeight w:val="68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提供权限域功能，控制不同类型用户的权限范围，包含合同管理、项目管理、工单管理、巡检管理、资产管理、知识库管理等数据</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富文本编辑框</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富文本编辑框常用功能，包括全屏放大、表格、格式调整、链接、特殊符号、锚点等功能。提供编辑框内图片复制粘贴功能，可以从粘贴板直接粘贴，支持BMP、JPG、PNP等常见图片格式，且可以定义图片大小。提供编辑框内word文档快速导入功能，支持03、07等常见版本，且保持文档格式正常。</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文档在线预览</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提供附件内容在线预览，支持包括各版本Office文档、PDF及图片等附件格式，支持PowerPoint文档在线播放，在线预览需保持排版、格式正常，同时提供打印功能。</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支持只读浏览word、excel、ppt、pdf文档，可禁止修改、复制粘贴、下载等操作。</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文档在线编辑</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提供office文档在线编辑功能，包括各版本word、PPT、Excel，提供软件功能截图。</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支持修改痕迹保留，模板套用，多人同时编辑控制，word文档拆分合并，word文档内容差异对比等功能。</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可自定义office工具条，对话框及右键菜单；可以禁止复制、下载、打印、复制、另存等功能；</w:t>
            </w:r>
          </w:p>
        </w:tc>
      </w:tr>
      <w:tr>
        <w:tblPrEx>
          <w:tblCellMar>
            <w:top w:w="0" w:type="dxa"/>
            <w:left w:w="108" w:type="dxa"/>
            <w:bottom w:w="0" w:type="dxa"/>
            <w:right w:w="108" w:type="dxa"/>
          </w:tblCellMar>
        </w:tblPrEx>
        <w:trPr>
          <w:trHeight w:val="855"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系统提醒</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系统提供站内消息、微信公众后、企业微信号等多种提醒方式，提醒事项包括：工单指派，工单转派，巡检任务，合同计划，项目审批，项目变更，项目验收等</w:t>
            </w:r>
          </w:p>
        </w:tc>
      </w:tr>
      <w:tr>
        <w:tblPrEx>
          <w:tblCellMar>
            <w:top w:w="0" w:type="dxa"/>
            <w:left w:w="108" w:type="dxa"/>
            <w:bottom w:w="0" w:type="dxa"/>
            <w:right w:w="108" w:type="dxa"/>
          </w:tblCellMar>
        </w:tblPrEx>
        <w:trPr>
          <w:trHeight w:val="422"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系统对接要求</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支持医疗行业HL7标准协议；Windows AD，LDAP协议；</w:t>
            </w:r>
          </w:p>
        </w:tc>
      </w:tr>
      <w:tr>
        <w:tblPrEx>
          <w:tblCellMar>
            <w:top w:w="0" w:type="dxa"/>
            <w:left w:w="108" w:type="dxa"/>
            <w:bottom w:w="0" w:type="dxa"/>
            <w:right w:w="108" w:type="dxa"/>
          </w:tblCellMar>
        </w:tblPrEx>
        <w:trPr>
          <w:trHeight w:val="571"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系统接口开放，功能扩展要求支持与现有的资产管理系统、运维监控系统、OA系统等软件进行数据对接，实现流程衔接和数据同步；</w:t>
            </w:r>
          </w:p>
        </w:tc>
      </w:tr>
      <w:tr>
        <w:tblPrEx>
          <w:tblCellMar>
            <w:top w:w="0" w:type="dxa"/>
            <w:left w:w="108" w:type="dxa"/>
            <w:bottom w:w="0" w:type="dxa"/>
            <w:right w:w="108" w:type="dxa"/>
          </w:tblCellMar>
        </w:tblPrEx>
        <w:trPr>
          <w:trHeight w:val="408"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提供标准的API接口。</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数据备份</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提供对系统数据和附件进行相应备份。</w:t>
            </w:r>
          </w:p>
        </w:tc>
      </w:tr>
      <w:tr>
        <w:tblPrEx>
          <w:tblCellMar>
            <w:top w:w="0" w:type="dxa"/>
            <w:left w:w="108" w:type="dxa"/>
            <w:bottom w:w="0" w:type="dxa"/>
            <w:right w:w="108" w:type="dxa"/>
          </w:tblCellMar>
        </w:tblPrEx>
        <w:trPr>
          <w:trHeight w:val="440" w:hRule="atLeast"/>
          <w:jc w:val="center"/>
        </w:trPr>
        <w:tc>
          <w:tcPr>
            <w:tcW w:w="56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首页功能</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大数据展示</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终端大屏展示，提供图形动态化方式实时展示信息科室人员工作统计、工单事件、来电统计及时效等信息；数据定时自动刷新；提供功能界面展示，项目看板功能支持项目的实时展示，包括且不限于项目整体数量、进行中的项目数量、任务完成情况等数据；工单看板功能支持工单的实时展示，包括且不限于工单数量、工单类型、工单状态等信息，可查看工单处理进度明细；</w:t>
            </w:r>
          </w:p>
        </w:tc>
      </w:tr>
      <w:tr>
        <w:tblPrEx>
          <w:tblCellMar>
            <w:top w:w="0" w:type="dxa"/>
            <w:left w:w="108" w:type="dxa"/>
            <w:bottom w:w="0" w:type="dxa"/>
            <w:right w:w="108" w:type="dxa"/>
          </w:tblCellMar>
        </w:tblPrEx>
        <w:trPr>
          <w:trHeight w:val="81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报表统计</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合同报表，对已签订合同生成报表统计，可通过时间段、合同类别、合同状态等维度进行数据统计分析，同时可统计合同对应的供应商，合同金额和付款金额情况。</w:t>
            </w:r>
          </w:p>
        </w:tc>
      </w:tr>
      <w:tr>
        <w:tblPrEx>
          <w:tblCellMar>
            <w:top w:w="0" w:type="dxa"/>
            <w:left w:w="108" w:type="dxa"/>
            <w:bottom w:w="0" w:type="dxa"/>
            <w:right w:w="108" w:type="dxa"/>
          </w:tblCellMar>
        </w:tblPrEx>
        <w:trPr>
          <w:trHeight w:val="274"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项目统计，系统内项目生成报表统计，提供以时间段、项目类别、项目状态、项目阶段等进行项目的数据统计分析，同时可统计项目对应供应商。</w:t>
            </w:r>
          </w:p>
        </w:tc>
      </w:tr>
      <w:tr>
        <w:tblPrEx>
          <w:tblCellMar>
            <w:top w:w="0" w:type="dxa"/>
            <w:left w:w="108" w:type="dxa"/>
            <w:bottom w:w="0" w:type="dxa"/>
            <w:right w:w="108" w:type="dxa"/>
          </w:tblCellMar>
        </w:tblPrEx>
        <w:trPr>
          <w:trHeight w:val="855"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工单统计，系统内工单生成报表统计，提供以时间段、工单类别、工单状态、工单趋势等多个维度，包括：报修来电量、建单量、未接通来电量、工程师接单量、接单时效。。</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巡检统计，提供巡检任务的数据报表，内容包括且不限于巡检总任务量、完成任务量、异常对象排行、工程师巡检排行等；</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资产统计，提供以资产状态、供应商、关联合同、地理位置等多种方式的资产视图展现； </w:t>
            </w:r>
          </w:p>
        </w:tc>
      </w:tr>
      <w:tr>
        <w:tblPrEx>
          <w:tblCellMar>
            <w:top w:w="0" w:type="dxa"/>
            <w:left w:w="108" w:type="dxa"/>
            <w:bottom w:w="0" w:type="dxa"/>
            <w:right w:w="108" w:type="dxa"/>
          </w:tblCellMar>
        </w:tblPrEx>
        <w:trPr>
          <w:trHeight w:val="79"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耗材统计，支持实时监控耗材使用情况的数据统计分析功能；</w:t>
            </w:r>
          </w:p>
        </w:tc>
      </w:tr>
      <w:tr>
        <w:tblPrEx>
          <w:tblCellMar>
            <w:top w:w="0" w:type="dxa"/>
            <w:left w:w="108" w:type="dxa"/>
            <w:bottom w:w="0" w:type="dxa"/>
            <w:right w:w="108" w:type="dxa"/>
          </w:tblCellMar>
        </w:tblPrEx>
        <w:trPr>
          <w:trHeight w:val="6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restart"/>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全局检索</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实现全局快速查询功能，查询内容包括且不限于合同编号、合同名称、项目名称、资产设备名称、设备型号、设备序列号、供应商单位名称等；</w:t>
            </w:r>
          </w:p>
        </w:tc>
      </w:tr>
      <w:tr>
        <w:tblPrEx>
          <w:tblCellMar>
            <w:top w:w="0" w:type="dxa"/>
            <w:left w:w="108" w:type="dxa"/>
            <w:bottom w:w="0" w:type="dxa"/>
            <w:right w:w="108" w:type="dxa"/>
          </w:tblCellMar>
        </w:tblPrEx>
        <w:trPr>
          <w:trHeight w:val="68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数据关联与查询，通过查询单个对象，可检索到所有关联信息；例如通过查询合同编号，可查询到与此合同相关的设备清单，巡检任务，项目进度，供应商单位等信息；</w:t>
            </w:r>
          </w:p>
        </w:tc>
      </w:tr>
      <w:tr>
        <w:tblPrEx>
          <w:tblCellMar>
            <w:top w:w="0" w:type="dxa"/>
            <w:left w:w="108" w:type="dxa"/>
            <w:bottom w:w="0" w:type="dxa"/>
            <w:right w:w="108" w:type="dxa"/>
          </w:tblCellMar>
        </w:tblPrEx>
        <w:trPr>
          <w:trHeight w:val="381"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实现对结构化数据及非结构化数据的全文关键字检索。</w:t>
            </w:r>
          </w:p>
        </w:tc>
      </w:tr>
      <w:tr>
        <w:tblPrEx>
          <w:tblCellMar>
            <w:top w:w="0" w:type="dxa"/>
            <w:left w:w="108" w:type="dxa"/>
            <w:bottom w:w="0" w:type="dxa"/>
            <w:right w:w="108" w:type="dxa"/>
          </w:tblCellMar>
        </w:tblPrEx>
        <w:trPr>
          <w:trHeight w:val="810" w:hRule="atLeast"/>
          <w:jc w:val="center"/>
        </w:trPr>
        <w:tc>
          <w:tcPr>
            <w:tcW w:w="56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合同管理功能</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合同整体要求</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经过结构化录入形成基础服务数据，合同条款内容实现自动化提醒和执行，为项目管理和日常维护提供数据支撑，实现合同系统化管理，提升查询与统计效率。</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提供合同附件的管理，包括合同电子档案、收（开）发票等内容；支持合同附件或增补内容管理。</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合同付款</w:t>
            </w:r>
          </w:p>
        </w:tc>
        <w:tc>
          <w:tcPr>
            <w:tcW w:w="765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新增合同提供付款方式录入，根据状态进度生成付款计划。付款申请可上传附件。支持付款统计。</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合同提醒</w:t>
            </w:r>
          </w:p>
        </w:tc>
        <w:tc>
          <w:tcPr>
            <w:tcW w:w="765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提供对合同付款提醒、合同到期提醒、巡检任务提醒等内容。可自定义提醒周期。</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合同检索</w:t>
            </w:r>
          </w:p>
        </w:tc>
        <w:tc>
          <w:tcPr>
            <w:tcW w:w="765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提供按照合同名称关键字、合同编号、供应商单位、合同状态、合同签订时间等进行快速查询；</w:t>
            </w:r>
          </w:p>
        </w:tc>
      </w:tr>
      <w:tr>
        <w:tblPrEx>
          <w:tblCellMar>
            <w:top w:w="0" w:type="dxa"/>
            <w:left w:w="108" w:type="dxa"/>
            <w:bottom w:w="0" w:type="dxa"/>
            <w:right w:w="108" w:type="dxa"/>
          </w:tblCellMar>
        </w:tblPrEx>
        <w:trPr>
          <w:trHeight w:val="600" w:hRule="atLeast"/>
          <w:jc w:val="center"/>
        </w:trPr>
        <w:tc>
          <w:tcPr>
            <w:tcW w:w="568"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项目管理功能</w:t>
            </w:r>
          </w:p>
        </w:tc>
        <w:tc>
          <w:tcPr>
            <w:tcW w:w="12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项目管理整体要求</w:t>
            </w:r>
          </w:p>
        </w:tc>
        <w:tc>
          <w:tcPr>
            <w:tcW w:w="765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对项目全生命周期的监控和管理，包括且不限于：通过关键性里程碑管理项目的总体进度和阶段性成果，同时可拆解建立任务计划对子任务进度进行实施监控、提供设备到货跟踪、提供项目交付物文档的管理、项目实施日志录入、提供验收报告和项目遗留问题等管理；</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项目申报</w:t>
            </w:r>
          </w:p>
        </w:tc>
        <w:tc>
          <w:tcPr>
            <w:tcW w:w="765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提供项目背景介绍、项目达成目标、预算投入情况等便于院内申报审批。申报成功可进入立项启动</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nil"/>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项目提醒功能</w:t>
            </w:r>
          </w:p>
        </w:tc>
        <w:tc>
          <w:tcPr>
            <w:tcW w:w="7655" w:type="dxa"/>
            <w:tcBorders>
              <w:top w:val="single" w:color="auto" w:sz="4" w:space="0"/>
              <w:left w:val="nil"/>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提供项目提醒功能，包括且不限于项目实施阶段性成果、验收及变更等内容，对项目每个节点可控</w:t>
            </w:r>
          </w:p>
        </w:tc>
      </w:tr>
      <w:tr>
        <w:tblPrEx>
          <w:tblCellMar>
            <w:top w:w="0" w:type="dxa"/>
            <w:left w:w="108" w:type="dxa"/>
            <w:bottom w:w="0" w:type="dxa"/>
            <w:right w:w="108" w:type="dxa"/>
          </w:tblCellMar>
        </w:tblPrEx>
        <w:trPr>
          <w:trHeight w:val="76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任务计划管理</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提供建立自定义里程碑及任务计划，支持对任务计划设定模板，包括且不限于项目调研、项目实施、安装部署、项目评审、项目验收等任务；</w:t>
            </w:r>
          </w:p>
        </w:tc>
      </w:tr>
      <w:tr>
        <w:tblPrEx>
          <w:tblCellMar>
            <w:top w:w="0" w:type="dxa"/>
            <w:left w:w="108" w:type="dxa"/>
            <w:bottom w:w="0" w:type="dxa"/>
            <w:right w:w="108" w:type="dxa"/>
          </w:tblCellMar>
        </w:tblPrEx>
        <w:trPr>
          <w:trHeight w:val="70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交付物管理</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提供项目交付物管理，可将项目实施过程的文档收集管理，如项目计划书、设备交付清单表、环境调研报告、变更申请表、初验报告、终验报告等；</w:t>
            </w:r>
          </w:p>
        </w:tc>
      </w:tr>
      <w:tr>
        <w:tblPrEx>
          <w:tblCellMar>
            <w:top w:w="0" w:type="dxa"/>
            <w:left w:w="108" w:type="dxa"/>
            <w:bottom w:w="0" w:type="dxa"/>
            <w:right w:w="108" w:type="dxa"/>
          </w:tblCellMar>
        </w:tblPrEx>
        <w:trPr>
          <w:trHeight w:val="80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关联查询与检索</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功能扩展要求支持提供通过多个条件查询项目，并可通过项目查询到关联的合同、资产设备清单、供应商单位等；查询条件包括且不限于项目编号、项目名称关键字、供应商单位等；</w:t>
            </w:r>
          </w:p>
        </w:tc>
      </w:tr>
      <w:tr>
        <w:tblPrEx>
          <w:tblCellMar>
            <w:top w:w="0" w:type="dxa"/>
            <w:left w:w="108" w:type="dxa"/>
            <w:bottom w:w="0" w:type="dxa"/>
            <w:right w:w="108" w:type="dxa"/>
          </w:tblCellMar>
        </w:tblPrEx>
        <w:trPr>
          <w:trHeight w:val="700" w:hRule="atLeast"/>
          <w:jc w:val="center"/>
        </w:trPr>
        <w:tc>
          <w:tcPr>
            <w:tcW w:w="56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工单管理功能</w:t>
            </w:r>
          </w:p>
        </w:tc>
        <w:tc>
          <w:tcPr>
            <w:tcW w:w="127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工单整体要求</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系统要求提供PC端、移动电话、移动端等多种工单发起方式，实现工单全流程闭环管理，包括创建、指派、实施、转接、评价、归档等流程；可在移动端完成工单的持续管理。提供对工单数据进行图表展示。</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工单报修渠道</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提供PC端、移动电话、微信公众号及企业微信等多渠道报修方式；</w:t>
            </w:r>
          </w:p>
        </w:tc>
      </w:tr>
      <w:tr>
        <w:tblPrEx>
          <w:tblCellMar>
            <w:top w:w="0" w:type="dxa"/>
            <w:left w:w="108" w:type="dxa"/>
            <w:bottom w:w="0" w:type="dxa"/>
            <w:right w:w="108" w:type="dxa"/>
          </w:tblCellMar>
        </w:tblPrEx>
        <w:trPr>
          <w:trHeight w:val="66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来电识别</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提供报修来电自动识别科室、用户，快速创建工单自动关联科室和电话，并可以根据来电号码关联历史工单。提供功能截图</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电话录音</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来电通话可自动录音，音频文件在系统做保存可下载；提供功能截图</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系统派单规则</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提供自定义人工手动派单；系统接单后可进行再次转派；派单时可查看工程师状态和工单量。</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功能扩展要求支持系统智能派单，可根据事件类别、资产设备类型、报修科室自动派发；</w:t>
            </w:r>
          </w:p>
        </w:tc>
      </w:tr>
      <w:tr>
        <w:tblPrEx>
          <w:tblCellMar>
            <w:top w:w="0" w:type="dxa"/>
            <w:left w:w="108" w:type="dxa"/>
            <w:bottom w:w="0" w:type="dxa"/>
            <w:right w:w="108" w:type="dxa"/>
          </w:tblCellMar>
        </w:tblPrEx>
        <w:trPr>
          <w:trHeight w:val="256"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终端功能支持</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提供来电弹屏功能，系统能自动获取来电人信息等内容；</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提供终端语音识别录入，可将语音在线转换文字内容。</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工单消息推送</w:t>
            </w:r>
          </w:p>
        </w:tc>
        <w:tc>
          <w:tcPr>
            <w:tcW w:w="7655" w:type="dxa"/>
            <w:tcBorders>
              <w:top w:val="nil"/>
              <w:left w:val="nil"/>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提供通过移动端、PC端等接收工单指派和完成的消息；</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知识库对接</w:t>
            </w:r>
          </w:p>
        </w:tc>
        <w:tc>
          <w:tcPr>
            <w:tcW w:w="7655" w:type="dxa"/>
            <w:tcBorders>
              <w:top w:val="nil"/>
              <w:left w:val="nil"/>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提供工单处理结果到知识库的直接快速转入；提供功能截图</w:t>
            </w:r>
          </w:p>
        </w:tc>
      </w:tr>
      <w:tr>
        <w:tblPrEx>
          <w:tblCellMar>
            <w:top w:w="0" w:type="dxa"/>
            <w:left w:w="108" w:type="dxa"/>
            <w:bottom w:w="0" w:type="dxa"/>
            <w:right w:w="108" w:type="dxa"/>
          </w:tblCellMar>
        </w:tblPrEx>
        <w:trPr>
          <w:trHeight w:val="58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超时催单提醒</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功能扩展要求支持工单定义超时时间，超时未接单、未完成自动向首次接单人员发出提醒。</w:t>
            </w:r>
          </w:p>
        </w:tc>
      </w:tr>
      <w:tr>
        <w:tblPrEx>
          <w:tblCellMar>
            <w:top w:w="0" w:type="dxa"/>
            <w:left w:w="108" w:type="dxa"/>
            <w:bottom w:w="0" w:type="dxa"/>
            <w:right w:w="108" w:type="dxa"/>
          </w:tblCellMar>
        </w:tblPrEx>
        <w:trPr>
          <w:trHeight w:val="540" w:hRule="atLeast"/>
          <w:jc w:val="center"/>
        </w:trPr>
        <w:tc>
          <w:tcPr>
            <w:tcW w:w="568" w:type="dxa"/>
            <w:vMerge w:val="restart"/>
            <w:tcBorders>
              <w:top w:val="nil"/>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巡检管理功能</w:t>
            </w:r>
          </w:p>
        </w:tc>
        <w:tc>
          <w:tcPr>
            <w:tcW w:w="1275" w:type="dxa"/>
            <w:tcBorders>
              <w:top w:val="nil"/>
              <w:left w:val="nil"/>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巡检整体要求</w:t>
            </w:r>
          </w:p>
        </w:tc>
        <w:tc>
          <w:tcPr>
            <w:tcW w:w="7655" w:type="dxa"/>
            <w:tcBorders>
              <w:top w:val="nil"/>
              <w:left w:val="nil"/>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对供应商单位交付设备及项目进行巡检管理，规范供应商在项目验收后的巡检工作流程。提供科室内对各系统进行巡检的管理功能，提供完整的巡检过程管理和结果统计，</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巡检类型</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提供针对供应商单位的合同巡检，及信息科室的内部日常巡检；</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巡检指标</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提供针对不同对象，自定义巡检内容；</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巡检提醒</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巡检任务提供站内消息、移动端等多种方式的到期自动提醒功能；</w:t>
            </w:r>
          </w:p>
        </w:tc>
      </w:tr>
      <w:tr>
        <w:tblPrEx>
          <w:tblCellMar>
            <w:top w:w="0" w:type="dxa"/>
            <w:left w:w="108" w:type="dxa"/>
            <w:bottom w:w="0" w:type="dxa"/>
            <w:right w:w="108" w:type="dxa"/>
          </w:tblCellMar>
        </w:tblPrEx>
        <w:trPr>
          <w:trHeight w:val="132" w:hRule="atLeast"/>
          <w:jc w:val="center"/>
        </w:trPr>
        <w:tc>
          <w:tcPr>
            <w:tcW w:w="568" w:type="dxa"/>
            <w:vMerge w:val="restart"/>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资产设备管理功能</w:t>
            </w: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资产管理整体要求</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对入库、出库、变更、借用、领用、折旧、报废等资产的全流程生命周期管理；通过完善资产IP、版本号等，帮助信息科进行软硬件资产的精细化管理，实时掌握资产状态。可生成条码管理，并通过资产可查询关联的合同、项目、供应商等信息。</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序列号管理</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提供资产主件及配件的序列号精细化管理；</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restart"/>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条码管理</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提供通过主件及配件的SN号生成其唯一条码/二维码；</w:t>
            </w:r>
          </w:p>
        </w:tc>
      </w:tr>
      <w:tr>
        <w:tblPrEx>
          <w:tblCellMar>
            <w:top w:w="0" w:type="dxa"/>
            <w:left w:w="108" w:type="dxa"/>
            <w:bottom w:w="0" w:type="dxa"/>
            <w:right w:w="108" w:type="dxa"/>
          </w:tblCellMar>
        </w:tblPrEx>
        <w:trPr>
          <w:trHeight w:val="560" w:hRule="atLeast"/>
          <w:jc w:val="center"/>
        </w:trPr>
        <w:tc>
          <w:tcPr>
            <w:tcW w:w="568" w:type="dxa"/>
            <w:vMerge w:val="continue"/>
            <w:tcBorders>
              <w:top w:val="nil"/>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nil"/>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nil"/>
              <w:left w:val="nil"/>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功能扩展要求支持通过移动端识别资产条码，查询资产基本信息、质保状态、维修记录、生命周期、巡检任务和记录等；</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自动获取质保</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提供资产与合同项目的数据关联，合同及项目验收交付设备可自动转入资产系统，同时根据验收时间自动计算质保。</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自定义类型</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提供资产的自定义分类，支持至少三级内容。</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shd w:val="clear" w:color="auto" w:fill="auto"/>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资产盘点</w:t>
            </w:r>
          </w:p>
        </w:tc>
        <w:tc>
          <w:tcPr>
            <w:tcW w:w="7655" w:type="dxa"/>
            <w:tcBorders>
              <w:top w:val="nil"/>
              <w:left w:val="nil"/>
              <w:bottom w:val="single" w:color="auto" w:sz="4" w:space="0"/>
              <w:right w:val="single" w:color="auto" w:sz="4" w:space="0"/>
            </w:tcBorders>
            <w:shd w:val="clear" w:color="000000" w:fill="FFFFFF"/>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功能扩展要求支持对接现有无线定位引擎及地图引擎，结合蓝牙或RFID，提供资产定位；</w:t>
            </w:r>
          </w:p>
        </w:tc>
      </w:tr>
      <w:tr>
        <w:tblPrEx>
          <w:tblCellMar>
            <w:top w:w="0" w:type="dxa"/>
            <w:left w:w="108" w:type="dxa"/>
            <w:bottom w:w="0" w:type="dxa"/>
            <w:right w:w="108" w:type="dxa"/>
          </w:tblCellMar>
        </w:tblPrEx>
        <w:trPr>
          <w:trHeight w:val="620" w:hRule="atLeast"/>
          <w:jc w:val="center"/>
        </w:trPr>
        <w:tc>
          <w:tcPr>
            <w:tcW w:w="568" w:type="dxa"/>
            <w:vMerge w:val="restart"/>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供应商管理功能</w:t>
            </w: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供应商整体要求</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通过供应商管理，实现对单个供应商关联的合同、项目、资产设备、巡检任务等合作记录快速查询；系统可开放给供应商进行项目实施录入、巡检结果录入，工单维修等工作，简化甲方工作量，同时可通过系统规范供应商工作流程，数据支撑管理</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数据关联</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功能扩展要求支持系统内提供对单个供应商查找与之关联的合同、项目、资产、巡检等数据。</w:t>
            </w:r>
          </w:p>
        </w:tc>
      </w:tr>
      <w:tr>
        <w:tblPrEx>
          <w:tblCellMar>
            <w:top w:w="0" w:type="dxa"/>
            <w:left w:w="108" w:type="dxa"/>
            <w:bottom w:w="0" w:type="dxa"/>
            <w:right w:w="108" w:type="dxa"/>
          </w:tblCellMar>
        </w:tblPrEx>
        <w:trPr>
          <w:trHeight w:val="440" w:hRule="atLeast"/>
          <w:jc w:val="center"/>
        </w:trPr>
        <w:tc>
          <w:tcPr>
            <w:tcW w:w="568" w:type="dxa"/>
            <w:vMerge w:val="continue"/>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供应商配置</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提供对供应商合作级别、业务范围标签等自定义配置；</w:t>
            </w:r>
          </w:p>
        </w:tc>
      </w:tr>
      <w:tr>
        <w:tblPrEx>
          <w:tblCellMar>
            <w:top w:w="0" w:type="dxa"/>
            <w:left w:w="108" w:type="dxa"/>
            <w:bottom w:w="0" w:type="dxa"/>
            <w:right w:w="108" w:type="dxa"/>
          </w:tblCellMar>
        </w:tblPrEx>
        <w:trPr>
          <w:trHeight w:val="600" w:hRule="atLeast"/>
          <w:jc w:val="center"/>
        </w:trPr>
        <w:tc>
          <w:tcPr>
            <w:tcW w:w="56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知识库</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知识库整体要求</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将信息科常见问题的解决方案，日常维护手册，产品配置手册作统一系统化管理，知识库要求关联工单模块，通过工单和资产类型快速查询知识库。形成有效知识体系，提升问题解决效率实现经验分享。</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自定义分类</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提供知识库的自定义分类和标签管理；</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知识库建立</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提供从工单处理到知识库的快速录入，及日常新增；</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数据安全</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提供关键性知识库文档的权限加密功能；提供功能截图</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在线预览编辑</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提供知识库附件的在线预览与编辑操作，包括word、PPT、Excel等；无需下载即可在线完成知识库维护更新。支持对操作修改痕迹的保留。提供功能截图</w:t>
            </w:r>
          </w:p>
        </w:tc>
      </w:tr>
      <w:tr>
        <w:tblPrEx>
          <w:tblCellMar>
            <w:top w:w="0" w:type="dxa"/>
            <w:left w:w="108" w:type="dxa"/>
            <w:bottom w:w="0" w:type="dxa"/>
            <w:right w:w="108" w:type="dxa"/>
          </w:tblCellMar>
        </w:tblPrEx>
        <w:trPr>
          <w:trHeight w:val="440"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知识库检索</w:t>
            </w:r>
          </w:p>
        </w:tc>
        <w:tc>
          <w:tcPr>
            <w:tcW w:w="7655" w:type="dxa"/>
            <w:tcBorders>
              <w:top w:val="single" w:color="auto" w:sz="4" w:space="0"/>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提供知识库的正文关键字检索；</w:t>
            </w:r>
          </w:p>
        </w:tc>
      </w:tr>
      <w:tr>
        <w:tblPrEx>
          <w:tblCellMar>
            <w:top w:w="0" w:type="dxa"/>
            <w:left w:w="108" w:type="dxa"/>
            <w:bottom w:w="0" w:type="dxa"/>
            <w:right w:w="108" w:type="dxa"/>
          </w:tblCellMar>
        </w:tblPrEx>
        <w:trPr>
          <w:trHeight w:val="294" w:hRule="atLeast"/>
          <w:jc w:val="center"/>
        </w:trPr>
        <w:tc>
          <w:tcPr>
            <w:tcW w:w="56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系统辅助功能</w:t>
            </w:r>
          </w:p>
        </w:tc>
        <w:tc>
          <w:tcPr>
            <w:tcW w:w="1275"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排班管理</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功能扩展要求提供对信息科室人员的日常工作排班功能；</w:t>
            </w:r>
          </w:p>
        </w:tc>
      </w:tr>
      <w:tr>
        <w:tblPrEx>
          <w:tblCellMar>
            <w:top w:w="0" w:type="dxa"/>
            <w:left w:w="108" w:type="dxa"/>
            <w:bottom w:w="0" w:type="dxa"/>
            <w:right w:w="108" w:type="dxa"/>
          </w:tblCellMar>
        </w:tblPrEx>
        <w:trPr>
          <w:trHeight w:val="45"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功能扩展要求提供对信息科室人员的日报、周报、月报等管理功能；</w:t>
            </w:r>
          </w:p>
        </w:tc>
      </w:tr>
      <w:tr>
        <w:tblPrEx>
          <w:tblCellMar>
            <w:top w:w="0" w:type="dxa"/>
            <w:left w:w="108" w:type="dxa"/>
            <w:bottom w:w="0" w:type="dxa"/>
            <w:right w:w="108" w:type="dxa"/>
          </w:tblCellMar>
        </w:tblPrEx>
        <w:trPr>
          <w:trHeight w:val="132"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会议管理</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提供信息科日常会议的安排及记录功能；</w:t>
            </w:r>
          </w:p>
        </w:tc>
      </w:tr>
      <w:tr>
        <w:tblPrEx>
          <w:tblCellMar>
            <w:top w:w="0" w:type="dxa"/>
            <w:left w:w="108" w:type="dxa"/>
            <w:bottom w:w="0" w:type="dxa"/>
            <w:right w:w="108" w:type="dxa"/>
          </w:tblCellMar>
        </w:tblPrEx>
        <w:trPr>
          <w:trHeight w:val="136" w:hRule="atLeast"/>
          <w:jc w:val="center"/>
        </w:trPr>
        <w:tc>
          <w:tcPr>
            <w:tcW w:w="5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文档管理</w:t>
            </w:r>
          </w:p>
        </w:tc>
        <w:tc>
          <w:tcPr>
            <w:tcW w:w="7655" w:type="dxa"/>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功能扩展要求提供针对信息科室的日常工作文档管理平台；</w:t>
            </w:r>
          </w:p>
        </w:tc>
      </w:tr>
      <w:tr>
        <w:tblPrEx>
          <w:tblCellMar>
            <w:top w:w="0" w:type="dxa"/>
            <w:left w:w="108" w:type="dxa"/>
            <w:bottom w:w="0" w:type="dxa"/>
            <w:right w:w="108" w:type="dxa"/>
          </w:tblCellMar>
        </w:tblPrEx>
        <w:trPr>
          <w:trHeight w:val="440" w:hRule="atLeast"/>
          <w:jc w:val="center"/>
        </w:trPr>
        <w:tc>
          <w:tcPr>
            <w:tcW w:w="1843"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功能测试</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系统主要功能并在中标后三天内，按照要求对产品框架、功能等进行全面测试，若无法在规定时间内测试或测试功能与招标功能不符，甲方有权拒绝接收并取消中标资格；</w:t>
            </w:r>
          </w:p>
        </w:tc>
      </w:tr>
      <w:tr>
        <w:tblPrEx>
          <w:tblCellMar>
            <w:top w:w="0" w:type="dxa"/>
            <w:left w:w="108" w:type="dxa"/>
            <w:bottom w:w="0" w:type="dxa"/>
            <w:right w:w="108" w:type="dxa"/>
          </w:tblCellMar>
        </w:tblPrEx>
        <w:trPr>
          <w:trHeight w:val="440" w:hRule="atLeast"/>
          <w:jc w:val="center"/>
        </w:trPr>
        <w:tc>
          <w:tcPr>
            <w:tcW w:w="1843"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▲产品认证</w:t>
            </w:r>
          </w:p>
        </w:tc>
        <w:tc>
          <w:tcPr>
            <w:tcW w:w="7655" w:type="dxa"/>
            <w:tcBorders>
              <w:top w:val="nil"/>
              <w:left w:val="nil"/>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产品厂商具备ISO22301业务连续性认证</w:t>
            </w:r>
          </w:p>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产品厂商具备五星级服务认证</w:t>
            </w:r>
          </w:p>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产品厂商具备系统集成及服务企业能力评价二级认证</w:t>
            </w:r>
          </w:p>
        </w:tc>
      </w:tr>
      <w:tr>
        <w:tblPrEx>
          <w:tblCellMar>
            <w:top w:w="0" w:type="dxa"/>
            <w:left w:w="108" w:type="dxa"/>
            <w:bottom w:w="0" w:type="dxa"/>
            <w:right w:w="108" w:type="dxa"/>
          </w:tblCellMar>
        </w:tblPrEx>
        <w:trPr>
          <w:trHeight w:val="330" w:hRule="atLeast"/>
          <w:jc w:val="center"/>
        </w:trPr>
        <w:tc>
          <w:tcPr>
            <w:tcW w:w="184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服务响应要求</w:t>
            </w:r>
          </w:p>
        </w:tc>
        <w:tc>
          <w:tcPr>
            <w:tcW w:w="7655" w:type="dxa"/>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提供软件3年7*24小时原厂服务。</w:t>
            </w:r>
          </w:p>
        </w:tc>
      </w:tr>
      <w:tr>
        <w:tblPrEx>
          <w:tblCellMar>
            <w:top w:w="0" w:type="dxa"/>
            <w:left w:w="108" w:type="dxa"/>
            <w:bottom w:w="0" w:type="dxa"/>
            <w:right w:w="108" w:type="dxa"/>
          </w:tblCellMar>
        </w:tblPrEx>
        <w:trPr>
          <w:trHeight w:val="264" w:hRule="atLeast"/>
          <w:jc w:val="center"/>
        </w:trPr>
        <w:tc>
          <w:tcPr>
            <w:tcW w:w="184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655" w:type="dxa"/>
            <w:tcBorders>
              <w:top w:val="nil"/>
              <w:left w:val="single" w:color="auto" w:sz="4" w:space="0"/>
              <w:bottom w:val="single" w:color="auto" w:sz="4" w:space="0"/>
              <w:right w:val="single" w:color="auto" w:sz="4" w:space="0"/>
            </w:tcBorders>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提供24小时400服务电话；</w:t>
            </w:r>
          </w:p>
        </w:tc>
      </w:tr>
    </w:tbl>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安全服务系统</w:t>
      </w:r>
    </w:p>
    <w:tbl>
      <w:tblPr>
        <w:tblStyle w:val="40"/>
        <w:tblW w:w="9072" w:type="dxa"/>
        <w:jc w:val="center"/>
        <w:tblLayout w:type="fixed"/>
        <w:tblCellMar>
          <w:top w:w="0" w:type="dxa"/>
          <w:left w:w="108" w:type="dxa"/>
          <w:bottom w:w="0" w:type="dxa"/>
          <w:right w:w="108" w:type="dxa"/>
        </w:tblCellMar>
      </w:tblPr>
      <w:tblGrid>
        <w:gridCol w:w="1398"/>
        <w:gridCol w:w="7674"/>
      </w:tblGrid>
      <w:tr>
        <w:tblPrEx>
          <w:tblCellMar>
            <w:top w:w="0" w:type="dxa"/>
            <w:left w:w="108" w:type="dxa"/>
            <w:bottom w:w="0" w:type="dxa"/>
            <w:right w:w="108" w:type="dxa"/>
          </w:tblCellMar>
        </w:tblPrEx>
        <w:trPr>
          <w:trHeight w:val="285" w:hRule="atLeast"/>
          <w:jc w:val="center"/>
        </w:trPr>
        <w:tc>
          <w:tcPr>
            <w:tcW w:w="1398"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名称</w:t>
            </w:r>
          </w:p>
        </w:tc>
        <w:tc>
          <w:tcPr>
            <w:tcW w:w="7674"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服务内容</w:t>
            </w:r>
          </w:p>
        </w:tc>
      </w:tr>
      <w:tr>
        <w:tblPrEx>
          <w:tblCellMar>
            <w:top w:w="0" w:type="dxa"/>
            <w:left w:w="108" w:type="dxa"/>
            <w:bottom w:w="0" w:type="dxa"/>
            <w:right w:w="108" w:type="dxa"/>
          </w:tblCellMar>
        </w:tblPrEx>
        <w:trPr>
          <w:trHeight w:val="285" w:hRule="atLeast"/>
          <w:jc w:val="center"/>
        </w:trPr>
        <w:tc>
          <w:tcPr>
            <w:tcW w:w="1398" w:type="dxa"/>
            <w:tcBorders>
              <w:top w:val="single" w:color="auto" w:sz="4" w:space="0"/>
              <w:left w:val="single" w:color="auto" w:sz="4" w:space="0"/>
              <w:right w:val="single" w:color="auto" w:sz="4" w:space="0"/>
            </w:tcBorders>
            <w:noWrap/>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b/>
                <w:bCs/>
                <w:color w:val="auto"/>
                <w:kern w:val="0"/>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kern w:val="0"/>
                <w:szCs w:val="21"/>
                <w:highlight w:val="none"/>
              </w:rPr>
              <w:t>硬件要求</w:t>
            </w:r>
          </w:p>
        </w:tc>
        <w:tc>
          <w:tcPr>
            <w:tcW w:w="7674"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具备国密安全控制芯片，对于存储的日志和样本进行安全的存储，防止恶意的窃取和破坏，具备防止检测设备被恶意代码感染的能力，通过特定的接口进行数据交互，保障检测设备本身的安全性。提供可用存储空间，内置恶意样本存储隔离区，可存储近10000左右的恶意样本，以及相应威胁情报、攻击库、特征库，无需在客户端中安装任何软件。</w:t>
            </w:r>
          </w:p>
        </w:tc>
      </w:tr>
      <w:tr>
        <w:tblPrEx>
          <w:tblCellMar>
            <w:top w:w="0" w:type="dxa"/>
            <w:left w:w="108" w:type="dxa"/>
            <w:bottom w:w="0" w:type="dxa"/>
            <w:right w:w="108" w:type="dxa"/>
          </w:tblCellMar>
        </w:tblPrEx>
        <w:trPr>
          <w:trHeight w:val="285" w:hRule="atLeast"/>
          <w:jc w:val="center"/>
        </w:trPr>
        <w:tc>
          <w:tcPr>
            <w:tcW w:w="1398" w:type="dxa"/>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功能要求</w:t>
            </w:r>
          </w:p>
        </w:tc>
        <w:tc>
          <w:tcPr>
            <w:tcW w:w="7674" w:type="dxa"/>
            <w:tcBorders>
              <w:top w:val="single" w:color="auto" w:sz="4" w:space="0"/>
              <w:left w:val="nil"/>
              <w:bottom w:val="single" w:color="auto" w:sz="4" w:space="0"/>
              <w:right w:val="single" w:color="auto" w:sz="4" w:space="0"/>
            </w:tcBorders>
            <w:noWrap/>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针对相关主机、服务器进行深度的检查分析，发现威胁详情、安全风险评估提供相关日志和威胁样本抓取，具备统一控制中心，进行统一的威胁评估的配置和集中管理，威胁检测模版的、评估模版的管理、数据报表的管理等功能。</w:t>
            </w:r>
          </w:p>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内置APT分析引擎，能够对基于威胁情报，对于APT攻击的样本进行分析和定位，支持IP信息威胁匹配、异常进程监听、端口转发、隧道等网络行为检测，支持添加隐蔽账户、账户权限变更、激活访客账户等异常行为检测，支持启动项、计划任务、系统服务等威胁数据检测，支持弱口令，默认密码等威胁数据检测，支持日志清除威胁数据监测；</w:t>
            </w:r>
          </w:p>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3)、数据安全性检测：评估资产数据的价值，通过关键字，进行数据内容检查和数据类型检查，检测类型包含OFFICE、PDF等类型文件；</w:t>
            </w:r>
          </w:p>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4)、管控合规性检测：可以针对资产包括是否安装违规的软件，运维违规的进程、存在违规外联，违规外设使用，违规访问行为进行检查，定位问题资产；</w:t>
            </w:r>
          </w:p>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5)、特征库升级：支持检测设备通过互联网或控制中心进行直接进行特征库和固件版本的升级；</w:t>
            </w:r>
          </w:p>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6)、展示分析：提供展示平台，对于每个资产的安全检测项进行图形话的展示，提供风险分值和细节。</w:t>
            </w:r>
          </w:p>
        </w:tc>
      </w:tr>
      <w:tr>
        <w:tblPrEx>
          <w:tblCellMar>
            <w:top w:w="0" w:type="dxa"/>
            <w:left w:w="108" w:type="dxa"/>
            <w:bottom w:w="0" w:type="dxa"/>
            <w:right w:w="108" w:type="dxa"/>
          </w:tblCellMar>
        </w:tblPrEx>
        <w:trPr>
          <w:trHeight w:val="990" w:hRule="atLeast"/>
          <w:jc w:val="center"/>
        </w:trPr>
        <w:tc>
          <w:tcPr>
            <w:tcW w:w="1398" w:type="dxa"/>
            <w:vMerge w:val="restart"/>
            <w:tcBorders>
              <w:top w:val="single" w:color="auto" w:sz="4" w:space="0"/>
              <w:left w:val="single" w:color="auto" w:sz="4" w:space="0"/>
              <w:bottom w:val="single" w:color="auto" w:sz="4" w:space="0"/>
              <w:right w:val="single" w:color="auto" w:sz="4" w:space="0"/>
            </w:tcBorders>
            <w:noWrap/>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安全服务</w:t>
            </w: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全流量安全分析服务解决威胁情报在落地的问题，专家将最新的威胁情报结合实际流量状况，业务应用，得出精准的威胁分析结果，尽早发现问题、解决问题。全流量安全分析服务内容包括：APT尝试告警分析、普通IOC告警分析、传感器漏洞分析、暴力破解分析、网站后门分析等。</w:t>
            </w:r>
          </w:p>
        </w:tc>
      </w:tr>
      <w:tr>
        <w:tblPrEx>
          <w:tblCellMar>
            <w:top w:w="0" w:type="dxa"/>
            <w:left w:w="108" w:type="dxa"/>
            <w:bottom w:w="0" w:type="dxa"/>
            <w:right w:w="108" w:type="dxa"/>
          </w:tblCellMar>
        </w:tblPrEx>
        <w:trPr>
          <w:trHeight w:val="66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邮件行为分析： 邮件行为分析主要针对单位内网中的邮件服务器信息传输进行梳理分析，发现邮件异常行为。</w:t>
            </w:r>
          </w:p>
        </w:tc>
      </w:tr>
      <w:tr>
        <w:tblPrEx>
          <w:tblCellMar>
            <w:top w:w="0" w:type="dxa"/>
            <w:left w:w="108" w:type="dxa"/>
            <w:bottom w:w="0" w:type="dxa"/>
            <w:right w:w="108" w:type="dxa"/>
          </w:tblCellMar>
        </w:tblPrEx>
        <w:trPr>
          <w:trHeight w:val="66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数据库行为分析： 数据库行为分析主要针对单位内网中的数据库服务器敏感操作行为进行梳理，发现数据库安全风险。</w:t>
            </w:r>
          </w:p>
        </w:tc>
      </w:tr>
      <w:tr>
        <w:tblPrEx>
          <w:tblCellMar>
            <w:top w:w="0" w:type="dxa"/>
            <w:left w:w="108" w:type="dxa"/>
            <w:bottom w:w="0" w:type="dxa"/>
            <w:right w:w="108" w:type="dxa"/>
          </w:tblCellMar>
        </w:tblPrEx>
        <w:trPr>
          <w:trHeight w:val="66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非常规检测分析： 非常规检测分析服务主要针对单位内网中存在一些非常规类代理进行梳理分析。服务可发现的信息包括：源IP、目的IP、代理地址、代理方式、使用次数等。</w:t>
            </w:r>
          </w:p>
        </w:tc>
      </w:tr>
      <w:tr>
        <w:tblPrEx>
          <w:tblCellMar>
            <w:top w:w="0" w:type="dxa"/>
            <w:left w:w="108" w:type="dxa"/>
            <w:bottom w:w="0" w:type="dxa"/>
            <w:right w:w="108" w:type="dxa"/>
          </w:tblCellMar>
        </w:tblPrEx>
        <w:trPr>
          <w:trHeight w:val="66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登录行为分析： 登录行为分析服务主要针对单位内网中存在的登录行为进行梳理分析，发现异常登录行为。</w:t>
            </w:r>
          </w:p>
        </w:tc>
      </w:tr>
      <w:tr>
        <w:tblPrEx>
          <w:tblCellMar>
            <w:top w:w="0" w:type="dxa"/>
            <w:left w:w="108" w:type="dxa"/>
            <w:bottom w:w="0" w:type="dxa"/>
            <w:right w:w="108" w:type="dxa"/>
          </w:tblCellMar>
        </w:tblPrEx>
        <w:trPr>
          <w:trHeight w:val="66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服务器危险行为分析：服务器危险行为分析服务主要针对单位内网服务器存在的高危漏洞服务进行梳理，发现服务器安全风险。</w:t>
            </w:r>
          </w:p>
        </w:tc>
      </w:tr>
      <w:tr>
        <w:tblPrEx>
          <w:tblCellMar>
            <w:top w:w="0" w:type="dxa"/>
            <w:left w:w="108" w:type="dxa"/>
            <w:bottom w:w="0" w:type="dxa"/>
            <w:right w:w="108" w:type="dxa"/>
          </w:tblCellMar>
        </w:tblPrEx>
        <w:trPr>
          <w:trHeight w:val="66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WEB攻击分析：WEB攻击分析主要针对单位内网中存在的web攻击进行梳理分析，发现单位内网中的web攻击事件。</w:t>
            </w:r>
          </w:p>
        </w:tc>
      </w:tr>
      <w:tr>
        <w:tblPrEx>
          <w:tblCellMar>
            <w:top w:w="0" w:type="dxa"/>
            <w:left w:w="108" w:type="dxa"/>
            <w:bottom w:w="0" w:type="dxa"/>
            <w:right w:w="108" w:type="dxa"/>
          </w:tblCellMar>
        </w:tblPrEx>
        <w:trPr>
          <w:trHeight w:val="66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非法外联分析：非法外联分析服务主要针对单位内网中存在一些非常规服务进行梳理，发现单位内网中非法外联事件。</w:t>
            </w:r>
          </w:p>
        </w:tc>
      </w:tr>
      <w:tr>
        <w:tblPrEx>
          <w:tblCellMar>
            <w:top w:w="0" w:type="dxa"/>
            <w:left w:w="108" w:type="dxa"/>
            <w:bottom w:w="0" w:type="dxa"/>
            <w:right w:w="108" w:type="dxa"/>
          </w:tblCellMar>
        </w:tblPrEx>
        <w:trPr>
          <w:trHeight w:val="66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威胁情报：威胁情报可对APT攻击、新型木马、特种免杀木马进行规则化描述。从多个维度特征还原出攻击者的全貌。</w:t>
            </w:r>
          </w:p>
        </w:tc>
      </w:tr>
      <w:tr>
        <w:tblPrEx>
          <w:tblCellMar>
            <w:top w:w="0" w:type="dxa"/>
            <w:left w:w="108" w:type="dxa"/>
            <w:bottom w:w="0" w:type="dxa"/>
            <w:right w:w="108" w:type="dxa"/>
          </w:tblCellMar>
        </w:tblPrEx>
        <w:trPr>
          <w:trHeight w:val="66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DNS服务器监控：DNS服务器监控服务主要针对单位内网中存在一些恶意DNS服务器进行梳理分析，发现安全事件。</w:t>
            </w:r>
          </w:p>
        </w:tc>
      </w:tr>
      <w:tr>
        <w:tblPrEx>
          <w:tblCellMar>
            <w:top w:w="0" w:type="dxa"/>
            <w:left w:w="108" w:type="dxa"/>
            <w:bottom w:w="0" w:type="dxa"/>
            <w:right w:w="108" w:type="dxa"/>
          </w:tblCellMar>
        </w:tblPrEx>
        <w:trPr>
          <w:trHeight w:val="285" w:hRule="atLeast"/>
          <w:jc w:val="center"/>
        </w:trPr>
        <w:tc>
          <w:tcPr>
            <w:tcW w:w="1398" w:type="dxa"/>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技术要求</w:t>
            </w: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保障人员需要具备CSIP-PTE或者CISSP证书。</w:t>
            </w:r>
          </w:p>
        </w:tc>
      </w:tr>
      <w:tr>
        <w:tblPrEx>
          <w:tblCellMar>
            <w:top w:w="0" w:type="dxa"/>
            <w:left w:w="108" w:type="dxa"/>
            <w:bottom w:w="0" w:type="dxa"/>
            <w:right w:w="108" w:type="dxa"/>
          </w:tblCellMar>
        </w:tblPrEx>
        <w:trPr>
          <w:trHeight w:val="51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具有较强的漏洞挖掘能力，</w:t>
            </w:r>
            <w:r>
              <w:rPr>
                <w:rFonts w:hint="eastAsia" w:ascii="仿宋" w:hAnsi="仿宋" w:eastAsia="仿宋" w:cs="仿宋"/>
                <w:color w:val="auto"/>
                <w:kern w:val="0"/>
                <w:szCs w:val="21"/>
                <w:highlight w:val="none"/>
                <w:lang w:val="en-US" w:eastAsia="zh-CN"/>
              </w:rPr>
              <w:t>2019年1月起</w:t>
            </w:r>
            <w:r>
              <w:rPr>
                <w:rFonts w:hint="eastAsia" w:ascii="仿宋" w:hAnsi="仿宋" w:eastAsia="仿宋" w:cs="仿宋"/>
                <w:color w:val="auto"/>
                <w:kern w:val="0"/>
                <w:szCs w:val="21"/>
                <w:highlight w:val="none"/>
              </w:rPr>
              <w:t>每年向国家信息安全漏洞共享平台提供漏洞个数不少于15000个以上。</w:t>
            </w:r>
            <w:r>
              <w:rPr>
                <w:rFonts w:hint="eastAsia" w:ascii="仿宋" w:hAnsi="仿宋" w:eastAsia="仿宋" w:cs="仿宋"/>
                <w:b/>
                <w:bCs/>
                <w:color w:val="auto"/>
                <w:kern w:val="0"/>
                <w:szCs w:val="21"/>
                <w:highlight w:val="none"/>
              </w:rPr>
              <w:t>（投标文件中提供截图证明）</w:t>
            </w:r>
          </w:p>
        </w:tc>
      </w:tr>
      <w:tr>
        <w:tblPrEx>
          <w:tblCellMar>
            <w:top w:w="0" w:type="dxa"/>
            <w:left w:w="108" w:type="dxa"/>
            <w:bottom w:w="0" w:type="dxa"/>
            <w:right w:w="108" w:type="dxa"/>
          </w:tblCellMar>
        </w:tblPrEx>
        <w:trPr>
          <w:trHeight w:val="510" w:hRule="atLeast"/>
          <w:jc w:val="center"/>
        </w:trPr>
        <w:tc>
          <w:tcPr>
            <w:tcW w:w="1398" w:type="dxa"/>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服务工具要求</w:t>
            </w: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提供的检测工具可实现自动化渗透测试,贯穿整个渗透过程的操作,包括信息收集、指纹管理、漏洞发现、漏洞利用、后渗透攻击等模块。</w:t>
            </w:r>
            <w:r>
              <w:rPr>
                <w:rFonts w:hint="eastAsia" w:ascii="仿宋" w:hAnsi="仿宋" w:eastAsia="仿宋" w:cs="仿宋"/>
                <w:b/>
                <w:bCs/>
                <w:color w:val="auto"/>
                <w:kern w:val="0"/>
                <w:szCs w:val="21"/>
                <w:highlight w:val="none"/>
              </w:rPr>
              <w:t>（投标文件中提供截图证明）</w:t>
            </w:r>
          </w:p>
        </w:tc>
      </w:tr>
      <w:tr>
        <w:tblPrEx>
          <w:tblCellMar>
            <w:top w:w="0" w:type="dxa"/>
            <w:left w:w="108" w:type="dxa"/>
            <w:bottom w:w="0" w:type="dxa"/>
            <w:right w:w="108" w:type="dxa"/>
          </w:tblCellMar>
        </w:tblPrEx>
        <w:trPr>
          <w:trHeight w:val="51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提供的检测工具可以根据可编程平台提供的接口编写自己的攻击插件,实现自定义的攻击需求。</w:t>
            </w:r>
            <w:r>
              <w:rPr>
                <w:rFonts w:hint="eastAsia" w:ascii="仿宋" w:hAnsi="仿宋" w:eastAsia="仿宋" w:cs="仿宋"/>
                <w:b/>
                <w:bCs/>
                <w:color w:val="auto"/>
                <w:kern w:val="0"/>
                <w:szCs w:val="21"/>
                <w:highlight w:val="none"/>
              </w:rPr>
              <w:t>（投标文件中提供截图证明）</w:t>
            </w:r>
          </w:p>
        </w:tc>
      </w:tr>
      <w:tr>
        <w:tblPrEx>
          <w:tblCellMar>
            <w:top w:w="0" w:type="dxa"/>
            <w:left w:w="108" w:type="dxa"/>
            <w:bottom w:w="0" w:type="dxa"/>
            <w:right w:w="108" w:type="dxa"/>
          </w:tblCellMar>
        </w:tblPrEx>
        <w:trPr>
          <w:trHeight w:val="51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提供的检测工具基于主流数据分析方法,比如聚类、贝叶斯分类以及概率统计等模型分析,不依赖于任何规则,可在无任何攻击规则情况下发现攻击后门。</w:t>
            </w:r>
            <w:r>
              <w:rPr>
                <w:rFonts w:hint="eastAsia" w:ascii="仿宋" w:hAnsi="仿宋" w:eastAsia="仿宋" w:cs="仿宋"/>
                <w:b/>
                <w:bCs/>
                <w:color w:val="auto"/>
                <w:kern w:val="0"/>
                <w:szCs w:val="21"/>
                <w:highlight w:val="none"/>
              </w:rPr>
              <w:t>（投标文件中提供截图证明）</w:t>
            </w:r>
          </w:p>
        </w:tc>
      </w:tr>
      <w:tr>
        <w:tblPrEx>
          <w:tblCellMar>
            <w:top w:w="0" w:type="dxa"/>
            <w:left w:w="108" w:type="dxa"/>
            <w:bottom w:w="0" w:type="dxa"/>
            <w:right w:w="108" w:type="dxa"/>
          </w:tblCellMar>
        </w:tblPrEx>
        <w:trPr>
          <w:trHeight w:val="510"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提供的源代码安全分析工具必须具有中国人民共和国公安部颁发的计算机信息系统安全专用产品销售许可证。</w:t>
            </w:r>
            <w:r>
              <w:rPr>
                <w:rFonts w:hint="eastAsia" w:ascii="仿宋" w:hAnsi="仿宋" w:eastAsia="仿宋" w:cs="仿宋"/>
                <w:b/>
                <w:bCs/>
                <w:color w:val="auto"/>
                <w:kern w:val="0"/>
                <w:szCs w:val="21"/>
                <w:highlight w:val="none"/>
              </w:rPr>
              <w:t>（提交证书复制件）</w:t>
            </w:r>
          </w:p>
        </w:tc>
      </w:tr>
      <w:tr>
        <w:tblPrEx>
          <w:tblCellMar>
            <w:top w:w="0" w:type="dxa"/>
            <w:left w:w="108" w:type="dxa"/>
            <w:bottom w:w="0" w:type="dxa"/>
            <w:right w:w="108" w:type="dxa"/>
          </w:tblCellMar>
        </w:tblPrEx>
        <w:trPr>
          <w:trHeight w:val="285" w:hRule="atLeast"/>
          <w:jc w:val="center"/>
        </w:trPr>
        <w:tc>
          <w:tcPr>
            <w:tcW w:w="1398" w:type="dxa"/>
            <w:vMerge w:val="restart"/>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制造商能力</w:t>
            </w: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具备信息安全服务资质-风险评估资质一级，投标文件中提供证书复制件。</w:t>
            </w:r>
          </w:p>
        </w:tc>
      </w:tr>
      <w:tr>
        <w:tblPrEx>
          <w:tblCellMar>
            <w:top w:w="0" w:type="dxa"/>
            <w:left w:w="108" w:type="dxa"/>
            <w:bottom w:w="0" w:type="dxa"/>
            <w:right w:w="108" w:type="dxa"/>
          </w:tblCellMar>
        </w:tblPrEx>
        <w:trPr>
          <w:trHeight w:val="285"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信息安全服务资质-应急处理服务资质一级，投标文件中提供证书复制件。</w:t>
            </w:r>
          </w:p>
        </w:tc>
      </w:tr>
      <w:tr>
        <w:tblPrEx>
          <w:tblCellMar>
            <w:top w:w="0" w:type="dxa"/>
            <w:left w:w="108" w:type="dxa"/>
            <w:bottom w:w="0" w:type="dxa"/>
            <w:right w:w="108" w:type="dxa"/>
          </w:tblCellMar>
        </w:tblPrEx>
        <w:trPr>
          <w:trHeight w:val="132" w:hRule="atLeast"/>
          <w:jc w:val="center"/>
        </w:trPr>
        <w:tc>
          <w:tcPr>
            <w:tcW w:w="1398"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p>
        </w:tc>
        <w:tc>
          <w:tcPr>
            <w:tcW w:w="7674" w:type="dxa"/>
            <w:tcBorders>
              <w:top w:val="nil"/>
              <w:left w:val="nil"/>
              <w:bottom w:val="single" w:color="auto" w:sz="4" w:space="0"/>
              <w:right w:val="single" w:color="auto" w:sz="4" w:space="0"/>
            </w:tcBorders>
            <w:noWrap w:val="0"/>
            <w:vAlign w:val="bottom"/>
          </w:tcPr>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具有国测信息安全服务资质-云计算安全类（一级），投标文件中提供证书复制件。</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具有ITSS云计算服务能力（SAAS服务）标准符合性证书的，投标文件中提供证书复制件。</w:t>
            </w:r>
          </w:p>
        </w:tc>
      </w:tr>
    </w:tbl>
    <w:p>
      <w:pPr>
        <w:pageBreakBefore w:val="0"/>
        <w:kinsoku/>
        <w:wordWrap/>
        <w:overflowPunct/>
        <w:topLinePunct w:val="0"/>
        <w:autoSpaceDE/>
        <w:autoSpaceDN/>
        <w:bidi w:val="0"/>
        <w:adjustRightInd/>
        <w:spacing w:line="360" w:lineRule="exact"/>
        <w:ind w:firstLine="480"/>
        <w:rPr>
          <w:rFonts w:hint="eastAsia" w:ascii="仿宋" w:hAnsi="仿宋" w:eastAsia="仿宋" w:cs="仿宋"/>
          <w:color w:val="auto"/>
          <w:szCs w:val="21"/>
          <w:highlight w:val="none"/>
        </w:rPr>
      </w:pPr>
    </w:p>
    <w:p>
      <w:pPr>
        <w:pStyle w:val="4"/>
        <w:pageBreakBefore w:val="0"/>
        <w:tabs>
          <w:tab w:val="left" w:pos="360"/>
          <w:tab w:val="clear" w:pos="1145"/>
        </w:tabs>
        <w:kinsoku/>
        <w:wordWrap/>
        <w:overflowPunct/>
        <w:topLinePunct w:val="0"/>
        <w:autoSpaceDE/>
        <w:autoSpaceDN/>
        <w:bidi w:val="0"/>
        <w:adjustRightInd/>
        <w:spacing w:line="36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系统集成</w:t>
      </w:r>
    </w:p>
    <w:tbl>
      <w:tblPr>
        <w:tblStyle w:val="40"/>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项目</w:t>
            </w:r>
          </w:p>
        </w:tc>
        <w:tc>
          <w:tcPr>
            <w:tcW w:w="7992"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系统实施</w:t>
            </w:r>
          </w:p>
        </w:tc>
        <w:tc>
          <w:tcPr>
            <w:tcW w:w="7992"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提供所有硬件设备的上架、服务器系统的扩容、存储系统的安装与调试、虚拟化系统的安装。所有设备安装调试需中标集成商和相应原厂工程师现场实施，提供原厂商社保证明。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992"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新购系统的规划、实施；全院硬件系统搭建、新旧系统和设备割接；数据库优化、巡检、及系统维护服务等。投标人需要根据目前硬件系统现状，结合此次项目的建设情况，设计并实施一个适合医院的高可靠的双活系统，在关键设备出现故障时不影响正常工作，同时又能够使系统的运行达到最佳状态。</w:t>
            </w:r>
          </w:p>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投标人在系统升级割接过程中需确保过程顺利进行，系统割接过程须具有可回溯性，确保应用割接失败的回退。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80" w:type="dxa"/>
            <w:vMerge w:val="restart"/>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售后服务</w:t>
            </w:r>
          </w:p>
        </w:tc>
        <w:tc>
          <w:tcPr>
            <w:tcW w:w="7992"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中标单位需保证三年内提供四名具有五年工作经验以上的工程师负责7*24小时专项支持服务，1名OCM数据库工程师，1名VCP工程师，1名CCIE认证工程师，1名CISP网络安全工程师，要求工程师2小时内到达用户现场；以上工程师需提供证书</w:t>
            </w:r>
            <w:r>
              <w:rPr>
                <w:rFonts w:hint="eastAsia" w:ascii="仿宋" w:hAnsi="仿宋" w:eastAsia="仿宋" w:cs="仿宋"/>
                <w:color w:val="auto"/>
                <w:szCs w:val="21"/>
                <w:highlight w:val="none"/>
                <w:lang w:eastAsia="zh-CN"/>
              </w:rPr>
              <w:t>复印件</w:t>
            </w:r>
            <w:r>
              <w:rPr>
                <w:rFonts w:hint="eastAsia" w:ascii="仿宋" w:hAnsi="仿宋" w:eastAsia="仿宋" w:cs="仿宋"/>
                <w:color w:val="auto"/>
                <w:szCs w:val="21"/>
                <w:highlight w:val="none"/>
              </w:rPr>
              <w:t>和社保证明等证明材料。服务年限要求：三年7X24小时技术支持。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992"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要求投标方提供本项目所涉及设备一年四次以上日常巡检服务，巡检内容包括硬件设备的运行状态、虚拟化平台的资源使用状态、各虚拟机的空间情况等，并提供用户现有安全设备进行评估服务，以上出具纸质巡检报告（加盖公章），并提供一年不少于2次的平台优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测试和备件</w:t>
            </w:r>
          </w:p>
        </w:tc>
        <w:tc>
          <w:tcPr>
            <w:tcW w:w="7992"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为了保证设备性能和可靠性，中标后5个工作日内，中标方需提供招标设备和系统用于现场功能和性能测试，由第三方出具测试报告，所涉及的测试费用由中标承担，如测试结果与投标参数不符，中标方承担一切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992"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保修期内发生的软硬件故障全部提供免费服务。采购方有权要求提供与本次项目统一存储等设备相同档次设备，放在采购方做备件，当在线运行设备故障宕机时第一时间更换。当有部件故障（包括CPU、内存、电源、硬盘等配件），必须以最快的速度无条件进行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p>
        </w:tc>
        <w:tc>
          <w:tcPr>
            <w:tcW w:w="7992"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方必须确保备件符合系统技术要求，在接到报修通知后，在可能需要使用相关备件的紧急情况下，其他备用设备在4小时内必须到达，如果发现投标方使用二手部件或兼容设备进行维修，将视为违约，并有权对投标响应方进行处罚或终止保修合同的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noWrap w:val="0"/>
            <w:vAlign w:val="center"/>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w:t>
            </w:r>
          </w:p>
        </w:tc>
        <w:tc>
          <w:tcPr>
            <w:tcW w:w="7992" w:type="dxa"/>
            <w:noWrap w:val="0"/>
            <w:vAlign w:val="top"/>
          </w:tcPr>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投标时对以上服务要求条款作出明确报价和响应情况偏离表，合同执行过程中如有任何伪造技术证件资质等弄虚作假情况，中标单位承担一切法律责任。</w:t>
            </w:r>
          </w:p>
        </w:tc>
      </w:tr>
    </w:tbl>
    <w:p>
      <w:pPr>
        <w:pageBreakBefore w:val="0"/>
        <w:widowControl/>
        <w:kinsoku/>
        <w:wordWrap/>
        <w:overflowPunct/>
        <w:topLinePunct w:val="0"/>
        <w:autoSpaceDE/>
        <w:autoSpaceDN/>
        <w:bidi w:val="0"/>
        <w:adjustRightInd/>
        <w:spacing w:line="360" w:lineRule="exact"/>
        <w:jc w:val="left"/>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六</w:t>
      </w:r>
      <w:r>
        <w:rPr>
          <w:rFonts w:hint="eastAsia" w:ascii="仿宋" w:hAnsi="仿宋" w:eastAsia="仿宋" w:cs="仿宋"/>
          <w:b/>
          <w:color w:val="auto"/>
          <w:kern w:val="0"/>
          <w:szCs w:val="21"/>
          <w:highlight w:val="none"/>
          <w:lang w:bidi="ar"/>
        </w:rPr>
        <w:t>、其他要求</w:t>
      </w:r>
    </w:p>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中标人必须保证所有设备为原装正规渠道行货,有原厂服务、如有需要则提供正规渠道等证明，所有产品均原包装到用户，当场开箱验货.同时提供该设备相关技术参数的说明.如不符招标书技术要求,招标人有权退货并且后果一概由中标人承担。</w:t>
      </w:r>
    </w:p>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3、中标人在签订合同时必须向招标人提供标书要求的交换机和堆叠线缆项目授权书原件，供货时提供交换机和堆叠线缆原厂三年服务保修承诺函原件及 (复印件无效，服务承诺书要求有明确服务年限)。由原厂工程师和原厂认证工程师到本地完成招标设备安装及测试工作和网络调优、无线AC网络升级切换、核心网络等配置调整工作,不得影响原有业务系统，要求做好原有系统相关的原有网络配置及版本升级等工作，本项目涉及招标人内部业务系统及原有设备调整，中标人必须保证原有系统正常营业，如需原来中标人协助请自行协商，招标人不再承担任何费用。</w:t>
      </w:r>
    </w:p>
    <w:p>
      <w:pPr>
        <w:pageBreakBefore w:val="0"/>
        <w:kinsoku/>
        <w:wordWrap/>
        <w:overflowPunct/>
        <w:topLinePunct w:val="0"/>
        <w:autoSpaceDE/>
        <w:autoSpaceDN/>
        <w:bidi w:val="0"/>
        <w:adjustRightInd/>
        <w:spacing w:line="36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到货期：中标人在合同签订之日起2个月内完成所有设备全部到货（用户根据工程进度需要延迟的除外），开箱验收后根椐招标人要求完成安装调试，安装过程中用户不负责保管，直至系统正式上线的所有费用有中标人自行负责。</w:t>
      </w:r>
    </w:p>
    <w:p>
      <w:pPr>
        <w:pStyle w:val="2"/>
        <w:pageBreakBefore w:val="0"/>
        <w:kinsoku/>
        <w:wordWrap/>
        <w:overflowPunct/>
        <w:topLinePunct w:val="0"/>
        <w:autoSpaceDE/>
        <w:autoSpaceDN/>
        <w:bidi w:val="0"/>
        <w:adjustRightInd/>
        <w:spacing w:line="360" w:lineRule="exact"/>
        <w:ind w:firstLine="0" w:firstLineChars="0"/>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sz w:val="21"/>
          <w:szCs w:val="21"/>
          <w:highlight w:val="none"/>
          <w:lang w:val="en-US"/>
        </w:rPr>
        <w:t>5、</w:t>
      </w:r>
      <w:r>
        <w:rPr>
          <w:rFonts w:hint="eastAsia" w:ascii="仿宋" w:hAnsi="仿宋" w:eastAsia="仿宋" w:cs="仿宋"/>
          <w:color w:val="auto"/>
          <w:sz w:val="21"/>
          <w:szCs w:val="21"/>
          <w:highlight w:val="none"/>
        </w:rPr>
        <w:t>中标单位无条件配合我院互联互通成熟度测评工作；</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lang w:val="en-US"/>
        </w:rPr>
        <w:t>6、</w:t>
      </w:r>
      <w:r>
        <w:rPr>
          <w:rFonts w:hint="eastAsia" w:ascii="仿宋" w:hAnsi="仿宋" w:eastAsia="仿宋" w:cs="仿宋"/>
          <w:color w:val="auto"/>
          <w:sz w:val="21"/>
          <w:szCs w:val="21"/>
          <w:highlight w:val="none"/>
        </w:rPr>
        <w:t>中标单位无条件接受我院通过招标决定的信息化监理公司对项目做全流程全链条监控，监理费用为项目中标价的2.78%，监理费用由中标单位负担；</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lang w:val="en-US"/>
        </w:rPr>
        <w:t>7</w:t>
      </w:r>
      <w:r>
        <w:rPr>
          <w:rFonts w:hint="eastAsia" w:ascii="仿宋" w:hAnsi="仿宋" w:eastAsia="仿宋" w:cs="仿宋"/>
          <w:color w:val="auto"/>
          <w:sz w:val="21"/>
          <w:szCs w:val="21"/>
          <w:highlight w:val="none"/>
        </w:rPr>
        <w:t xml:space="preserve"> 、项目验收所需费用（如：专家费，资料费等等）由中标单位承担</w:t>
      </w:r>
      <w:r>
        <w:rPr>
          <w:rFonts w:hint="eastAsia" w:ascii="仿宋" w:hAnsi="仿宋" w:eastAsia="仿宋" w:cs="仿宋"/>
          <w:color w:val="auto"/>
          <w:sz w:val="21"/>
          <w:szCs w:val="21"/>
          <w:highlight w:val="none"/>
          <w:lang w:eastAsia="zh-CN"/>
        </w:rPr>
        <w:t>。</w:t>
      </w:r>
    </w:p>
    <w:p>
      <w:pPr>
        <w:widowControl/>
        <w:rPr>
          <w:rFonts w:hint="eastAsia" w:ascii="仿宋" w:hAnsi="仿宋" w:eastAsia="仿宋" w:cs="仿宋"/>
          <w:color w:val="auto"/>
          <w:kern w:val="0"/>
          <w:sz w:val="24"/>
          <w:highlight w:val="none"/>
        </w:rPr>
      </w:pPr>
    </w:p>
    <w:p>
      <w:pPr>
        <w:ind w:right="-288" w:rightChars="-137"/>
        <w:jc w:val="center"/>
        <w:rPr>
          <w:rFonts w:hint="eastAsia" w:ascii="仿宋" w:hAnsi="仿宋" w:eastAsia="仿宋" w:cs="仿宋"/>
          <w:b/>
          <w:color w:val="auto"/>
          <w:sz w:val="36"/>
          <w:szCs w:val="36"/>
          <w:highlight w:val="none"/>
        </w:rPr>
      </w:pPr>
    </w:p>
    <w:p>
      <w:pPr>
        <w:ind w:right="-288" w:rightChars="-137"/>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合同主要条款</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1.合同</w:t>
      </w:r>
      <w:bookmarkStart w:id="17" w:name="OLE_LINK1"/>
      <w:r>
        <w:rPr>
          <w:rFonts w:hint="eastAsia" w:ascii="仿宋" w:hAnsi="仿宋" w:eastAsia="仿宋" w:cs="仿宋"/>
          <w:b/>
          <w:color w:val="auto"/>
          <w:sz w:val="24"/>
          <w:highlight w:val="none"/>
        </w:rPr>
        <w:t>范围</w:t>
      </w:r>
      <w:bookmarkEnd w:id="17"/>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本合同条款适用与本次采购活动。项目实施范围详见附件——招标文件和投标文件及补充文件、采购设计图、承诺书等。</w:t>
      </w:r>
    </w:p>
    <w:p>
      <w:pPr>
        <w:pStyle w:val="54"/>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2.合同的签订</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szCs w:val="24"/>
          <w:highlight w:val="none"/>
        </w:rPr>
        <w:t>2.1.2</w:t>
      </w:r>
      <w:r>
        <w:rPr>
          <w:rFonts w:hint="eastAsia" w:ascii="仿宋" w:hAnsi="仿宋" w:eastAsia="仿宋" w:cs="仿宋"/>
          <w:color w:val="auto"/>
          <w:highlight w:val="none"/>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3.付款方式：</w:t>
      </w:r>
      <w:r>
        <w:rPr>
          <w:rFonts w:hint="eastAsia" w:ascii="仿宋" w:hAnsi="仿宋" w:eastAsia="仿宋" w:cs="仿宋"/>
          <w:color w:val="auto"/>
          <w:highlight w:val="none"/>
        </w:rPr>
        <w:t>按标项内具体要求执行。</w:t>
      </w:r>
    </w:p>
    <w:p>
      <w:pPr>
        <w:tabs>
          <w:tab w:val="left" w:pos="7950"/>
        </w:tabs>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4.合同修改</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5.商品包装和快递包装要求</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质量标准和验收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6.1中标人提供的产品及服务必须是经合法途径取得的。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6.3验收由使用单位按规定组织相关人员或专家进行。</w:t>
      </w:r>
    </w:p>
    <w:p>
      <w:pPr>
        <w:spacing w:line="440" w:lineRule="exact"/>
        <w:ind w:hanging="2"/>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7.违约责任</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7.1提供的货物和服务质量必须达到合格，凡安装调试、设备试运转过程中发现的设备质量问题，中标人必须无偿返工直至符合质量要求，承担返工所发生的一切费用和招标人的直接经济损失。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7.2由于招标人保管不善或使用不当造成设备短缺、故障或损坏，中标人协助招标人及时给予补齐或修复。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8．违约赔偿</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8.2 </w:t>
      </w:r>
      <w:r>
        <w:rPr>
          <w:rFonts w:hint="eastAsia" w:ascii="仿宋" w:hAnsi="仿宋" w:eastAsia="仿宋" w:cs="仿宋"/>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8.3招标人在规定时间无正当理由拒签合同者，以招标违约处理，并赔偿中标人由此造成的直接经济损失。</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9.不可抗力</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10.解决合同纠纷的方式</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10.2仲裁和诉讼费用除仲裁机构和人民法院另有裁决外，由败诉方承担。</w:t>
      </w:r>
    </w:p>
    <w:p>
      <w:pPr>
        <w:pStyle w:val="13"/>
        <w:widowControl w:val="0"/>
        <w:tabs>
          <w:tab w:val="clear" w:pos="1697"/>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10.3在仲裁和诉讼期间，除正在进行裁定的部分外，本合同其他部分应继续执行。</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10.4合同应在双方签字盖章后开始生效。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2"/>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2.1商务技术分（70分）</w:t>
      </w:r>
    </w:p>
    <w:bookmarkEnd w:id="7"/>
    <w:bookmarkEnd w:id="8"/>
    <w:bookmarkEnd w:id="9"/>
    <w:bookmarkEnd w:id="10"/>
    <w:tbl>
      <w:tblPr>
        <w:tblStyle w:val="40"/>
        <w:tblW w:w="9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08"/>
        <w:gridCol w:w="662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b/>
                <w:color w:val="auto"/>
                <w:szCs w:val="21"/>
                <w:highlight w:val="none"/>
                <w:lang w:eastAsia="zh-CN"/>
              </w:rPr>
            </w:pPr>
            <w:r>
              <w:rPr>
                <w:rFonts w:hint="eastAsia" w:ascii="仿宋" w:hAnsi="仿宋" w:eastAsia="仿宋" w:cs="仿宋"/>
                <w:b/>
                <w:color w:val="auto"/>
                <w:szCs w:val="21"/>
                <w:highlight w:val="none"/>
                <w:lang w:eastAsia="zh-CN"/>
              </w:rPr>
              <w:t>序号</w:t>
            </w:r>
          </w:p>
        </w:tc>
        <w:tc>
          <w:tcPr>
            <w:tcW w:w="12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评分内容</w:t>
            </w:r>
          </w:p>
        </w:tc>
        <w:tc>
          <w:tcPr>
            <w:tcW w:w="66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细则内容</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25"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1</w:t>
            </w:r>
          </w:p>
        </w:tc>
        <w:tc>
          <w:tcPr>
            <w:tcW w:w="1208"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公司信用</w:t>
            </w:r>
          </w:p>
        </w:tc>
        <w:tc>
          <w:tcPr>
            <w:tcW w:w="66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pacing w:val="-2"/>
                <w:szCs w:val="21"/>
                <w:highlight w:val="none"/>
              </w:rPr>
              <w:t>具有重合同守信用AAA级得1分，</w:t>
            </w:r>
            <w:r>
              <w:rPr>
                <w:rFonts w:hint="eastAsia" w:ascii="仿宋" w:hAnsi="仿宋" w:eastAsia="仿宋" w:cs="仿宋"/>
                <w:color w:val="auto"/>
                <w:spacing w:val="-2"/>
                <w:szCs w:val="21"/>
                <w:highlight w:val="none"/>
                <w:lang w:eastAsia="zh-CN"/>
              </w:rPr>
              <w:t>需</w:t>
            </w:r>
            <w:r>
              <w:rPr>
                <w:rFonts w:hint="eastAsia" w:ascii="仿宋" w:hAnsi="仿宋" w:eastAsia="仿宋" w:cs="仿宋"/>
                <w:color w:val="auto"/>
                <w:spacing w:val="-2"/>
                <w:szCs w:val="21"/>
                <w:highlight w:val="none"/>
              </w:rPr>
              <w:t>提供</w:t>
            </w:r>
            <w:r>
              <w:rPr>
                <w:rFonts w:hint="eastAsia" w:ascii="仿宋" w:hAnsi="仿宋" w:eastAsia="仿宋" w:cs="仿宋"/>
                <w:color w:val="auto"/>
                <w:spacing w:val="-2"/>
                <w:szCs w:val="21"/>
                <w:highlight w:val="none"/>
                <w:lang w:eastAsia="zh-CN"/>
              </w:rPr>
              <w:t>证书</w:t>
            </w:r>
            <w:r>
              <w:rPr>
                <w:rFonts w:hint="eastAsia" w:ascii="仿宋" w:hAnsi="仿宋" w:eastAsia="仿宋" w:cs="仿宋"/>
                <w:color w:val="auto"/>
                <w:spacing w:val="-2"/>
                <w:szCs w:val="21"/>
                <w:highlight w:val="none"/>
              </w:rPr>
              <w:t>复印件</w:t>
            </w:r>
            <w:r>
              <w:rPr>
                <w:rFonts w:hint="eastAsia" w:ascii="仿宋" w:hAnsi="仿宋" w:eastAsia="仿宋" w:cs="仿宋"/>
                <w:color w:val="auto"/>
                <w:spacing w:val="-2"/>
                <w:szCs w:val="21"/>
                <w:highlight w:val="none"/>
                <w:lang w:eastAsia="zh-CN"/>
              </w:rPr>
              <w:t>加盖投标人公章，未提供不得分。</w:t>
            </w:r>
          </w:p>
        </w:tc>
        <w:tc>
          <w:tcPr>
            <w:tcW w:w="1015"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p>
        </w:tc>
        <w:tc>
          <w:tcPr>
            <w:tcW w:w="1208"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宋体" w:cs="仿宋"/>
                <w:color w:val="auto"/>
                <w:spacing w:val="-2"/>
                <w:szCs w:val="21"/>
                <w:highlight w:val="none"/>
                <w:lang w:eastAsia="zh-CN"/>
              </w:rPr>
            </w:pPr>
            <w:r>
              <w:rPr>
                <w:rFonts w:hint="eastAsia" w:ascii="仿宋" w:hAnsi="仿宋" w:eastAsia="仿宋" w:cs="仿宋"/>
                <w:color w:val="auto"/>
                <w:spacing w:val="-2"/>
                <w:szCs w:val="21"/>
                <w:highlight w:val="none"/>
              </w:rPr>
              <w:t>具有企业信用等级AAA得1分</w:t>
            </w:r>
            <w:r>
              <w:rPr>
                <w:rFonts w:hint="eastAsia"/>
                <w:highlight w:val="none"/>
                <w:lang w:eastAsia="zh-CN"/>
              </w:rPr>
              <w:t>，</w:t>
            </w:r>
            <w:r>
              <w:rPr>
                <w:rFonts w:hint="eastAsia" w:ascii="仿宋" w:hAnsi="仿宋" w:eastAsia="仿宋" w:cs="仿宋"/>
                <w:color w:val="auto"/>
                <w:spacing w:val="-2"/>
                <w:szCs w:val="21"/>
                <w:highlight w:val="none"/>
                <w:lang w:eastAsia="zh-CN"/>
              </w:rPr>
              <w:t>需</w:t>
            </w:r>
            <w:r>
              <w:rPr>
                <w:rFonts w:hint="eastAsia" w:ascii="仿宋" w:hAnsi="仿宋" w:eastAsia="仿宋" w:cs="仿宋"/>
                <w:color w:val="auto"/>
                <w:spacing w:val="-2"/>
                <w:szCs w:val="21"/>
                <w:highlight w:val="none"/>
              </w:rPr>
              <w:t>提供</w:t>
            </w:r>
            <w:r>
              <w:rPr>
                <w:rFonts w:hint="eastAsia" w:ascii="仿宋" w:hAnsi="仿宋" w:eastAsia="仿宋" w:cs="仿宋"/>
                <w:color w:val="auto"/>
                <w:spacing w:val="-2"/>
                <w:szCs w:val="21"/>
                <w:highlight w:val="none"/>
                <w:lang w:eastAsia="zh-CN"/>
              </w:rPr>
              <w:t>证书</w:t>
            </w:r>
            <w:r>
              <w:rPr>
                <w:rFonts w:hint="eastAsia" w:ascii="仿宋" w:hAnsi="仿宋" w:eastAsia="仿宋" w:cs="仿宋"/>
                <w:color w:val="auto"/>
                <w:spacing w:val="-2"/>
                <w:szCs w:val="21"/>
                <w:highlight w:val="none"/>
              </w:rPr>
              <w:t>复印件</w:t>
            </w:r>
            <w:r>
              <w:rPr>
                <w:rFonts w:hint="eastAsia" w:ascii="仿宋" w:hAnsi="仿宋" w:eastAsia="仿宋" w:cs="仿宋"/>
                <w:color w:val="auto"/>
                <w:spacing w:val="-2"/>
                <w:szCs w:val="21"/>
                <w:highlight w:val="none"/>
                <w:lang w:eastAsia="zh-CN"/>
              </w:rPr>
              <w:t>加盖投标人公章，未提供不得分。</w:t>
            </w:r>
          </w:p>
        </w:tc>
        <w:tc>
          <w:tcPr>
            <w:tcW w:w="101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2</w:t>
            </w:r>
          </w:p>
        </w:tc>
        <w:tc>
          <w:tcPr>
            <w:tcW w:w="12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运维能力</w:t>
            </w: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提供具有自主知识产权维保工具类软件著作权证书，每</w:t>
            </w:r>
            <w:r>
              <w:rPr>
                <w:rFonts w:hint="eastAsia" w:ascii="仿宋" w:hAnsi="仿宋" w:eastAsia="仿宋" w:cs="仿宋"/>
                <w:color w:val="auto"/>
                <w:spacing w:val="-2"/>
                <w:szCs w:val="21"/>
                <w:highlight w:val="none"/>
                <w:lang w:eastAsia="zh-CN"/>
              </w:rPr>
              <w:t>提供一份</w:t>
            </w:r>
            <w:r>
              <w:rPr>
                <w:rFonts w:hint="eastAsia" w:ascii="仿宋" w:hAnsi="仿宋" w:eastAsia="仿宋" w:cs="仿宋"/>
                <w:color w:val="auto"/>
                <w:spacing w:val="-2"/>
                <w:szCs w:val="21"/>
                <w:highlight w:val="none"/>
              </w:rPr>
              <w:t>得1分，最高4分</w:t>
            </w:r>
            <w:r>
              <w:rPr>
                <w:rFonts w:hint="eastAsia" w:ascii="仿宋" w:hAnsi="仿宋" w:eastAsia="仿宋" w:cs="仿宋"/>
                <w:color w:val="auto"/>
                <w:spacing w:val="-2"/>
                <w:szCs w:val="21"/>
                <w:highlight w:val="none"/>
                <w:lang w:eastAsia="zh-CN"/>
              </w:rPr>
              <w:t>，需提供证书复印件加盖投标人公章，未提供不得分</w:t>
            </w:r>
            <w:r>
              <w:rPr>
                <w:rFonts w:hint="eastAsia" w:ascii="仿宋" w:hAnsi="仿宋" w:eastAsia="仿宋" w:cs="仿宋"/>
                <w:color w:val="auto"/>
                <w:spacing w:val="-2"/>
                <w:szCs w:val="21"/>
                <w:highlight w:val="none"/>
              </w:rPr>
              <w:t>。</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3</w:t>
            </w:r>
          </w:p>
        </w:tc>
        <w:tc>
          <w:tcPr>
            <w:tcW w:w="12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案例情况</w:t>
            </w:r>
          </w:p>
        </w:tc>
        <w:tc>
          <w:tcPr>
            <w:tcW w:w="6625" w:type="dxa"/>
            <w:noWrap w:val="0"/>
            <w:vAlign w:val="center"/>
          </w:tcPr>
          <w:p>
            <w:pPr>
              <w:keepNext w:val="0"/>
              <w:keepLines w:val="0"/>
              <w:pageBreakBefore w:val="0"/>
              <w:widowControl w:val="0"/>
              <w:numPr>
                <w:ilvl w:val="0"/>
                <w:numId w:val="10"/>
              </w:numPr>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提供2020</w:t>
            </w:r>
            <w:r>
              <w:rPr>
                <w:rFonts w:hint="eastAsia" w:ascii="仿宋" w:hAnsi="仿宋" w:eastAsia="仿宋" w:cs="仿宋"/>
                <w:color w:val="auto"/>
                <w:spacing w:val="-2"/>
                <w:szCs w:val="21"/>
                <w:highlight w:val="none"/>
                <w:lang w:eastAsia="zh-CN"/>
              </w:rPr>
              <w:t>年</w:t>
            </w:r>
            <w:r>
              <w:rPr>
                <w:rFonts w:hint="eastAsia" w:ascii="仿宋" w:hAnsi="仿宋" w:eastAsia="仿宋" w:cs="仿宋"/>
                <w:color w:val="auto"/>
                <w:spacing w:val="-2"/>
                <w:szCs w:val="21"/>
                <w:highlight w:val="none"/>
                <w:lang w:val="en-US" w:eastAsia="zh-CN"/>
              </w:rPr>
              <w:t>1月起至今</w:t>
            </w:r>
            <w:r>
              <w:rPr>
                <w:rFonts w:hint="eastAsia" w:ascii="仿宋" w:hAnsi="仿宋" w:eastAsia="仿宋" w:cs="仿宋"/>
                <w:color w:val="auto"/>
                <w:spacing w:val="-2"/>
                <w:szCs w:val="21"/>
                <w:highlight w:val="none"/>
              </w:rPr>
              <w:t>医疗行业政府采购项目中集成</w:t>
            </w:r>
            <w:r>
              <w:rPr>
                <w:rFonts w:hint="eastAsia" w:ascii="仿宋" w:hAnsi="仿宋" w:eastAsia="仿宋" w:cs="仿宋"/>
                <w:color w:val="auto"/>
                <w:spacing w:val="-2"/>
                <w:szCs w:val="21"/>
                <w:highlight w:val="none"/>
                <w:lang w:eastAsia="zh-CN"/>
              </w:rPr>
              <w:t>案例，每提供一份合同得</w:t>
            </w:r>
            <w:r>
              <w:rPr>
                <w:rFonts w:hint="eastAsia" w:ascii="仿宋" w:hAnsi="仿宋" w:eastAsia="仿宋" w:cs="仿宋"/>
                <w:color w:val="auto"/>
                <w:spacing w:val="-2"/>
                <w:szCs w:val="21"/>
                <w:highlight w:val="none"/>
                <w:lang w:val="en-US" w:eastAsia="zh-CN"/>
              </w:rPr>
              <w:t>1分，最高得3分；</w:t>
            </w:r>
          </w:p>
          <w:p>
            <w:pPr>
              <w:keepNext w:val="0"/>
              <w:keepLines w:val="0"/>
              <w:pageBreakBefore w:val="0"/>
              <w:widowControl w:val="0"/>
              <w:numPr>
                <w:ilvl w:val="0"/>
                <w:numId w:val="10"/>
              </w:numPr>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提供2020</w:t>
            </w:r>
            <w:r>
              <w:rPr>
                <w:rFonts w:hint="eastAsia" w:ascii="仿宋" w:hAnsi="仿宋" w:eastAsia="仿宋" w:cs="仿宋"/>
                <w:color w:val="auto"/>
                <w:spacing w:val="-2"/>
                <w:szCs w:val="21"/>
                <w:highlight w:val="none"/>
                <w:lang w:eastAsia="zh-CN"/>
              </w:rPr>
              <w:t>年</w:t>
            </w:r>
            <w:r>
              <w:rPr>
                <w:rFonts w:hint="eastAsia" w:ascii="仿宋" w:hAnsi="仿宋" w:eastAsia="仿宋" w:cs="仿宋"/>
                <w:color w:val="auto"/>
                <w:spacing w:val="-2"/>
                <w:szCs w:val="21"/>
                <w:highlight w:val="none"/>
                <w:lang w:val="en-US" w:eastAsia="zh-CN"/>
              </w:rPr>
              <w:t>1月起至今</w:t>
            </w:r>
            <w:r>
              <w:rPr>
                <w:rFonts w:hint="eastAsia" w:ascii="仿宋" w:hAnsi="仿宋" w:eastAsia="仿宋" w:cs="仿宋"/>
                <w:color w:val="auto"/>
                <w:spacing w:val="-2"/>
                <w:szCs w:val="21"/>
                <w:highlight w:val="none"/>
              </w:rPr>
              <w:t>医疗行业政府采购项目中数据库运维服务案例，每</w:t>
            </w:r>
            <w:r>
              <w:rPr>
                <w:rFonts w:hint="eastAsia" w:ascii="仿宋" w:hAnsi="仿宋" w:eastAsia="仿宋" w:cs="仿宋"/>
                <w:color w:val="auto"/>
                <w:spacing w:val="-2"/>
                <w:szCs w:val="21"/>
                <w:highlight w:val="none"/>
                <w:lang w:eastAsia="zh-CN"/>
              </w:rPr>
              <w:t>提供一份合同</w:t>
            </w:r>
            <w:r>
              <w:rPr>
                <w:rFonts w:hint="eastAsia" w:ascii="仿宋" w:hAnsi="仿宋" w:eastAsia="仿宋" w:cs="仿宋"/>
                <w:color w:val="auto"/>
                <w:spacing w:val="-2"/>
                <w:szCs w:val="21"/>
                <w:highlight w:val="none"/>
              </w:rPr>
              <w:t>得1分，最高得</w:t>
            </w:r>
            <w:r>
              <w:rPr>
                <w:rFonts w:hint="eastAsia" w:ascii="仿宋" w:hAnsi="仿宋" w:eastAsia="仿宋" w:cs="仿宋"/>
                <w:color w:val="auto"/>
                <w:spacing w:val="-2"/>
                <w:szCs w:val="21"/>
                <w:highlight w:val="none"/>
                <w:lang w:val="en-US" w:eastAsia="zh-CN"/>
              </w:rPr>
              <w:t>3</w:t>
            </w:r>
            <w:r>
              <w:rPr>
                <w:rFonts w:hint="eastAsia" w:ascii="仿宋" w:hAnsi="仿宋" w:eastAsia="仿宋" w:cs="仿宋"/>
                <w:color w:val="auto"/>
                <w:spacing w:val="-2"/>
                <w:szCs w:val="21"/>
                <w:highlight w:val="none"/>
              </w:rPr>
              <w:t>分</w:t>
            </w:r>
            <w:r>
              <w:rPr>
                <w:rFonts w:hint="eastAsia" w:ascii="仿宋" w:hAnsi="仿宋" w:eastAsia="仿宋" w:cs="仿宋"/>
                <w:color w:val="auto"/>
                <w:spacing w:val="-2"/>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备注：</w:t>
            </w:r>
            <w:r>
              <w:rPr>
                <w:rFonts w:hint="eastAsia" w:ascii="仿宋" w:hAnsi="仿宋" w:eastAsia="仿宋" w:cs="仿宋"/>
                <w:color w:val="auto"/>
                <w:spacing w:val="-2"/>
                <w:szCs w:val="21"/>
                <w:highlight w:val="none"/>
                <w:lang w:eastAsia="zh-CN"/>
              </w:rPr>
              <w:t>需提供合同复印件加盖投标人公章，未提供不得分，</w:t>
            </w:r>
            <w:r>
              <w:rPr>
                <w:rFonts w:hint="eastAsia" w:ascii="仿宋" w:hAnsi="仿宋" w:eastAsia="仿宋" w:cs="仿宋"/>
                <w:color w:val="auto"/>
                <w:spacing w:val="-2"/>
                <w:szCs w:val="21"/>
                <w:highlight w:val="none"/>
              </w:rPr>
              <w:t>每个合同案例中同一客户多个案例不重复计算。</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25"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4</w:t>
            </w:r>
          </w:p>
        </w:tc>
        <w:tc>
          <w:tcPr>
            <w:tcW w:w="1208"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项目整体方案</w:t>
            </w: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default"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1.</w:t>
            </w:r>
            <w:r>
              <w:rPr>
                <w:rFonts w:hint="eastAsia" w:ascii="仿宋" w:hAnsi="仿宋" w:eastAsia="仿宋" w:cs="仿宋"/>
                <w:color w:val="auto"/>
                <w:spacing w:val="-2"/>
                <w:szCs w:val="21"/>
                <w:highlight w:val="none"/>
                <w:lang w:eastAsia="zh-CN"/>
              </w:rPr>
              <w:t>根据</w:t>
            </w:r>
            <w:r>
              <w:rPr>
                <w:rFonts w:hint="eastAsia" w:ascii="仿宋" w:hAnsi="仿宋" w:eastAsia="仿宋" w:cs="仿宋"/>
                <w:color w:val="auto"/>
                <w:spacing w:val="-2"/>
                <w:szCs w:val="21"/>
                <w:highlight w:val="none"/>
              </w:rPr>
              <w:t>投标人对用户现状的了解情况</w:t>
            </w:r>
            <w:r>
              <w:rPr>
                <w:rFonts w:hint="eastAsia" w:ascii="仿宋" w:hAnsi="仿宋" w:eastAsia="仿宋" w:cs="仿宋"/>
                <w:color w:val="auto"/>
                <w:spacing w:val="-2"/>
                <w:szCs w:val="21"/>
                <w:highlight w:val="none"/>
                <w:lang w:eastAsia="zh-CN"/>
              </w:rPr>
              <w:t>进行评审</w:t>
            </w:r>
            <w:r>
              <w:rPr>
                <w:rFonts w:hint="eastAsia" w:ascii="仿宋" w:hAnsi="仿宋" w:eastAsia="仿宋" w:cs="仿宋"/>
                <w:color w:val="auto"/>
                <w:spacing w:val="-2"/>
                <w:szCs w:val="21"/>
                <w:highlight w:val="none"/>
              </w:rPr>
              <w:t>，</w:t>
            </w:r>
            <w:r>
              <w:rPr>
                <w:rFonts w:hint="eastAsia" w:ascii="仿宋" w:hAnsi="仿宋" w:eastAsia="仿宋" w:cs="仿宋"/>
                <w:color w:val="auto"/>
                <w:spacing w:val="-2"/>
                <w:szCs w:val="21"/>
                <w:highlight w:val="none"/>
                <w:lang w:eastAsia="zh-CN"/>
              </w:rPr>
              <w:t>优得</w:t>
            </w:r>
            <w:r>
              <w:rPr>
                <w:rFonts w:hint="eastAsia" w:ascii="仿宋" w:hAnsi="仿宋" w:eastAsia="仿宋" w:cs="仿宋"/>
                <w:color w:val="auto"/>
                <w:spacing w:val="-2"/>
                <w:szCs w:val="21"/>
                <w:highlight w:val="none"/>
                <w:lang w:val="en-US" w:eastAsia="zh-CN"/>
              </w:rPr>
              <w:t>1.6-</w:t>
            </w:r>
            <w:r>
              <w:rPr>
                <w:rFonts w:hint="eastAsia" w:ascii="仿宋" w:hAnsi="仿宋" w:eastAsia="仿宋" w:cs="仿宋"/>
                <w:color w:val="auto"/>
                <w:spacing w:val="-2"/>
                <w:szCs w:val="21"/>
                <w:highlight w:val="none"/>
              </w:rPr>
              <w:t>2</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r>
              <w:rPr>
                <w:rFonts w:hint="eastAsia" w:ascii="仿宋" w:hAnsi="仿宋" w:eastAsia="仿宋" w:cs="仿宋"/>
                <w:color w:val="auto"/>
                <w:spacing w:val="-2"/>
                <w:szCs w:val="21"/>
                <w:highlight w:val="none"/>
                <w:lang w:eastAsia="zh-CN"/>
              </w:rPr>
              <w:t>，良得</w:t>
            </w:r>
            <w:r>
              <w:rPr>
                <w:rFonts w:hint="eastAsia" w:ascii="仿宋" w:hAnsi="仿宋" w:eastAsia="仿宋" w:cs="仿宋"/>
                <w:color w:val="auto"/>
                <w:spacing w:val="-2"/>
                <w:szCs w:val="21"/>
                <w:highlight w:val="none"/>
                <w:lang w:val="en-US" w:eastAsia="zh-CN"/>
              </w:rPr>
              <w:t>1.1-1.5分，一般得0-1.0分。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lang w:val="en-US" w:eastAsia="zh-CN"/>
              </w:rPr>
              <w:t>2.根据投标人提供的对</w:t>
            </w:r>
            <w:r>
              <w:rPr>
                <w:rFonts w:hint="eastAsia" w:ascii="仿宋" w:hAnsi="仿宋" w:eastAsia="仿宋" w:cs="仿宋"/>
                <w:color w:val="auto"/>
                <w:spacing w:val="-2"/>
                <w:szCs w:val="21"/>
                <w:highlight w:val="none"/>
              </w:rPr>
              <w:t>本次项目的设备扩容与业务迁移具体步骤的规划方案</w:t>
            </w:r>
            <w:r>
              <w:rPr>
                <w:rFonts w:hint="eastAsia" w:ascii="仿宋" w:hAnsi="仿宋" w:eastAsia="仿宋" w:cs="仿宋"/>
                <w:color w:val="auto"/>
                <w:spacing w:val="-2"/>
                <w:szCs w:val="21"/>
                <w:highlight w:val="none"/>
                <w:lang w:eastAsia="zh-CN"/>
              </w:rPr>
              <w:t>进行评审</w:t>
            </w:r>
            <w:r>
              <w:rPr>
                <w:rFonts w:hint="eastAsia" w:ascii="仿宋" w:hAnsi="仿宋" w:eastAsia="仿宋" w:cs="仿宋"/>
                <w:color w:val="auto"/>
                <w:spacing w:val="-2"/>
                <w:szCs w:val="21"/>
                <w:highlight w:val="none"/>
              </w:rPr>
              <w:t>，</w:t>
            </w:r>
            <w:r>
              <w:rPr>
                <w:rFonts w:hint="eastAsia" w:ascii="仿宋" w:hAnsi="仿宋" w:eastAsia="仿宋" w:cs="仿宋"/>
                <w:color w:val="auto"/>
                <w:spacing w:val="-2"/>
                <w:szCs w:val="21"/>
                <w:highlight w:val="none"/>
                <w:lang w:eastAsia="zh-CN"/>
              </w:rPr>
              <w:t>优得</w:t>
            </w:r>
            <w:r>
              <w:rPr>
                <w:rFonts w:hint="eastAsia" w:ascii="仿宋" w:hAnsi="仿宋" w:eastAsia="仿宋" w:cs="仿宋"/>
                <w:color w:val="auto"/>
                <w:spacing w:val="-2"/>
                <w:szCs w:val="21"/>
                <w:highlight w:val="none"/>
                <w:lang w:val="en-US" w:eastAsia="zh-CN"/>
              </w:rPr>
              <w:t>1.6-</w:t>
            </w:r>
            <w:r>
              <w:rPr>
                <w:rFonts w:hint="eastAsia" w:ascii="仿宋" w:hAnsi="仿宋" w:eastAsia="仿宋" w:cs="仿宋"/>
                <w:color w:val="auto"/>
                <w:spacing w:val="-2"/>
                <w:szCs w:val="21"/>
                <w:highlight w:val="none"/>
              </w:rPr>
              <w:t>2</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r>
              <w:rPr>
                <w:rFonts w:hint="eastAsia" w:ascii="仿宋" w:hAnsi="仿宋" w:eastAsia="仿宋" w:cs="仿宋"/>
                <w:color w:val="auto"/>
                <w:spacing w:val="-2"/>
                <w:szCs w:val="21"/>
                <w:highlight w:val="none"/>
                <w:lang w:eastAsia="zh-CN"/>
              </w:rPr>
              <w:t>，良得</w:t>
            </w:r>
            <w:r>
              <w:rPr>
                <w:rFonts w:hint="eastAsia" w:ascii="仿宋" w:hAnsi="仿宋" w:eastAsia="仿宋" w:cs="仿宋"/>
                <w:color w:val="auto"/>
                <w:spacing w:val="-2"/>
                <w:szCs w:val="21"/>
                <w:highlight w:val="none"/>
                <w:lang w:val="en-US" w:eastAsia="zh-CN"/>
              </w:rPr>
              <w:t>1.1-1.5分，一般得0-1.0分。</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p>
        </w:tc>
        <w:tc>
          <w:tcPr>
            <w:tcW w:w="1208"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根据投标人针对本项目提供的整体解决方案</w:t>
            </w:r>
            <w:r>
              <w:rPr>
                <w:rFonts w:hint="eastAsia" w:ascii="仿宋" w:hAnsi="仿宋" w:eastAsia="仿宋" w:cs="仿宋"/>
                <w:color w:val="auto"/>
                <w:spacing w:val="-2"/>
                <w:szCs w:val="21"/>
                <w:highlight w:val="none"/>
                <w:lang w:eastAsia="zh-CN"/>
              </w:rPr>
              <w:t>进行评审</w:t>
            </w:r>
            <w:r>
              <w:rPr>
                <w:rFonts w:hint="eastAsia" w:ascii="仿宋" w:hAnsi="仿宋" w:eastAsia="仿宋" w:cs="仿宋"/>
                <w:color w:val="auto"/>
                <w:spacing w:val="-2"/>
                <w:szCs w:val="21"/>
                <w:highlight w:val="none"/>
              </w:rPr>
              <w:t>，包括项目整体管理、质量管理、进度管理等方面的完整性酌情给分。提供外网专线割接方案与回退方案、提供内网割接方案与回退方案。</w:t>
            </w:r>
            <w:r>
              <w:rPr>
                <w:rFonts w:hint="eastAsia" w:ascii="仿宋" w:hAnsi="仿宋" w:eastAsia="仿宋" w:cs="仿宋"/>
                <w:color w:val="auto"/>
                <w:spacing w:val="-2"/>
                <w:szCs w:val="21"/>
                <w:highlight w:val="none"/>
                <w:lang w:eastAsia="zh-CN"/>
              </w:rPr>
              <w:t>优</w:t>
            </w:r>
            <w:r>
              <w:rPr>
                <w:rFonts w:hint="eastAsia" w:ascii="仿宋" w:hAnsi="仿宋" w:eastAsia="仿宋" w:cs="仿宋"/>
                <w:color w:val="auto"/>
                <w:spacing w:val="-2"/>
                <w:szCs w:val="21"/>
                <w:highlight w:val="none"/>
              </w:rPr>
              <w:t xml:space="preserve">得 </w:t>
            </w:r>
            <w:r>
              <w:rPr>
                <w:rFonts w:hint="eastAsia" w:ascii="仿宋" w:hAnsi="仿宋" w:eastAsia="仿宋" w:cs="仿宋"/>
                <w:color w:val="auto"/>
                <w:spacing w:val="-2"/>
                <w:szCs w:val="21"/>
                <w:highlight w:val="none"/>
                <w:lang w:val="en-US" w:eastAsia="zh-CN"/>
              </w:rPr>
              <w:t>2.1-</w:t>
            </w:r>
            <w:r>
              <w:rPr>
                <w:rFonts w:hint="eastAsia" w:ascii="仿宋" w:hAnsi="仿宋" w:eastAsia="仿宋" w:cs="仿宋"/>
                <w:color w:val="auto"/>
                <w:spacing w:val="-2"/>
                <w:szCs w:val="21"/>
                <w:highlight w:val="none"/>
              </w:rPr>
              <w:t>3</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r>
              <w:rPr>
                <w:rFonts w:hint="eastAsia" w:ascii="仿宋" w:hAnsi="仿宋" w:eastAsia="仿宋" w:cs="仿宋"/>
                <w:color w:val="auto"/>
                <w:spacing w:val="-2"/>
                <w:szCs w:val="21"/>
                <w:highlight w:val="none"/>
                <w:lang w:eastAsia="zh-CN"/>
              </w:rPr>
              <w:t>良</w:t>
            </w:r>
            <w:r>
              <w:rPr>
                <w:rFonts w:hint="eastAsia" w:ascii="仿宋" w:hAnsi="仿宋" w:eastAsia="仿宋" w:cs="仿宋"/>
                <w:color w:val="auto"/>
                <w:spacing w:val="-2"/>
                <w:szCs w:val="21"/>
                <w:highlight w:val="none"/>
              </w:rPr>
              <w:t>得</w:t>
            </w:r>
            <w:r>
              <w:rPr>
                <w:rFonts w:hint="eastAsia" w:ascii="仿宋" w:hAnsi="仿宋" w:eastAsia="仿宋" w:cs="仿宋"/>
                <w:color w:val="auto"/>
                <w:spacing w:val="-2"/>
                <w:szCs w:val="21"/>
                <w:highlight w:val="none"/>
                <w:lang w:val="en-US" w:eastAsia="zh-CN"/>
              </w:rPr>
              <w:t>1.1-</w:t>
            </w:r>
            <w:r>
              <w:rPr>
                <w:rFonts w:hint="eastAsia" w:ascii="仿宋" w:hAnsi="仿宋" w:eastAsia="仿宋" w:cs="仿宋"/>
                <w:color w:val="auto"/>
                <w:spacing w:val="-2"/>
                <w:szCs w:val="21"/>
                <w:highlight w:val="none"/>
              </w:rPr>
              <w:t>2</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分，一般得</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1</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p>
        </w:tc>
        <w:tc>
          <w:tcPr>
            <w:tcW w:w="1208"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根据投标</w:t>
            </w:r>
            <w:r>
              <w:rPr>
                <w:rFonts w:hint="eastAsia" w:ascii="仿宋" w:hAnsi="仿宋" w:eastAsia="仿宋" w:cs="仿宋"/>
                <w:color w:val="auto"/>
                <w:spacing w:val="-2"/>
                <w:szCs w:val="21"/>
                <w:highlight w:val="none"/>
                <w:lang w:eastAsia="zh-CN"/>
              </w:rPr>
              <w:t>人</w:t>
            </w:r>
            <w:r>
              <w:rPr>
                <w:rFonts w:hint="eastAsia" w:ascii="仿宋" w:hAnsi="仿宋" w:eastAsia="仿宋" w:cs="仿宋"/>
                <w:color w:val="auto"/>
                <w:spacing w:val="-2"/>
                <w:szCs w:val="21"/>
                <w:highlight w:val="none"/>
              </w:rPr>
              <w:t>对本次采购需求理解、满足程度、对医疗行业的熟悉程度及现场的服务能力</w:t>
            </w:r>
            <w:r>
              <w:rPr>
                <w:rFonts w:hint="eastAsia" w:ascii="仿宋" w:hAnsi="仿宋" w:eastAsia="仿宋" w:cs="仿宋"/>
                <w:color w:val="auto"/>
                <w:spacing w:val="-2"/>
                <w:szCs w:val="21"/>
                <w:highlight w:val="none"/>
                <w:lang w:eastAsia="zh-CN"/>
              </w:rPr>
              <w:t>进行评审，优</w:t>
            </w:r>
            <w:r>
              <w:rPr>
                <w:rFonts w:hint="eastAsia" w:ascii="仿宋" w:hAnsi="仿宋" w:eastAsia="仿宋" w:cs="仿宋"/>
                <w:color w:val="auto"/>
                <w:spacing w:val="-2"/>
                <w:szCs w:val="21"/>
                <w:highlight w:val="none"/>
              </w:rPr>
              <w:t xml:space="preserve">得 </w:t>
            </w:r>
            <w:r>
              <w:rPr>
                <w:rFonts w:hint="eastAsia" w:ascii="仿宋" w:hAnsi="仿宋" w:eastAsia="仿宋" w:cs="仿宋"/>
                <w:color w:val="auto"/>
                <w:spacing w:val="-2"/>
                <w:szCs w:val="21"/>
                <w:highlight w:val="none"/>
                <w:lang w:val="en-US" w:eastAsia="zh-CN"/>
              </w:rPr>
              <w:t>2.1-</w:t>
            </w:r>
            <w:r>
              <w:rPr>
                <w:rFonts w:hint="eastAsia" w:ascii="仿宋" w:hAnsi="仿宋" w:eastAsia="仿宋" w:cs="仿宋"/>
                <w:color w:val="auto"/>
                <w:spacing w:val="-2"/>
                <w:szCs w:val="21"/>
                <w:highlight w:val="none"/>
              </w:rPr>
              <w:t>3</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r>
              <w:rPr>
                <w:rFonts w:hint="eastAsia" w:ascii="仿宋" w:hAnsi="仿宋" w:eastAsia="仿宋" w:cs="仿宋"/>
                <w:color w:val="auto"/>
                <w:spacing w:val="-2"/>
                <w:szCs w:val="21"/>
                <w:highlight w:val="none"/>
                <w:lang w:eastAsia="zh-CN"/>
              </w:rPr>
              <w:t>良</w:t>
            </w:r>
            <w:r>
              <w:rPr>
                <w:rFonts w:hint="eastAsia" w:ascii="仿宋" w:hAnsi="仿宋" w:eastAsia="仿宋" w:cs="仿宋"/>
                <w:color w:val="auto"/>
                <w:spacing w:val="-2"/>
                <w:szCs w:val="21"/>
                <w:highlight w:val="none"/>
              </w:rPr>
              <w:t>得</w:t>
            </w:r>
            <w:r>
              <w:rPr>
                <w:rFonts w:hint="eastAsia" w:ascii="仿宋" w:hAnsi="仿宋" w:eastAsia="仿宋" w:cs="仿宋"/>
                <w:color w:val="auto"/>
                <w:spacing w:val="-2"/>
                <w:szCs w:val="21"/>
                <w:highlight w:val="none"/>
                <w:lang w:val="en-US" w:eastAsia="zh-CN"/>
              </w:rPr>
              <w:t>1.1-</w:t>
            </w:r>
            <w:r>
              <w:rPr>
                <w:rFonts w:hint="eastAsia" w:ascii="仿宋" w:hAnsi="仿宋" w:eastAsia="仿宋" w:cs="仿宋"/>
                <w:color w:val="auto"/>
                <w:spacing w:val="-2"/>
                <w:szCs w:val="21"/>
                <w:highlight w:val="none"/>
              </w:rPr>
              <w:t>2</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分，一般得</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1</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725"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5</w:t>
            </w:r>
          </w:p>
        </w:tc>
        <w:tc>
          <w:tcPr>
            <w:tcW w:w="1208"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产品性能、技术指标、项目技术方案</w:t>
            </w: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完全符合指标参数得18分，带★的参数必须满足，否则将视为无效标处理，带▲项为实质性参数，其中带▲项的性能指标不满足的每项扣2分，其他指标及技术参数不满足的每项扣1分，扣完</w:t>
            </w:r>
            <w:r>
              <w:rPr>
                <w:rFonts w:hint="eastAsia" w:ascii="仿宋" w:hAnsi="仿宋" w:eastAsia="仿宋" w:cs="仿宋"/>
                <w:color w:val="auto"/>
                <w:spacing w:val="-2"/>
                <w:szCs w:val="21"/>
                <w:highlight w:val="none"/>
                <w:lang w:eastAsia="zh-CN"/>
              </w:rPr>
              <w:t>为止</w:t>
            </w:r>
            <w:r>
              <w:rPr>
                <w:rFonts w:hint="eastAsia" w:ascii="仿宋" w:hAnsi="仿宋" w:eastAsia="仿宋" w:cs="仿宋"/>
                <w:color w:val="auto"/>
                <w:spacing w:val="-2"/>
                <w:szCs w:val="21"/>
                <w:highlight w:val="none"/>
              </w:rPr>
              <w:t>。</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7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p>
        </w:tc>
        <w:tc>
          <w:tcPr>
            <w:tcW w:w="1208"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对实质性性能指标、技术参数属正偏离的每项加1分，最高得2分，无实质性意义的不加分。</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25"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p>
        </w:tc>
        <w:tc>
          <w:tcPr>
            <w:tcW w:w="1208"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根据投标</w:t>
            </w:r>
            <w:r>
              <w:rPr>
                <w:rFonts w:hint="eastAsia" w:ascii="仿宋" w:hAnsi="仿宋" w:eastAsia="仿宋" w:cs="仿宋"/>
                <w:color w:val="auto"/>
                <w:spacing w:val="-2"/>
                <w:szCs w:val="21"/>
                <w:highlight w:val="none"/>
                <w:lang w:eastAsia="zh-CN"/>
              </w:rPr>
              <w:t>人提供</w:t>
            </w:r>
            <w:r>
              <w:rPr>
                <w:rFonts w:hint="eastAsia" w:ascii="仿宋" w:hAnsi="仿宋" w:eastAsia="仿宋" w:cs="仿宋"/>
                <w:color w:val="auto"/>
                <w:spacing w:val="-2"/>
                <w:szCs w:val="21"/>
                <w:highlight w:val="none"/>
              </w:rPr>
              <w:t>的技术集成方案、备份方案、技术实现方案的完整性、合理性、可行性</w:t>
            </w:r>
            <w:r>
              <w:rPr>
                <w:rFonts w:hint="eastAsia" w:ascii="仿宋" w:hAnsi="仿宋" w:eastAsia="仿宋" w:cs="仿宋"/>
                <w:color w:val="auto"/>
                <w:spacing w:val="-2"/>
                <w:szCs w:val="21"/>
                <w:highlight w:val="none"/>
                <w:lang w:eastAsia="zh-CN"/>
              </w:rPr>
              <w:t>进行评审，优</w:t>
            </w:r>
            <w:r>
              <w:rPr>
                <w:rFonts w:hint="eastAsia" w:ascii="仿宋" w:hAnsi="仿宋" w:eastAsia="仿宋" w:cs="仿宋"/>
                <w:color w:val="auto"/>
                <w:spacing w:val="-2"/>
                <w:szCs w:val="21"/>
                <w:highlight w:val="none"/>
              </w:rPr>
              <w:t xml:space="preserve">得 </w:t>
            </w:r>
            <w:r>
              <w:rPr>
                <w:rFonts w:hint="eastAsia" w:ascii="仿宋" w:hAnsi="仿宋" w:eastAsia="仿宋" w:cs="仿宋"/>
                <w:color w:val="auto"/>
                <w:spacing w:val="-2"/>
                <w:szCs w:val="21"/>
                <w:highlight w:val="none"/>
                <w:lang w:val="en-US" w:eastAsia="zh-CN"/>
              </w:rPr>
              <w:t>2.1-</w:t>
            </w:r>
            <w:r>
              <w:rPr>
                <w:rFonts w:hint="eastAsia" w:ascii="仿宋" w:hAnsi="仿宋" w:eastAsia="仿宋" w:cs="仿宋"/>
                <w:color w:val="auto"/>
                <w:spacing w:val="-2"/>
                <w:szCs w:val="21"/>
                <w:highlight w:val="none"/>
              </w:rPr>
              <w:t>3</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r>
              <w:rPr>
                <w:rFonts w:hint="eastAsia" w:ascii="仿宋" w:hAnsi="仿宋" w:eastAsia="仿宋" w:cs="仿宋"/>
                <w:color w:val="auto"/>
                <w:spacing w:val="-2"/>
                <w:szCs w:val="21"/>
                <w:highlight w:val="none"/>
                <w:lang w:eastAsia="zh-CN"/>
              </w:rPr>
              <w:t>良</w:t>
            </w:r>
            <w:r>
              <w:rPr>
                <w:rFonts w:hint="eastAsia" w:ascii="仿宋" w:hAnsi="仿宋" w:eastAsia="仿宋" w:cs="仿宋"/>
                <w:color w:val="auto"/>
                <w:spacing w:val="-2"/>
                <w:szCs w:val="21"/>
                <w:highlight w:val="none"/>
              </w:rPr>
              <w:t>得</w:t>
            </w:r>
            <w:r>
              <w:rPr>
                <w:rFonts w:hint="eastAsia" w:ascii="仿宋" w:hAnsi="仿宋" w:eastAsia="仿宋" w:cs="仿宋"/>
                <w:color w:val="auto"/>
                <w:spacing w:val="-2"/>
                <w:szCs w:val="21"/>
                <w:highlight w:val="none"/>
                <w:lang w:val="en-US" w:eastAsia="zh-CN"/>
              </w:rPr>
              <w:t>1.1-</w:t>
            </w:r>
            <w:r>
              <w:rPr>
                <w:rFonts w:hint="eastAsia" w:ascii="仿宋" w:hAnsi="仿宋" w:eastAsia="仿宋" w:cs="仿宋"/>
                <w:color w:val="auto"/>
                <w:spacing w:val="-2"/>
                <w:szCs w:val="21"/>
                <w:highlight w:val="none"/>
              </w:rPr>
              <w:t>2</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分，一般得</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1</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6</w:t>
            </w:r>
          </w:p>
        </w:tc>
        <w:tc>
          <w:tcPr>
            <w:tcW w:w="12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项目实施能力</w:t>
            </w: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本项目成员中</w:t>
            </w:r>
            <w:r>
              <w:rPr>
                <w:rFonts w:hint="eastAsia" w:ascii="仿宋" w:hAnsi="仿宋" w:eastAsia="仿宋" w:cs="仿宋"/>
                <w:color w:val="auto"/>
                <w:spacing w:val="-2"/>
                <w:szCs w:val="21"/>
                <w:highlight w:val="none"/>
                <w:lang w:eastAsia="zh-CN"/>
              </w:rPr>
              <w:t>具</w:t>
            </w:r>
            <w:r>
              <w:rPr>
                <w:rFonts w:hint="eastAsia" w:ascii="仿宋" w:hAnsi="仿宋" w:eastAsia="仿宋" w:cs="仿宋"/>
                <w:color w:val="auto"/>
                <w:spacing w:val="-2"/>
                <w:szCs w:val="21"/>
                <w:highlight w:val="none"/>
              </w:rPr>
              <w:t>有OCM认证工程师得2分；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lang w:eastAsia="zh-CN"/>
              </w:rPr>
              <w:t>具</w:t>
            </w:r>
            <w:r>
              <w:rPr>
                <w:rFonts w:hint="eastAsia" w:ascii="仿宋" w:hAnsi="仿宋" w:eastAsia="仿宋" w:cs="仿宋"/>
                <w:color w:val="auto"/>
                <w:spacing w:val="-2"/>
                <w:szCs w:val="21"/>
                <w:highlight w:val="none"/>
              </w:rPr>
              <w:t>有信息系统监理师认证得2分；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lang w:eastAsia="zh-CN"/>
              </w:rPr>
              <w:t>具</w:t>
            </w:r>
            <w:r>
              <w:rPr>
                <w:rFonts w:hint="eastAsia" w:ascii="仿宋" w:hAnsi="仿宋" w:eastAsia="仿宋" w:cs="仿宋"/>
                <w:color w:val="auto"/>
                <w:spacing w:val="-2"/>
                <w:szCs w:val="21"/>
                <w:highlight w:val="none"/>
              </w:rPr>
              <w:t>有CCIE认证得2分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lang w:eastAsia="zh-CN"/>
              </w:rPr>
              <w:t>具</w:t>
            </w:r>
            <w:r>
              <w:rPr>
                <w:rFonts w:hint="eastAsia" w:ascii="仿宋" w:hAnsi="仿宋" w:eastAsia="仿宋" w:cs="仿宋"/>
                <w:color w:val="auto"/>
                <w:spacing w:val="-2"/>
                <w:szCs w:val="21"/>
                <w:highlight w:val="none"/>
              </w:rPr>
              <w:t>有VCP工程师工程师得2分；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lang w:eastAsia="zh-CN"/>
              </w:rPr>
              <w:t>具</w:t>
            </w:r>
            <w:r>
              <w:rPr>
                <w:rFonts w:hint="eastAsia" w:ascii="仿宋" w:hAnsi="仿宋" w:eastAsia="仿宋" w:cs="仿宋"/>
                <w:color w:val="auto"/>
                <w:spacing w:val="-2"/>
                <w:szCs w:val="21"/>
                <w:highlight w:val="none"/>
              </w:rPr>
              <w:t>有CISP网络安全工程师得2分；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lang w:eastAsia="zh-CN"/>
              </w:rPr>
              <w:t>具</w:t>
            </w:r>
            <w:r>
              <w:rPr>
                <w:rFonts w:hint="eastAsia" w:ascii="仿宋" w:hAnsi="仿宋" w:eastAsia="仿宋" w:cs="仿宋"/>
                <w:color w:val="auto"/>
                <w:spacing w:val="-2"/>
                <w:szCs w:val="21"/>
                <w:highlight w:val="none"/>
              </w:rPr>
              <w:t>有高级项目经理得2分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lang w:eastAsia="zh-CN"/>
              </w:rPr>
              <w:t>具</w:t>
            </w:r>
            <w:r>
              <w:rPr>
                <w:rFonts w:hint="eastAsia" w:ascii="仿宋" w:hAnsi="仿宋" w:eastAsia="仿宋" w:cs="仿宋"/>
                <w:color w:val="auto"/>
                <w:spacing w:val="-2"/>
                <w:szCs w:val="21"/>
                <w:highlight w:val="none"/>
              </w:rPr>
              <w:t>有PMP证书的工程师得2分</w:t>
            </w:r>
          </w:p>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上</w:t>
            </w:r>
            <w:r>
              <w:rPr>
                <w:rFonts w:hint="eastAsia" w:ascii="仿宋" w:hAnsi="仿宋" w:eastAsia="仿宋" w:cs="仿宋"/>
                <w:color w:val="auto"/>
                <w:spacing w:val="-2"/>
                <w:szCs w:val="21"/>
                <w:highlight w:val="none"/>
                <w:lang w:eastAsia="zh-CN"/>
              </w:rPr>
              <w:t>述需提供相关证书复印件及人员近</w:t>
            </w:r>
            <w:r>
              <w:rPr>
                <w:rFonts w:hint="eastAsia" w:ascii="仿宋" w:hAnsi="仿宋" w:eastAsia="仿宋" w:cs="仿宋"/>
                <w:color w:val="auto"/>
                <w:spacing w:val="-2"/>
                <w:szCs w:val="21"/>
                <w:highlight w:val="none"/>
                <w:lang w:val="en-US" w:eastAsia="zh-CN"/>
              </w:rPr>
              <w:t>1年的社保缴费证明加盖投标人公章，未提供不得分</w:t>
            </w:r>
            <w:r>
              <w:rPr>
                <w:rFonts w:hint="eastAsia" w:ascii="仿宋" w:hAnsi="仿宋" w:eastAsia="仿宋" w:cs="仿宋"/>
                <w:color w:val="auto"/>
                <w:spacing w:val="-2"/>
                <w:szCs w:val="21"/>
                <w:highlight w:val="none"/>
              </w:rPr>
              <w:t>。</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7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7</w:t>
            </w:r>
          </w:p>
        </w:tc>
        <w:tc>
          <w:tcPr>
            <w:tcW w:w="12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公司服务能力</w:t>
            </w: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具有ISO22301业务连续性体系认证得1分，ISO45001职业健康管理体系认证的得1分；</w:t>
            </w:r>
            <w:r>
              <w:rPr>
                <w:rFonts w:hint="eastAsia" w:ascii="仿宋" w:hAnsi="仿宋" w:eastAsia="仿宋" w:cs="仿宋"/>
                <w:color w:val="auto"/>
                <w:spacing w:val="-2"/>
                <w:szCs w:val="21"/>
                <w:highlight w:val="none"/>
                <w:lang w:eastAsia="zh-CN"/>
              </w:rPr>
              <w:t>需</w:t>
            </w:r>
            <w:r>
              <w:rPr>
                <w:rFonts w:hint="eastAsia" w:ascii="仿宋" w:hAnsi="仿宋" w:eastAsia="仿宋" w:cs="仿宋"/>
                <w:color w:val="auto"/>
                <w:spacing w:val="-2"/>
                <w:szCs w:val="21"/>
                <w:highlight w:val="none"/>
              </w:rPr>
              <w:t>提供相关证明材料复印件</w:t>
            </w:r>
            <w:r>
              <w:rPr>
                <w:rFonts w:hint="eastAsia" w:ascii="仿宋" w:hAnsi="仿宋" w:eastAsia="仿宋" w:cs="仿宋"/>
                <w:color w:val="auto"/>
                <w:spacing w:val="-2"/>
                <w:szCs w:val="21"/>
                <w:highlight w:val="none"/>
                <w:lang w:eastAsia="zh-CN"/>
              </w:rPr>
              <w:t>加盖投标人公章，未提供不得分</w:t>
            </w:r>
            <w:r>
              <w:rPr>
                <w:rFonts w:hint="eastAsia" w:ascii="仿宋" w:hAnsi="仿宋" w:eastAsia="仿宋" w:cs="仿宋"/>
                <w:color w:val="auto"/>
                <w:spacing w:val="-2"/>
                <w:szCs w:val="21"/>
                <w:highlight w:val="none"/>
              </w:rPr>
              <w:t>。</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8</w:t>
            </w:r>
          </w:p>
        </w:tc>
        <w:tc>
          <w:tcPr>
            <w:tcW w:w="12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公司服务方案</w:t>
            </w: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lang w:eastAsia="zh-CN"/>
              </w:rPr>
              <w:t>根据投标人</w:t>
            </w:r>
            <w:r>
              <w:rPr>
                <w:rFonts w:hint="eastAsia" w:ascii="仿宋" w:hAnsi="仿宋" w:eastAsia="仿宋" w:cs="仿宋"/>
                <w:color w:val="auto"/>
                <w:spacing w:val="-2"/>
                <w:szCs w:val="21"/>
                <w:highlight w:val="none"/>
              </w:rPr>
              <w:t>对本次项目后续的服务方案，人员的响应及时程度</w:t>
            </w:r>
            <w:r>
              <w:rPr>
                <w:rFonts w:hint="eastAsia" w:ascii="仿宋" w:hAnsi="仿宋" w:eastAsia="仿宋" w:cs="仿宋"/>
                <w:color w:val="auto"/>
                <w:spacing w:val="-2"/>
                <w:szCs w:val="21"/>
                <w:highlight w:val="none"/>
                <w:lang w:eastAsia="zh-CN"/>
              </w:rPr>
              <w:t>进行评审</w:t>
            </w:r>
            <w:r>
              <w:rPr>
                <w:rFonts w:hint="eastAsia" w:ascii="仿宋" w:hAnsi="仿宋" w:eastAsia="仿宋" w:cs="仿宋"/>
                <w:color w:val="auto"/>
                <w:spacing w:val="-2"/>
                <w:szCs w:val="21"/>
                <w:highlight w:val="none"/>
              </w:rPr>
              <w:t>，</w:t>
            </w:r>
            <w:r>
              <w:rPr>
                <w:rFonts w:hint="eastAsia" w:ascii="仿宋" w:hAnsi="仿宋" w:eastAsia="仿宋" w:cs="仿宋"/>
                <w:color w:val="auto"/>
                <w:spacing w:val="-2"/>
                <w:szCs w:val="21"/>
                <w:highlight w:val="none"/>
                <w:lang w:eastAsia="zh-CN"/>
              </w:rPr>
              <w:t>优</w:t>
            </w:r>
            <w:r>
              <w:rPr>
                <w:rFonts w:hint="eastAsia" w:ascii="仿宋" w:hAnsi="仿宋" w:eastAsia="仿宋" w:cs="仿宋"/>
                <w:color w:val="auto"/>
                <w:spacing w:val="-2"/>
                <w:szCs w:val="21"/>
                <w:highlight w:val="none"/>
              </w:rPr>
              <w:t>得</w:t>
            </w:r>
            <w:r>
              <w:rPr>
                <w:rFonts w:hint="eastAsia" w:ascii="仿宋" w:hAnsi="仿宋" w:eastAsia="仿宋" w:cs="仿宋"/>
                <w:color w:val="auto"/>
                <w:spacing w:val="-2"/>
                <w:szCs w:val="21"/>
                <w:highlight w:val="none"/>
                <w:lang w:val="en-US" w:eastAsia="zh-CN"/>
              </w:rPr>
              <w:t>3.1-</w:t>
            </w:r>
            <w:r>
              <w:rPr>
                <w:rFonts w:hint="eastAsia" w:ascii="仿宋" w:hAnsi="仿宋" w:eastAsia="仿宋" w:cs="仿宋"/>
                <w:color w:val="auto"/>
                <w:spacing w:val="-2"/>
                <w:szCs w:val="21"/>
                <w:highlight w:val="none"/>
              </w:rPr>
              <w:t>4</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r>
              <w:rPr>
                <w:rFonts w:hint="eastAsia" w:ascii="仿宋" w:hAnsi="仿宋" w:eastAsia="仿宋" w:cs="仿宋"/>
                <w:color w:val="auto"/>
                <w:spacing w:val="-2"/>
                <w:szCs w:val="21"/>
                <w:highlight w:val="none"/>
                <w:lang w:eastAsia="zh-CN"/>
              </w:rPr>
              <w:t>良</w:t>
            </w:r>
            <w:r>
              <w:rPr>
                <w:rFonts w:hint="eastAsia" w:ascii="仿宋" w:hAnsi="仿宋" w:eastAsia="仿宋" w:cs="仿宋"/>
                <w:color w:val="auto"/>
                <w:spacing w:val="-2"/>
                <w:szCs w:val="21"/>
                <w:highlight w:val="none"/>
              </w:rPr>
              <w:t>得2</w:t>
            </w:r>
            <w:r>
              <w:rPr>
                <w:rFonts w:hint="eastAsia" w:ascii="仿宋" w:hAnsi="仿宋" w:eastAsia="仿宋" w:cs="仿宋"/>
                <w:color w:val="auto"/>
                <w:spacing w:val="-2"/>
                <w:szCs w:val="21"/>
                <w:highlight w:val="none"/>
                <w:lang w:val="en-US" w:eastAsia="zh-CN"/>
              </w:rPr>
              <w:t>.1</w:t>
            </w:r>
            <w:r>
              <w:rPr>
                <w:rFonts w:hint="eastAsia" w:ascii="仿宋" w:hAnsi="仿宋" w:eastAsia="仿宋" w:cs="仿宋"/>
                <w:color w:val="auto"/>
                <w:spacing w:val="-2"/>
                <w:szCs w:val="21"/>
                <w:highlight w:val="none"/>
              </w:rPr>
              <w:t>-3</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分，一般得</w:t>
            </w:r>
            <w:r>
              <w:rPr>
                <w:rFonts w:hint="eastAsia" w:ascii="仿宋" w:hAnsi="仿宋" w:eastAsia="仿宋" w:cs="仿宋"/>
                <w:color w:val="auto"/>
                <w:spacing w:val="-2"/>
                <w:szCs w:val="21"/>
                <w:highlight w:val="none"/>
                <w:lang w:val="en-US" w:eastAsia="zh-CN"/>
              </w:rPr>
              <w:t>0-2.0</w:t>
            </w:r>
            <w:r>
              <w:rPr>
                <w:rFonts w:hint="eastAsia" w:ascii="仿宋" w:hAnsi="仿宋" w:eastAsia="仿宋" w:cs="仿宋"/>
                <w:color w:val="auto"/>
                <w:spacing w:val="-2"/>
                <w:szCs w:val="21"/>
                <w:highlight w:val="none"/>
              </w:rPr>
              <w:t>分。</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9</w:t>
            </w:r>
          </w:p>
        </w:tc>
        <w:tc>
          <w:tcPr>
            <w:tcW w:w="12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培训措施</w:t>
            </w: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根据投标</w:t>
            </w:r>
            <w:r>
              <w:rPr>
                <w:rFonts w:hint="eastAsia" w:ascii="仿宋" w:hAnsi="仿宋" w:eastAsia="仿宋" w:cs="仿宋"/>
                <w:color w:val="auto"/>
                <w:spacing w:val="-2"/>
                <w:szCs w:val="21"/>
                <w:highlight w:val="none"/>
                <w:lang w:eastAsia="zh-CN"/>
              </w:rPr>
              <w:t>人提供的</w:t>
            </w:r>
            <w:r>
              <w:rPr>
                <w:rFonts w:hint="eastAsia" w:ascii="仿宋" w:hAnsi="仿宋" w:eastAsia="仿宋" w:cs="仿宋"/>
                <w:color w:val="auto"/>
                <w:spacing w:val="-2"/>
                <w:szCs w:val="21"/>
                <w:highlight w:val="none"/>
              </w:rPr>
              <w:t>培训方案的可行性及合理性</w:t>
            </w:r>
            <w:r>
              <w:rPr>
                <w:rFonts w:hint="eastAsia" w:ascii="仿宋" w:hAnsi="仿宋" w:eastAsia="仿宋" w:cs="仿宋"/>
                <w:color w:val="auto"/>
                <w:spacing w:val="-2"/>
                <w:szCs w:val="21"/>
                <w:highlight w:val="none"/>
                <w:lang w:eastAsia="zh-CN"/>
              </w:rPr>
              <w:t>进行评审</w:t>
            </w:r>
            <w:r>
              <w:rPr>
                <w:rFonts w:hint="eastAsia" w:ascii="仿宋" w:hAnsi="仿宋" w:eastAsia="仿宋" w:cs="仿宋"/>
                <w:color w:val="auto"/>
                <w:spacing w:val="-2"/>
                <w:szCs w:val="21"/>
                <w:highlight w:val="none"/>
              </w:rPr>
              <w:t>。</w:t>
            </w:r>
            <w:r>
              <w:rPr>
                <w:rFonts w:hint="eastAsia" w:ascii="仿宋" w:hAnsi="仿宋" w:eastAsia="仿宋" w:cs="仿宋"/>
                <w:color w:val="auto"/>
                <w:spacing w:val="-2"/>
                <w:szCs w:val="21"/>
                <w:highlight w:val="none"/>
                <w:lang w:eastAsia="zh-CN"/>
              </w:rPr>
              <w:t>优</w:t>
            </w:r>
            <w:r>
              <w:rPr>
                <w:rFonts w:hint="eastAsia" w:ascii="仿宋" w:hAnsi="仿宋" w:eastAsia="仿宋" w:cs="仿宋"/>
                <w:color w:val="auto"/>
                <w:spacing w:val="-2"/>
                <w:szCs w:val="21"/>
                <w:highlight w:val="none"/>
              </w:rPr>
              <w:t>得 1</w:t>
            </w:r>
            <w:r>
              <w:rPr>
                <w:rFonts w:hint="eastAsia" w:ascii="仿宋" w:hAnsi="仿宋" w:eastAsia="仿宋" w:cs="仿宋"/>
                <w:color w:val="auto"/>
                <w:spacing w:val="-2"/>
                <w:szCs w:val="21"/>
                <w:highlight w:val="none"/>
                <w:lang w:val="en-US" w:eastAsia="zh-CN"/>
              </w:rPr>
              <w:t>.1-2.0</w:t>
            </w:r>
            <w:r>
              <w:rPr>
                <w:rFonts w:hint="eastAsia" w:ascii="仿宋" w:hAnsi="仿宋" w:eastAsia="仿宋" w:cs="仿宋"/>
                <w:color w:val="auto"/>
                <w:spacing w:val="-2"/>
                <w:szCs w:val="21"/>
                <w:highlight w:val="none"/>
              </w:rPr>
              <w:t>分，</w:t>
            </w:r>
            <w:r>
              <w:rPr>
                <w:rFonts w:hint="eastAsia" w:ascii="仿宋" w:hAnsi="仿宋" w:eastAsia="仿宋" w:cs="仿宋"/>
                <w:color w:val="auto"/>
                <w:spacing w:val="-2"/>
                <w:szCs w:val="21"/>
                <w:highlight w:val="none"/>
                <w:lang w:eastAsia="zh-CN"/>
              </w:rPr>
              <w:t>一般得</w:t>
            </w:r>
            <w:r>
              <w:rPr>
                <w:rFonts w:hint="eastAsia" w:ascii="仿宋" w:hAnsi="仿宋" w:eastAsia="仿宋" w:cs="仿宋"/>
                <w:color w:val="auto"/>
                <w:spacing w:val="-2"/>
                <w:szCs w:val="21"/>
                <w:highlight w:val="none"/>
                <w:lang w:val="en-US" w:eastAsia="zh-CN"/>
              </w:rPr>
              <w:t>0-1.0分</w:t>
            </w:r>
            <w:r>
              <w:rPr>
                <w:rFonts w:hint="eastAsia" w:ascii="仿宋" w:hAnsi="仿宋" w:eastAsia="仿宋" w:cs="仿宋"/>
                <w:color w:val="auto"/>
                <w:spacing w:val="-2"/>
                <w:szCs w:val="21"/>
                <w:highlight w:val="none"/>
              </w:rPr>
              <w:t>。</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pacing w:val="-2"/>
                <w:szCs w:val="21"/>
                <w:highlight w:val="none"/>
                <w:lang w:val="en-US" w:eastAsia="zh-CN"/>
              </w:rPr>
              <w:t>2</w:t>
            </w:r>
            <w:r>
              <w:rPr>
                <w:rFonts w:hint="eastAsia" w:ascii="仿宋" w:hAnsi="仿宋" w:eastAsia="仿宋" w:cs="仿宋"/>
                <w:color w:val="auto"/>
                <w:spacing w:val="-2"/>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2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default" w:ascii="仿宋" w:hAnsi="仿宋" w:eastAsia="仿宋" w:cs="仿宋"/>
                <w:color w:val="auto"/>
                <w:spacing w:val="-2"/>
                <w:szCs w:val="21"/>
                <w:highlight w:val="none"/>
                <w:lang w:val="en-US" w:eastAsia="zh-CN"/>
              </w:rPr>
            </w:pPr>
            <w:r>
              <w:rPr>
                <w:rFonts w:hint="eastAsia" w:ascii="仿宋" w:hAnsi="仿宋" w:eastAsia="仿宋" w:cs="仿宋"/>
                <w:color w:val="auto"/>
                <w:spacing w:val="-2"/>
                <w:szCs w:val="21"/>
                <w:highlight w:val="none"/>
                <w:lang w:val="en-US" w:eastAsia="zh-CN"/>
              </w:rPr>
              <w:t>10</w:t>
            </w:r>
          </w:p>
        </w:tc>
        <w:tc>
          <w:tcPr>
            <w:tcW w:w="120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其他优惠和承诺</w:t>
            </w: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评委根据投标人的实际优惠和承诺比较，酌情加分。有优惠的得1分，没有的不得分；</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1208"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pacing w:val="-2"/>
                <w:szCs w:val="21"/>
                <w:highlight w:val="none"/>
              </w:rPr>
            </w:pPr>
            <w:r>
              <w:rPr>
                <w:rFonts w:hint="eastAsia" w:ascii="仿宋" w:hAnsi="仿宋" w:eastAsia="仿宋" w:cs="仿宋"/>
                <w:color w:val="auto"/>
                <w:szCs w:val="21"/>
                <w:highlight w:val="none"/>
              </w:rPr>
              <w:t>规划建议</w:t>
            </w:r>
          </w:p>
        </w:tc>
        <w:tc>
          <w:tcPr>
            <w:tcW w:w="6625" w:type="dxa"/>
            <w:noWrap w:val="0"/>
            <w:vAlign w:val="center"/>
          </w:tcPr>
          <w:p>
            <w:pPr>
              <w:keepNext w:val="0"/>
              <w:keepLines w:val="0"/>
              <w:pageBreakBefore w:val="0"/>
              <w:widowControl w:val="0"/>
              <w:kinsoku/>
              <w:wordWrap/>
              <w:overflowPunct/>
              <w:topLinePunct w:val="0"/>
              <w:bidi w:val="0"/>
              <w:snapToGrid/>
              <w:spacing w:line="280" w:lineRule="exact"/>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针对用户现状提出未来数据中心建设规划建议方案</w:t>
            </w:r>
            <w:r>
              <w:rPr>
                <w:rFonts w:hint="eastAsia" w:ascii="仿宋" w:hAnsi="仿宋" w:eastAsia="仿宋" w:cs="仿宋"/>
                <w:color w:val="auto"/>
                <w:szCs w:val="21"/>
                <w:highlight w:val="none"/>
                <w:lang w:eastAsia="zh-CN"/>
              </w:rPr>
              <w:t>进行评审</w:t>
            </w:r>
            <w:r>
              <w:rPr>
                <w:rFonts w:hint="eastAsia" w:ascii="仿宋" w:hAnsi="仿宋" w:eastAsia="仿宋" w:cs="仿宋"/>
                <w:color w:val="auto"/>
                <w:spacing w:val="-2"/>
                <w:szCs w:val="21"/>
                <w:highlight w:val="none"/>
              </w:rPr>
              <w:t>，</w:t>
            </w:r>
            <w:r>
              <w:rPr>
                <w:rFonts w:hint="eastAsia" w:ascii="仿宋" w:hAnsi="仿宋" w:eastAsia="仿宋" w:cs="仿宋"/>
                <w:color w:val="auto"/>
                <w:spacing w:val="-2"/>
                <w:szCs w:val="21"/>
                <w:highlight w:val="none"/>
                <w:lang w:eastAsia="zh-CN"/>
              </w:rPr>
              <w:t>优</w:t>
            </w:r>
            <w:r>
              <w:rPr>
                <w:rFonts w:hint="eastAsia" w:ascii="仿宋" w:hAnsi="仿宋" w:eastAsia="仿宋" w:cs="仿宋"/>
                <w:color w:val="auto"/>
                <w:spacing w:val="-2"/>
                <w:szCs w:val="21"/>
                <w:highlight w:val="none"/>
              </w:rPr>
              <w:t>得</w:t>
            </w:r>
            <w:r>
              <w:rPr>
                <w:rFonts w:hint="eastAsia" w:ascii="仿宋" w:hAnsi="仿宋" w:eastAsia="仿宋" w:cs="仿宋"/>
                <w:color w:val="auto"/>
                <w:spacing w:val="-2"/>
                <w:szCs w:val="21"/>
                <w:highlight w:val="none"/>
                <w:lang w:val="en-US" w:eastAsia="zh-CN"/>
              </w:rPr>
              <w:t>1.6-</w:t>
            </w:r>
            <w:r>
              <w:rPr>
                <w:rFonts w:hint="eastAsia" w:ascii="仿宋" w:hAnsi="仿宋" w:eastAsia="仿宋" w:cs="仿宋"/>
                <w:color w:val="auto"/>
                <w:spacing w:val="-2"/>
                <w:szCs w:val="21"/>
                <w:highlight w:val="none"/>
              </w:rPr>
              <w:t>2</w:t>
            </w:r>
            <w:r>
              <w:rPr>
                <w:rFonts w:hint="eastAsia" w:ascii="仿宋" w:hAnsi="仿宋" w:eastAsia="仿宋" w:cs="仿宋"/>
                <w:color w:val="auto"/>
                <w:spacing w:val="-2"/>
                <w:szCs w:val="21"/>
                <w:highlight w:val="none"/>
                <w:lang w:val="en-US" w:eastAsia="zh-CN"/>
              </w:rPr>
              <w:t>.0</w:t>
            </w:r>
            <w:r>
              <w:rPr>
                <w:rFonts w:hint="eastAsia" w:ascii="仿宋" w:hAnsi="仿宋" w:eastAsia="仿宋" w:cs="仿宋"/>
                <w:color w:val="auto"/>
                <w:spacing w:val="-2"/>
                <w:szCs w:val="21"/>
                <w:highlight w:val="none"/>
              </w:rPr>
              <w:t>分，</w:t>
            </w:r>
            <w:r>
              <w:rPr>
                <w:rFonts w:hint="eastAsia" w:ascii="仿宋" w:hAnsi="仿宋" w:eastAsia="仿宋" w:cs="仿宋"/>
                <w:color w:val="auto"/>
                <w:spacing w:val="-2"/>
                <w:szCs w:val="21"/>
                <w:highlight w:val="none"/>
                <w:lang w:eastAsia="zh-CN"/>
              </w:rPr>
              <w:t>良</w:t>
            </w:r>
            <w:r>
              <w:rPr>
                <w:rFonts w:hint="eastAsia" w:ascii="仿宋" w:hAnsi="仿宋" w:eastAsia="仿宋" w:cs="仿宋"/>
                <w:color w:val="auto"/>
                <w:spacing w:val="-2"/>
                <w:szCs w:val="21"/>
                <w:highlight w:val="none"/>
              </w:rPr>
              <w:t>得1</w:t>
            </w:r>
            <w:r>
              <w:rPr>
                <w:rFonts w:hint="eastAsia" w:ascii="仿宋" w:hAnsi="仿宋" w:eastAsia="仿宋" w:cs="仿宋"/>
                <w:color w:val="auto"/>
                <w:spacing w:val="-2"/>
                <w:szCs w:val="21"/>
                <w:highlight w:val="none"/>
                <w:lang w:val="en-US" w:eastAsia="zh-CN"/>
              </w:rPr>
              <w:t>.1-1.5</w:t>
            </w:r>
            <w:r>
              <w:rPr>
                <w:rFonts w:hint="eastAsia" w:ascii="仿宋" w:hAnsi="仿宋" w:eastAsia="仿宋" w:cs="仿宋"/>
                <w:color w:val="auto"/>
                <w:spacing w:val="-2"/>
                <w:szCs w:val="21"/>
                <w:highlight w:val="none"/>
              </w:rPr>
              <w:t>分，一般得0</w:t>
            </w:r>
            <w:r>
              <w:rPr>
                <w:rFonts w:hint="eastAsia" w:ascii="仿宋" w:hAnsi="仿宋" w:eastAsia="仿宋" w:cs="仿宋"/>
                <w:color w:val="auto"/>
                <w:spacing w:val="-2"/>
                <w:szCs w:val="21"/>
                <w:highlight w:val="none"/>
                <w:lang w:val="en-US" w:eastAsia="zh-CN"/>
              </w:rPr>
              <w:t>-1.0</w:t>
            </w:r>
            <w:r>
              <w:rPr>
                <w:rFonts w:hint="eastAsia" w:ascii="仿宋" w:hAnsi="仿宋" w:eastAsia="仿宋" w:cs="仿宋"/>
                <w:color w:val="auto"/>
                <w:spacing w:val="-2"/>
                <w:szCs w:val="21"/>
                <w:highlight w:val="none"/>
              </w:rPr>
              <w:t>分。</w:t>
            </w:r>
          </w:p>
        </w:tc>
        <w:tc>
          <w:tcPr>
            <w:tcW w:w="10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jc w:val="center"/>
              <w:textAlignment w:val="auto"/>
              <w:rPr>
                <w:rFonts w:hint="eastAsia" w:ascii="仿宋" w:hAnsi="仿宋" w:eastAsia="仿宋" w:cs="仿宋"/>
                <w:color w:val="auto"/>
                <w:spacing w:val="-2"/>
                <w:szCs w:val="21"/>
                <w:highlight w:val="none"/>
              </w:rPr>
            </w:pPr>
            <w:r>
              <w:rPr>
                <w:rFonts w:hint="eastAsia" w:ascii="仿宋" w:hAnsi="仿宋" w:eastAsia="仿宋" w:cs="仿宋"/>
                <w:color w:val="auto"/>
                <w:spacing w:val="-2"/>
                <w:szCs w:val="21"/>
                <w:highlight w:val="none"/>
              </w:rPr>
              <w:t>2分</w:t>
            </w:r>
          </w:p>
        </w:tc>
      </w:tr>
    </w:tbl>
    <w:p>
      <w:pPr>
        <w:spacing w:line="440" w:lineRule="exact"/>
        <w:rPr>
          <w:rFonts w:hint="eastAsia" w:ascii="仿宋" w:hAnsi="仿宋" w:eastAsia="仿宋" w:cs="仿宋"/>
          <w:b/>
          <w:bCs w:val="0"/>
          <w:iCs/>
          <w:color w:val="auto"/>
          <w:sz w:val="24"/>
          <w:highlight w:val="none"/>
        </w:rPr>
      </w:pPr>
      <w:r>
        <w:rPr>
          <w:rFonts w:hint="eastAsia" w:ascii="仿宋" w:hAnsi="仿宋" w:eastAsia="仿宋" w:cs="仿宋"/>
          <w:b/>
          <w:bCs w:val="0"/>
          <w:iCs/>
          <w:color w:val="auto"/>
          <w:sz w:val="24"/>
          <w:highlight w:val="none"/>
          <w:lang w:eastAsia="zh-CN"/>
        </w:rPr>
        <w:t>注：</w:t>
      </w:r>
      <w:r>
        <w:rPr>
          <w:rFonts w:hint="eastAsia" w:ascii="仿宋" w:hAnsi="仿宋" w:eastAsia="仿宋" w:cs="仿宋"/>
          <w:b/>
          <w:bCs w:val="0"/>
          <w:iCs/>
          <w:color w:val="auto"/>
          <w:sz w:val="24"/>
          <w:highlight w:val="none"/>
        </w:rPr>
        <w:t>本项目招标文件内对开标现场原件核验不作要求，采购人有权在标后对中标候选人进行原件核验。投标人对所提供的全部资料的真实性承担法律责任。</w:t>
      </w:r>
    </w:p>
    <w:p>
      <w:pPr>
        <w:spacing w:line="440" w:lineRule="exact"/>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2.2价格分30</w:t>
      </w:r>
      <w:r>
        <w:rPr>
          <w:rFonts w:hint="eastAsia" w:ascii="仿宋" w:hAnsi="仿宋" w:eastAsia="仿宋" w:cs="仿宋"/>
          <w:b/>
          <w:color w:val="auto"/>
          <w:sz w:val="24"/>
          <w:highlight w:val="none"/>
        </w:rPr>
        <w:t>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r>
        <w:rPr>
          <w:rFonts w:hint="eastAsia" w:ascii="仿宋" w:hAnsi="仿宋" w:eastAsia="仿宋" w:cs="仿宋"/>
          <w:color w:val="auto"/>
          <w:sz w:val="24"/>
          <w:highlight w:val="none"/>
        </w:rPr>
        <w:t>保留小数2位</w:t>
      </w:r>
      <w:r>
        <w:rPr>
          <w:rFonts w:hint="eastAsia" w:ascii="仿宋" w:hAnsi="仿宋" w:eastAsia="仿宋" w:cs="仿宋"/>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24"/>
          <w:highlight w:val="none"/>
          <w:u w:val="single"/>
        </w:rPr>
      </w:pPr>
      <w:r>
        <w:rPr>
          <w:rFonts w:hint="eastAsia" w:ascii="仿宋" w:hAnsi="仿宋" w:eastAsia="仿宋" w:cs="仿宋"/>
          <w:bCs/>
          <w:iCs/>
          <w:color w:val="auto"/>
          <w:sz w:val="24"/>
          <w:highlight w:val="none"/>
        </w:rPr>
        <w:t>即：投标报价得分=(评标基准价／投标报价)×30</w:t>
      </w:r>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投标人按照以下格式编制投标文件，并将报价文件、商务技术（资信）文件分别装订成册。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kern w:val="0"/>
          <w:sz w:val="24"/>
          <w:highlight w:val="none"/>
        </w:rPr>
      </w:pPr>
    </w:p>
    <w:p>
      <w:pPr>
        <w:spacing w:line="360" w:lineRule="auto"/>
        <w:ind w:left="2" w:firstLine="480" w:firstLineChars="200"/>
        <w:rPr>
          <w:rFonts w:hint="eastAsia" w:ascii="仿宋" w:hAnsi="仿宋" w:eastAsia="仿宋" w:cs="仿宋"/>
          <w:color w:val="auto"/>
          <w:sz w:val="24"/>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55"/>
        <w:spacing w:afterLines="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绍兴市中医院、泰宇建筑工程技术咨询有限公司 </w:t>
      </w:r>
    </w:p>
    <w:p>
      <w:pPr>
        <w:pStyle w:val="55"/>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55"/>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spacing w:afterLines="0" w:line="440" w:lineRule="exact"/>
        <w:ind w:left="0" w:firstLine="420" w:firstLineChars="175"/>
        <w:rPr>
          <w:rFonts w:hint="eastAsia" w:ascii="仿宋" w:hAnsi="仿宋" w:eastAsia="仿宋" w:cs="仿宋"/>
          <w:color w:val="auto"/>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2.我方承诺已经具备《中华人民共和国政府采购法》中第二十二条规定的参加政府采购活动的供应商应当具备的条件。</w:t>
      </w:r>
    </w:p>
    <w:p>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t>3.</w:t>
      </w:r>
      <w:r>
        <w:rPr>
          <w:rFonts w:hint="eastAsia" w:ascii="仿宋" w:hAnsi="仿宋" w:eastAsia="仿宋" w:cs="仿宋"/>
          <w:color w:val="auto"/>
          <w:sz w:val="24"/>
          <w:highlight w:val="none"/>
        </w:rPr>
        <w:t>我方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55"/>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6.</w:t>
      </w:r>
      <w:r>
        <w:rPr>
          <w:rFonts w:hint="eastAsia" w:ascii="仿宋" w:hAnsi="仿宋" w:eastAsia="仿宋" w:cs="仿宋"/>
          <w:color w:val="auto"/>
          <w:szCs w:val="24"/>
          <w:highlight w:val="none"/>
        </w:rPr>
        <w:t>本投标自开标之日（投标截止之日）起90天内有效。</w:t>
      </w:r>
    </w:p>
    <w:p>
      <w:pPr>
        <w:pStyle w:val="55"/>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55"/>
        <w:spacing w:afterLines="0" w:line="440" w:lineRule="exact"/>
        <w:ind w:firstLine="0" w:firstLineChars="0"/>
        <w:rPr>
          <w:rFonts w:hint="eastAsia" w:ascii="仿宋" w:hAnsi="仿宋" w:eastAsia="仿宋" w:cs="仿宋"/>
          <w:color w:val="auto"/>
          <w:szCs w:val="24"/>
          <w:highlight w:val="none"/>
        </w:rPr>
      </w:pPr>
    </w:p>
    <w:p>
      <w:pPr>
        <w:pStyle w:val="55"/>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55"/>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55"/>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55"/>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55"/>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6.特别提示：采购机构将对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right="-817" w:rightChars="-389"/>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ind w:left="-4" w:leftChars="-2" w:right="-817" w:rightChars="-389" w:firstLine="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spacing w:line="360" w:lineRule="auto"/>
        <w:outlineLvl w:val="0"/>
        <w:rPr>
          <w:rFonts w:hint="eastAsia" w:ascii="仿宋" w:hAnsi="仿宋" w:eastAsia="仿宋" w:cs="仿宋"/>
          <w:color w:val="auto"/>
          <w:sz w:val="2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3、中小企业声明函（二选一）</w:t>
      </w: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号）的规定，本公司（联合体）参加的绍兴市中医院</w:t>
      </w:r>
      <w:r>
        <w:rPr>
          <w:rFonts w:hint="eastAsia" w:ascii="仿宋" w:hAnsi="仿宋" w:eastAsia="仿宋" w:cs="仿宋"/>
          <w:color w:val="auto"/>
          <w:sz w:val="24"/>
          <w:highlight w:val="none"/>
          <w:lang w:eastAsia="zh-CN"/>
        </w:rPr>
        <w:t>数据中心虚拟化改造项目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号）的规定，本公司（联合体）参加的绍兴市中医院</w:t>
      </w:r>
      <w:r>
        <w:rPr>
          <w:rFonts w:hint="eastAsia" w:ascii="仿宋" w:hAnsi="仿宋" w:eastAsia="仿宋" w:cs="仿宋"/>
          <w:color w:val="auto"/>
          <w:sz w:val="24"/>
          <w:highlight w:val="none"/>
          <w:lang w:eastAsia="zh-CN"/>
        </w:rPr>
        <w:t>数据中心虚拟化改造项目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1、从业人员、营业收入、资产总额填报上一年度数据，无上一年度数据的新成立企业可不填报。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hint="eastAsia" w:ascii="仿宋" w:hAnsi="仿宋" w:eastAsia="仿宋" w:cs="仿宋"/>
          <w:color w:val="auto"/>
          <w:sz w:val="24"/>
          <w:highlight w:val="none"/>
        </w:rPr>
      </w:pPr>
    </w:p>
    <w:p>
      <w:pPr>
        <w:spacing w:line="588" w:lineRule="exact"/>
        <w:rPr>
          <w:rFonts w:hint="eastAsia" w:ascii="仿宋" w:hAnsi="仿宋" w:eastAsia="仿宋" w:cs="仿宋"/>
          <w:color w:val="auto"/>
          <w:sz w:val="24"/>
          <w:highlight w:val="none"/>
        </w:rPr>
      </w:pPr>
    </w:p>
    <w:p>
      <w:pPr>
        <w:pageBreakBefore/>
        <w:spacing w:line="588" w:lineRule="exac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4、残疾人福利性单位声明函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绍兴市中医院</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lang w:eastAsia="zh-CN"/>
        </w:rPr>
        <w:t>数据中心虚拟化改造项目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highlight w:val="none"/>
        </w:rPr>
      </w:pPr>
    </w:p>
    <w:p>
      <w:pPr>
        <w:tabs>
          <w:tab w:val="left" w:pos="4860"/>
        </w:tabs>
        <w:spacing w:line="588" w:lineRule="exact"/>
        <w:ind w:right="1560" w:firstLine="480" w:firstLineChars="200"/>
        <w:jc w:val="cente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（5）所有与符合性审查有关的资信文件（复印件）（营业执照、2020年度财务报表、纳税和社保缴纳证明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kern w:val="0"/>
          <w:sz w:val="24"/>
          <w:highlight w:val="none"/>
        </w:rPr>
        <w:t>（页码）</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（6）具有履</w:t>
      </w:r>
      <w:r>
        <w:rPr>
          <w:rFonts w:hint="eastAsia" w:ascii="仿宋" w:hAnsi="仿宋" w:eastAsia="仿宋" w:cs="仿宋"/>
          <w:color w:val="auto"/>
          <w:kern w:val="0"/>
          <w:sz w:val="24"/>
          <w:highlight w:val="none"/>
        </w:rPr>
        <w:t>行合同所必需的设备和专业技术能力的承诺函……………………（页码）</w:t>
      </w:r>
    </w:p>
    <w:p>
      <w:pPr>
        <w:pStyle w:val="154"/>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（7）重大违法记录的声明</w:t>
      </w:r>
      <w:r>
        <w:rPr>
          <w:rFonts w:hint="eastAsia" w:ascii="仿宋" w:hAnsi="仿宋" w:eastAsia="仿宋" w:cs="仿宋"/>
          <w:color w:val="auto"/>
          <w:kern w:val="0"/>
          <w:highlight w:val="none"/>
        </w:rPr>
        <w:t xml:space="preserve"> …</w:t>
      </w:r>
      <w:r>
        <w:rPr>
          <w:rFonts w:hint="eastAsia" w:ascii="仿宋" w:hAnsi="仿宋" w:eastAsia="仿宋" w:cs="仿宋"/>
          <w:color w:val="auto"/>
          <w:highlight w:val="none"/>
        </w:rPr>
        <w:t>……………………………………………………</w:t>
      </w:r>
      <w:r>
        <w:rPr>
          <w:rFonts w:hint="eastAsia" w:ascii="仿宋" w:hAnsi="仿宋" w:eastAsia="仿宋" w:cs="仿宋"/>
          <w:color w:val="auto"/>
          <w:kern w:val="0"/>
          <w:highlight w:val="none"/>
        </w:rPr>
        <w:t>（页码）</w:t>
      </w:r>
      <w:r>
        <w:rPr>
          <w:rFonts w:hint="eastAsia" w:ascii="仿宋" w:hAnsi="仿宋" w:eastAsia="仿宋" w:cs="仿宋"/>
          <w:color w:val="auto"/>
          <w:highlight w:val="none"/>
        </w:rPr>
        <w:t>（8）符合特定资格条件（如果项目要求）的有关证明材料（复印件）………（页码）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w:t>
      </w:r>
      <w:r>
        <w:rPr>
          <w:rFonts w:hint="eastAsia" w:ascii="仿宋" w:hAnsi="仿宋" w:eastAsia="仿宋" w:cs="仿宋"/>
          <w:snapToGrid w:val="0"/>
          <w:color w:val="auto"/>
          <w:highlight w:val="none"/>
        </w:rPr>
        <w:t>非本地投标人售后服务机构证明材料</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54"/>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（19）消耗品、维修零配件购买价格清单</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数据中心虚拟化改造项目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hint="eastAsia" w:ascii="仿宋" w:hAnsi="仿宋" w:eastAsia="仿宋" w:cs="仿宋"/>
          <w:color w:val="auto"/>
          <w:sz w:val="24"/>
          <w:highlight w:val="none"/>
        </w:rPr>
      </w:pPr>
    </w:p>
    <w:p>
      <w:pPr>
        <w:wordWrap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年月日</w:t>
      </w:r>
    </w:p>
    <w:p>
      <w:pPr>
        <w:spacing w:line="360" w:lineRule="auto"/>
        <w:jc w:val="cente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28"/>
          <w:szCs w:val="28"/>
          <w:highlight w:val="none"/>
        </w:rPr>
      </w:pPr>
      <w:r>
        <w:rPr>
          <w:rFonts w:hint="eastAsia" w:ascii="仿宋" w:hAnsi="仿宋" w:eastAsia="仿宋" w:cs="仿宋"/>
          <w:b/>
          <w:color w:val="auto"/>
          <w:sz w:val="30"/>
          <w:szCs w:val="30"/>
          <w:highlight w:val="none"/>
        </w:rPr>
        <w:t>5、与符合性审查有关的资信文件（复印件）</w:t>
      </w:r>
      <w:r>
        <w:rPr>
          <w:rFonts w:hint="eastAsia" w:ascii="仿宋" w:hAnsi="仿宋" w:eastAsia="仿宋" w:cs="仿宋"/>
          <w:b/>
          <w:color w:val="auto"/>
          <w:sz w:val="28"/>
          <w:szCs w:val="28"/>
          <w:highlight w:val="none"/>
        </w:rPr>
        <w:t>（1</w:t>
      </w:r>
      <w:r>
        <w:rPr>
          <w:rFonts w:hint="eastAsia" w:ascii="仿宋" w:hAnsi="仿宋" w:eastAsia="仿宋" w:cs="仿宋"/>
          <w:b/>
          <w:color w:val="auto"/>
          <w:kern w:val="0"/>
          <w:sz w:val="28"/>
          <w:szCs w:val="28"/>
          <w:highlight w:val="none"/>
          <w:lang w:val="zh-CN"/>
        </w:rPr>
        <w:t>.</w:t>
      </w:r>
      <w:r>
        <w:rPr>
          <w:rFonts w:hint="eastAsia" w:ascii="仿宋" w:hAnsi="仿宋" w:eastAsia="仿宋" w:cs="仿宋"/>
          <w:b/>
          <w:color w:val="auto"/>
          <w:sz w:val="28"/>
          <w:szCs w:val="28"/>
          <w:highlight w:val="none"/>
        </w:rPr>
        <w:t>营业执照（或事业法人登记证或其他登记证明材料）（复印件）；2.财务报表资料文件（2020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napToGrid w:val="0"/>
        <w:spacing w:line="360" w:lineRule="auto"/>
        <w:ind w:right="480"/>
        <w:jc w:val="center"/>
        <w:rPr>
          <w:rFonts w:hint="eastAsia" w:ascii="仿宋" w:hAnsi="仿宋" w:eastAsia="仿宋" w:cs="仿宋"/>
          <w:b/>
          <w:color w:val="auto"/>
          <w:kern w:val="0"/>
          <w:sz w:val="32"/>
          <w:szCs w:val="32"/>
          <w:highlight w:val="none"/>
          <w:lang w:val="zh-CN"/>
        </w:rPr>
      </w:pPr>
    </w:p>
    <w:p>
      <w:pPr>
        <w:snapToGrid w:val="0"/>
        <w:spacing w:line="360" w:lineRule="auto"/>
        <w:ind w:right="48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6、具有履行合同所必需的设备和专业技术能力的承诺函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我方郑重承诺，我方具有履行绍兴市中医院</w:t>
      </w:r>
      <w:r>
        <w:rPr>
          <w:rFonts w:hint="eastAsia" w:ascii="仿宋" w:hAnsi="仿宋" w:eastAsia="仿宋" w:cs="仿宋"/>
          <w:color w:val="auto"/>
          <w:sz w:val="24"/>
          <w:highlight w:val="none"/>
          <w:lang w:eastAsia="zh-CN"/>
        </w:rPr>
        <w:t>数据中心虚拟化改造项目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TYJZ2022</w:t>
      </w:r>
      <w:r>
        <w:rPr>
          <w:rFonts w:hint="eastAsia" w:ascii="仿宋" w:hAnsi="仿宋" w:eastAsia="仿宋" w:cs="仿宋"/>
          <w:color w:val="auto"/>
          <w:sz w:val="24"/>
          <w:highlight w:val="none"/>
        </w:rPr>
        <w:t>）合同所必需的设备和专业技术能力。如中标，我方将保证合同顺利履行。</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ind w:right="48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kern w:val="0"/>
          <w:sz w:val="32"/>
          <w:szCs w:val="32"/>
          <w:highlight w:val="none"/>
        </w:rPr>
      </w:pPr>
    </w:p>
    <w:p>
      <w:pPr>
        <w:spacing w:line="360" w:lineRule="auto"/>
        <w:jc w:val="center"/>
        <w:rPr>
          <w:rFonts w:hint="eastAsia" w:ascii="仿宋" w:hAnsi="仿宋" w:eastAsia="仿宋" w:cs="仿宋"/>
          <w:b/>
          <w:color w:val="auto"/>
          <w:kern w:val="0"/>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rPr>
        <w:t>7、重大违法记录的声明</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声明参加本次政府采购活动前三年内，在</w:t>
      </w:r>
      <w:r>
        <w:rPr>
          <w:rFonts w:hint="eastAsia" w:ascii="仿宋" w:hAnsi="仿宋" w:eastAsia="仿宋" w:cs="仿宋"/>
          <w:color w:val="auto"/>
          <w:kern w:val="0"/>
          <w:sz w:val="24"/>
          <w:highlight w:val="none"/>
        </w:rPr>
        <w:t>经营活动中</w:t>
      </w:r>
      <w:r>
        <w:rPr>
          <w:rFonts w:hint="eastAsia" w:ascii="仿宋" w:hAnsi="仿宋" w:eastAsia="仿宋" w:cs="仿宋"/>
          <w:color w:val="auto"/>
          <w:sz w:val="24"/>
          <w:highlight w:val="none"/>
        </w:rPr>
        <w:t>没有重大违法记录；也</w:t>
      </w:r>
      <w:r>
        <w:rPr>
          <w:rFonts w:hint="eastAsia" w:ascii="仿宋" w:hAnsi="仿宋" w:eastAsia="仿宋" w:cs="仿宋"/>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jc w:val="center"/>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8、特定资格条件要求的资质文件（复印件）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9、非本地投标人售后服务机构证明材料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（由非本地投标人根据采购需求及招标文件要求编制）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55"/>
        <w:ind w:firstLine="0"/>
        <w:jc w:val="both"/>
        <w:rPr>
          <w:rFonts w:hint="eastAsia" w:ascii="仿宋" w:hAnsi="仿宋" w:eastAsia="仿宋" w:cs="仿宋"/>
          <w:color w:val="auto"/>
          <w:highlight w:val="none"/>
        </w:rPr>
      </w:pPr>
    </w:p>
    <w:p>
      <w:pPr>
        <w:pStyle w:val="155"/>
        <w:ind w:firstLine="0"/>
        <w:jc w:val="both"/>
        <w:rPr>
          <w:rFonts w:hint="eastAsia" w:ascii="仿宋" w:hAnsi="仿宋" w:eastAsia="仿宋" w:cs="仿宋"/>
          <w:color w:val="auto"/>
          <w:highlight w:val="none"/>
        </w:rPr>
      </w:pPr>
    </w:p>
    <w:p>
      <w:pPr>
        <w:pStyle w:val="155"/>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11、廉政承诺书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12、技术解决方案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14、组织实施方案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15、售后服务方案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16、项目小组人员名单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注：投标人可按上述的格式自行编制，须随表提交相应的证书复印件并注明所在投标商务技术（资信）文件页码。</w:t>
      </w:r>
    </w:p>
    <w:p>
      <w:pPr>
        <w:spacing w:line="360" w:lineRule="auto"/>
        <w:ind w:firstLine="482" w:firstLineChars="200"/>
        <w:rPr>
          <w:rFonts w:hint="eastAsia" w:ascii="仿宋" w:hAnsi="仿宋" w:eastAsia="仿宋" w:cs="仿宋"/>
          <w:color w:val="auto"/>
          <w:sz w:val="24"/>
          <w:szCs w:val="20"/>
          <w:highlight w:val="none"/>
        </w:rPr>
      </w:pPr>
      <w:r>
        <w:rPr>
          <w:rFonts w:hint="eastAsia" w:ascii="仿宋" w:hAnsi="仿宋" w:eastAsia="仿宋" w:cs="仿宋"/>
          <w:b/>
          <w:color w:val="auto"/>
          <w:sz w:val="24"/>
          <w:highlight w:val="none"/>
        </w:rPr>
        <w:t>附表C:本项目的项目经理和小组人员提供近3个月交纳社保记录情况表</w:t>
      </w:r>
      <w:r>
        <w:rPr>
          <w:rFonts w:hint="eastAsia" w:ascii="仿宋" w:hAnsi="仿宋" w:eastAsia="仿宋" w:cs="仿宋"/>
          <w:color w:val="auto"/>
          <w:sz w:val="24"/>
          <w:highlight w:val="none"/>
        </w:rPr>
        <w:t>（以社保局缴纳凭证作附件）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18、</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440" w:lineRule="exact"/>
        <w:rPr>
          <w:rFonts w:hint="eastAsia" w:ascii="仿宋" w:hAnsi="仿宋" w:eastAsia="仿宋" w:cs="仿宋"/>
          <w:b/>
          <w:color w:val="auto"/>
          <w:spacing w:val="20"/>
          <w:sz w:val="24"/>
          <w:highlight w:val="none"/>
        </w:rPr>
      </w:pPr>
      <w:r>
        <w:rPr>
          <w:rFonts w:hint="eastAsia" w:ascii="仿宋" w:hAnsi="仿宋" w:eastAsia="仿宋" w:cs="仿宋"/>
          <w:b/>
          <w:color w:val="auto"/>
          <w:sz w:val="32"/>
          <w:szCs w:val="32"/>
          <w:highlight w:val="none"/>
        </w:rPr>
        <w:t>19、</w:t>
      </w:r>
      <w:r>
        <w:rPr>
          <w:rFonts w:hint="eastAsia" w:ascii="仿宋" w:hAnsi="仿宋" w:eastAsia="仿宋" w:cs="仿宋"/>
          <w:b/>
          <w:color w:val="auto"/>
          <w:spacing w:val="20"/>
          <w:sz w:val="32"/>
          <w:szCs w:val="32"/>
          <w:highlight w:val="none"/>
        </w:rPr>
        <w:t>消耗品、维修零配件购买价格清单</w:t>
      </w:r>
      <w:r>
        <w:rPr>
          <w:rFonts w:hint="eastAsia" w:ascii="仿宋" w:hAnsi="仿宋" w:eastAsia="仿宋" w:cs="仿宋"/>
          <w:b/>
          <w:color w:val="auto"/>
          <w:spacing w:val="20"/>
          <w:sz w:val="24"/>
          <w:highlight w:val="none"/>
        </w:rPr>
        <w:t>(如有</w:t>
      </w:r>
      <w:r>
        <w:rPr>
          <w:rFonts w:hint="eastAsia" w:ascii="仿宋" w:hAnsi="仿宋" w:eastAsia="仿宋" w:cs="仿宋"/>
          <w:b/>
          <w:color w:val="auto"/>
          <w:sz w:val="24"/>
          <w:highlight w:val="none"/>
        </w:rPr>
        <w:t>，放入“技术资料部分”</w:t>
      </w:r>
      <w:r>
        <w:rPr>
          <w:rFonts w:hint="eastAsia" w:ascii="仿宋" w:hAnsi="仿宋" w:eastAsia="仿宋" w:cs="仿宋"/>
          <w:b/>
          <w:color w:val="auto"/>
          <w:spacing w:val="20"/>
          <w:sz w:val="24"/>
          <w:highlight w:val="none"/>
        </w:rPr>
        <w:t>)</w:t>
      </w:r>
    </w:p>
    <w:tbl>
      <w:tblPr>
        <w:tblStyle w:val="40"/>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color w:val="auto"/>
                <w:highlight w:val="none"/>
              </w:rPr>
            </w:pPr>
          </w:p>
        </w:tc>
      </w:tr>
    </w:tbl>
    <w:p>
      <w:pPr>
        <w:adjustRightInd w:val="0"/>
        <w:snapToGrid w:val="0"/>
        <w:ind w:right="172" w:rightChars="82"/>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注：消耗品和零配件必须是常用的主要部件类品目，此报价的优惠度将作为综合评标的重要依据之一。</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r>
        <w:rPr>
          <w:rFonts w:hint="eastAsia" w:ascii="仿宋" w:hAnsi="仿宋" w:eastAsia="仿宋" w:cs="仿宋"/>
          <w:color w:val="auto"/>
          <w:sz w:val="24"/>
          <w:highlight w:val="none"/>
        </w:rPr>
        <w:tab/>
      </w:r>
    </w:p>
    <w:p>
      <w:pPr>
        <w:spacing w:line="440" w:lineRule="exact"/>
        <w:rPr>
          <w:rFonts w:hint="eastAsia" w:ascii="仿宋" w:hAnsi="仿宋" w:eastAsia="仿宋" w:cs="仿宋"/>
          <w:b/>
          <w:color w:val="auto"/>
          <w:sz w:val="24"/>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20、</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注：须随表提交相应的证书复印件并注明所在投标商务技术（资信）文件页码。</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21、验收方案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24"/>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22、认为需要的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bookmarkEnd w:id="18"/>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69</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pStyle w:val="165"/>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37E45EA5"/>
    <w:multiLevelType w:val="singleLevel"/>
    <w:tmpl w:val="37E45EA5"/>
    <w:lvl w:ilvl="0" w:tentative="0">
      <w:start w:val="1"/>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6ECC4D6F"/>
    <w:multiLevelType w:val="multilevel"/>
    <w:tmpl w:val="6ECC4D6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2"/>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288"/>
    <w:rsid w:val="000013CE"/>
    <w:rsid w:val="00014C26"/>
    <w:rsid w:val="00017A89"/>
    <w:rsid w:val="000213BD"/>
    <w:rsid w:val="0002203D"/>
    <w:rsid w:val="00022E6E"/>
    <w:rsid w:val="0002468D"/>
    <w:rsid w:val="00026616"/>
    <w:rsid w:val="00027D17"/>
    <w:rsid w:val="00031F75"/>
    <w:rsid w:val="0003272F"/>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904"/>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44CE5"/>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453F"/>
    <w:rsid w:val="0020567D"/>
    <w:rsid w:val="002056F9"/>
    <w:rsid w:val="002062F2"/>
    <w:rsid w:val="00210619"/>
    <w:rsid w:val="00210CAC"/>
    <w:rsid w:val="00211374"/>
    <w:rsid w:val="00231CB7"/>
    <w:rsid w:val="00231D98"/>
    <w:rsid w:val="00232567"/>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3E20"/>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6EF1"/>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346"/>
    <w:rsid w:val="00495B26"/>
    <w:rsid w:val="004964DA"/>
    <w:rsid w:val="00497699"/>
    <w:rsid w:val="00497DB2"/>
    <w:rsid w:val="004A0174"/>
    <w:rsid w:val="004A0AD7"/>
    <w:rsid w:val="004A19C4"/>
    <w:rsid w:val="004A236E"/>
    <w:rsid w:val="004A5A3A"/>
    <w:rsid w:val="004A7973"/>
    <w:rsid w:val="004A7A78"/>
    <w:rsid w:val="004A7F2A"/>
    <w:rsid w:val="004B0E00"/>
    <w:rsid w:val="004B0E90"/>
    <w:rsid w:val="004B2C71"/>
    <w:rsid w:val="004B31E0"/>
    <w:rsid w:val="004B3284"/>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D81"/>
    <w:rsid w:val="00536FBF"/>
    <w:rsid w:val="0054018C"/>
    <w:rsid w:val="0054254A"/>
    <w:rsid w:val="00544130"/>
    <w:rsid w:val="0055182F"/>
    <w:rsid w:val="00555780"/>
    <w:rsid w:val="00556806"/>
    <w:rsid w:val="0056065C"/>
    <w:rsid w:val="005611C0"/>
    <w:rsid w:val="005617C1"/>
    <w:rsid w:val="00562B45"/>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5DF0"/>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C2B7A"/>
    <w:rsid w:val="007C42FB"/>
    <w:rsid w:val="007C5098"/>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9CE"/>
    <w:rsid w:val="00850FEA"/>
    <w:rsid w:val="008532F1"/>
    <w:rsid w:val="008557E8"/>
    <w:rsid w:val="00856440"/>
    <w:rsid w:val="008564BD"/>
    <w:rsid w:val="0085672E"/>
    <w:rsid w:val="00857B1C"/>
    <w:rsid w:val="00863478"/>
    <w:rsid w:val="00863945"/>
    <w:rsid w:val="0086541A"/>
    <w:rsid w:val="008730BE"/>
    <w:rsid w:val="008737A3"/>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699"/>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359AC"/>
    <w:rsid w:val="00A41EAC"/>
    <w:rsid w:val="00A41EDA"/>
    <w:rsid w:val="00A42B9E"/>
    <w:rsid w:val="00A4718E"/>
    <w:rsid w:val="00A5012D"/>
    <w:rsid w:val="00A546F9"/>
    <w:rsid w:val="00A551BB"/>
    <w:rsid w:val="00A55AF4"/>
    <w:rsid w:val="00A55F87"/>
    <w:rsid w:val="00A56942"/>
    <w:rsid w:val="00A56E2E"/>
    <w:rsid w:val="00A61CD9"/>
    <w:rsid w:val="00A62C6F"/>
    <w:rsid w:val="00A63DC3"/>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5241"/>
    <w:rsid w:val="00AC7022"/>
    <w:rsid w:val="00AD212B"/>
    <w:rsid w:val="00AD2FF9"/>
    <w:rsid w:val="00AD5414"/>
    <w:rsid w:val="00AD5F30"/>
    <w:rsid w:val="00AD626D"/>
    <w:rsid w:val="00AD6A93"/>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0DD0"/>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466"/>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23DB"/>
    <w:rsid w:val="00CD1CAB"/>
    <w:rsid w:val="00CD3E5C"/>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4C2D"/>
    <w:rsid w:val="00D97508"/>
    <w:rsid w:val="00D97C3B"/>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0B48"/>
    <w:rsid w:val="00E152A3"/>
    <w:rsid w:val="00E17D79"/>
    <w:rsid w:val="00E20A02"/>
    <w:rsid w:val="00E21681"/>
    <w:rsid w:val="00E21FF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218E"/>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20EF"/>
    <w:rsid w:val="00FE5780"/>
    <w:rsid w:val="00FE5E89"/>
    <w:rsid w:val="00FE7260"/>
    <w:rsid w:val="00FF0866"/>
    <w:rsid w:val="00FF21AE"/>
    <w:rsid w:val="00FF26F0"/>
    <w:rsid w:val="00FF724C"/>
    <w:rsid w:val="00FF7A04"/>
    <w:rsid w:val="00FF7BD2"/>
    <w:rsid w:val="02B976B9"/>
    <w:rsid w:val="02D2708D"/>
    <w:rsid w:val="031F2FF3"/>
    <w:rsid w:val="03B875A5"/>
    <w:rsid w:val="053149A8"/>
    <w:rsid w:val="05ED1CF4"/>
    <w:rsid w:val="081E3C6E"/>
    <w:rsid w:val="08D40F62"/>
    <w:rsid w:val="0A8F1150"/>
    <w:rsid w:val="0BDB005F"/>
    <w:rsid w:val="11400223"/>
    <w:rsid w:val="14DE17F9"/>
    <w:rsid w:val="19C370A7"/>
    <w:rsid w:val="1AFD6867"/>
    <w:rsid w:val="1B290486"/>
    <w:rsid w:val="1B4830B2"/>
    <w:rsid w:val="1E3C597E"/>
    <w:rsid w:val="1ED832D3"/>
    <w:rsid w:val="201477EC"/>
    <w:rsid w:val="24170CB2"/>
    <w:rsid w:val="28B158A7"/>
    <w:rsid w:val="29115397"/>
    <w:rsid w:val="29FD3513"/>
    <w:rsid w:val="2B2510FE"/>
    <w:rsid w:val="2B2E410F"/>
    <w:rsid w:val="2B9A5153"/>
    <w:rsid w:val="2C137033"/>
    <w:rsid w:val="2E5E079C"/>
    <w:rsid w:val="30923906"/>
    <w:rsid w:val="31EC1225"/>
    <w:rsid w:val="32267CE3"/>
    <w:rsid w:val="326A7FD7"/>
    <w:rsid w:val="34CD75BD"/>
    <w:rsid w:val="350928C1"/>
    <w:rsid w:val="35ED525F"/>
    <w:rsid w:val="3845694A"/>
    <w:rsid w:val="38930DE0"/>
    <w:rsid w:val="399A1BA1"/>
    <w:rsid w:val="39A145CA"/>
    <w:rsid w:val="3A575781"/>
    <w:rsid w:val="3D040D23"/>
    <w:rsid w:val="3E335A87"/>
    <w:rsid w:val="3EB1349C"/>
    <w:rsid w:val="3ED30285"/>
    <w:rsid w:val="411A2EB3"/>
    <w:rsid w:val="416B260D"/>
    <w:rsid w:val="42E151BE"/>
    <w:rsid w:val="447C163D"/>
    <w:rsid w:val="46D81407"/>
    <w:rsid w:val="47763339"/>
    <w:rsid w:val="47DE1244"/>
    <w:rsid w:val="4A9C66EB"/>
    <w:rsid w:val="4AE34079"/>
    <w:rsid w:val="4CFA6870"/>
    <w:rsid w:val="4EE23484"/>
    <w:rsid w:val="5090602B"/>
    <w:rsid w:val="50EF34CD"/>
    <w:rsid w:val="53CB1BE6"/>
    <w:rsid w:val="54605D80"/>
    <w:rsid w:val="54DD7907"/>
    <w:rsid w:val="58934149"/>
    <w:rsid w:val="5AB87067"/>
    <w:rsid w:val="5C360E1A"/>
    <w:rsid w:val="5EB115E1"/>
    <w:rsid w:val="5FFA4BB4"/>
    <w:rsid w:val="60B27BCE"/>
    <w:rsid w:val="615E3A3F"/>
    <w:rsid w:val="621A3E77"/>
    <w:rsid w:val="63786693"/>
    <w:rsid w:val="63FE5102"/>
    <w:rsid w:val="649B643C"/>
    <w:rsid w:val="65172EB6"/>
    <w:rsid w:val="6AD63430"/>
    <w:rsid w:val="6BCA0D0D"/>
    <w:rsid w:val="6C495117"/>
    <w:rsid w:val="6D5B7615"/>
    <w:rsid w:val="6DAA6FE2"/>
    <w:rsid w:val="6EB47759"/>
    <w:rsid w:val="6EB608BB"/>
    <w:rsid w:val="6F6A1619"/>
    <w:rsid w:val="715121B5"/>
    <w:rsid w:val="72074B66"/>
    <w:rsid w:val="78475BE4"/>
    <w:rsid w:val="7B045FDB"/>
    <w:rsid w:val="7B955E6D"/>
    <w:rsid w:val="7CEA7E00"/>
    <w:rsid w:val="7D886EEF"/>
    <w:rsid w:val="7E3A0BB8"/>
    <w:rsid w:val="7EC841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10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10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5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52"/>
    <w:qFormat/>
    <w:uiPriority w:val="0"/>
    <w:pPr>
      <w:keepNext/>
      <w:widowControl/>
      <w:numPr>
        <w:ilvl w:val="0"/>
        <w:numId w:val="4"/>
      </w:numPr>
      <w:jc w:val="left"/>
      <w:outlineLvl w:val="4"/>
    </w:pPr>
    <w:rPr>
      <w:kern w:val="0"/>
      <w:sz w:val="24"/>
      <w:szCs w:val="20"/>
    </w:rPr>
  </w:style>
  <w:style w:type="paragraph" w:styleId="9">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7">
    <w:name w:val="Normal Indent"/>
    <w:basedOn w:val="1"/>
    <w:link w:val="50"/>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120"/>
    <w:qFormat/>
    <w:uiPriority w:val="0"/>
    <w:pPr>
      <w:jc w:val="left"/>
    </w:pPr>
  </w:style>
  <w:style w:type="paragraph" w:styleId="18">
    <w:name w:val="Body Text"/>
    <w:basedOn w:val="1"/>
    <w:link w:val="67"/>
    <w:qFormat/>
    <w:uiPriority w:val="0"/>
    <w:pPr>
      <w:spacing w:line="360" w:lineRule="auto"/>
    </w:pPr>
    <w:rPr>
      <w:rFonts w:eastAsia="仿宋_GB2312"/>
      <w:sz w:val="28"/>
    </w:rPr>
  </w:style>
  <w:style w:type="paragraph" w:styleId="19">
    <w:name w:val="Body Text Indent"/>
    <w:basedOn w:val="1"/>
    <w:link w:val="102"/>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link w:val="53"/>
    <w:qFormat/>
    <w:uiPriority w:val="0"/>
    <w:rPr>
      <w:rFonts w:ascii="宋体" w:hAnsi="Courier New"/>
      <w:szCs w:val="20"/>
    </w:rPr>
  </w:style>
  <w:style w:type="paragraph" w:styleId="23">
    <w:name w:val="Date"/>
    <w:basedOn w:val="1"/>
    <w:next w:val="1"/>
    <w:link w:val="113"/>
    <w:qFormat/>
    <w:uiPriority w:val="0"/>
    <w:rPr>
      <w:rFonts w:ascii="楷体_GB2312" w:eastAsia="楷体_GB2312"/>
      <w:b/>
      <w:sz w:val="28"/>
      <w:szCs w:val="20"/>
    </w:rPr>
  </w:style>
  <w:style w:type="paragraph" w:styleId="24">
    <w:name w:val="Body Text Indent 2"/>
    <w:basedOn w:val="1"/>
    <w:link w:val="63"/>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7"/>
    <w:next w:val="17"/>
    <w:semiHidden/>
    <w:qFormat/>
    <w:uiPriority w:val="0"/>
    <w:pPr>
      <w:widowControl/>
      <w:spacing w:afterLines="50"/>
    </w:pPr>
    <w:rPr>
      <w:b/>
      <w:bCs/>
      <w:kern w:val="0"/>
      <w:sz w:val="24"/>
      <w:szCs w:val="20"/>
    </w:rPr>
  </w:style>
  <w:style w:type="paragraph" w:styleId="38">
    <w:name w:val="Body Text First Indent"/>
    <w:basedOn w:val="18"/>
    <w:qFormat/>
    <w:uiPriority w:val="0"/>
    <w:pPr>
      <w:spacing w:after="120" w:line="240" w:lineRule="auto"/>
      <w:ind w:firstLine="420" w:firstLineChars="100"/>
    </w:pPr>
    <w:rPr>
      <w:rFonts w:eastAsia="宋体"/>
      <w:sz w:val="21"/>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99"/>
    <w:rPr>
      <w:color w:val="0000FF"/>
      <w:u w:val="single"/>
    </w:rPr>
  </w:style>
  <w:style w:type="character" w:styleId="48">
    <w:name w:val="annotation reference"/>
    <w:basedOn w:val="42"/>
    <w:qFormat/>
    <w:uiPriority w:val="0"/>
    <w:rPr>
      <w:sz w:val="21"/>
      <w:szCs w:val="21"/>
    </w:rPr>
  </w:style>
  <w:style w:type="character" w:customStyle="1" w:styleId="49">
    <w:name w:val="标题 1 Char"/>
    <w:link w:val="3"/>
    <w:qFormat/>
    <w:uiPriority w:val="0"/>
    <w:rPr>
      <w:rFonts w:eastAsia="仿宋_GB2312"/>
      <w:b/>
      <w:kern w:val="44"/>
      <w:sz w:val="44"/>
      <w:lang w:val="en-US" w:eastAsia="zh-CN" w:bidi="ar-SA"/>
    </w:rPr>
  </w:style>
  <w:style w:type="character" w:customStyle="1" w:styleId="50">
    <w:name w:val="正文缩进 Char"/>
    <w:basedOn w:val="42"/>
    <w:link w:val="7"/>
    <w:qFormat/>
    <w:uiPriority w:val="0"/>
    <w:rPr>
      <w:rFonts w:eastAsia="宋体"/>
      <w:kern w:val="2"/>
      <w:sz w:val="21"/>
      <w:szCs w:val="24"/>
      <w:lang w:val="en-US" w:eastAsia="zh-CN" w:bidi="ar-SA"/>
    </w:rPr>
  </w:style>
  <w:style w:type="character" w:customStyle="1" w:styleId="51">
    <w:name w:val="标题 4 Char"/>
    <w:link w:val="6"/>
    <w:qFormat/>
    <w:uiPriority w:val="0"/>
    <w:rPr>
      <w:rFonts w:ascii="Arial" w:hAnsi="Arial" w:eastAsia="黑体"/>
      <w:b/>
      <w:kern w:val="2"/>
      <w:sz w:val="28"/>
      <w:lang w:val="en-US" w:eastAsia="zh-CN" w:bidi="ar-SA"/>
    </w:rPr>
  </w:style>
  <w:style w:type="character" w:customStyle="1" w:styleId="52">
    <w:name w:val="标题 5 Char"/>
    <w:link w:val="8"/>
    <w:qFormat/>
    <w:uiPriority w:val="0"/>
    <w:rPr>
      <w:rFonts w:eastAsia="宋体"/>
      <w:sz w:val="24"/>
      <w:lang w:val="en-US" w:eastAsia="zh-CN" w:bidi="ar-SA"/>
    </w:rPr>
  </w:style>
  <w:style w:type="character" w:customStyle="1" w:styleId="53">
    <w:name w:val="纯文本 Char"/>
    <w:basedOn w:val="42"/>
    <w:link w:val="22"/>
    <w:qFormat/>
    <w:uiPriority w:val="0"/>
    <w:rPr>
      <w:rFonts w:ascii="宋体" w:hAnsi="Courier New" w:eastAsia="宋体"/>
      <w:kern w:val="2"/>
      <w:sz w:val="21"/>
      <w:lang w:val="en-US" w:eastAsia="zh-CN" w:bidi="ar-SA"/>
    </w:rPr>
  </w:style>
  <w:style w:type="paragraph" w:customStyle="1" w:styleId="54">
    <w:name w:val="表正文"/>
    <w:basedOn w:val="1"/>
    <w:next w:val="22"/>
    <w:qFormat/>
    <w:uiPriority w:val="0"/>
    <w:rPr>
      <w:rFonts w:ascii="宋体" w:hAnsi="Courier New"/>
      <w:szCs w:val="20"/>
    </w:rPr>
  </w:style>
  <w:style w:type="paragraph" w:customStyle="1" w:styleId="55">
    <w:name w:val="正文段"/>
    <w:basedOn w:val="1"/>
    <w:link w:val="151"/>
    <w:qFormat/>
    <w:uiPriority w:val="0"/>
    <w:pPr>
      <w:widowControl/>
      <w:snapToGrid w:val="0"/>
      <w:spacing w:afterLines="50"/>
      <w:ind w:firstLine="200" w:firstLineChars="200"/>
    </w:pPr>
    <w:rPr>
      <w:kern w:val="0"/>
      <w:sz w:val="24"/>
      <w:szCs w:val="20"/>
    </w:rPr>
  </w:style>
  <w:style w:type="paragraph" w:customStyle="1" w:styleId="56">
    <w:name w:val="Char"/>
    <w:basedOn w:val="1"/>
    <w:qFormat/>
    <w:uiPriority w:val="0"/>
    <w:rPr>
      <w:rFonts w:ascii="仿宋_GB2312" w:eastAsia="仿宋_GB2312"/>
      <w:b/>
      <w:sz w:val="32"/>
      <w:szCs w:val="32"/>
    </w:rPr>
  </w:style>
  <w:style w:type="paragraph" w:customStyle="1" w:styleId="57">
    <w:name w:val="Table Text"/>
    <w:link w:val="58"/>
    <w:qFormat/>
    <w:uiPriority w:val="0"/>
    <w:pPr>
      <w:snapToGrid w:val="0"/>
      <w:spacing w:before="80" w:after="80"/>
    </w:pPr>
    <w:rPr>
      <w:rFonts w:ascii="Arial" w:hAnsi="Arial" w:eastAsia="宋体" w:cs="Times New Roman"/>
      <w:sz w:val="18"/>
      <w:lang w:val="en-US" w:eastAsia="zh-CN" w:bidi="ar-SA"/>
    </w:rPr>
  </w:style>
  <w:style w:type="character" w:customStyle="1" w:styleId="58">
    <w:name w:val="Table Text Char1"/>
    <w:basedOn w:val="42"/>
    <w:link w:val="57"/>
    <w:qFormat/>
    <w:uiPriority w:val="0"/>
    <w:rPr>
      <w:rFonts w:ascii="Arial" w:hAnsi="Arial"/>
      <w:sz w:val="18"/>
      <w:lang w:val="en-US" w:eastAsia="zh-CN" w:bidi="ar-SA"/>
    </w:rPr>
  </w:style>
  <w:style w:type="character" w:customStyle="1" w:styleId="59">
    <w:name w:val="正文（缩进2汉字） Char"/>
    <w:basedOn w:val="42"/>
    <w:link w:val="60"/>
    <w:qFormat/>
    <w:uiPriority w:val="0"/>
    <w:rPr>
      <w:rFonts w:ascii="宋体"/>
      <w:kern w:val="2"/>
      <w:sz w:val="21"/>
      <w:lang w:bidi="ar-SA"/>
    </w:rPr>
  </w:style>
  <w:style w:type="paragraph" w:customStyle="1" w:styleId="60">
    <w:name w:val="正文（缩进2汉字）"/>
    <w:basedOn w:val="1"/>
    <w:link w:val="59"/>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1">
    <w:name w:val="Char11"/>
    <w:basedOn w:val="1"/>
    <w:qFormat/>
    <w:uiPriority w:val="0"/>
    <w:pPr>
      <w:tabs>
        <w:tab w:val="left" w:pos="432"/>
      </w:tabs>
      <w:spacing w:beforeLines="50" w:afterLines="50"/>
      <w:ind w:left="432" w:hanging="432"/>
      <w:jc w:val="center"/>
    </w:pPr>
    <w:rPr>
      <w:sz w:val="24"/>
    </w:rPr>
  </w:style>
  <w:style w:type="paragraph" w:customStyle="1" w:styleId="62">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3">
    <w:name w:val="正文文本缩进 2 Char"/>
    <w:link w:val="24"/>
    <w:qFormat/>
    <w:locked/>
    <w:uiPriority w:val="0"/>
    <w:rPr>
      <w:rFonts w:eastAsia="宋体"/>
      <w:kern w:val="2"/>
      <w:sz w:val="21"/>
      <w:szCs w:val="24"/>
      <w:lang w:val="en-US" w:eastAsia="zh-CN" w:bidi="ar-SA"/>
    </w:rPr>
  </w:style>
  <w:style w:type="paragraph" w:customStyle="1" w:styleId="64">
    <w:name w:val="缺省文本"/>
    <w:basedOn w:val="1"/>
    <w:qFormat/>
    <w:uiPriority w:val="0"/>
    <w:pPr>
      <w:autoSpaceDE w:val="0"/>
      <w:autoSpaceDN w:val="0"/>
      <w:adjustRightInd w:val="0"/>
      <w:jc w:val="left"/>
    </w:pPr>
    <w:rPr>
      <w:kern w:val="0"/>
      <w:sz w:val="24"/>
    </w:rPr>
  </w:style>
  <w:style w:type="paragraph" w:customStyle="1" w:styleId="65">
    <w:name w:val="WW-正文文字缩进 2"/>
    <w:basedOn w:val="1"/>
    <w:qFormat/>
    <w:uiPriority w:val="0"/>
    <w:pPr>
      <w:suppressAutoHyphens/>
      <w:ind w:firstLine="420"/>
    </w:pPr>
    <w:rPr>
      <w:kern w:val="1"/>
      <w:szCs w:val="20"/>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character" w:customStyle="1" w:styleId="67">
    <w:name w:val="正文文本 Char"/>
    <w:link w:val="18"/>
    <w:qFormat/>
    <w:locked/>
    <w:uiPriority w:val="0"/>
    <w:rPr>
      <w:rFonts w:eastAsia="仿宋_GB2312"/>
      <w:kern w:val="2"/>
      <w:sz w:val="28"/>
      <w:szCs w:val="24"/>
      <w:lang w:val="en-US" w:eastAsia="zh-CN" w:bidi="ar-SA"/>
    </w:rPr>
  </w:style>
  <w:style w:type="paragraph" w:customStyle="1" w:styleId="68">
    <w:name w:val="项目排列"/>
    <w:basedOn w:val="1"/>
    <w:link w:val="69"/>
    <w:qFormat/>
    <w:uiPriority w:val="0"/>
    <w:pPr>
      <w:tabs>
        <w:tab w:val="left" w:pos="900"/>
      </w:tabs>
      <w:spacing w:beforeLines="50" w:afterLines="50" w:line="300" w:lineRule="auto"/>
      <w:ind w:left="900" w:hanging="420"/>
    </w:pPr>
    <w:rPr>
      <w:sz w:val="24"/>
    </w:rPr>
  </w:style>
  <w:style w:type="character" w:customStyle="1" w:styleId="69">
    <w:name w:val="项目排列 Char"/>
    <w:basedOn w:val="42"/>
    <w:link w:val="68"/>
    <w:qFormat/>
    <w:uiPriority w:val="0"/>
    <w:rPr>
      <w:kern w:val="2"/>
      <w:sz w:val="24"/>
      <w:szCs w:val="24"/>
    </w:rPr>
  </w:style>
  <w:style w:type="character" w:customStyle="1" w:styleId="70">
    <w:name w:val="style21"/>
    <w:basedOn w:val="42"/>
    <w:qFormat/>
    <w:uiPriority w:val="0"/>
    <w:rPr>
      <w:sz w:val="15"/>
      <w:szCs w:val="15"/>
    </w:rPr>
  </w:style>
  <w:style w:type="paragraph" w:customStyle="1" w:styleId="7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Char1"/>
    <w:basedOn w:val="1"/>
    <w:qFormat/>
    <w:uiPriority w:val="0"/>
    <w:rPr>
      <w:szCs w:val="20"/>
    </w:rPr>
  </w:style>
  <w:style w:type="paragraph" w:customStyle="1" w:styleId="74">
    <w:name w:val="列出段落1"/>
    <w:basedOn w:val="1"/>
    <w:qFormat/>
    <w:uiPriority w:val="0"/>
    <w:pPr>
      <w:ind w:firstLine="420" w:firstLineChars="200"/>
    </w:pPr>
    <w:rPr>
      <w:rFonts w:ascii="Calibri" w:hAnsi="Calibri"/>
      <w:szCs w:val="22"/>
    </w:rPr>
  </w:style>
  <w:style w:type="paragraph" w:customStyle="1" w:styleId="75">
    <w:name w:val="默认段落字体 Para Char Char Char Char"/>
    <w:basedOn w:val="1"/>
    <w:qFormat/>
    <w:uiPriority w:val="0"/>
  </w:style>
  <w:style w:type="paragraph" w:customStyle="1" w:styleId="76">
    <w:name w:val="Char Char Char1 Char Char Char1 Char Char Char Char"/>
    <w:basedOn w:val="1"/>
    <w:qFormat/>
    <w:uiPriority w:val="0"/>
  </w:style>
  <w:style w:type="character" w:customStyle="1" w:styleId="77">
    <w:name w:val="font1"/>
    <w:basedOn w:val="42"/>
    <w:qFormat/>
    <w:uiPriority w:val="0"/>
    <w:rPr>
      <w:color w:val="999999"/>
      <w:sz w:val="18"/>
      <w:szCs w:val="18"/>
      <w:u w:val="none"/>
    </w:rPr>
  </w:style>
  <w:style w:type="paragraph" w:customStyle="1" w:styleId="7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Char Char Char Char Char Char Char Char Char Char"/>
    <w:basedOn w:val="1"/>
    <w:qFormat/>
    <w:uiPriority w:val="0"/>
    <w:rPr>
      <w:rFonts w:ascii="Tahoma" w:hAnsi="Tahoma"/>
      <w:sz w:val="24"/>
      <w:szCs w:val="20"/>
    </w:rPr>
  </w:style>
  <w:style w:type="character" w:customStyle="1" w:styleId="80">
    <w:name w:val="apple-style-span"/>
    <w:basedOn w:val="42"/>
    <w:qFormat/>
    <w:uiPriority w:val="0"/>
  </w:style>
  <w:style w:type="paragraph" w:customStyle="1" w:styleId="81">
    <w:name w:val="正文无缩进"/>
    <w:basedOn w:val="1"/>
    <w:link w:val="82"/>
    <w:qFormat/>
    <w:uiPriority w:val="0"/>
    <w:pPr>
      <w:spacing w:line="360" w:lineRule="auto"/>
    </w:pPr>
    <w:rPr>
      <w:rFonts w:ascii="宋体"/>
      <w:color w:val="000000"/>
      <w:sz w:val="24"/>
    </w:rPr>
  </w:style>
  <w:style w:type="character" w:customStyle="1" w:styleId="82">
    <w:name w:val="正文无缩进 Char"/>
    <w:basedOn w:val="42"/>
    <w:link w:val="81"/>
    <w:qFormat/>
    <w:uiPriority w:val="0"/>
    <w:rPr>
      <w:rFonts w:ascii="宋体" w:eastAsia="宋体"/>
      <w:color w:val="000000"/>
      <w:kern w:val="2"/>
      <w:sz w:val="24"/>
      <w:szCs w:val="24"/>
      <w:lang w:val="en-US" w:eastAsia="zh-CN" w:bidi="ar-SA"/>
    </w:rPr>
  </w:style>
  <w:style w:type="paragraph" w:customStyle="1" w:styleId="8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4">
    <w:name w:val="ca-3"/>
    <w:basedOn w:val="42"/>
    <w:qFormat/>
    <w:uiPriority w:val="0"/>
  </w:style>
  <w:style w:type="paragraph" w:customStyle="1" w:styleId="8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6">
    <w:name w:val="表格 Char Char"/>
    <w:link w:val="87"/>
    <w:qFormat/>
    <w:locked/>
    <w:uiPriority w:val="0"/>
    <w:rPr>
      <w:rFonts w:ascii="宋体" w:hAnsi="宋体" w:eastAsia="宋体"/>
      <w:lang w:val="en-US" w:eastAsia="zh-CN" w:bidi="ar-SA"/>
    </w:rPr>
  </w:style>
  <w:style w:type="paragraph" w:customStyle="1" w:styleId="87">
    <w:name w:val="表格"/>
    <w:basedOn w:val="1"/>
    <w:link w:val="86"/>
    <w:qFormat/>
    <w:uiPriority w:val="0"/>
    <w:pPr>
      <w:snapToGrid w:val="0"/>
      <w:ind w:firstLine="42" w:firstLineChars="21"/>
    </w:pPr>
    <w:rPr>
      <w:rFonts w:ascii="宋体" w:hAnsi="宋体"/>
      <w:kern w:val="0"/>
      <w:sz w:val="20"/>
      <w:szCs w:val="20"/>
    </w:rPr>
  </w:style>
  <w:style w:type="paragraph" w:customStyle="1" w:styleId="8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9">
    <w:name w:val="Char Char1 Char Char Char Char Char Char"/>
    <w:basedOn w:val="1"/>
    <w:qFormat/>
    <w:uiPriority w:val="0"/>
    <w:pPr>
      <w:widowControl/>
      <w:spacing w:after="160" w:line="240" w:lineRule="exact"/>
      <w:jc w:val="left"/>
    </w:pPr>
  </w:style>
  <w:style w:type="character" w:customStyle="1" w:styleId="90">
    <w:name w:val="Char Char"/>
    <w:qFormat/>
    <w:uiPriority w:val="0"/>
    <w:rPr>
      <w:rFonts w:hint="eastAsia" w:ascii="宋体" w:hAnsi="Courier New" w:eastAsia="宋体"/>
      <w:kern w:val="2"/>
      <w:sz w:val="21"/>
      <w:lang w:val="en-US" w:eastAsia="zh-CN" w:bidi="ar-SA"/>
    </w:rPr>
  </w:style>
  <w:style w:type="character" w:customStyle="1" w:styleId="91">
    <w:name w:val="style51"/>
    <w:basedOn w:val="42"/>
    <w:qFormat/>
    <w:uiPriority w:val="0"/>
    <w:rPr>
      <w:sz w:val="21"/>
      <w:szCs w:val="21"/>
    </w:rPr>
  </w:style>
  <w:style w:type="paragraph" w:customStyle="1" w:styleId="9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3">
    <w:name w:val="标准文本"/>
    <w:basedOn w:val="1"/>
    <w:link w:val="94"/>
    <w:qFormat/>
    <w:uiPriority w:val="0"/>
    <w:pPr>
      <w:spacing w:line="360" w:lineRule="auto"/>
      <w:ind w:firstLine="480" w:firstLineChars="200"/>
    </w:pPr>
    <w:rPr>
      <w:rFonts w:cs="宋体"/>
      <w:sz w:val="24"/>
      <w:szCs w:val="20"/>
    </w:rPr>
  </w:style>
  <w:style w:type="character" w:customStyle="1" w:styleId="94">
    <w:name w:val="标准文本 Char"/>
    <w:basedOn w:val="42"/>
    <w:link w:val="93"/>
    <w:qFormat/>
    <w:uiPriority w:val="0"/>
    <w:rPr>
      <w:rFonts w:eastAsia="宋体" w:cs="宋体"/>
      <w:kern w:val="2"/>
      <w:sz w:val="24"/>
      <w:lang w:val="en-US" w:eastAsia="zh-CN" w:bidi="ar-SA"/>
    </w:rPr>
  </w:style>
  <w:style w:type="paragraph" w:customStyle="1" w:styleId="9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6">
    <w:name w:val="自定义正文"/>
    <w:basedOn w:val="1"/>
    <w:link w:val="97"/>
    <w:qFormat/>
    <w:uiPriority w:val="0"/>
    <w:pPr>
      <w:spacing w:line="480" w:lineRule="exact"/>
      <w:ind w:firstLine="200" w:firstLineChars="200"/>
      <w:jc w:val="left"/>
    </w:pPr>
    <w:rPr>
      <w:rFonts w:ascii="仿宋_GB2312" w:eastAsia="仿宋_GB2312"/>
      <w:sz w:val="28"/>
    </w:rPr>
  </w:style>
  <w:style w:type="character" w:customStyle="1" w:styleId="97">
    <w:name w:val="自定义正文 Char"/>
    <w:basedOn w:val="42"/>
    <w:link w:val="96"/>
    <w:qFormat/>
    <w:uiPriority w:val="0"/>
    <w:rPr>
      <w:rFonts w:ascii="仿宋_GB2312" w:eastAsia="仿宋_GB2312"/>
      <w:kern w:val="2"/>
      <w:sz w:val="28"/>
      <w:szCs w:val="24"/>
      <w:lang w:val="en-US" w:eastAsia="zh-CN" w:bidi="ar-SA"/>
    </w:rPr>
  </w:style>
  <w:style w:type="paragraph" w:customStyle="1" w:styleId="9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9">
    <w:name w:val="自定义表格文字"/>
    <w:basedOn w:val="1"/>
    <w:qFormat/>
    <w:uiPriority w:val="0"/>
    <w:pPr>
      <w:spacing w:before="60" w:after="60" w:line="320" w:lineRule="exact"/>
      <w:jc w:val="left"/>
    </w:pPr>
    <w:rPr>
      <w:rFonts w:ascii="宋体" w:eastAsia="楷体_GB2312"/>
    </w:rPr>
  </w:style>
  <w:style w:type="paragraph" w:customStyle="1" w:styleId="10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1">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2">
    <w:name w:val="正文文本缩进 Char"/>
    <w:link w:val="19"/>
    <w:qFormat/>
    <w:uiPriority w:val="0"/>
    <w:rPr>
      <w:rFonts w:eastAsia="宋体"/>
      <w:kern w:val="2"/>
      <w:sz w:val="21"/>
      <w:szCs w:val="24"/>
      <w:lang w:val="en-US" w:eastAsia="zh-CN" w:bidi="ar-SA"/>
    </w:rPr>
  </w:style>
  <w:style w:type="character" w:customStyle="1" w:styleId="103">
    <w:name w:val="Char Char1"/>
    <w:qFormat/>
    <w:uiPriority w:val="0"/>
    <w:rPr>
      <w:rFonts w:ascii="宋体" w:hAnsi="Courier New" w:eastAsia="宋体"/>
      <w:kern w:val="2"/>
      <w:sz w:val="21"/>
      <w:lang w:val="en-US" w:eastAsia="zh-CN" w:bidi="ar-SA"/>
    </w:rPr>
  </w:style>
  <w:style w:type="paragraph" w:customStyle="1" w:styleId="104">
    <w:name w:val="Char Char Char Char1"/>
    <w:basedOn w:val="1"/>
    <w:qFormat/>
    <w:uiPriority w:val="0"/>
    <w:rPr>
      <w:rFonts w:ascii="Tahoma" w:hAnsi="Tahoma"/>
      <w:sz w:val="24"/>
      <w:szCs w:val="20"/>
    </w:rPr>
  </w:style>
  <w:style w:type="character" w:customStyle="1" w:styleId="105">
    <w:name w:val="标题 2 Char"/>
    <w:link w:val="4"/>
    <w:qFormat/>
    <w:uiPriority w:val="0"/>
    <w:rPr>
      <w:rFonts w:ascii="Arial" w:hAnsi="Arial" w:eastAsia="黑体"/>
      <w:b/>
      <w:kern w:val="2"/>
      <w:sz w:val="32"/>
      <w:lang w:val="en-US" w:eastAsia="zh-CN" w:bidi="ar-SA"/>
    </w:rPr>
  </w:style>
  <w:style w:type="character" w:customStyle="1" w:styleId="106">
    <w:name w:val="标题 3 Char"/>
    <w:link w:val="5"/>
    <w:qFormat/>
    <w:uiPriority w:val="0"/>
    <w:rPr>
      <w:rFonts w:eastAsia="仿宋_GB2312"/>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9"/>
    <w:qFormat/>
    <w:uiPriority w:val="0"/>
    <w:rPr>
      <w:rFonts w:ascii="宋体" w:hAnsi="Arial" w:eastAsia="宋体"/>
      <w:sz w:val="24"/>
      <w:lang w:val="en-US" w:eastAsia="zh-CN" w:bidi="ar-SA"/>
    </w:rPr>
  </w:style>
  <w:style w:type="character" w:customStyle="1" w:styleId="110">
    <w:name w:val="标题 7 Char"/>
    <w:link w:val="10"/>
    <w:qFormat/>
    <w:uiPriority w:val="0"/>
    <w:rPr>
      <w:rFonts w:ascii="宋体" w:hAnsi="Arial" w:eastAsia="宋体"/>
      <w:b/>
      <w:sz w:val="24"/>
      <w:lang w:val="en-US" w:eastAsia="zh-CN" w:bidi="ar-SA"/>
    </w:rPr>
  </w:style>
  <w:style w:type="character" w:customStyle="1" w:styleId="111">
    <w:name w:val="标题 8 Char"/>
    <w:link w:val="11"/>
    <w:qFormat/>
    <w:uiPriority w:val="0"/>
    <w:rPr>
      <w:rFonts w:ascii="Arial" w:hAnsi="Arial" w:eastAsia="黑体"/>
      <w:sz w:val="24"/>
      <w:lang w:val="en-US" w:eastAsia="zh-CN" w:bidi="ar-SA"/>
    </w:rPr>
  </w:style>
  <w:style w:type="character" w:customStyle="1" w:styleId="112">
    <w:name w:val="标题 9 Char"/>
    <w:link w:val="12"/>
    <w:qFormat/>
    <w:uiPriority w:val="0"/>
    <w:rPr>
      <w:rFonts w:ascii="Arial" w:hAnsi="Arial" w:eastAsia="黑体"/>
      <w:sz w:val="24"/>
      <w:lang w:val="en-US" w:eastAsia="zh-CN" w:bidi="ar-SA"/>
    </w:rPr>
  </w:style>
  <w:style w:type="character" w:customStyle="1" w:styleId="113">
    <w:name w:val="日期 Char"/>
    <w:link w:val="23"/>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7"/>
    <w:qFormat/>
    <w:uiPriority w:val="99"/>
    <w:rPr>
      <w:rFonts w:eastAsia="宋体"/>
      <w:kern w:val="2"/>
      <w:sz w:val="18"/>
      <w:szCs w:val="18"/>
      <w:lang w:val="en-US" w:eastAsia="zh-CN" w:bidi="ar-SA"/>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7"/>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2"/>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6"/>
    <w:qFormat/>
    <w:uiPriority w:val="0"/>
    <w:rPr>
      <w:rFonts w:ascii="Tahoma" w:hAnsi="Tahoma"/>
      <w:sz w:val="24"/>
    </w:rPr>
  </w:style>
  <w:style w:type="paragraph" w:customStyle="1" w:styleId="134">
    <w:name w:val="Char Char Char"/>
    <w:basedOn w:val="16"/>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7"/>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5"/>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character" w:customStyle="1" w:styleId="160">
    <w:name w:val="普通文字 Char Char Char2"/>
    <w:qFormat/>
    <w:uiPriority w:val="0"/>
    <w:rPr>
      <w:rFonts w:ascii="宋体" w:hAnsi="Courier New" w:eastAsia="宋体"/>
      <w:kern w:val="2"/>
      <w:sz w:val="21"/>
      <w:lang w:val="en-US" w:eastAsia="zh-CN" w:bidi="ar-SA"/>
    </w:rPr>
  </w:style>
  <w:style w:type="paragraph" w:customStyle="1" w:styleId="161">
    <w:name w:val="_Style 2"/>
    <w:basedOn w:val="1"/>
    <w:qFormat/>
    <w:uiPriority w:val="0"/>
    <w:pPr>
      <w:widowControl/>
      <w:ind w:firstLine="420"/>
    </w:pPr>
    <w:rPr>
      <w:rFonts w:ascii="Calibri" w:hAnsi="Calibri" w:eastAsia="Calibri"/>
      <w:kern w:val="0"/>
      <w:sz w:val="20"/>
      <w:szCs w:val="20"/>
    </w:rPr>
  </w:style>
  <w:style w:type="character" w:customStyle="1" w:styleId="162">
    <w:name w:val="NormalCharacter"/>
    <w:semiHidden/>
    <w:qFormat/>
    <w:uiPriority w:val="0"/>
  </w:style>
  <w:style w:type="character" w:customStyle="1" w:styleId="163">
    <w:name w:val="批注文字 Char1"/>
    <w:qFormat/>
    <w:uiPriority w:val="0"/>
    <w:rPr>
      <w:rFonts w:eastAsia="宋体"/>
      <w:kern w:val="2"/>
      <w:sz w:val="21"/>
      <w:szCs w:val="24"/>
      <w:lang w:val="en-US" w:eastAsia="zh-CN" w:bidi="ar-SA"/>
    </w:rPr>
  </w:style>
  <w:style w:type="paragraph" w:customStyle="1" w:styleId="164">
    <w:name w:val="U_正文2"/>
    <w:basedOn w:val="1"/>
    <w:qFormat/>
    <w:uiPriority w:val="0"/>
    <w:pPr>
      <w:spacing w:beforeLines="10" w:afterLines="10" w:line="300" w:lineRule="auto"/>
    </w:pPr>
    <w:rPr>
      <w:rFonts w:ascii="Calibri" w:hAnsi="Calibri"/>
      <w:sz w:val="24"/>
      <w:szCs w:val="20"/>
    </w:rPr>
  </w:style>
  <w:style w:type="paragraph" w:customStyle="1" w:styleId="165">
    <w:name w:val="U_编号2"/>
    <w:basedOn w:val="1"/>
    <w:qFormat/>
    <w:uiPriority w:val="0"/>
    <w:pPr>
      <w:numPr>
        <w:ilvl w:val="0"/>
        <w:numId w:val="7"/>
      </w:numPr>
      <w:tabs>
        <w:tab w:val="left" w:pos="785"/>
      </w:tabs>
      <w:spacing w:beforeLines="10" w:afterLines="10" w:line="300" w:lineRule="auto"/>
    </w:pPr>
    <w:rPr>
      <w:rFonts w:ascii="Calibri" w:hAnsi="Calibri"/>
      <w:sz w:val="24"/>
      <w:szCs w:val="20"/>
    </w:rPr>
  </w:style>
  <w:style w:type="paragraph" w:customStyle="1" w:styleId="166">
    <w:name w:val="样式 标题 1 + 四号 居中 段前: 12 磅 段后: 12 磅 行距: 单倍行距"/>
    <w:basedOn w:val="3"/>
    <w:qFormat/>
    <w:uiPriority w:val="0"/>
    <w:pPr>
      <w:spacing w:before="240" w:after="240" w:line="240" w:lineRule="auto"/>
      <w:jc w:val="center"/>
    </w:pPr>
    <w:rPr>
      <w:rFonts w:ascii="Calibri" w:hAnsi="Calibri" w:cs="宋体"/>
      <w:sz w:val="28"/>
    </w:rPr>
  </w:style>
  <w:style w:type="paragraph" w:customStyle="1" w:styleId="167">
    <w:name w:val="列表段落1"/>
    <w:basedOn w:val="1"/>
    <w:qFormat/>
    <w:uiPriority w:val="34"/>
    <w:pPr>
      <w:widowControl/>
      <w:ind w:firstLine="420" w:firstLineChars="200"/>
      <w:textAlignment w:val="baseline"/>
    </w:pPr>
  </w:style>
  <w:style w:type="paragraph" w:customStyle="1" w:styleId="168">
    <w:name w:val="正文3"/>
    <w:qFormat/>
    <w:uiPriority w:val="0"/>
    <w:pPr>
      <w:jc w:val="both"/>
    </w:pPr>
    <w:rPr>
      <w:rFonts w:ascii="Calibri" w:hAnsi="Calibri" w:eastAsia="微软雅黑" w:cs="Times New Roman"/>
      <w:kern w:val="2"/>
      <w:sz w:val="21"/>
      <w:szCs w:val="21"/>
      <w:lang w:val="en-US" w:eastAsia="zh-CN" w:bidi="ar-SA"/>
    </w:rPr>
  </w:style>
  <w:style w:type="paragraph" w:customStyle="1" w:styleId="169">
    <w:name w:val="样式 列表编号 + 段后: 0.5 行"/>
    <w:basedOn w:val="14"/>
    <w:qFormat/>
    <w:uiPriority w:val="0"/>
    <w:pPr>
      <w:tabs>
        <w:tab w:val="left" w:pos="360"/>
        <w:tab w:val="clear" w:pos="454"/>
      </w:tabs>
      <w:spacing w:before="100" w:beforeAutospacing="1" w:after="120"/>
      <w:ind w:left="4315" w:hanging="420"/>
    </w:pPr>
    <w:rPr>
      <w:rFonts w:cs="宋体"/>
    </w:rPr>
  </w:style>
  <w:style w:type="paragraph" w:customStyle="1" w:styleId="170">
    <w:name w:val="技术文档正文"/>
    <w:basedOn w:val="1"/>
    <w:qFormat/>
    <w:uiPriority w:val="0"/>
    <w:pPr>
      <w:spacing w:line="360" w:lineRule="auto"/>
      <w:ind w:firstLine="200" w:firstLineChars="200"/>
    </w:pPr>
    <w:rPr>
      <w:sz w:val="24"/>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0C8C3E-62EB-4CD7-8394-AA289589318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7231</Words>
  <Characters>41219</Characters>
  <Lines>1</Lines>
  <Paragraphs>1</Paragraphs>
  <TotalTime>10</TotalTime>
  <ScaleCrop>false</ScaleCrop>
  <LinksUpToDate>false</LinksUpToDate>
  <CharactersWithSpaces>48354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2021-05-22T06:27:00Z</dcterms:created>
  <dc:creator>USER</dc:creator>
  <cp:lastModifiedBy>無珂鲰玳k&amp;o_O</cp:lastModifiedBy>
  <cp:lastPrinted>2021-05-24T08:50:00Z</cp:lastPrinted>
  <dcterms:modified xsi:type="dcterms:W3CDTF">2022-01-11T07:57:21Z</dcterms:modified>
  <dc:title>绍兴文理学院计算机机房设备及录播系统供货项目</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01F590D23A644E60B237D2F71BFEFE6C</vt:lpwstr>
  </property>
</Properties>
</file>